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11720E" w14:textId="77777777" w:rsidR="00502A32" w:rsidRDefault="00000000">
      <w:pPr>
        <w:jc w:val="center"/>
      </w:pPr>
      <w:r>
        <w:rPr>
          <w:noProof/>
        </w:rPr>
        <w:drawing>
          <wp:inline distT="0" distB="0" distL="0" distR="0" wp14:anchorId="56117280" wp14:editId="56117281">
            <wp:extent cx="3285172" cy="1310118"/>
            <wp:effectExtent l="0" t="0" r="0" b="0"/>
            <wp:docPr id="187738732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285172" cy="1310118"/>
                    </a:xfrm>
                    <a:prstGeom prst="rect">
                      <a:avLst/>
                    </a:prstGeom>
                    <a:ln/>
                  </pic:spPr>
                </pic:pic>
              </a:graphicData>
            </a:graphic>
          </wp:inline>
        </w:drawing>
      </w:r>
    </w:p>
    <w:p w14:paraId="5611720F" w14:textId="77777777" w:rsidR="00502A32" w:rsidRDefault="00000000">
      <w:pPr>
        <w:jc w:val="center"/>
        <w:rPr>
          <w:b/>
          <w:sz w:val="32"/>
          <w:szCs w:val="32"/>
        </w:rPr>
      </w:pPr>
      <w:r>
        <w:rPr>
          <w:b/>
          <w:sz w:val="32"/>
          <w:szCs w:val="32"/>
        </w:rPr>
        <w:t>BMSW6105 Coaching and Mentoring Skills for the Workplace</w:t>
      </w:r>
    </w:p>
    <w:p w14:paraId="56117210" w14:textId="77777777" w:rsidR="00502A32" w:rsidRDefault="00000000">
      <w:pPr>
        <w:jc w:val="center"/>
        <w:rPr>
          <w:b/>
          <w:sz w:val="32"/>
          <w:szCs w:val="32"/>
        </w:rPr>
      </w:pPr>
      <w:r>
        <w:rPr>
          <w:b/>
          <w:sz w:val="32"/>
          <w:szCs w:val="32"/>
        </w:rPr>
        <w:t>Task 3 – Written Reflection</w:t>
      </w:r>
    </w:p>
    <w:p w14:paraId="56117211" w14:textId="77777777" w:rsidR="00502A32" w:rsidRDefault="00502A32">
      <w:pPr>
        <w:jc w:val="center"/>
      </w:pPr>
    </w:p>
    <w:p w14:paraId="56117212" w14:textId="77777777" w:rsidR="00502A32" w:rsidRDefault="00502A32">
      <w:pPr>
        <w:jc w:val="center"/>
      </w:pPr>
    </w:p>
    <w:p w14:paraId="56117213" w14:textId="77777777" w:rsidR="00502A32" w:rsidRDefault="00502A32">
      <w:pPr>
        <w:jc w:val="center"/>
      </w:pPr>
    </w:p>
    <w:p w14:paraId="56117214" w14:textId="77777777" w:rsidR="00502A32" w:rsidRDefault="00502A32">
      <w:pPr>
        <w:jc w:val="center"/>
      </w:pPr>
    </w:p>
    <w:p w14:paraId="56117215" w14:textId="77777777" w:rsidR="00502A32" w:rsidRDefault="00502A32">
      <w:pPr>
        <w:jc w:val="center"/>
      </w:pPr>
    </w:p>
    <w:p w14:paraId="42DD6897" w14:textId="3ED93261" w:rsidR="00BB31B2" w:rsidRDefault="00000000" w:rsidP="00B43A8E">
      <w:pPr>
        <w:jc w:val="center"/>
        <w:rPr>
          <w:b/>
          <w:sz w:val="28"/>
          <w:szCs w:val="28"/>
        </w:rPr>
      </w:pPr>
      <w:r>
        <w:rPr>
          <w:b/>
          <w:sz w:val="28"/>
          <w:szCs w:val="28"/>
        </w:rPr>
        <w:t xml:space="preserve">Student </w:t>
      </w:r>
      <w:r w:rsidR="00FE3D38">
        <w:rPr>
          <w:b/>
          <w:sz w:val="28"/>
          <w:szCs w:val="28"/>
        </w:rPr>
        <w:t>Name: Nicusor</w:t>
      </w:r>
      <w:r w:rsidR="001773E5">
        <w:rPr>
          <w:b/>
          <w:sz w:val="28"/>
          <w:szCs w:val="28"/>
        </w:rPr>
        <w:t xml:space="preserve"> </w:t>
      </w:r>
      <w:r w:rsidR="00BB31B2">
        <w:rPr>
          <w:b/>
          <w:sz w:val="28"/>
          <w:szCs w:val="28"/>
        </w:rPr>
        <w:t>Ionut Aliu</w:t>
      </w:r>
    </w:p>
    <w:p w14:paraId="56117217" w14:textId="7AA4E245" w:rsidR="00502A32" w:rsidRDefault="00000000" w:rsidP="00B43A8E">
      <w:pPr>
        <w:jc w:val="center"/>
        <w:rPr>
          <w:b/>
          <w:sz w:val="28"/>
          <w:szCs w:val="28"/>
        </w:rPr>
      </w:pPr>
      <w:r>
        <w:rPr>
          <w:b/>
          <w:sz w:val="28"/>
          <w:szCs w:val="28"/>
        </w:rPr>
        <w:t>Student ID:</w:t>
      </w:r>
      <w:r w:rsidR="00FE3D38">
        <w:rPr>
          <w:b/>
          <w:sz w:val="28"/>
          <w:szCs w:val="28"/>
        </w:rPr>
        <w:t xml:space="preserve"> 2131114</w:t>
      </w:r>
    </w:p>
    <w:p w14:paraId="56117218" w14:textId="56499A23" w:rsidR="00502A32" w:rsidRDefault="00000000">
      <w:pPr>
        <w:jc w:val="center"/>
        <w:rPr>
          <w:b/>
          <w:sz w:val="28"/>
          <w:szCs w:val="28"/>
        </w:rPr>
      </w:pPr>
      <w:r>
        <w:rPr>
          <w:b/>
          <w:sz w:val="28"/>
          <w:szCs w:val="28"/>
        </w:rPr>
        <w:t xml:space="preserve">Module Leader: </w:t>
      </w:r>
      <w:r w:rsidR="005017F5">
        <w:rPr>
          <w:b/>
          <w:sz w:val="28"/>
          <w:szCs w:val="28"/>
        </w:rPr>
        <w:t>Dennis P</w:t>
      </w:r>
      <w:r w:rsidR="00983156">
        <w:rPr>
          <w:b/>
          <w:sz w:val="28"/>
          <w:szCs w:val="28"/>
        </w:rPr>
        <w:t>epple</w:t>
      </w:r>
    </w:p>
    <w:p w14:paraId="56117219" w14:textId="77777777" w:rsidR="00502A32" w:rsidRDefault="00000000">
      <w:pPr>
        <w:spacing w:line="259" w:lineRule="auto"/>
        <w:jc w:val="left"/>
      </w:pPr>
      <w:r>
        <w:br w:type="page"/>
      </w:r>
    </w:p>
    <w:p w14:paraId="5611721A" w14:textId="77777777" w:rsidR="00502A32" w:rsidRDefault="00000000">
      <w:pPr>
        <w:keepNext/>
        <w:keepLines/>
        <w:pBdr>
          <w:top w:val="nil"/>
          <w:left w:val="nil"/>
          <w:bottom w:val="nil"/>
          <w:right w:val="nil"/>
          <w:between w:val="nil"/>
        </w:pBdr>
        <w:spacing w:before="240" w:after="0" w:line="259" w:lineRule="auto"/>
        <w:jc w:val="left"/>
        <w:rPr>
          <w:b/>
          <w:color w:val="000000"/>
          <w:sz w:val="30"/>
          <w:szCs w:val="30"/>
        </w:rPr>
      </w:pPr>
      <w:r>
        <w:rPr>
          <w:b/>
          <w:color w:val="000000"/>
          <w:sz w:val="30"/>
          <w:szCs w:val="30"/>
        </w:rPr>
        <w:lastRenderedPageBreak/>
        <w:t>Table of Contents</w:t>
      </w:r>
    </w:p>
    <w:sdt>
      <w:sdtPr>
        <w:id w:val="-1949758812"/>
        <w:docPartObj>
          <w:docPartGallery w:val="Table of Contents"/>
          <w:docPartUnique/>
        </w:docPartObj>
      </w:sdtPr>
      <w:sdtContent>
        <w:p w14:paraId="5611721B" w14:textId="77777777" w:rsidR="00502A32" w:rsidRDefault="00000000">
          <w:pPr>
            <w:pBdr>
              <w:top w:val="nil"/>
              <w:left w:val="nil"/>
              <w:bottom w:val="nil"/>
              <w:right w:val="nil"/>
              <w:between w:val="nil"/>
            </w:pBdr>
            <w:tabs>
              <w:tab w:val="right" w:leader="dot" w:pos="9350"/>
            </w:tabs>
            <w:spacing w:after="100"/>
            <w:rPr>
              <w:rFonts w:ascii="Calibri" w:eastAsia="Calibri" w:hAnsi="Calibri" w:cs="Calibri"/>
              <w:color w:val="000000"/>
            </w:rPr>
          </w:pPr>
          <w:r>
            <w:fldChar w:fldCharType="begin"/>
          </w:r>
          <w:r>
            <w:instrText xml:space="preserve"> TOC \h \u \z \t "Heading 1,1,Heading 2,2,Heading 3,3,"</w:instrText>
          </w:r>
          <w:r>
            <w:fldChar w:fldCharType="separate"/>
          </w:r>
          <w:hyperlink w:anchor="_heading=h.pkzsx3todyo">
            <w:r>
              <w:rPr>
                <w:color w:val="000000"/>
              </w:rPr>
              <w:t>Introduction</w:t>
            </w:r>
            <w:r>
              <w:rPr>
                <w:color w:val="000000"/>
              </w:rPr>
              <w:tab/>
              <w:t>3</w:t>
            </w:r>
          </w:hyperlink>
        </w:p>
        <w:p w14:paraId="5611721C" w14:textId="77777777" w:rsidR="00502A32" w:rsidRDefault="00000000">
          <w:pPr>
            <w:pBdr>
              <w:top w:val="nil"/>
              <w:left w:val="nil"/>
              <w:bottom w:val="nil"/>
              <w:right w:val="nil"/>
              <w:between w:val="nil"/>
            </w:pBdr>
            <w:tabs>
              <w:tab w:val="right" w:leader="dot" w:pos="9350"/>
            </w:tabs>
            <w:spacing w:after="100"/>
            <w:rPr>
              <w:rFonts w:ascii="Calibri" w:eastAsia="Calibri" w:hAnsi="Calibri" w:cs="Calibri"/>
              <w:color w:val="000000"/>
            </w:rPr>
          </w:pPr>
          <w:hyperlink w:anchor="_heading=h.ghityzy3bv3t">
            <w:r>
              <w:rPr>
                <w:color w:val="000000"/>
              </w:rPr>
              <w:t>Critical Evaluation of the Purpose of Coaching and Mentoring within a Workplace</w:t>
            </w:r>
            <w:r>
              <w:rPr>
                <w:color w:val="000000"/>
              </w:rPr>
              <w:tab/>
              <w:t>4</w:t>
            </w:r>
          </w:hyperlink>
        </w:p>
        <w:p w14:paraId="5611721D" w14:textId="77777777" w:rsidR="00502A32" w:rsidRDefault="00000000">
          <w:pPr>
            <w:pBdr>
              <w:top w:val="nil"/>
              <w:left w:val="nil"/>
              <w:bottom w:val="nil"/>
              <w:right w:val="nil"/>
              <w:between w:val="nil"/>
            </w:pBdr>
            <w:tabs>
              <w:tab w:val="right" w:leader="dot" w:pos="9350"/>
            </w:tabs>
            <w:spacing w:after="100"/>
            <w:ind w:left="240"/>
            <w:rPr>
              <w:rFonts w:ascii="Calibri" w:eastAsia="Calibri" w:hAnsi="Calibri" w:cs="Calibri"/>
              <w:color w:val="000000"/>
            </w:rPr>
          </w:pPr>
          <w:hyperlink w:anchor="_heading=h.8sf0t4z7skbc">
            <w:r>
              <w:rPr>
                <w:color w:val="000000"/>
              </w:rPr>
              <w:t>Purpose of Coaching and Mentoring in the Workplace</w:t>
            </w:r>
            <w:r>
              <w:rPr>
                <w:color w:val="000000"/>
              </w:rPr>
              <w:tab/>
              <w:t>4</w:t>
            </w:r>
          </w:hyperlink>
        </w:p>
        <w:p w14:paraId="5611721E" w14:textId="77777777" w:rsidR="00502A32" w:rsidRDefault="00000000">
          <w:pPr>
            <w:pBdr>
              <w:top w:val="nil"/>
              <w:left w:val="nil"/>
              <w:bottom w:val="nil"/>
              <w:right w:val="nil"/>
              <w:between w:val="nil"/>
            </w:pBdr>
            <w:tabs>
              <w:tab w:val="right" w:leader="dot" w:pos="9350"/>
            </w:tabs>
            <w:spacing w:after="100"/>
            <w:ind w:left="240"/>
            <w:rPr>
              <w:rFonts w:ascii="Calibri" w:eastAsia="Calibri" w:hAnsi="Calibri" w:cs="Calibri"/>
              <w:color w:val="000000"/>
            </w:rPr>
          </w:pPr>
          <w:hyperlink w:anchor="_heading=h.9vhh019bbjpl">
            <w:r>
              <w:rPr>
                <w:color w:val="000000"/>
              </w:rPr>
              <w:t>Comparison of Coaching and Mentoring</w:t>
            </w:r>
            <w:r>
              <w:rPr>
                <w:color w:val="000000"/>
              </w:rPr>
              <w:tab/>
              <w:t>4</w:t>
            </w:r>
          </w:hyperlink>
        </w:p>
        <w:p w14:paraId="5611721F" w14:textId="77777777" w:rsidR="00502A32" w:rsidRDefault="00000000">
          <w:pPr>
            <w:pBdr>
              <w:top w:val="nil"/>
              <w:left w:val="nil"/>
              <w:bottom w:val="nil"/>
              <w:right w:val="nil"/>
              <w:between w:val="nil"/>
            </w:pBdr>
            <w:tabs>
              <w:tab w:val="right" w:leader="dot" w:pos="9350"/>
            </w:tabs>
            <w:spacing w:after="100"/>
            <w:rPr>
              <w:rFonts w:ascii="Calibri" w:eastAsia="Calibri" w:hAnsi="Calibri" w:cs="Calibri"/>
              <w:color w:val="000000"/>
            </w:rPr>
          </w:pPr>
          <w:hyperlink w:anchor="_heading=h.l9laxefqjj0a">
            <w:r>
              <w:rPr>
                <w:color w:val="000000"/>
              </w:rPr>
              <w:t>Critical Analysis of the GROW Model of Coaching</w:t>
            </w:r>
            <w:r>
              <w:rPr>
                <w:color w:val="000000"/>
              </w:rPr>
              <w:tab/>
              <w:t>5</w:t>
            </w:r>
          </w:hyperlink>
        </w:p>
        <w:p w14:paraId="56117220" w14:textId="77777777" w:rsidR="00502A32" w:rsidRDefault="00000000">
          <w:pPr>
            <w:pBdr>
              <w:top w:val="nil"/>
              <w:left w:val="nil"/>
              <w:bottom w:val="nil"/>
              <w:right w:val="nil"/>
              <w:between w:val="nil"/>
            </w:pBdr>
            <w:tabs>
              <w:tab w:val="right" w:leader="dot" w:pos="9350"/>
            </w:tabs>
            <w:spacing w:after="100"/>
            <w:ind w:left="240"/>
            <w:rPr>
              <w:rFonts w:ascii="Calibri" w:eastAsia="Calibri" w:hAnsi="Calibri" w:cs="Calibri"/>
              <w:color w:val="000000"/>
            </w:rPr>
          </w:pPr>
          <w:hyperlink w:anchor="_heading=h.42160ecfkbfo">
            <w:r>
              <w:rPr>
                <w:color w:val="000000"/>
              </w:rPr>
              <w:t>Advantages of the GROW Model</w:t>
            </w:r>
            <w:r>
              <w:rPr>
                <w:color w:val="000000"/>
              </w:rPr>
              <w:tab/>
              <w:t>6</w:t>
            </w:r>
          </w:hyperlink>
        </w:p>
        <w:p w14:paraId="56117221" w14:textId="77777777" w:rsidR="00502A32" w:rsidRDefault="00000000">
          <w:pPr>
            <w:pBdr>
              <w:top w:val="nil"/>
              <w:left w:val="nil"/>
              <w:bottom w:val="nil"/>
              <w:right w:val="nil"/>
              <w:between w:val="nil"/>
            </w:pBdr>
            <w:tabs>
              <w:tab w:val="right" w:leader="dot" w:pos="9350"/>
            </w:tabs>
            <w:spacing w:after="100"/>
            <w:ind w:left="240"/>
            <w:rPr>
              <w:rFonts w:ascii="Calibri" w:eastAsia="Calibri" w:hAnsi="Calibri" w:cs="Calibri"/>
              <w:color w:val="000000"/>
            </w:rPr>
          </w:pPr>
          <w:hyperlink w:anchor="_heading=h.j60xrrq6zghf">
            <w:r>
              <w:rPr>
                <w:color w:val="000000"/>
              </w:rPr>
              <w:t>Disadvantages of the GROW Model</w:t>
            </w:r>
            <w:r>
              <w:rPr>
                <w:color w:val="000000"/>
              </w:rPr>
              <w:tab/>
              <w:t>6</w:t>
            </w:r>
          </w:hyperlink>
        </w:p>
        <w:p w14:paraId="56117222" w14:textId="77777777" w:rsidR="00502A32" w:rsidRDefault="00000000">
          <w:pPr>
            <w:pBdr>
              <w:top w:val="nil"/>
              <w:left w:val="nil"/>
              <w:bottom w:val="nil"/>
              <w:right w:val="nil"/>
              <w:between w:val="nil"/>
            </w:pBdr>
            <w:tabs>
              <w:tab w:val="right" w:leader="dot" w:pos="9350"/>
            </w:tabs>
            <w:spacing w:after="100"/>
            <w:ind w:left="240"/>
            <w:rPr>
              <w:rFonts w:ascii="Calibri" w:eastAsia="Calibri" w:hAnsi="Calibri" w:cs="Calibri"/>
              <w:color w:val="000000"/>
            </w:rPr>
          </w:pPr>
          <w:hyperlink w:anchor="_heading=h.u1cfiwxq3p3x">
            <w:r>
              <w:rPr>
                <w:color w:val="000000"/>
              </w:rPr>
              <w:t>Situational Application of the GROW Model</w:t>
            </w:r>
            <w:r>
              <w:rPr>
                <w:color w:val="000000"/>
              </w:rPr>
              <w:tab/>
              <w:t>6</w:t>
            </w:r>
          </w:hyperlink>
        </w:p>
        <w:p w14:paraId="56117223" w14:textId="77777777" w:rsidR="00502A32" w:rsidRDefault="00000000">
          <w:pPr>
            <w:pBdr>
              <w:top w:val="nil"/>
              <w:left w:val="nil"/>
              <w:bottom w:val="nil"/>
              <w:right w:val="nil"/>
              <w:between w:val="nil"/>
            </w:pBdr>
            <w:tabs>
              <w:tab w:val="right" w:leader="dot" w:pos="9350"/>
            </w:tabs>
            <w:spacing w:after="100"/>
            <w:rPr>
              <w:rFonts w:ascii="Calibri" w:eastAsia="Calibri" w:hAnsi="Calibri" w:cs="Calibri"/>
              <w:color w:val="000000"/>
            </w:rPr>
          </w:pPr>
          <w:hyperlink w:anchor="_heading=h.aaeqgkkrm9hq">
            <w:r>
              <w:rPr>
                <w:color w:val="000000"/>
              </w:rPr>
              <w:t>Reflection on Practical 1</w:t>
            </w:r>
            <w:r>
              <w:rPr>
                <w:color w:val="000000"/>
              </w:rPr>
              <w:tab/>
              <w:t>7</w:t>
            </w:r>
          </w:hyperlink>
        </w:p>
        <w:p w14:paraId="56117224" w14:textId="77777777" w:rsidR="00502A32" w:rsidRDefault="00000000">
          <w:pPr>
            <w:pBdr>
              <w:top w:val="nil"/>
              <w:left w:val="nil"/>
              <w:bottom w:val="nil"/>
              <w:right w:val="nil"/>
              <w:between w:val="nil"/>
            </w:pBdr>
            <w:tabs>
              <w:tab w:val="right" w:leader="dot" w:pos="9350"/>
            </w:tabs>
            <w:spacing w:after="100"/>
            <w:ind w:left="240"/>
            <w:rPr>
              <w:rFonts w:ascii="Calibri" w:eastAsia="Calibri" w:hAnsi="Calibri" w:cs="Calibri"/>
              <w:color w:val="000000"/>
            </w:rPr>
          </w:pPr>
          <w:hyperlink w:anchor="_heading=h.x4ysi74wsec4">
            <w:r>
              <w:rPr>
                <w:color w:val="000000"/>
              </w:rPr>
              <w:t>Goal Setting</w:t>
            </w:r>
            <w:r>
              <w:rPr>
                <w:color w:val="000000"/>
              </w:rPr>
              <w:tab/>
              <w:t>7</w:t>
            </w:r>
          </w:hyperlink>
        </w:p>
        <w:p w14:paraId="56117225" w14:textId="77777777" w:rsidR="00502A32" w:rsidRDefault="00000000">
          <w:pPr>
            <w:pBdr>
              <w:top w:val="nil"/>
              <w:left w:val="nil"/>
              <w:bottom w:val="nil"/>
              <w:right w:val="nil"/>
              <w:between w:val="nil"/>
            </w:pBdr>
            <w:tabs>
              <w:tab w:val="right" w:leader="dot" w:pos="9350"/>
            </w:tabs>
            <w:spacing w:after="100"/>
            <w:ind w:left="240"/>
            <w:rPr>
              <w:rFonts w:ascii="Calibri" w:eastAsia="Calibri" w:hAnsi="Calibri" w:cs="Calibri"/>
              <w:color w:val="000000"/>
            </w:rPr>
          </w:pPr>
          <w:hyperlink w:anchor="_heading=h.n6ehcwj866ph">
            <w:r>
              <w:rPr>
                <w:color w:val="000000"/>
              </w:rPr>
              <w:t>Reality: Assessing the Current Situation</w:t>
            </w:r>
            <w:r>
              <w:rPr>
                <w:color w:val="000000"/>
              </w:rPr>
              <w:tab/>
              <w:t>7</w:t>
            </w:r>
          </w:hyperlink>
        </w:p>
        <w:p w14:paraId="56117226" w14:textId="77777777" w:rsidR="00502A32" w:rsidRDefault="00000000">
          <w:pPr>
            <w:pBdr>
              <w:top w:val="nil"/>
              <w:left w:val="nil"/>
              <w:bottom w:val="nil"/>
              <w:right w:val="nil"/>
              <w:between w:val="nil"/>
            </w:pBdr>
            <w:tabs>
              <w:tab w:val="right" w:leader="dot" w:pos="9350"/>
            </w:tabs>
            <w:spacing w:after="100"/>
            <w:ind w:left="240"/>
            <w:rPr>
              <w:rFonts w:ascii="Calibri" w:eastAsia="Calibri" w:hAnsi="Calibri" w:cs="Calibri"/>
              <w:color w:val="000000"/>
            </w:rPr>
          </w:pPr>
          <w:hyperlink w:anchor="_heading=h.pjsrd8hyr88f">
            <w:r>
              <w:rPr>
                <w:color w:val="000000"/>
              </w:rPr>
              <w:t>Options: Exploring Possible Strategies</w:t>
            </w:r>
            <w:r>
              <w:rPr>
                <w:color w:val="000000"/>
              </w:rPr>
              <w:tab/>
              <w:t>7</w:t>
            </w:r>
          </w:hyperlink>
        </w:p>
        <w:p w14:paraId="56117227" w14:textId="77777777" w:rsidR="00502A32" w:rsidRDefault="00000000">
          <w:pPr>
            <w:pBdr>
              <w:top w:val="nil"/>
              <w:left w:val="nil"/>
              <w:bottom w:val="nil"/>
              <w:right w:val="nil"/>
              <w:between w:val="nil"/>
            </w:pBdr>
            <w:tabs>
              <w:tab w:val="right" w:leader="dot" w:pos="9350"/>
            </w:tabs>
            <w:spacing w:after="100"/>
            <w:ind w:left="240"/>
            <w:rPr>
              <w:rFonts w:ascii="Calibri" w:eastAsia="Calibri" w:hAnsi="Calibri" w:cs="Calibri"/>
              <w:color w:val="000000"/>
            </w:rPr>
          </w:pPr>
          <w:hyperlink w:anchor="_heading=h.vxio3vpzvq0v">
            <w:r>
              <w:rPr>
                <w:color w:val="000000"/>
              </w:rPr>
              <w:t>Will: Commitment to Action</w:t>
            </w:r>
            <w:r>
              <w:rPr>
                <w:color w:val="000000"/>
              </w:rPr>
              <w:tab/>
              <w:t>8</w:t>
            </w:r>
          </w:hyperlink>
        </w:p>
        <w:p w14:paraId="56117228" w14:textId="77777777" w:rsidR="00502A32" w:rsidRDefault="00000000">
          <w:pPr>
            <w:pBdr>
              <w:top w:val="nil"/>
              <w:left w:val="nil"/>
              <w:bottom w:val="nil"/>
              <w:right w:val="nil"/>
              <w:between w:val="nil"/>
            </w:pBdr>
            <w:tabs>
              <w:tab w:val="right" w:leader="dot" w:pos="9350"/>
            </w:tabs>
            <w:spacing w:after="100"/>
            <w:rPr>
              <w:rFonts w:ascii="Calibri" w:eastAsia="Calibri" w:hAnsi="Calibri" w:cs="Calibri"/>
              <w:color w:val="000000"/>
            </w:rPr>
          </w:pPr>
          <w:hyperlink w:anchor="_heading=h.128566tubl0j">
            <w:r>
              <w:rPr>
                <w:color w:val="000000"/>
              </w:rPr>
              <w:t>Reflection on Practical 2</w:t>
            </w:r>
            <w:r>
              <w:rPr>
                <w:color w:val="000000"/>
              </w:rPr>
              <w:tab/>
              <w:t>8</w:t>
            </w:r>
          </w:hyperlink>
        </w:p>
        <w:p w14:paraId="56117229" w14:textId="77777777" w:rsidR="00502A32" w:rsidRDefault="00000000">
          <w:pPr>
            <w:pBdr>
              <w:top w:val="nil"/>
              <w:left w:val="nil"/>
              <w:bottom w:val="nil"/>
              <w:right w:val="nil"/>
              <w:between w:val="nil"/>
            </w:pBdr>
            <w:tabs>
              <w:tab w:val="right" w:leader="dot" w:pos="9350"/>
            </w:tabs>
            <w:spacing w:after="100"/>
            <w:ind w:left="240"/>
            <w:rPr>
              <w:rFonts w:ascii="Calibri" w:eastAsia="Calibri" w:hAnsi="Calibri" w:cs="Calibri"/>
              <w:color w:val="000000"/>
            </w:rPr>
          </w:pPr>
          <w:hyperlink w:anchor="_heading=h.64kb4pk0b7vu">
            <w:r>
              <w:rPr>
                <w:color w:val="000000"/>
              </w:rPr>
              <w:t>Goal</w:t>
            </w:r>
            <w:r>
              <w:rPr>
                <w:color w:val="000000"/>
              </w:rPr>
              <w:tab/>
              <w:t>8</w:t>
            </w:r>
          </w:hyperlink>
        </w:p>
        <w:p w14:paraId="5611722A" w14:textId="77777777" w:rsidR="00502A32" w:rsidRDefault="00000000">
          <w:pPr>
            <w:pBdr>
              <w:top w:val="nil"/>
              <w:left w:val="nil"/>
              <w:bottom w:val="nil"/>
              <w:right w:val="nil"/>
              <w:between w:val="nil"/>
            </w:pBdr>
            <w:tabs>
              <w:tab w:val="right" w:leader="dot" w:pos="9350"/>
            </w:tabs>
            <w:spacing w:after="100"/>
            <w:ind w:left="240"/>
            <w:rPr>
              <w:rFonts w:ascii="Calibri" w:eastAsia="Calibri" w:hAnsi="Calibri" w:cs="Calibri"/>
              <w:color w:val="000000"/>
            </w:rPr>
          </w:pPr>
          <w:hyperlink w:anchor="_heading=h.nm2cbkk1c0oy">
            <w:r>
              <w:rPr>
                <w:color w:val="000000"/>
              </w:rPr>
              <w:t>Reality</w:t>
            </w:r>
            <w:r>
              <w:rPr>
                <w:color w:val="000000"/>
              </w:rPr>
              <w:tab/>
              <w:t>9</w:t>
            </w:r>
          </w:hyperlink>
        </w:p>
        <w:p w14:paraId="5611722B" w14:textId="77777777" w:rsidR="00502A32" w:rsidRDefault="00000000">
          <w:pPr>
            <w:pBdr>
              <w:top w:val="nil"/>
              <w:left w:val="nil"/>
              <w:bottom w:val="nil"/>
              <w:right w:val="nil"/>
              <w:between w:val="nil"/>
            </w:pBdr>
            <w:tabs>
              <w:tab w:val="right" w:leader="dot" w:pos="9350"/>
            </w:tabs>
            <w:spacing w:after="100"/>
            <w:ind w:left="240"/>
            <w:rPr>
              <w:rFonts w:ascii="Calibri" w:eastAsia="Calibri" w:hAnsi="Calibri" w:cs="Calibri"/>
              <w:color w:val="000000"/>
            </w:rPr>
          </w:pPr>
          <w:hyperlink w:anchor="_heading=h.wvcz1dm412f5">
            <w:r>
              <w:rPr>
                <w:color w:val="000000"/>
              </w:rPr>
              <w:t>Options</w:t>
            </w:r>
            <w:r>
              <w:rPr>
                <w:color w:val="000000"/>
              </w:rPr>
              <w:tab/>
              <w:t>9</w:t>
            </w:r>
          </w:hyperlink>
        </w:p>
        <w:p w14:paraId="5611722C" w14:textId="77777777" w:rsidR="00502A32" w:rsidRDefault="00000000">
          <w:pPr>
            <w:pBdr>
              <w:top w:val="nil"/>
              <w:left w:val="nil"/>
              <w:bottom w:val="nil"/>
              <w:right w:val="nil"/>
              <w:between w:val="nil"/>
            </w:pBdr>
            <w:tabs>
              <w:tab w:val="right" w:leader="dot" w:pos="9350"/>
            </w:tabs>
            <w:spacing w:after="100"/>
            <w:ind w:left="240"/>
            <w:rPr>
              <w:rFonts w:ascii="Calibri" w:eastAsia="Calibri" w:hAnsi="Calibri" w:cs="Calibri"/>
              <w:color w:val="000000"/>
            </w:rPr>
          </w:pPr>
          <w:hyperlink w:anchor="_heading=h.8wl7fgf17flv">
            <w:r>
              <w:rPr>
                <w:color w:val="000000"/>
              </w:rPr>
              <w:t>Way Forward</w:t>
            </w:r>
            <w:r>
              <w:rPr>
                <w:color w:val="000000"/>
              </w:rPr>
              <w:tab/>
              <w:t>9</w:t>
            </w:r>
          </w:hyperlink>
        </w:p>
        <w:p w14:paraId="5611722D" w14:textId="77777777" w:rsidR="00502A32" w:rsidRDefault="00000000">
          <w:pPr>
            <w:pBdr>
              <w:top w:val="nil"/>
              <w:left w:val="nil"/>
              <w:bottom w:val="nil"/>
              <w:right w:val="nil"/>
              <w:between w:val="nil"/>
            </w:pBdr>
            <w:tabs>
              <w:tab w:val="right" w:leader="dot" w:pos="9350"/>
            </w:tabs>
            <w:spacing w:after="100"/>
            <w:rPr>
              <w:rFonts w:ascii="Calibri" w:eastAsia="Calibri" w:hAnsi="Calibri" w:cs="Calibri"/>
              <w:color w:val="000000"/>
            </w:rPr>
          </w:pPr>
          <w:hyperlink w:anchor="_heading=h.gonvnd9h5lhv">
            <w:r>
              <w:rPr>
                <w:color w:val="000000"/>
              </w:rPr>
              <w:t>Conclusion</w:t>
            </w:r>
            <w:r>
              <w:rPr>
                <w:color w:val="000000"/>
              </w:rPr>
              <w:tab/>
              <w:t>10</w:t>
            </w:r>
          </w:hyperlink>
        </w:p>
        <w:p w14:paraId="5611722E" w14:textId="77777777" w:rsidR="00502A32" w:rsidRDefault="00000000">
          <w:pPr>
            <w:pBdr>
              <w:top w:val="nil"/>
              <w:left w:val="nil"/>
              <w:bottom w:val="nil"/>
              <w:right w:val="nil"/>
              <w:between w:val="nil"/>
            </w:pBdr>
            <w:tabs>
              <w:tab w:val="right" w:leader="dot" w:pos="9350"/>
            </w:tabs>
            <w:spacing w:after="100"/>
            <w:rPr>
              <w:rFonts w:ascii="Calibri" w:eastAsia="Calibri" w:hAnsi="Calibri" w:cs="Calibri"/>
              <w:color w:val="000000"/>
            </w:rPr>
          </w:pPr>
          <w:hyperlink w:anchor="_heading=h.fmdjmvsdulq4">
            <w:r>
              <w:rPr>
                <w:color w:val="000000"/>
              </w:rPr>
              <w:t>References</w:t>
            </w:r>
            <w:r>
              <w:rPr>
                <w:color w:val="000000"/>
              </w:rPr>
              <w:tab/>
              <w:t>11</w:t>
            </w:r>
          </w:hyperlink>
        </w:p>
        <w:p w14:paraId="5611722F" w14:textId="77777777" w:rsidR="00502A32" w:rsidRDefault="00000000">
          <w:r>
            <w:fldChar w:fldCharType="end"/>
          </w:r>
        </w:p>
      </w:sdtContent>
    </w:sdt>
    <w:p w14:paraId="56117230" w14:textId="77777777" w:rsidR="00502A32" w:rsidRDefault="00000000">
      <w:pPr>
        <w:spacing w:line="259" w:lineRule="auto"/>
        <w:jc w:val="left"/>
        <w:rPr>
          <w:b/>
          <w:sz w:val="30"/>
          <w:szCs w:val="30"/>
        </w:rPr>
      </w:pPr>
      <w:r>
        <w:br w:type="page"/>
      </w:r>
    </w:p>
    <w:p w14:paraId="56117231" w14:textId="77777777" w:rsidR="00502A32" w:rsidRDefault="00000000">
      <w:pPr>
        <w:pStyle w:val="Heading1"/>
      </w:pPr>
      <w:bookmarkStart w:id="0" w:name="_heading=h.pkzsx3todyo" w:colFirst="0" w:colLast="0"/>
      <w:bookmarkEnd w:id="0"/>
      <w:r>
        <w:lastRenderedPageBreak/>
        <w:t>Introduction</w:t>
      </w:r>
    </w:p>
    <w:p w14:paraId="56117232" w14:textId="77777777" w:rsidR="00502A32" w:rsidRDefault="00000000">
      <w:r>
        <w:t>Coaching and Mentoring plays a major strategic role in professional and personal development in the workplace (</w:t>
      </w:r>
      <w:proofErr w:type="spellStart"/>
      <w:r>
        <w:t>Sawiuk</w:t>
      </w:r>
      <w:proofErr w:type="spellEnd"/>
      <w:r>
        <w:t>, 2023). These practices will help an organisation in promoting employee growth, maintaining organisational effectiveness, and providing a favourable and productive working environment. Coaching is short term and performance focus while mentoring is long term professional growth and sharing of knowledge and experiential advice of the experienced colleagues. This reflective report explores critically the place that coaching and mentorship play in an organisation and the role it plays in employee development. It additionally takes a portion of the most well-known structure for guiding, the GROW structure, and breaks it down, wrapping up its capacities and shortcomings and utilising it in various business settings.</w:t>
      </w:r>
    </w:p>
    <w:p w14:paraId="56117233" w14:textId="77777777" w:rsidR="00502A32" w:rsidRDefault="00000000">
      <w:bookmarkStart w:id="1" w:name="_heading=h.eahkvv1zk3u4" w:colFirst="0" w:colLast="0"/>
      <w:bookmarkEnd w:id="1"/>
      <w:r>
        <w:t>Reflection becomes critically important for personal coaching and mentoring experiences and this report uses it in further analysis. The GROW model (Goal, Reality, Options, Will) created by John Whitmore (1992) will be used to structure this reflection. The model will be discussed as a systematic approach to goal setting, problem-solving and action planning, and therefore, a valuable framework for evaluating the effectiveness of coaching and mentoring interventions (</w:t>
      </w:r>
      <w:proofErr w:type="spellStart"/>
      <w:r>
        <w:t>Venzin</w:t>
      </w:r>
      <w:proofErr w:type="spellEnd"/>
      <w:r>
        <w:t>, 2021).</w:t>
      </w:r>
    </w:p>
    <w:p w14:paraId="56117234" w14:textId="77777777" w:rsidR="00502A32" w:rsidRDefault="00000000">
      <w:r>
        <w:t xml:space="preserve">The purpose of this reflective process is intended to draw learnings and areas of </w:t>
      </w:r>
      <w:proofErr w:type="gramStart"/>
      <w:r>
        <w:t>growth, and</w:t>
      </w:r>
      <w:proofErr w:type="gramEnd"/>
      <w:r>
        <w:t xml:space="preserve"> illustrate best practices in coaching and mentoring implementation within a professional environment. The report will provide deeper understanding of the role of these practices in improving employee engagement, leadership development and overall workplace success by critically evaluating their </w:t>
      </w:r>
      <w:proofErr w:type="gramStart"/>
      <w:r>
        <w:t>real world</w:t>
      </w:r>
      <w:proofErr w:type="gramEnd"/>
      <w:r>
        <w:t xml:space="preserve"> applications.</w:t>
      </w:r>
      <w:r>
        <w:br w:type="page"/>
      </w:r>
    </w:p>
    <w:p w14:paraId="56117235" w14:textId="77777777" w:rsidR="00502A32" w:rsidRDefault="00000000">
      <w:pPr>
        <w:pStyle w:val="Heading1"/>
      </w:pPr>
      <w:bookmarkStart w:id="2" w:name="_heading=h.ghityzy3bv3t" w:colFirst="0" w:colLast="0"/>
      <w:bookmarkEnd w:id="2"/>
      <w:r>
        <w:lastRenderedPageBreak/>
        <w:t>Critical Evaluation of the Purpose of Coaching and Mentoring within a Workplace</w:t>
      </w:r>
    </w:p>
    <w:p w14:paraId="56117236" w14:textId="77777777" w:rsidR="00502A32" w:rsidRDefault="00000000">
      <w:r>
        <w:t xml:space="preserve"> Coaching and mentoring deliver considerable contribution to employee development, organisational growth and effectiveness of the workplace in general (Leedham, 2024). Both approaches are distinct yet complementary and each approach is geared towards supporting employees in reaching their goals, enhancing their skills and building a positive work environment. This reflective report critiques the purpose of coaching and mentoring in the workplace, writing down their main objectives and comparing different perspectives on this practice.</w:t>
      </w:r>
    </w:p>
    <w:p w14:paraId="56117237" w14:textId="77777777" w:rsidR="00502A32" w:rsidRDefault="00000000">
      <w:pPr>
        <w:pStyle w:val="Heading2"/>
      </w:pPr>
      <w:bookmarkStart w:id="3" w:name="_heading=h.8sf0t4z7skbc" w:colFirst="0" w:colLast="0"/>
      <w:bookmarkEnd w:id="3"/>
      <w:r>
        <w:t>Purpose of Coaching and Mentoring in the Workplace</w:t>
      </w:r>
    </w:p>
    <w:p w14:paraId="56117238" w14:textId="77777777" w:rsidR="00502A32" w:rsidRDefault="00000000">
      <w:r>
        <w:t xml:space="preserve">Coaching and mentoring have many essential functions in an organisation. Another important purpose is to develop the skills of the individual and enhance his performance. </w:t>
      </w:r>
      <w:proofErr w:type="spellStart"/>
      <w:r>
        <w:t>Parsloe</w:t>
      </w:r>
      <w:proofErr w:type="spellEnd"/>
      <w:r>
        <w:t xml:space="preserve"> and Leedham (2023) define coaching as a process aimed at improving the individual's performance through structured guidance and feedback. It develops skills that the employees need to have </w:t>
      </w:r>
      <w:proofErr w:type="gramStart"/>
      <w:r>
        <w:t>in order to</w:t>
      </w:r>
      <w:proofErr w:type="gramEnd"/>
      <w:r>
        <w:t xml:space="preserve"> perform better in their roles. Mentoring also provides long-term professional development through the transfer of knowledge and experienced colleagues' support (Garvey et al., 2022).</w:t>
      </w:r>
    </w:p>
    <w:p w14:paraId="56117239" w14:textId="77777777" w:rsidR="00502A32" w:rsidRDefault="00000000">
      <w:r>
        <w:t>An essential purpose of coaching and mentoring is to develop leadership. These practices are adopted by organisations with the purpose of growing future leaders and maintaining a constant talent pipeline. Clutterbuck et al. (2023) argue that when coaching is done effectively, employees become more confident and able to make decisions for future continuation in the leadership position. On the other hand, mentoring enables experienced professionals to impart their understanding and wisdom, thus making it possible for a culture of continuous learning.</w:t>
      </w:r>
    </w:p>
    <w:p w14:paraId="5611723A" w14:textId="77777777" w:rsidR="00502A32" w:rsidRDefault="00000000">
      <w:r>
        <w:t>Furthermore, coaching and mentoring help in employee engagement and employee retention. Proper guidance and support given to employees help them to feel valued, motivated and this lowers the turnover rates (Stoltz et al., 2019). Mentorship opportunities also strengthen professional relationships, which are essential for job satisfaction and career progression.</w:t>
      </w:r>
    </w:p>
    <w:p w14:paraId="5611723B" w14:textId="77777777" w:rsidR="00502A32" w:rsidRDefault="00000000">
      <w:pPr>
        <w:pStyle w:val="Heading2"/>
      </w:pPr>
      <w:bookmarkStart w:id="4" w:name="_heading=h.9vhh019bbjpl" w:colFirst="0" w:colLast="0"/>
      <w:bookmarkEnd w:id="4"/>
      <w:r>
        <w:t>Comparison of Coaching and Mentoring</w:t>
      </w:r>
    </w:p>
    <w:p w14:paraId="5611723C" w14:textId="77777777" w:rsidR="00502A32" w:rsidRDefault="00000000">
      <w:r>
        <w:t xml:space="preserve">Although coaching and mentoring bear more than a passing resemblance to each other, they have key differences (Pokora, 2023). Coaching is generally short-term and focused on immediate performance improvement. It is structured and usually run by a professional coach or a manager </w:t>
      </w:r>
      <w:r>
        <w:lastRenderedPageBreak/>
        <w:t>who has training in the use of coaching techniques. Mielke (2023) states that coaching is a collaborative process that leads to self-discovery and problem-solving through targeted feedback and questions.</w:t>
      </w:r>
    </w:p>
    <w:p w14:paraId="5611723D" w14:textId="77777777" w:rsidR="00502A32" w:rsidRDefault="00000000">
      <w:r>
        <w:t>On the other hand, mentoring is a developmental, long‐term relationship concentrating on personal and professional growth versus immediate performance results. Typically, mentoring relationships are informal, wherein mentees find the help of seasoned professionals working in the organisation. Moreover, knowledge sharing and organisational culture is enhanced through mentoring and makes it an important part of career progression.</w:t>
      </w:r>
    </w:p>
    <w:p w14:paraId="5611723E" w14:textId="77777777" w:rsidR="00502A32" w:rsidRDefault="00000000">
      <w:r>
        <w:t xml:space="preserve">As compared to coaching that is structured, performance driven and mentoring is more </w:t>
      </w:r>
      <w:proofErr w:type="gramStart"/>
      <w:r>
        <w:t>relational</w:t>
      </w:r>
      <w:proofErr w:type="gramEnd"/>
      <w:r>
        <w:t xml:space="preserve"> and development focused. Nevertheless, both approaches aim at using employee potential to enhance organisational performance. Both coaching and mentoring when combined deliver one comprehensive, broad professional development strategy reaping both professional and organisational benefits.</w:t>
      </w:r>
    </w:p>
    <w:p w14:paraId="5611723F" w14:textId="77777777" w:rsidR="00502A32" w:rsidRDefault="00000000">
      <w:pPr>
        <w:pStyle w:val="Heading1"/>
      </w:pPr>
      <w:bookmarkStart w:id="5" w:name="_heading=h.l9laxefqjj0a" w:colFirst="0" w:colLast="0"/>
      <w:bookmarkEnd w:id="5"/>
      <w:r>
        <w:t>Critical Analysis of the GROW Model of Coaching</w:t>
      </w:r>
    </w:p>
    <w:p w14:paraId="56117240" w14:textId="77777777" w:rsidR="00502A32" w:rsidRDefault="00000000">
      <w:r>
        <w:t xml:space="preserve">One of the </w:t>
      </w:r>
      <w:proofErr w:type="gramStart"/>
      <w:r>
        <w:t>most commonly used</w:t>
      </w:r>
      <w:proofErr w:type="gramEnd"/>
      <w:r>
        <w:t xml:space="preserve"> coaching frameworks is the GROW model, created by John Whitmore (1992). It is known as Goal, Reality, Options, and Will (or Way Forward) and serves as an acronym for the model, presenting a structured yet flexible approach to coaching conversations. Based on the principles of goal setting theory and self-directed learning allows the individuals to create their own solutions instead of the direct answers.</w:t>
      </w:r>
    </w:p>
    <w:p w14:paraId="56117241" w14:textId="77777777" w:rsidR="00502A32" w:rsidRDefault="00000000">
      <w:pPr>
        <w:keepNext/>
        <w:jc w:val="center"/>
      </w:pPr>
      <w:r>
        <w:rPr>
          <w:noProof/>
        </w:rPr>
        <w:drawing>
          <wp:inline distT="0" distB="0" distL="0" distR="0" wp14:anchorId="56117282" wp14:editId="56117283">
            <wp:extent cx="5561915" cy="1898873"/>
            <wp:effectExtent l="0" t="0" r="0" b="0"/>
            <wp:docPr id="187738732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561915" cy="1898873"/>
                    </a:xfrm>
                    <a:prstGeom prst="rect">
                      <a:avLst/>
                    </a:prstGeom>
                    <a:ln/>
                  </pic:spPr>
                </pic:pic>
              </a:graphicData>
            </a:graphic>
          </wp:inline>
        </w:drawing>
      </w:r>
    </w:p>
    <w:p w14:paraId="56117242" w14:textId="77777777" w:rsidR="00502A32" w:rsidRDefault="00000000">
      <w:pPr>
        <w:pBdr>
          <w:top w:val="nil"/>
          <w:left w:val="nil"/>
          <w:bottom w:val="nil"/>
          <w:right w:val="nil"/>
          <w:between w:val="nil"/>
        </w:pBdr>
        <w:spacing w:after="200"/>
        <w:jc w:val="center"/>
        <w:rPr>
          <w:b/>
          <w:color w:val="000000"/>
          <w:sz w:val="22"/>
          <w:szCs w:val="22"/>
        </w:rPr>
      </w:pPr>
      <w:r>
        <w:rPr>
          <w:b/>
          <w:color w:val="000000"/>
          <w:sz w:val="22"/>
          <w:szCs w:val="22"/>
        </w:rPr>
        <w:t>Figure 1: GROW Model</w:t>
      </w:r>
    </w:p>
    <w:p w14:paraId="56117243" w14:textId="77777777" w:rsidR="00502A32" w:rsidRDefault="00000000">
      <w:pPr>
        <w:jc w:val="center"/>
        <w:rPr>
          <w:b/>
        </w:rPr>
      </w:pPr>
      <w:r>
        <w:rPr>
          <w:b/>
        </w:rPr>
        <w:t>Source: (Whitmore, 2022)</w:t>
      </w:r>
    </w:p>
    <w:p w14:paraId="56117244" w14:textId="77777777" w:rsidR="00502A32" w:rsidRDefault="00000000">
      <w:pPr>
        <w:pStyle w:val="Heading2"/>
      </w:pPr>
      <w:bookmarkStart w:id="6" w:name="_heading=h.42160ecfkbfo" w:colFirst="0" w:colLast="0"/>
      <w:bookmarkEnd w:id="6"/>
      <w:r>
        <w:lastRenderedPageBreak/>
        <w:t>Advantages of the GROW Model</w:t>
      </w:r>
    </w:p>
    <w:p w14:paraId="56117245" w14:textId="77777777" w:rsidR="00502A32" w:rsidRDefault="00000000">
      <w:r>
        <w:t xml:space="preserve">The simplicity and adaptability are among the primary advantages of the GROW model. It facilitates clear progress of a coaching conversation and </w:t>
      </w:r>
      <w:proofErr w:type="gramStart"/>
      <w:r>
        <w:t>coach</w:t>
      </w:r>
      <w:proofErr w:type="gramEnd"/>
      <w:r>
        <w:t xml:space="preserve"> and coach remain focused on objectives (Passmore, 2020). Moreover, it encourages </w:t>
      </w:r>
      <w:proofErr w:type="spellStart"/>
      <w:r>
        <w:t>self awareness</w:t>
      </w:r>
      <w:proofErr w:type="spellEnd"/>
      <w:r>
        <w:t xml:space="preserve"> and personal responsibility since people are motivated to find their own answers rather than rely on outside information and it also encourages long term growth and development.</w:t>
      </w:r>
    </w:p>
    <w:p w14:paraId="56117246" w14:textId="77777777" w:rsidR="00502A32" w:rsidRDefault="00000000">
      <w:r>
        <w:t xml:space="preserve">For performance coaching in the professional context the model works particularly well. For example, if a manager is using the GROW model, they might make an employee’s time management skills better by firstly setting a clear goal, identifying the current challenges, finding the possible solutions, and then agreeing the way forward. According to Grant (2022), </w:t>
      </w:r>
      <w:proofErr w:type="gramStart"/>
      <w:r>
        <w:t>goal oriented</w:t>
      </w:r>
      <w:proofErr w:type="gramEnd"/>
      <w:r>
        <w:t xml:space="preserve"> coaching has been found to increase employee engagement and productivity.</w:t>
      </w:r>
    </w:p>
    <w:p w14:paraId="56117247" w14:textId="77777777" w:rsidR="00502A32" w:rsidRDefault="00000000">
      <w:pPr>
        <w:pStyle w:val="Heading2"/>
      </w:pPr>
      <w:bookmarkStart w:id="7" w:name="_heading=h.j60xrrq6zghf" w:colFirst="0" w:colLast="0"/>
      <w:bookmarkEnd w:id="7"/>
      <w:r>
        <w:t>Disadvantages of the GROW Model</w:t>
      </w:r>
    </w:p>
    <w:p w14:paraId="56117248" w14:textId="77777777" w:rsidR="00502A32" w:rsidRDefault="00000000">
      <w:r>
        <w:t>Although the GROW model is effective, there are some disadvantages of this model. A significant criticism is that it is a linear process which may not always match the characteristics of coaching situations in the real world (Starr, 2023). In cases where deep emotional or psychological work needs to be done, and the model is not deep enough to do this, this is not effective transformational coaching.</w:t>
      </w:r>
    </w:p>
    <w:p w14:paraId="56117249" w14:textId="77777777" w:rsidR="00502A32" w:rsidRDefault="00000000">
      <w:r>
        <w:t>In addition, the success of GROW largely depends on the coach’s love of asking intelligent questions. Because inexperienced coaches might not be adept at creating change induced by meaningful discussions, deep personal growth might not occur and only surface level answers are given (Passmore and Fillery-Travis, 2024). Moreover, the model may not be as effective in achieving change, when a coach lacks motivation or is not aware of himself.</w:t>
      </w:r>
    </w:p>
    <w:p w14:paraId="5611724A" w14:textId="77777777" w:rsidR="00502A32" w:rsidRDefault="00000000">
      <w:pPr>
        <w:pStyle w:val="Heading2"/>
      </w:pPr>
      <w:bookmarkStart w:id="8" w:name="_heading=h.u1cfiwxq3p3x" w:colFirst="0" w:colLast="0"/>
      <w:bookmarkEnd w:id="8"/>
      <w:r>
        <w:t>Situational Application of the GROW Model</w:t>
      </w:r>
    </w:p>
    <w:p w14:paraId="5611724B" w14:textId="77777777" w:rsidR="00502A32" w:rsidRDefault="00000000">
      <w:r>
        <w:t>The GROW model is most effective in any goal-oriented coaching in which the people involved know exactly where they want to be and have a sense of precisely what it is they want to achieve (Cooper, 2022). In the context of a corporate environment, leadership development and career coaching are very useful. For example, a leader can implement the model in a workplace and assist an employee in transitioning into a new role by setting performance goals, identifying the skills gaps, exploring training options and devising a plan of action.</w:t>
      </w:r>
    </w:p>
    <w:p w14:paraId="5611724C" w14:textId="77777777" w:rsidR="00502A32" w:rsidRDefault="00000000">
      <w:r>
        <w:lastRenderedPageBreak/>
        <w:t>The model may have different influences in therapeutic or counselling settings which demands an explorative and non-linear approach to deal with the emotional complexities. In all cases, alternate models such as CLEAR or OSKAR models may be required.</w:t>
      </w:r>
    </w:p>
    <w:p w14:paraId="5611724D" w14:textId="77777777" w:rsidR="00502A32" w:rsidRDefault="00000000">
      <w:pPr>
        <w:pStyle w:val="Heading1"/>
      </w:pPr>
      <w:bookmarkStart w:id="9" w:name="_heading=h.aaeqgkkrm9hq" w:colFirst="0" w:colLast="0"/>
      <w:bookmarkEnd w:id="9"/>
      <w:r>
        <w:t>Reflection on Practical 1</w:t>
      </w:r>
    </w:p>
    <w:p w14:paraId="5611724E" w14:textId="77777777" w:rsidR="00502A32" w:rsidRDefault="00000000">
      <w:r>
        <w:t>For my first assessed coaching and goal setting experience, I used the GROW model, which has 4 key stages such as Goal, Reality, Options, and Will. Having a structured framework in place helped me in having a more meaningful conversation with my coach in setting and achieving their objectives’ clarity and direction.</w:t>
      </w:r>
    </w:p>
    <w:p w14:paraId="5611724F" w14:textId="77777777" w:rsidR="00502A32" w:rsidRDefault="00000000">
      <w:pPr>
        <w:pStyle w:val="Heading2"/>
      </w:pPr>
      <w:bookmarkStart w:id="10" w:name="_heading=h.x4ysi74wsec4" w:colFirst="0" w:colLast="0"/>
      <w:bookmarkEnd w:id="10"/>
      <w:r>
        <w:t>Goal Setting</w:t>
      </w:r>
    </w:p>
    <w:p w14:paraId="56117250" w14:textId="77777777" w:rsidR="00502A32" w:rsidRDefault="00000000">
      <w:r>
        <w:t xml:space="preserve">The first stage was the definition of a clear and specific goal. Grant (2022) describes that coaching requires consequential clarity of goals, as they bring about direction and motivation. The first time I encountered my coach they shared a wish, an intangible and unnamed wish to get better at time management. I turned to open-ended questions for them to define a more precise goal, which they agreed to have as implementing a structured daily schedule in the next four weeks. The process reaffirmed the significance of SMART goals (Doran, 2024), and thus, the objective was specific, measurable, achievable, relevant, and </w:t>
      </w:r>
      <w:proofErr w:type="gramStart"/>
      <w:r>
        <w:t>time-bound</w:t>
      </w:r>
      <w:proofErr w:type="gramEnd"/>
      <w:r>
        <w:t>.</w:t>
      </w:r>
    </w:p>
    <w:p w14:paraId="56117251" w14:textId="77777777" w:rsidR="00502A32" w:rsidRDefault="00000000">
      <w:pPr>
        <w:pStyle w:val="Heading2"/>
      </w:pPr>
      <w:bookmarkStart w:id="11" w:name="_heading=h.n6ehcwj866ph" w:colFirst="0" w:colLast="0"/>
      <w:bookmarkEnd w:id="11"/>
      <w:r>
        <w:t>Reality: Assessing the Current Situation</w:t>
      </w:r>
    </w:p>
    <w:p w14:paraId="56117252" w14:textId="77777777" w:rsidR="00502A32" w:rsidRDefault="00000000">
      <w:r>
        <w:t xml:space="preserve">The next stage was to explore the </w:t>
      </w:r>
      <w:proofErr w:type="spellStart"/>
      <w:r>
        <w:t>coachee’s</w:t>
      </w:r>
      <w:proofErr w:type="spellEnd"/>
      <w:r>
        <w:t xml:space="preserve"> current reality. It helped identify barriers and strengths and resonated with Passmore’s (2021) argument that self-awareness is an essential step in coaching. I elaborated through active listening, and probing questions that my </w:t>
      </w:r>
      <w:proofErr w:type="spellStart"/>
      <w:r>
        <w:t>coachee</w:t>
      </w:r>
      <w:proofErr w:type="spellEnd"/>
      <w:r>
        <w:t xml:space="preserve"> most of the time procrastinate because of distractions, and because his routine was not structured. On reflection, I thought that the coach, in addition to their </w:t>
      </w:r>
      <w:proofErr w:type="spellStart"/>
      <w:r>
        <w:t>coachee</w:t>
      </w:r>
      <w:proofErr w:type="spellEnd"/>
      <w:r>
        <w:t xml:space="preserve">, must conduct self-reflection </w:t>
      </w:r>
      <w:proofErr w:type="gramStart"/>
      <w:r>
        <w:t>in order to</w:t>
      </w:r>
      <w:proofErr w:type="gramEnd"/>
      <w:r>
        <w:t xml:space="preserve"> be able to tailor appropriate guidance (Cox et al., 2018). I made sure to create a nonjudgmental environment so my </w:t>
      </w:r>
      <w:proofErr w:type="spellStart"/>
      <w:r>
        <w:t>coachee</w:t>
      </w:r>
      <w:proofErr w:type="spellEnd"/>
      <w:r>
        <w:t xml:space="preserve"> could thoroughly evaluate their habits and identify their challenges.</w:t>
      </w:r>
    </w:p>
    <w:p w14:paraId="56117253" w14:textId="77777777" w:rsidR="00502A32" w:rsidRDefault="00000000">
      <w:pPr>
        <w:pStyle w:val="Heading2"/>
      </w:pPr>
      <w:bookmarkStart w:id="12" w:name="_heading=h.pjsrd8hyr88f" w:colFirst="0" w:colLast="0"/>
      <w:bookmarkEnd w:id="12"/>
      <w:r>
        <w:t>Options: Exploring Possible Strategies</w:t>
      </w:r>
    </w:p>
    <w:p w14:paraId="56117254" w14:textId="77777777" w:rsidR="00502A32" w:rsidRDefault="00000000">
      <w:r>
        <w:t xml:space="preserve">The third stage was coming up with potential strategies for overcoming identified barriers. To achieve creative thinking and autonomy in decision-making, Rogers (2023) posits that coaching should promote that. Using a possible discussion with the coach that I took to ask them through </w:t>
      </w:r>
      <w:r>
        <w:lastRenderedPageBreak/>
        <w:t>how possible they could be if the Eisenhower Matrix (prioritisation technique) or time blocking methods were applied. Rather than giving direct solutions, I led their conversation by asking reflective questions and emphasising that the responsibility of decision-making lies with the clients (de Haan, 2021). From this experience, I also learnt the importance of the balance between directive and non-directive coaching.</w:t>
      </w:r>
    </w:p>
    <w:p w14:paraId="56117255" w14:textId="77777777" w:rsidR="00502A32" w:rsidRDefault="00000000">
      <w:pPr>
        <w:pStyle w:val="Heading2"/>
      </w:pPr>
      <w:bookmarkStart w:id="13" w:name="_heading=h.vxio3vpzvq0v" w:colFirst="0" w:colLast="0"/>
      <w:bookmarkEnd w:id="13"/>
      <w:r>
        <w:t>Will: Commitment to Action</w:t>
      </w:r>
    </w:p>
    <w:p w14:paraId="56117256" w14:textId="77777777" w:rsidR="00502A32" w:rsidRDefault="00000000">
      <w:r>
        <w:t xml:space="preserve">This last step was related to commitment and accountability. My coach was then able to outline and elaborate a detailed action plan, such as setting daily priorities and decreasing screen time, at this stage. In line with the observations of Moen and Federici (2021) on the importance of commitment to achieving goals, I suggested to my coach that he/she should address any likely hurdles and set accountability measures. Through this reflection I realised the significance of follow up sessions to continue being motivated and to hold myself accountable </w:t>
      </w:r>
      <w:proofErr w:type="gramStart"/>
      <w:r>
        <w:t>in order to</w:t>
      </w:r>
      <w:proofErr w:type="gramEnd"/>
      <w:r>
        <w:t xml:space="preserve"> track my progress.</w:t>
      </w:r>
    </w:p>
    <w:p w14:paraId="56117257" w14:textId="77777777" w:rsidR="00502A32" w:rsidRDefault="00000000">
      <w:r>
        <w:t>Overall, the structured goal setting and active listening were deepened while I was in the practical coaching experience. It pointed out areas to improve, for example in improving the technique of my questions and to make myself more capable to facilitate even deeper self-reflection in afterwards coaching sessions.</w:t>
      </w:r>
    </w:p>
    <w:p w14:paraId="56117258" w14:textId="77777777" w:rsidR="00502A32" w:rsidRDefault="00000000">
      <w:pPr>
        <w:pStyle w:val="Heading1"/>
      </w:pPr>
      <w:bookmarkStart w:id="14" w:name="_heading=h.128566tubl0j" w:colFirst="0" w:colLast="0"/>
      <w:bookmarkEnd w:id="14"/>
      <w:r>
        <w:t>Reflection on Practical 2</w:t>
      </w:r>
    </w:p>
    <w:p w14:paraId="56117259" w14:textId="77777777" w:rsidR="00502A32" w:rsidRDefault="00000000">
      <w:r>
        <w:t>This reflective report will utilise the GROW model, Goal, Reality, Options, and Way Forward to reflect on my mentoring and feedback giving experience. As a model developed by Whitmore (2024), this model gives a structured approach to reflection, first it provides individuals with a way to identify their objectives, current situation, possible solutions, finally to act towards a future.</w:t>
      </w:r>
    </w:p>
    <w:p w14:paraId="5611725A" w14:textId="77777777" w:rsidR="00502A32" w:rsidRDefault="00000000">
      <w:pPr>
        <w:pStyle w:val="Heading2"/>
      </w:pPr>
      <w:bookmarkStart w:id="15" w:name="_heading=h.64kb4pk0b7vu" w:colFirst="0" w:colLast="0"/>
      <w:bookmarkEnd w:id="15"/>
      <w:r>
        <w:t>Goal</w:t>
      </w:r>
    </w:p>
    <w:p w14:paraId="5611725B" w14:textId="77777777" w:rsidR="00502A32" w:rsidRDefault="00000000">
      <w:r>
        <w:t xml:space="preserve">My primary takeaway from my mentoring session was that I wanted me to give constructive feedback which can help him improve his performance and his confidence at work. The objective in creating my mentoring space was to create a space that the mentee will be comfortable in sharing their challenges </w:t>
      </w:r>
      <w:proofErr w:type="gramStart"/>
      <w:r>
        <w:t>and also</w:t>
      </w:r>
      <w:proofErr w:type="gramEnd"/>
      <w:r>
        <w:t xml:space="preserve"> seeking guidance. Clutterbuck (2024) believes that the establishment of an effective mentoring process requires both clarifying the goal and having matching expectations </w:t>
      </w:r>
      <w:r>
        <w:lastRenderedPageBreak/>
        <w:t>between the mentor and the mentee. However, I decided that by setting goals, I would be able to improve my mentee's skills and my own coaching.</w:t>
      </w:r>
    </w:p>
    <w:p w14:paraId="5611725C" w14:textId="77777777" w:rsidR="00502A32" w:rsidRDefault="00000000">
      <w:pPr>
        <w:pStyle w:val="Heading2"/>
      </w:pPr>
      <w:bookmarkStart w:id="16" w:name="_heading=h.nm2cbkk1c0oy" w:colFirst="0" w:colLast="0"/>
      <w:bookmarkEnd w:id="16"/>
      <w:r>
        <w:t>Reality</w:t>
      </w:r>
    </w:p>
    <w:p w14:paraId="5611725D" w14:textId="77777777" w:rsidR="00502A32" w:rsidRDefault="00000000">
      <w:r>
        <w:t>Throughout the session, I noticed that my mentor was insecure about articulating the ideas for the presentation and had difficulty structuring responses. Although technical people, they somehow struggled to express their own words in a few words. Mentees tend to have the same issue as this was developed by Megginson and Clutterbuck (2024), who imply that mentees tend to be so full of self-doubt that it may hinder their professional growth. I had prepared questions and discussion points, but my mentee needed more encouragement and assurance. I also had a chance to think about what I do during feedback delivery, as suggested by Downey (2024), and that although I did offer constructive criticism, I could have provided more positive reinforcement with my feedback.</w:t>
      </w:r>
    </w:p>
    <w:p w14:paraId="5611725E" w14:textId="77777777" w:rsidR="00502A32" w:rsidRDefault="00000000">
      <w:pPr>
        <w:pStyle w:val="Heading2"/>
      </w:pPr>
      <w:bookmarkStart w:id="17" w:name="_heading=h.wvcz1dm412f5" w:colFirst="0" w:colLast="0"/>
      <w:bookmarkEnd w:id="17"/>
      <w:r>
        <w:t>Options</w:t>
      </w:r>
    </w:p>
    <w:p w14:paraId="5611725F" w14:textId="77777777" w:rsidR="00502A32" w:rsidRDefault="00000000">
      <w:proofErr w:type="gramStart"/>
      <w:r>
        <w:t>In order to</w:t>
      </w:r>
      <w:proofErr w:type="gramEnd"/>
      <w:r>
        <w:t xml:space="preserve"> resolve these challenges, I had different solutions that I pondered. I began by using the 'feedback sandwich', which is positive feedback on the good points before and after constructive criticism (Pendleton et al., 2025). The mentee stays motivated, and there are areas that need to be worked on. I furthermore thought of integrating active listening techniques to make my mentee feel heard and understood. Passmore and Fillery-Travis (2024) research suggests that effective mentoring results from asking open ended questions </w:t>
      </w:r>
      <w:proofErr w:type="gramStart"/>
      <w:r>
        <w:t>in order to</w:t>
      </w:r>
      <w:proofErr w:type="gramEnd"/>
      <w:r>
        <w:t xml:space="preserve"> facilitate </w:t>
      </w:r>
      <w:proofErr w:type="spellStart"/>
      <w:r>
        <w:t>self reflection</w:t>
      </w:r>
      <w:proofErr w:type="spellEnd"/>
      <w:r>
        <w:t xml:space="preserve">. </w:t>
      </w:r>
      <w:proofErr w:type="gramStart"/>
      <w:r>
        <w:t>But,</w:t>
      </w:r>
      <w:proofErr w:type="gramEnd"/>
      <w:r>
        <w:t xml:space="preserve"> another idea was to come up with small, achievable tasks for the mentee that he/she can take on to practise their skills in bite-sized chunks.</w:t>
      </w:r>
    </w:p>
    <w:p w14:paraId="56117260" w14:textId="77777777" w:rsidR="00502A32" w:rsidRDefault="00000000">
      <w:pPr>
        <w:pStyle w:val="Heading2"/>
      </w:pPr>
      <w:bookmarkStart w:id="18" w:name="_heading=h.8wl7fgf17flv" w:colFirst="0" w:colLast="0"/>
      <w:bookmarkEnd w:id="18"/>
      <w:r>
        <w:t>Way Forward</w:t>
      </w:r>
    </w:p>
    <w:p w14:paraId="56117261" w14:textId="77777777" w:rsidR="00502A32" w:rsidRDefault="00000000">
      <w:r>
        <w:t>Therefore, I will use these strategies going forward and apply them in my future mentoring sessions. My mentee will, thus, focus on progress (not perfection), a characteristic of the growth mindset (Dweck, 2025). Furthermore, I will acquire my own mentoring skills by asking for feedback from other peers and reading more on mentoring techniques. I continuously refine myself through my experience so that I can be a better mentor and help my mentee develop while developing myself as a communicator and leader.</w:t>
      </w:r>
    </w:p>
    <w:p w14:paraId="56117262" w14:textId="77777777" w:rsidR="00502A32" w:rsidRDefault="00000000">
      <w:pPr>
        <w:spacing w:line="259" w:lineRule="auto"/>
        <w:jc w:val="left"/>
      </w:pPr>
      <w:r>
        <w:br w:type="page"/>
      </w:r>
    </w:p>
    <w:p w14:paraId="56117263" w14:textId="77777777" w:rsidR="00502A32" w:rsidRDefault="00000000">
      <w:pPr>
        <w:pStyle w:val="Heading1"/>
      </w:pPr>
      <w:bookmarkStart w:id="19" w:name="_heading=h.gonvnd9h5lhv" w:colFirst="0" w:colLast="0"/>
      <w:bookmarkEnd w:id="19"/>
      <w:r>
        <w:lastRenderedPageBreak/>
        <w:t>Conclusion</w:t>
      </w:r>
    </w:p>
    <w:p w14:paraId="56117264" w14:textId="77777777" w:rsidR="00502A32" w:rsidRDefault="00000000">
      <w:r>
        <w:t>Finally, coaching and mentoring are essential industry strategies for employee development, facilitating organisational growth, and creating a positive working atmosphere. Although they differ from one another, both systems aim to help employees reach their goals and perform better. Coaching is defined as short-term performance improvement based on prearranged guidance while mentoring means long-term professional development through the transfer of knowledge and experience and the passing on of mentoring skills. Coaching is relational and development-focused, whereas mentoring is more structured and performance-driven. Both are of significance to employee engagement and retention as well as leadership development and hence support organisations by realising employee potential.</w:t>
      </w:r>
    </w:p>
    <w:p w14:paraId="56117265" w14:textId="77777777" w:rsidR="00502A32" w:rsidRDefault="00000000">
      <w:r>
        <w:t xml:space="preserve">The GROW model is a coaching tool that is a valuable, straightforward, and flexible framework for </w:t>
      </w:r>
      <w:proofErr w:type="gramStart"/>
      <w:r>
        <w:t>goal-setting</w:t>
      </w:r>
      <w:proofErr w:type="gramEnd"/>
      <w:r>
        <w:t xml:space="preserve"> and performance improvement. Its simplicity and usefulness for goal-oriented coaching do not make it appropriate for all teaching situations, particularly if greater emotional depth is needed. From my practical experiences of coaching and mentoring, these theories and models were applied at my end, which also helped to understand the effect this has on personal and professional development. I discovered the art of inquiring about reflective questions, having constructive feedback, and pushing for self-reflection in others.</w:t>
      </w:r>
      <w:r>
        <w:br w:type="page"/>
      </w:r>
    </w:p>
    <w:p w14:paraId="56117266" w14:textId="77777777" w:rsidR="00502A32" w:rsidRDefault="00000000">
      <w:pPr>
        <w:pStyle w:val="Heading1"/>
      </w:pPr>
      <w:bookmarkStart w:id="20" w:name="_heading=h.fmdjmvsdulq4" w:colFirst="0" w:colLast="0"/>
      <w:bookmarkEnd w:id="20"/>
      <w:r>
        <w:lastRenderedPageBreak/>
        <w:t>References</w:t>
      </w:r>
    </w:p>
    <w:p w14:paraId="56117267" w14:textId="77777777" w:rsidR="00502A32" w:rsidRDefault="00000000">
      <w:r>
        <w:t xml:space="preserve">Clutterbuck, D., Megginson, D. and Bajer, A. (2023). </w:t>
      </w:r>
      <w:r>
        <w:rPr>
          <w:i/>
        </w:rPr>
        <w:t>Coaching and Mentoring for Success in the Workplace</w:t>
      </w:r>
      <w:r>
        <w:t>. London: Routledge.</w:t>
      </w:r>
    </w:p>
    <w:p w14:paraId="56117268" w14:textId="77777777" w:rsidR="00502A32" w:rsidRDefault="00000000">
      <w:r>
        <w:t>Cooper, S.C. (2022). </w:t>
      </w:r>
      <w:r>
        <w:rPr>
          <w:i/>
        </w:rPr>
        <w:t>The Role of GROW Model</w:t>
      </w:r>
      <w:r>
        <w:t>. Toronto, On: Harlequin Kimani Romance.</w:t>
      </w:r>
    </w:p>
    <w:p w14:paraId="56117269" w14:textId="77777777" w:rsidR="00502A32" w:rsidRDefault="00000000">
      <w:r>
        <w:t xml:space="preserve">Cox, E., </w:t>
      </w:r>
      <w:proofErr w:type="spellStart"/>
      <w:r>
        <w:t>Bachkirova</w:t>
      </w:r>
      <w:proofErr w:type="spellEnd"/>
      <w:r>
        <w:t xml:space="preserve">, T., and Clutterbuck, D. (2018). </w:t>
      </w:r>
      <w:r>
        <w:rPr>
          <w:i/>
        </w:rPr>
        <w:t>The Complete Handbook of Coaching</w:t>
      </w:r>
      <w:r>
        <w:t>. 3rd ed. London: SAGE Publications.</w:t>
      </w:r>
    </w:p>
    <w:p w14:paraId="5611726A" w14:textId="77777777" w:rsidR="00502A32" w:rsidRDefault="00000000">
      <w:r>
        <w:t xml:space="preserve">De Haan, E. (2021). </w:t>
      </w:r>
      <w:r>
        <w:rPr>
          <w:i/>
        </w:rPr>
        <w:t>Critical Moments in Executive Coaching: Understanding the Coaching Process</w:t>
      </w:r>
      <w:r>
        <w:t>. London: Routledge. https://doi.org/10.4324/9781003105147</w:t>
      </w:r>
    </w:p>
    <w:p w14:paraId="5611726B" w14:textId="77777777" w:rsidR="00502A32" w:rsidRDefault="00000000">
      <w:r>
        <w:t xml:space="preserve">Doran, G. T. (2024). There’s a S.M.A.R.T. way to write management goals and objectives. </w:t>
      </w:r>
      <w:r>
        <w:rPr>
          <w:i/>
        </w:rPr>
        <w:t>Management Review</w:t>
      </w:r>
      <w:r>
        <w:t>, 70(11), 35-36.</w:t>
      </w:r>
    </w:p>
    <w:p w14:paraId="5611726C" w14:textId="77777777" w:rsidR="00502A32" w:rsidRDefault="00000000">
      <w:r>
        <w:t xml:space="preserve">Downey, M. (2024). </w:t>
      </w:r>
      <w:r>
        <w:rPr>
          <w:i/>
        </w:rPr>
        <w:t>Effective Coaching: Lessons from the Coach's Coach.</w:t>
      </w:r>
      <w:r>
        <w:t xml:space="preserve"> 3rd ed. Cengage Learning.</w:t>
      </w:r>
    </w:p>
    <w:p w14:paraId="5611726D" w14:textId="77777777" w:rsidR="00502A32" w:rsidRDefault="00000000">
      <w:r>
        <w:t xml:space="preserve">Dweck, C. S. (2025). </w:t>
      </w:r>
      <w:r>
        <w:rPr>
          <w:i/>
        </w:rPr>
        <w:t>Mindset: The new psychology of success</w:t>
      </w:r>
      <w:r>
        <w:t>. Random House.</w:t>
      </w:r>
    </w:p>
    <w:p w14:paraId="5611726E" w14:textId="77777777" w:rsidR="00502A32" w:rsidRDefault="00000000">
      <w:r>
        <w:t xml:space="preserve">Ely, K., Boyce, L.A., Nelson, J.K., Zaccaro, S.J., </w:t>
      </w:r>
      <w:proofErr w:type="spellStart"/>
      <w:r>
        <w:t>Hernez</w:t>
      </w:r>
      <w:proofErr w:type="spellEnd"/>
      <w:r>
        <w:t xml:space="preserve">-Broome, G. and Whyman, W. (2018). 'Evaluating leadership coaching: A review and integrated framework', </w:t>
      </w:r>
      <w:r>
        <w:rPr>
          <w:i/>
        </w:rPr>
        <w:t>The Leadership Quarterly</w:t>
      </w:r>
      <w:r>
        <w:t xml:space="preserve">, 21(4), pp. 585–599. </w:t>
      </w:r>
      <w:proofErr w:type="gramStart"/>
      <w:r>
        <w:t>doi:10.1016/j.leaqua</w:t>
      </w:r>
      <w:proofErr w:type="gramEnd"/>
      <w:r>
        <w:t>.2018.06.003.</w:t>
      </w:r>
    </w:p>
    <w:p w14:paraId="5611726F" w14:textId="77777777" w:rsidR="00502A32" w:rsidRDefault="00000000">
      <w:r>
        <w:t xml:space="preserve">Garvey, B., Stokes, P. and Megginson, D. (2022). </w:t>
      </w:r>
      <w:r>
        <w:rPr>
          <w:i/>
        </w:rPr>
        <w:t>Coaching and Mentoring: Theory and Practice</w:t>
      </w:r>
      <w:r>
        <w:t>. 3rd ed. London: SAGE Publications.</w:t>
      </w:r>
    </w:p>
    <w:p w14:paraId="56117270" w14:textId="77777777" w:rsidR="00502A32" w:rsidRDefault="00000000">
      <w:r>
        <w:t xml:space="preserve">Grant, A. M. (2022). The third ‘generation’ of workplace coaching: Creating a culture of quality conversations. </w:t>
      </w:r>
      <w:r>
        <w:rPr>
          <w:i/>
        </w:rPr>
        <w:t>Coaching: An International Journal of Theory, Research and Practice, 10</w:t>
      </w:r>
      <w:r>
        <w:t>(1), pp. 37-53. https://doi.org/10.1080/17521882.2016.1266005</w:t>
      </w:r>
    </w:p>
    <w:p w14:paraId="56117271" w14:textId="77777777" w:rsidR="00502A32" w:rsidRDefault="00000000">
      <w:r>
        <w:t>Leedham, M. (2024). </w:t>
      </w:r>
      <w:r>
        <w:rPr>
          <w:i/>
        </w:rPr>
        <w:t>Coaching and Mentoring: Practical Techniques for Developing Learning and Performance</w:t>
      </w:r>
      <w:r>
        <w:t>. 3rd ed. New York, Ny: Kogan Page Ltd.</w:t>
      </w:r>
    </w:p>
    <w:p w14:paraId="56117272" w14:textId="77777777" w:rsidR="00502A32" w:rsidRDefault="00000000">
      <w:r>
        <w:t>Mielke, D. (2023). Coaching Experience, and Coaching Tenure. </w:t>
      </w:r>
      <w:r>
        <w:rPr>
          <w:i/>
        </w:rPr>
        <w:t>International Journal of Sports Science and Coaching</w:t>
      </w:r>
      <w:r>
        <w:t xml:space="preserve">, 2(2), pp.105–108. </w:t>
      </w:r>
      <w:proofErr w:type="spellStart"/>
      <w:proofErr w:type="gramStart"/>
      <w:r>
        <w:t>doi:https</w:t>
      </w:r>
      <w:proofErr w:type="spellEnd"/>
      <w:r>
        <w:t>://doi.org/10.1260/174795407781394293</w:t>
      </w:r>
      <w:proofErr w:type="gramEnd"/>
      <w:r>
        <w:t>.</w:t>
      </w:r>
    </w:p>
    <w:p w14:paraId="56117273" w14:textId="77777777" w:rsidR="00502A32" w:rsidRDefault="00000000">
      <w:r>
        <w:lastRenderedPageBreak/>
        <w:t xml:space="preserve">Megginson, D., and Clutterbuck, D. (2024). </w:t>
      </w:r>
      <w:r>
        <w:rPr>
          <w:i/>
        </w:rPr>
        <w:t>Further techniques for coaching and mentoring</w:t>
      </w:r>
      <w:r>
        <w:t>. Routledge.</w:t>
      </w:r>
    </w:p>
    <w:p w14:paraId="56117274" w14:textId="77777777" w:rsidR="00502A32" w:rsidRDefault="00000000">
      <w:r>
        <w:t xml:space="preserve">Moen, F., and Federici, R. A. (2021). The effect of external executive coaching and coaching-based leadership on need satisfaction. </w:t>
      </w:r>
      <w:r>
        <w:rPr>
          <w:i/>
        </w:rPr>
        <w:t>Organization Development Journal</w:t>
      </w:r>
      <w:r>
        <w:t>, 30(3), 63-74.</w:t>
      </w:r>
    </w:p>
    <w:p w14:paraId="56117275" w14:textId="77777777" w:rsidR="00502A32" w:rsidRDefault="00000000">
      <w:proofErr w:type="spellStart"/>
      <w:r>
        <w:t>Parsloe</w:t>
      </w:r>
      <w:proofErr w:type="spellEnd"/>
      <w:r>
        <w:t xml:space="preserve">, E. and Leedham, M. (2023). </w:t>
      </w:r>
      <w:r>
        <w:rPr>
          <w:i/>
        </w:rPr>
        <w:t>Coaching and Mentoring: Practical Techniques for Developing Learning and Performance</w:t>
      </w:r>
      <w:r>
        <w:t>. 3rd ed. London: Kogan Page.</w:t>
      </w:r>
    </w:p>
    <w:p w14:paraId="56117276" w14:textId="77777777" w:rsidR="00502A32" w:rsidRDefault="00000000">
      <w:r>
        <w:t xml:space="preserve">Passmore, J. (2020). </w:t>
      </w:r>
      <w:r>
        <w:rPr>
          <w:i/>
        </w:rPr>
        <w:t>Excellence in Coaching: The Industry Guide.</w:t>
      </w:r>
      <w:r>
        <w:t xml:space="preserve"> 2nd ed. Kogan Page.</w:t>
      </w:r>
    </w:p>
    <w:p w14:paraId="56117277" w14:textId="77777777" w:rsidR="00502A32" w:rsidRDefault="00000000">
      <w:r>
        <w:t xml:space="preserve">Passmore, J., and Fillery-Travis, A. (2024). A critical review of executive coaching research: A decade of progress and what’s to come. </w:t>
      </w:r>
      <w:r>
        <w:rPr>
          <w:i/>
        </w:rPr>
        <w:t>Coaching: An International Journal of Theory, Research and Practice, 4</w:t>
      </w:r>
      <w:r>
        <w:t>(2), pp. 70-88. https://doi.org/10.1080/17521882.2024.596484</w:t>
      </w:r>
    </w:p>
    <w:p w14:paraId="56117278" w14:textId="77777777" w:rsidR="00502A32" w:rsidRDefault="00000000">
      <w:r>
        <w:t xml:space="preserve">Pendleton, D., Schofield, T., Tate, P., and Havelock, P. (2025). </w:t>
      </w:r>
      <w:r>
        <w:rPr>
          <w:i/>
        </w:rPr>
        <w:t>The new consultation: Developing doctor-patient communication</w:t>
      </w:r>
      <w:r>
        <w:t>. Oxford University Press.</w:t>
      </w:r>
    </w:p>
    <w:p w14:paraId="56117279" w14:textId="77777777" w:rsidR="00502A32" w:rsidRDefault="00000000">
      <w:r>
        <w:t>Pokora, J. (2023). </w:t>
      </w:r>
      <w:r>
        <w:rPr>
          <w:i/>
        </w:rPr>
        <w:t xml:space="preserve">Coaching and Mentoring at </w:t>
      </w:r>
      <w:proofErr w:type="gramStart"/>
      <w:r>
        <w:rPr>
          <w:i/>
        </w:rPr>
        <w:t>Work :</w:t>
      </w:r>
      <w:proofErr w:type="gramEnd"/>
      <w:r>
        <w:rPr>
          <w:i/>
        </w:rPr>
        <w:t xml:space="preserve"> Developing Effective Practice</w:t>
      </w:r>
      <w:r>
        <w:t>. 3rd ed. London, England: Open University Press.</w:t>
      </w:r>
    </w:p>
    <w:p w14:paraId="5611727A" w14:textId="77777777" w:rsidR="00502A32" w:rsidRDefault="00000000">
      <w:r>
        <w:t xml:space="preserve">Rogers, J. (2023). </w:t>
      </w:r>
      <w:r>
        <w:rPr>
          <w:i/>
        </w:rPr>
        <w:t>Coaching Skills: The Definitive Guide to Being a Coach</w:t>
      </w:r>
      <w:r>
        <w:t>. 4th ed. Maidenhead: Open University Press.</w:t>
      </w:r>
    </w:p>
    <w:p w14:paraId="5611727B" w14:textId="77777777" w:rsidR="00502A32" w:rsidRDefault="00000000">
      <w:r>
        <w:t xml:space="preserve">Starr, J. (2023). </w:t>
      </w:r>
      <w:r>
        <w:rPr>
          <w:i/>
        </w:rPr>
        <w:t>The Coaching Manual: The Definitive Guide to the Process, Principles, and Skills of Personal Coaching.</w:t>
      </w:r>
      <w:r>
        <w:t xml:space="preserve"> 4th ed. Pearson.</w:t>
      </w:r>
    </w:p>
    <w:p w14:paraId="5611727C" w14:textId="77777777" w:rsidR="00502A32" w:rsidRDefault="00000000">
      <w:r>
        <w:t xml:space="preserve">Stoltz, P.G., Gallo, J. and Bland, C. (2019). 'The impact of coaching on employee engagement and retention', </w:t>
      </w:r>
      <w:r>
        <w:rPr>
          <w:i/>
        </w:rPr>
        <w:t>Journal of Workplace Learning</w:t>
      </w:r>
      <w:r>
        <w:t>, 31(3), pp. 150-165. doi:10.1108/JWL-09-2018-0115.</w:t>
      </w:r>
    </w:p>
    <w:p w14:paraId="5611727D" w14:textId="77777777" w:rsidR="00502A32" w:rsidRDefault="00000000">
      <w:proofErr w:type="spellStart"/>
      <w:r>
        <w:t>Sawiuk</w:t>
      </w:r>
      <w:proofErr w:type="spellEnd"/>
      <w:r>
        <w:t>, R. (2023). Mentoring in Physical Education and Sports Coaching. </w:t>
      </w:r>
      <w:r>
        <w:rPr>
          <w:i/>
        </w:rPr>
        <w:t>Sports Coaching Review</w:t>
      </w:r>
      <w:r>
        <w:t xml:space="preserve">, 3(1), pp.1–5. </w:t>
      </w:r>
      <w:proofErr w:type="spellStart"/>
      <w:proofErr w:type="gramStart"/>
      <w:r>
        <w:t>doi:https</w:t>
      </w:r>
      <w:proofErr w:type="spellEnd"/>
      <w:r>
        <w:t>://doi.org/10.1080/21640629.2022.1414428</w:t>
      </w:r>
      <w:proofErr w:type="gramEnd"/>
      <w:r>
        <w:t>.</w:t>
      </w:r>
    </w:p>
    <w:p w14:paraId="5611727E" w14:textId="77777777" w:rsidR="00502A32" w:rsidRDefault="00000000">
      <w:proofErr w:type="spellStart"/>
      <w:r>
        <w:t>Venzin</w:t>
      </w:r>
      <w:proofErr w:type="spellEnd"/>
      <w:r>
        <w:t>, M. (2021). The Applications of GROW Model. </w:t>
      </w:r>
      <w:r>
        <w:rPr>
          <w:i/>
        </w:rPr>
        <w:t>The Membership Management Report</w:t>
      </w:r>
      <w:r>
        <w:t xml:space="preserve">, 12(1), pp.6–6. </w:t>
      </w:r>
      <w:proofErr w:type="spellStart"/>
      <w:proofErr w:type="gramStart"/>
      <w:r>
        <w:t>doi:https</w:t>
      </w:r>
      <w:proofErr w:type="spellEnd"/>
      <w:r>
        <w:t>://doi.org/10.1002/mmr.30294</w:t>
      </w:r>
      <w:proofErr w:type="gramEnd"/>
      <w:r>
        <w:t>.</w:t>
      </w:r>
    </w:p>
    <w:p w14:paraId="5611727F" w14:textId="77777777" w:rsidR="00502A32" w:rsidRDefault="00000000">
      <w:r>
        <w:t xml:space="preserve">Whitmore, J. (2022). </w:t>
      </w:r>
      <w:r>
        <w:rPr>
          <w:i/>
        </w:rPr>
        <w:t>Coaching for Performance: The Principles and Practice of Coaching and Leadership</w:t>
      </w:r>
      <w:r>
        <w:t>. 5th ed. London: Nicholas Brealey Publishing.</w:t>
      </w:r>
    </w:p>
    <w:sectPr w:rsidR="00502A32">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0E019" w14:textId="77777777" w:rsidR="00E25809" w:rsidRDefault="00E25809">
      <w:pPr>
        <w:spacing w:after="0" w:line="240" w:lineRule="auto"/>
      </w:pPr>
      <w:r>
        <w:separator/>
      </w:r>
    </w:p>
  </w:endnote>
  <w:endnote w:type="continuationSeparator" w:id="0">
    <w:p w14:paraId="021BBBB3" w14:textId="77777777" w:rsidR="00E25809" w:rsidRDefault="00E25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17284" w14:textId="77777777" w:rsidR="00502A32" w:rsidRDefault="00000000">
    <w:pPr>
      <w:pBdr>
        <w:top w:val="nil"/>
        <w:left w:val="nil"/>
        <w:bottom w:val="nil"/>
        <w:right w:val="nil"/>
        <w:between w:val="nil"/>
      </w:pBdr>
      <w:tabs>
        <w:tab w:val="center" w:pos="4680"/>
        <w:tab w:val="right" w:pos="9360"/>
      </w:tabs>
      <w:spacing w:after="0" w:line="240" w:lineRule="auto"/>
      <w:jc w:val="center"/>
      <w:rPr>
        <w:color w:val="000000"/>
      </w:rPr>
    </w:pPr>
    <w:r>
      <w:rPr>
        <w:noProof/>
        <w:color w:val="000000"/>
      </w:rPr>
      <mc:AlternateContent>
        <mc:Choice Requires="wps">
          <w:drawing>
            <wp:inline distT="0" distB="0" distL="0" distR="0" wp14:anchorId="56117287" wp14:editId="56117288">
              <wp:extent cx="5476875" cy="54610"/>
              <wp:effectExtent l="0" t="0" r="0" b="0"/>
              <wp:docPr id="1877387327" name="Flowchart: Decision 1877387327" descr="Light horizontal"/>
              <wp:cNvGraphicFramePr/>
              <a:graphic xmlns:a="http://schemas.openxmlformats.org/drawingml/2006/main">
                <a:graphicData uri="http://schemas.microsoft.com/office/word/2010/wordprocessingShape">
                  <wps:wsp>
                    <wps:cNvSpPr/>
                    <wps:spPr>
                      <a:xfrm rot="10800000" flipH="1">
                        <a:off x="2612325" y="3757458"/>
                        <a:ext cx="5467350" cy="45085"/>
                      </a:xfrm>
                      <a:prstGeom prst="flowChartDecision">
                        <a:avLst/>
                      </a:prstGeom>
                      <a:solidFill>
                        <a:srgbClr val="FFFFFF"/>
                      </a:solidFill>
                      <a:ln>
                        <a:noFill/>
                      </a:ln>
                    </wps:spPr>
                    <wps:txbx>
                      <w:txbxContent>
                        <w:p w14:paraId="56117289" w14:textId="77777777" w:rsidR="00502A32" w:rsidRDefault="00502A32">
                          <w:pPr>
                            <w:spacing w:after="0" w:line="240" w:lineRule="auto"/>
                            <w:jc w:val="left"/>
                            <w:textDirection w:val="btLr"/>
                          </w:pPr>
                        </w:p>
                      </w:txbxContent>
                    </wps:txbx>
                    <wps:bodyPr spcFirstLastPara="1" wrap="square" lIns="91425" tIns="91425" rIns="91425" bIns="91425" anchor="ctr" anchorCtr="0">
                      <a:noAutofit/>
                    </wps:bodyPr>
                  </wps:wsp>
                </a:graphicData>
              </a:graphic>
            </wp:inline>
          </w:drawing>
        </mc:Choice>
        <mc:Fallback>
          <w:pict>
            <v:shapetype w14:anchorId="56117287" id="_x0000_t110" coordsize="21600,21600" o:spt="110" path="m10800,l,10800,10800,21600,21600,10800xe">
              <v:stroke joinstyle="miter"/>
              <v:path gradientshapeok="t" o:connecttype="rect" textboxrect="5400,5400,16200,16200"/>
            </v:shapetype>
            <v:shape id="Flowchart: Decision 1877387327" o:spid="_x0000_s1026" type="#_x0000_t110" alt="Light horizontal" style="width:431.25pt;height:4.3pt;rotation:180;flip:x;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" stroked="f">
              <v:textbox inset="2.53958mm,2.53958mm,2.53958mm,2.53958mm">
                <w:txbxContent>
                  <w:p w14:paraId="56117289" w14:textId="77777777" w:rsidR="00502A32" w:rsidRDefault="00502A32">
                    <w:pPr>
                      <w:spacing w:after="0" w:line="240" w:lineRule="auto"/>
                      <w:jc w:val="left"/>
                      <w:textDirection w:val="btLr"/>
                    </w:pPr>
                  </w:p>
                </w:txbxContent>
              </v:textbox>
              <w10:anchorlock/>
            </v:shape>
          </w:pict>
        </mc:Fallback>
      </mc:AlternateContent>
    </w:r>
  </w:p>
  <w:p w14:paraId="56117285" w14:textId="620B4E98" w:rsidR="00502A32"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1773E5">
      <w:rPr>
        <w:noProof/>
        <w:color w:val="000000"/>
      </w:rPr>
      <w:t>1</w:t>
    </w:r>
    <w:r>
      <w:rPr>
        <w:color w:val="000000"/>
      </w:rPr>
      <w:fldChar w:fldCharType="end"/>
    </w:r>
  </w:p>
  <w:p w14:paraId="56117286" w14:textId="77777777" w:rsidR="00502A32" w:rsidRDefault="00502A32">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E0BD4" w14:textId="77777777" w:rsidR="00E25809" w:rsidRDefault="00E25809">
      <w:pPr>
        <w:spacing w:after="0" w:line="240" w:lineRule="auto"/>
      </w:pPr>
      <w:r>
        <w:separator/>
      </w:r>
    </w:p>
  </w:footnote>
  <w:footnote w:type="continuationSeparator" w:id="0">
    <w:p w14:paraId="664E592D" w14:textId="77777777" w:rsidR="00E25809" w:rsidRDefault="00E2580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A32"/>
    <w:rsid w:val="00072C60"/>
    <w:rsid w:val="001773E5"/>
    <w:rsid w:val="005017F5"/>
    <w:rsid w:val="00502A32"/>
    <w:rsid w:val="00596AEF"/>
    <w:rsid w:val="00983156"/>
    <w:rsid w:val="00A30858"/>
    <w:rsid w:val="00B43A8E"/>
    <w:rsid w:val="00BB31B2"/>
    <w:rsid w:val="00E25809"/>
    <w:rsid w:val="00FE3D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1720E"/>
  <w15:docId w15:val="{CBF27320-8FB1-46FB-B336-BE9BCD7A2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6522"/>
    <w:rPr>
      <w:kern w:val="2"/>
    </w:rPr>
  </w:style>
  <w:style w:type="paragraph" w:styleId="Heading1">
    <w:name w:val="heading 1"/>
    <w:basedOn w:val="Normal"/>
    <w:next w:val="Normal"/>
    <w:link w:val="Heading1Char"/>
    <w:uiPriority w:val="9"/>
    <w:qFormat/>
    <w:rsid w:val="00586648"/>
    <w:pPr>
      <w:keepNext/>
      <w:keepLines/>
      <w:spacing w:before="240" w:after="0"/>
      <w:outlineLvl w:val="0"/>
    </w:pPr>
    <w:rPr>
      <w:rFonts w:eastAsiaTheme="majorEastAsia" w:cstheme="majorBidi"/>
      <w:b/>
      <w:sz w:val="30"/>
      <w:szCs w:val="32"/>
    </w:rPr>
  </w:style>
  <w:style w:type="paragraph" w:styleId="Heading2">
    <w:name w:val="heading 2"/>
    <w:basedOn w:val="Normal"/>
    <w:next w:val="Normal"/>
    <w:link w:val="Heading2Char"/>
    <w:uiPriority w:val="9"/>
    <w:unhideWhenUsed/>
    <w:qFormat/>
    <w:rsid w:val="000C3C3B"/>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93144E"/>
    <w:pPr>
      <w:keepNext/>
      <w:keepLines/>
      <w:spacing w:before="40" w:after="0"/>
      <w:outlineLvl w:val="2"/>
    </w:pPr>
    <w:rPr>
      <w:rFonts w:eastAsiaTheme="majorEastAsia" w:cstheme="majorBidi"/>
      <w:b/>
      <w:lang w:eastAsia="zh-CN"/>
    </w:rPr>
  </w:style>
  <w:style w:type="paragraph" w:styleId="Heading4">
    <w:name w:val="heading 4"/>
    <w:basedOn w:val="Normal"/>
    <w:next w:val="Normal"/>
    <w:link w:val="Heading4Char"/>
    <w:uiPriority w:val="9"/>
    <w:semiHidden/>
    <w:unhideWhenUsed/>
    <w:qFormat/>
    <w:rsid w:val="0067510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7510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67510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7510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7510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7510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751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86648"/>
    <w:rPr>
      <w:rFonts w:ascii="Times New Roman" w:eastAsiaTheme="majorEastAsia" w:hAnsi="Times New Roman" w:cstheme="majorBidi"/>
      <w:b/>
      <w:kern w:val="2"/>
      <w:sz w:val="30"/>
      <w:szCs w:val="32"/>
      <w:lang w:val="en-GB"/>
    </w:rPr>
  </w:style>
  <w:style w:type="character" w:customStyle="1" w:styleId="Heading2Char">
    <w:name w:val="Heading 2 Char"/>
    <w:basedOn w:val="DefaultParagraphFont"/>
    <w:link w:val="Heading2"/>
    <w:uiPriority w:val="9"/>
    <w:rsid w:val="000C3C3B"/>
    <w:rPr>
      <w:rFonts w:ascii="Times New Roman" w:eastAsiaTheme="majorEastAsia" w:hAnsi="Times New Roman" w:cstheme="majorBidi"/>
      <w:b/>
      <w:kern w:val="2"/>
      <w:sz w:val="26"/>
      <w:szCs w:val="26"/>
      <w:lang w:val="en-GB"/>
    </w:rPr>
  </w:style>
  <w:style w:type="character" w:customStyle="1" w:styleId="Heading3Char">
    <w:name w:val="Heading 3 Char"/>
    <w:basedOn w:val="DefaultParagraphFont"/>
    <w:link w:val="Heading3"/>
    <w:uiPriority w:val="9"/>
    <w:rsid w:val="0093144E"/>
    <w:rPr>
      <w:rFonts w:ascii="Times New Roman" w:eastAsiaTheme="majorEastAsia" w:hAnsi="Times New Roman" w:cstheme="majorBidi"/>
      <w:b/>
      <w:kern w:val="2"/>
      <w:sz w:val="24"/>
      <w:szCs w:val="24"/>
      <w:lang w:val="en-GB" w:eastAsia="zh-CN"/>
    </w:rPr>
  </w:style>
  <w:style w:type="paragraph" w:styleId="Caption">
    <w:name w:val="caption"/>
    <w:basedOn w:val="Normal"/>
    <w:next w:val="Normal"/>
    <w:uiPriority w:val="35"/>
    <w:unhideWhenUsed/>
    <w:qFormat/>
    <w:rsid w:val="007B3EA8"/>
    <w:pPr>
      <w:spacing w:after="200"/>
      <w:jc w:val="center"/>
    </w:pPr>
    <w:rPr>
      <w:b/>
      <w:iCs/>
      <w:sz w:val="22"/>
      <w:szCs w:val="18"/>
    </w:rPr>
  </w:style>
  <w:style w:type="paragraph" w:styleId="TOCHeading">
    <w:name w:val="TOC Heading"/>
    <w:basedOn w:val="Heading1"/>
    <w:next w:val="Normal"/>
    <w:uiPriority w:val="39"/>
    <w:unhideWhenUsed/>
    <w:qFormat/>
    <w:rsid w:val="005654BD"/>
    <w:pPr>
      <w:spacing w:line="259" w:lineRule="auto"/>
      <w:jc w:val="left"/>
      <w:outlineLvl w:val="9"/>
    </w:pPr>
  </w:style>
  <w:style w:type="character" w:customStyle="1" w:styleId="Heading4Char">
    <w:name w:val="Heading 4 Char"/>
    <w:basedOn w:val="DefaultParagraphFont"/>
    <w:link w:val="Heading4"/>
    <w:uiPriority w:val="9"/>
    <w:semiHidden/>
    <w:rsid w:val="0067510E"/>
    <w:rPr>
      <w:rFonts w:eastAsiaTheme="majorEastAsia" w:cstheme="majorBidi"/>
      <w:i/>
      <w:iCs/>
      <w:color w:val="2F5496" w:themeColor="accent1" w:themeShade="BF"/>
      <w:kern w:val="2"/>
      <w:sz w:val="24"/>
      <w:lang w:val="en-GB"/>
    </w:rPr>
  </w:style>
  <w:style w:type="character" w:customStyle="1" w:styleId="Heading5Char">
    <w:name w:val="Heading 5 Char"/>
    <w:basedOn w:val="DefaultParagraphFont"/>
    <w:link w:val="Heading5"/>
    <w:uiPriority w:val="9"/>
    <w:semiHidden/>
    <w:rsid w:val="0067510E"/>
    <w:rPr>
      <w:rFonts w:eastAsiaTheme="majorEastAsia" w:cstheme="majorBidi"/>
      <w:color w:val="2F5496" w:themeColor="accent1" w:themeShade="BF"/>
      <w:kern w:val="2"/>
      <w:sz w:val="24"/>
      <w:lang w:val="en-GB"/>
    </w:rPr>
  </w:style>
  <w:style w:type="character" w:customStyle="1" w:styleId="Heading6Char">
    <w:name w:val="Heading 6 Char"/>
    <w:basedOn w:val="DefaultParagraphFont"/>
    <w:link w:val="Heading6"/>
    <w:uiPriority w:val="9"/>
    <w:semiHidden/>
    <w:rsid w:val="0067510E"/>
    <w:rPr>
      <w:rFonts w:eastAsiaTheme="majorEastAsia" w:cstheme="majorBidi"/>
      <w:i/>
      <w:iCs/>
      <w:color w:val="595959" w:themeColor="text1" w:themeTint="A6"/>
      <w:kern w:val="2"/>
      <w:sz w:val="24"/>
      <w:lang w:val="en-GB"/>
    </w:rPr>
  </w:style>
  <w:style w:type="character" w:customStyle="1" w:styleId="Heading7Char">
    <w:name w:val="Heading 7 Char"/>
    <w:basedOn w:val="DefaultParagraphFont"/>
    <w:link w:val="Heading7"/>
    <w:uiPriority w:val="9"/>
    <w:semiHidden/>
    <w:rsid w:val="0067510E"/>
    <w:rPr>
      <w:rFonts w:eastAsiaTheme="majorEastAsia" w:cstheme="majorBidi"/>
      <w:color w:val="595959" w:themeColor="text1" w:themeTint="A6"/>
      <w:kern w:val="2"/>
      <w:sz w:val="24"/>
      <w:lang w:val="en-GB"/>
    </w:rPr>
  </w:style>
  <w:style w:type="character" w:customStyle="1" w:styleId="Heading8Char">
    <w:name w:val="Heading 8 Char"/>
    <w:basedOn w:val="DefaultParagraphFont"/>
    <w:link w:val="Heading8"/>
    <w:uiPriority w:val="9"/>
    <w:semiHidden/>
    <w:rsid w:val="0067510E"/>
    <w:rPr>
      <w:rFonts w:eastAsiaTheme="majorEastAsia" w:cstheme="majorBidi"/>
      <w:i/>
      <w:iCs/>
      <w:color w:val="272727" w:themeColor="text1" w:themeTint="D8"/>
      <w:kern w:val="2"/>
      <w:sz w:val="24"/>
      <w:lang w:val="en-GB"/>
    </w:rPr>
  </w:style>
  <w:style w:type="character" w:customStyle="1" w:styleId="Heading9Char">
    <w:name w:val="Heading 9 Char"/>
    <w:basedOn w:val="DefaultParagraphFont"/>
    <w:link w:val="Heading9"/>
    <w:uiPriority w:val="9"/>
    <w:semiHidden/>
    <w:rsid w:val="0067510E"/>
    <w:rPr>
      <w:rFonts w:eastAsiaTheme="majorEastAsia" w:cstheme="majorBidi"/>
      <w:color w:val="272727" w:themeColor="text1" w:themeTint="D8"/>
      <w:kern w:val="2"/>
      <w:sz w:val="24"/>
      <w:lang w:val="en-GB"/>
    </w:rPr>
  </w:style>
  <w:style w:type="character" w:customStyle="1" w:styleId="TitleChar">
    <w:name w:val="Title Char"/>
    <w:basedOn w:val="DefaultParagraphFont"/>
    <w:link w:val="Title"/>
    <w:uiPriority w:val="10"/>
    <w:rsid w:val="0067510E"/>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Pr>
      <w:rFonts w:ascii="Calibri" w:eastAsia="Calibri" w:hAnsi="Calibri" w:cs="Calibri"/>
      <w:color w:val="595959"/>
      <w:sz w:val="28"/>
      <w:szCs w:val="28"/>
    </w:rPr>
  </w:style>
  <w:style w:type="character" w:customStyle="1" w:styleId="SubtitleChar">
    <w:name w:val="Subtitle Char"/>
    <w:basedOn w:val="DefaultParagraphFont"/>
    <w:link w:val="Subtitle"/>
    <w:uiPriority w:val="11"/>
    <w:rsid w:val="0067510E"/>
    <w:rPr>
      <w:rFonts w:eastAsiaTheme="majorEastAsia" w:cstheme="majorBidi"/>
      <w:color w:val="595959" w:themeColor="text1" w:themeTint="A6"/>
      <w:spacing w:val="15"/>
      <w:kern w:val="2"/>
      <w:sz w:val="28"/>
      <w:szCs w:val="28"/>
      <w:lang w:val="en-GB"/>
    </w:rPr>
  </w:style>
  <w:style w:type="paragraph" w:styleId="Quote">
    <w:name w:val="Quote"/>
    <w:basedOn w:val="Normal"/>
    <w:next w:val="Normal"/>
    <w:link w:val="QuoteChar"/>
    <w:uiPriority w:val="29"/>
    <w:qFormat/>
    <w:rsid w:val="0067510E"/>
    <w:pPr>
      <w:spacing w:before="160"/>
      <w:jc w:val="center"/>
    </w:pPr>
    <w:rPr>
      <w:i/>
      <w:iCs/>
      <w:color w:val="404040" w:themeColor="text1" w:themeTint="BF"/>
    </w:rPr>
  </w:style>
  <w:style w:type="character" w:customStyle="1" w:styleId="QuoteChar">
    <w:name w:val="Quote Char"/>
    <w:basedOn w:val="DefaultParagraphFont"/>
    <w:link w:val="Quote"/>
    <w:uiPriority w:val="29"/>
    <w:rsid w:val="0067510E"/>
    <w:rPr>
      <w:rFonts w:ascii="Times New Roman" w:hAnsi="Times New Roman"/>
      <w:i/>
      <w:iCs/>
      <w:color w:val="404040" w:themeColor="text1" w:themeTint="BF"/>
      <w:kern w:val="2"/>
      <w:sz w:val="24"/>
      <w:lang w:val="en-GB"/>
    </w:rPr>
  </w:style>
  <w:style w:type="paragraph" w:styleId="ListParagraph">
    <w:name w:val="List Paragraph"/>
    <w:basedOn w:val="Normal"/>
    <w:uiPriority w:val="34"/>
    <w:qFormat/>
    <w:rsid w:val="0067510E"/>
    <w:pPr>
      <w:ind w:left="720"/>
      <w:contextualSpacing/>
    </w:pPr>
  </w:style>
  <w:style w:type="character" w:styleId="IntenseEmphasis">
    <w:name w:val="Intense Emphasis"/>
    <w:basedOn w:val="DefaultParagraphFont"/>
    <w:uiPriority w:val="21"/>
    <w:qFormat/>
    <w:rsid w:val="0067510E"/>
    <w:rPr>
      <w:i/>
      <w:iCs/>
      <w:color w:val="2F5496" w:themeColor="accent1" w:themeShade="BF"/>
    </w:rPr>
  </w:style>
  <w:style w:type="paragraph" w:styleId="IntenseQuote">
    <w:name w:val="Intense Quote"/>
    <w:basedOn w:val="Normal"/>
    <w:next w:val="Normal"/>
    <w:link w:val="IntenseQuoteChar"/>
    <w:uiPriority w:val="30"/>
    <w:qFormat/>
    <w:rsid w:val="0067510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7510E"/>
    <w:rPr>
      <w:rFonts w:ascii="Times New Roman" w:hAnsi="Times New Roman"/>
      <w:i/>
      <w:iCs/>
      <w:color w:val="2F5496" w:themeColor="accent1" w:themeShade="BF"/>
      <w:kern w:val="2"/>
      <w:sz w:val="24"/>
      <w:lang w:val="en-GB"/>
    </w:rPr>
  </w:style>
  <w:style w:type="character" w:styleId="IntenseReference">
    <w:name w:val="Intense Reference"/>
    <w:basedOn w:val="DefaultParagraphFont"/>
    <w:uiPriority w:val="32"/>
    <w:qFormat/>
    <w:rsid w:val="0067510E"/>
    <w:rPr>
      <w:b/>
      <w:bCs/>
      <w:smallCaps/>
      <w:color w:val="2F5496" w:themeColor="accent1" w:themeShade="BF"/>
      <w:spacing w:val="5"/>
    </w:rPr>
  </w:style>
  <w:style w:type="character" w:styleId="Hyperlink">
    <w:name w:val="Hyperlink"/>
    <w:basedOn w:val="DefaultParagraphFont"/>
    <w:uiPriority w:val="99"/>
    <w:unhideWhenUsed/>
    <w:rsid w:val="00906BE5"/>
    <w:rPr>
      <w:color w:val="0563C1" w:themeColor="hyperlink"/>
      <w:u w:val="single"/>
    </w:rPr>
  </w:style>
  <w:style w:type="character" w:styleId="UnresolvedMention">
    <w:name w:val="Unresolved Mention"/>
    <w:basedOn w:val="DefaultParagraphFont"/>
    <w:uiPriority w:val="99"/>
    <w:semiHidden/>
    <w:unhideWhenUsed/>
    <w:rsid w:val="00906BE5"/>
    <w:rPr>
      <w:color w:val="605E5C"/>
      <w:shd w:val="clear" w:color="auto" w:fill="E1DFDD"/>
    </w:rPr>
  </w:style>
  <w:style w:type="paragraph" w:styleId="TOC1">
    <w:name w:val="toc 1"/>
    <w:basedOn w:val="Normal"/>
    <w:next w:val="Normal"/>
    <w:autoRedefine/>
    <w:uiPriority w:val="39"/>
    <w:unhideWhenUsed/>
    <w:rsid w:val="008B5ACE"/>
    <w:pPr>
      <w:spacing w:after="100"/>
    </w:pPr>
  </w:style>
  <w:style w:type="paragraph" w:styleId="TOC2">
    <w:name w:val="toc 2"/>
    <w:basedOn w:val="Normal"/>
    <w:next w:val="Normal"/>
    <w:autoRedefine/>
    <w:uiPriority w:val="39"/>
    <w:unhideWhenUsed/>
    <w:rsid w:val="008B5ACE"/>
    <w:pPr>
      <w:spacing w:after="100"/>
      <w:ind w:left="240"/>
    </w:pPr>
  </w:style>
  <w:style w:type="paragraph" w:styleId="Header">
    <w:name w:val="header"/>
    <w:basedOn w:val="Normal"/>
    <w:link w:val="HeaderChar"/>
    <w:uiPriority w:val="99"/>
    <w:unhideWhenUsed/>
    <w:rsid w:val="001F44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4478"/>
    <w:rPr>
      <w:rFonts w:ascii="Times New Roman" w:hAnsi="Times New Roman"/>
      <w:kern w:val="2"/>
      <w:sz w:val="24"/>
      <w:lang w:val="en-GB"/>
    </w:rPr>
  </w:style>
  <w:style w:type="paragraph" w:styleId="Footer">
    <w:name w:val="footer"/>
    <w:basedOn w:val="Normal"/>
    <w:link w:val="FooterChar"/>
    <w:uiPriority w:val="99"/>
    <w:unhideWhenUsed/>
    <w:rsid w:val="001F44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4478"/>
    <w:rPr>
      <w:rFonts w:ascii="Times New Roman" w:hAnsi="Times New Roman"/>
      <w:kern w:val="2"/>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bcxSQW1f3C/DDBmd1foc272Elw==">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3248</Words>
  <Characters>18515</Characters>
  <Application>Microsoft Office Word</Application>
  <DocSecurity>0</DocSecurity>
  <Lines>154</Lines>
  <Paragraphs>43</Paragraphs>
  <ScaleCrop>false</ScaleCrop>
  <Company/>
  <LinksUpToDate>false</LinksUpToDate>
  <CharactersWithSpaces>21720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Ionut Aliu</cp:lastModifiedBy>
  <cp:revision>9</cp:revision>
  <dcterms:created xsi:type="dcterms:W3CDTF">2025-03-17T05:03:00Z</dcterms:created>
  <dcterms:modified xsi:type="dcterms:W3CDTF">2025-03-17T18:27:00Z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22433b6c686930a2bfdf406103fc4e1e76234c31de4e459dfb14d2c34646357a</vt:lpwstr>
  </property>
</Properties>
</file>