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101DDF" w14:textId="77777777" w:rsidR="0035142C" w:rsidRDefault="0035142C" w:rsidP="0035142C">
      <w:pPr>
        <w:jc w:val="center"/>
        <w:rPr>
          <w:b/>
          <w:bCs/>
          <w:sz w:val="32"/>
          <w:szCs w:val="28"/>
        </w:rPr>
      </w:pPr>
    </w:p>
    <w:p w14:paraId="4443EB77" w14:textId="77777777" w:rsidR="0035142C" w:rsidRDefault="0035142C" w:rsidP="0035142C">
      <w:pPr>
        <w:jc w:val="center"/>
        <w:rPr>
          <w:b/>
          <w:bCs/>
          <w:sz w:val="32"/>
          <w:szCs w:val="28"/>
        </w:rPr>
      </w:pPr>
    </w:p>
    <w:p w14:paraId="15973F00" w14:textId="77777777" w:rsidR="0035142C" w:rsidRDefault="0035142C" w:rsidP="0035142C">
      <w:pPr>
        <w:jc w:val="center"/>
        <w:rPr>
          <w:b/>
          <w:bCs/>
          <w:sz w:val="32"/>
          <w:szCs w:val="28"/>
        </w:rPr>
      </w:pPr>
    </w:p>
    <w:p w14:paraId="6F5DDA51" w14:textId="77777777" w:rsidR="0035142C" w:rsidRDefault="0035142C" w:rsidP="0035142C">
      <w:pPr>
        <w:jc w:val="center"/>
        <w:rPr>
          <w:b/>
          <w:bCs/>
          <w:sz w:val="32"/>
          <w:szCs w:val="28"/>
        </w:rPr>
      </w:pPr>
      <w:r w:rsidRPr="0035142C">
        <w:rPr>
          <w:b/>
          <w:bCs/>
          <w:sz w:val="32"/>
          <w:szCs w:val="28"/>
        </w:rPr>
        <w:t>EVALUATION OF THE EVENT MANAGEMENT AND MARKET ASSESSMENT OF THE INTERNATIONAL CULINARY AND CULTURE FESTIVAL WALES 2025: YEAR OF CROESO 2025</w:t>
      </w:r>
    </w:p>
    <w:p w14:paraId="0EA7D869" w14:textId="77777777" w:rsidR="0035142C" w:rsidRDefault="0035142C" w:rsidP="0035142C">
      <w:pPr>
        <w:jc w:val="center"/>
        <w:rPr>
          <w:b/>
          <w:bCs/>
          <w:sz w:val="32"/>
          <w:szCs w:val="28"/>
        </w:rPr>
      </w:pPr>
    </w:p>
    <w:p w14:paraId="60F3DE4A" w14:textId="094D23EE" w:rsidR="0035142C" w:rsidRDefault="0035142C" w:rsidP="0035142C">
      <w:pPr>
        <w:jc w:val="center"/>
        <w:rPr>
          <w:b/>
          <w:bCs/>
          <w:sz w:val="28"/>
          <w:szCs w:val="24"/>
        </w:rPr>
      </w:pPr>
      <w:r>
        <w:rPr>
          <w:b/>
          <w:bCs/>
          <w:sz w:val="28"/>
          <w:szCs w:val="24"/>
        </w:rPr>
        <w:t xml:space="preserve">Student name: </w:t>
      </w:r>
      <w:r w:rsidR="00DA60A2">
        <w:rPr>
          <w:b/>
          <w:bCs/>
          <w:sz w:val="28"/>
          <w:szCs w:val="24"/>
        </w:rPr>
        <w:t>Ionela Madalina Cananau</w:t>
      </w:r>
    </w:p>
    <w:p w14:paraId="547ACA44" w14:textId="267672C8" w:rsidR="0035142C" w:rsidRDefault="0035142C" w:rsidP="0035142C">
      <w:pPr>
        <w:jc w:val="center"/>
        <w:rPr>
          <w:b/>
          <w:bCs/>
          <w:sz w:val="28"/>
          <w:szCs w:val="24"/>
        </w:rPr>
      </w:pPr>
      <w:r>
        <w:rPr>
          <w:b/>
          <w:bCs/>
          <w:sz w:val="28"/>
          <w:szCs w:val="24"/>
        </w:rPr>
        <w:t xml:space="preserve">Student id: </w:t>
      </w:r>
      <w:r w:rsidR="00DA60A2">
        <w:rPr>
          <w:b/>
          <w:bCs/>
          <w:sz w:val="28"/>
          <w:szCs w:val="24"/>
        </w:rPr>
        <w:t>2243593</w:t>
      </w:r>
    </w:p>
    <w:p w14:paraId="5370914B" w14:textId="04785774" w:rsidR="0035142C" w:rsidRDefault="0035142C" w:rsidP="0035142C">
      <w:pPr>
        <w:jc w:val="center"/>
        <w:rPr>
          <w:b/>
          <w:bCs/>
          <w:sz w:val="28"/>
          <w:szCs w:val="24"/>
        </w:rPr>
      </w:pPr>
      <w:r>
        <w:rPr>
          <w:b/>
          <w:bCs/>
          <w:sz w:val="28"/>
          <w:szCs w:val="24"/>
        </w:rPr>
        <w:t xml:space="preserve">Module name: </w:t>
      </w:r>
      <w:r w:rsidRPr="0035142C">
        <w:rPr>
          <w:b/>
          <w:bCs/>
          <w:sz w:val="28"/>
          <w:szCs w:val="24"/>
        </w:rPr>
        <w:t>International Meetings Management for the Hotel Industry</w:t>
      </w:r>
    </w:p>
    <w:p w14:paraId="5D125F48" w14:textId="48E0EB1F" w:rsidR="0035142C" w:rsidRDefault="0035142C" w:rsidP="0035142C">
      <w:pPr>
        <w:jc w:val="center"/>
        <w:rPr>
          <w:b/>
          <w:bCs/>
          <w:sz w:val="28"/>
          <w:szCs w:val="24"/>
        </w:rPr>
      </w:pPr>
      <w:r>
        <w:rPr>
          <w:b/>
          <w:bCs/>
          <w:sz w:val="28"/>
          <w:szCs w:val="24"/>
        </w:rPr>
        <w:t xml:space="preserve">Module code: </w:t>
      </w:r>
      <w:r w:rsidRPr="0035142C">
        <w:rPr>
          <w:b/>
          <w:bCs/>
          <w:sz w:val="28"/>
          <w:szCs w:val="24"/>
        </w:rPr>
        <w:t>BMIH6007</w:t>
      </w:r>
    </w:p>
    <w:p w14:paraId="3B25DAD9" w14:textId="361757CA" w:rsidR="0035142C" w:rsidRDefault="0035142C" w:rsidP="0035142C">
      <w:pPr>
        <w:jc w:val="center"/>
        <w:rPr>
          <w:b/>
          <w:bCs/>
          <w:sz w:val="28"/>
          <w:szCs w:val="24"/>
        </w:rPr>
      </w:pPr>
      <w:r>
        <w:rPr>
          <w:b/>
          <w:bCs/>
          <w:sz w:val="28"/>
          <w:szCs w:val="24"/>
        </w:rPr>
        <w:t>Wordcount:</w:t>
      </w:r>
      <w:r w:rsidR="00CD409B">
        <w:rPr>
          <w:b/>
          <w:bCs/>
          <w:sz w:val="28"/>
          <w:szCs w:val="24"/>
        </w:rPr>
        <w:t xml:space="preserve"> </w:t>
      </w:r>
      <w:r w:rsidR="002C6D2F">
        <w:rPr>
          <w:b/>
          <w:bCs/>
          <w:sz w:val="28"/>
          <w:szCs w:val="24"/>
        </w:rPr>
        <w:t>2680</w:t>
      </w:r>
    </w:p>
    <w:p w14:paraId="1FAB39A6" w14:textId="462F19E9" w:rsidR="00DA60A2" w:rsidRDefault="0035142C" w:rsidP="007E1878">
      <w:pPr>
        <w:jc w:val="center"/>
        <w:rPr>
          <w:b/>
          <w:bCs/>
          <w:sz w:val="28"/>
          <w:szCs w:val="24"/>
        </w:rPr>
      </w:pPr>
      <w:r>
        <w:rPr>
          <w:b/>
          <w:bCs/>
          <w:sz w:val="28"/>
          <w:szCs w:val="24"/>
        </w:rPr>
        <w:t>Reference:</w:t>
      </w:r>
      <w:r w:rsidR="00CD409B">
        <w:rPr>
          <w:b/>
          <w:bCs/>
          <w:sz w:val="28"/>
          <w:szCs w:val="24"/>
        </w:rPr>
        <w:t xml:space="preserve"> CCCU Harvar</w:t>
      </w:r>
      <w:r w:rsidR="00DA60A2">
        <w:rPr>
          <w:b/>
          <w:bCs/>
          <w:sz w:val="28"/>
          <w:szCs w:val="24"/>
        </w:rPr>
        <w:t>d</w:t>
      </w:r>
    </w:p>
    <w:p w14:paraId="1801D584" w14:textId="1968E293" w:rsidR="007E1878" w:rsidRDefault="007E1878" w:rsidP="007E1878">
      <w:pPr>
        <w:jc w:val="center"/>
        <w:rPr>
          <w:b/>
          <w:bCs/>
          <w:sz w:val="28"/>
          <w:szCs w:val="24"/>
        </w:rPr>
      </w:pPr>
    </w:p>
    <w:p w14:paraId="67C8EF07" w14:textId="2286C047" w:rsidR="007E1878" w:rsidRDefault="007E1878" w:rsidP="007E1878">
      <w:pPr>
        <w:jc w:val="center"/>
        <w:rPr>
          <w:b/>
          <w:bCs/>
          <w:sz w:val="28"/>
          <w:szCs w:val="24"/>
        </w:rPr>
      </w:pPr>
    </w:p>
    <w:p w14:paraId="268B2A61" w14:textId="43E582C3" w:rsidR="007E1878" w:rsidRDefault="007E1878" w:rsidP="007E1878">
      <w:pPr>
        <w:jc w:val="center"/>
        <w:rPr>
          <w:b/>
          <w:bCs/>
          <w:sz w:val="28"/>
          <w:szCs w:val="24"/>
        </w:rPr>
      </w:pPr>
    </w:p>
    <w:p w14:paraId="2B959820" w14:textId="24F9D12E" w:rsidR="007E1878" w:rsidRDefault="007E1878" w:rsidP="007E1878">
      <w:pPr>
        <w:jc w:val="center"/>
        <w:rPr>
          <w:b/>
          <w:bCs/>
          <w:sz w:val="28"/>
          <w:szCs w:val="24"/>
        </w:rPr>
      </w:pPr>
    </w:p>
    <w:p w14:paraId="1EDA851D" w14:textId="4031743D" w:rsidR="007E1878" w:rsidRDefault="007E1878" w:rsidP="007E1878">
      <w:pPr>
        <w:jc w:val="center"/>
        <w:rPr>
          <w:b/>
          <w:bCs/>
          <w:sz w:val="28"/>
          <w:szCs w:val="24"/>
        </w:rPr>
      </w:pPr>
    </w:p>
    <w:p w14:paraId="73B08383" w14:textId="77777777" w:rsidR="007E1878" w:rsidRDefault="007E1878" w:rsidP="007E1878">
      <w:pPr>
        <w:jc w:val="center"/>
        <w:rPr>
          <w:b/>
          <w:bCs/>
          <w:sz w:val="28"/>
          <w:szCs w:val="24"/>
        </w:rPr>
      </w:pPr>
    </w:p>
    <w:p w14:paraId="448292DE" w14:textId="323C49DB" w:rsidR="00CD409B" w:rsidRPr="007E1878" w:rsidRDefault="00DA60A2" w:rsidP="007E1878">
      <w:pPr>
        <w:rPr>
          <w:sz w:val="22"/>
        </w:rPr>
      </w:pPr>
      <w:r w:rsidRPr="007E1878">
        <w:rPr>
          <w:b/>
          <w:bCs/>
          <w:sz w:val="22"/>
        </w:rPr>
        <w:t xml:space="preserve">I confirm that I have not used any AI tools in the research </w:t>
      </w:r>
      <w:r w:rsidR="007E1878" w:rsidRPr="007E1878">
        <w:rPr>
          <w:b/>
          <w:bCs/>
          <w:sz w:val="22"/>
        </w:rPr>
        <w:t xml:space="preserve">and creation of this assignment. I confirm that I have not presented any Ai generated materials as my own work. I confirm I have copies of my drafts, notes, and other resources I used, which I </w:t>
      </w:r>
      <w:proofErr w:type="spellStart"/>
      <w:proofErr w:type="gramStart"/>
      <w:r w:rsidR="007E1878" w:rsidRPr="007E1878">
        <w:rPr>
          <w:b/>
          <w:bCs/>
          <w:sz w:val="22"/>
        </w:rPr>
        <w:t>my</w:t>
      </w:r>
      <w:proofErr w:type="spellEnd"/>
      <w:proofErr w:type="gramEnd"/>
      <w:r w:rsidR="007E1878" w:rsidRPr="007E1878">
        <w:rPr>
          <w:b/>
          <w:bCs/>
          <w:sz w:val="22"/>
        </w:rPr>
        <w:t xml:space="preserve"> be asked to provide in evidence.</w:t>
      </w:r>
    </w:p>
    <w:p w14:paraId="508EE525" w14:textId="77777777" w:rsidR="00CD409B" w:rsidRPr="00CD409B" w:rsidRDefault="00CD409B" w:rsidP="00CD409B">
      <w:pPr>
        <w:pStyle w:val="Heading1"/>
      </w:pPr>
      <w:bookmarkStart w:id="0" w:name="_Toc198914882"/>
      <w:r w:rsidRPr="00CD409B">
        <w:lastRenderedPageBreak/>
        <w:t>Assignment 2:  Report</w:t>
      </w:r>
      <w:bookmarkEnd w:id="0"/>
    </w:p>
    <w:p w14:paraId="14F98FB1" w14:textId="77777777" w:rsidR="00CD409B" w:rsidRPr="00CD409B" w:rsidRDefault="00CD409B" w:rsidP="00CD409B">
      <w:pPr>
        <w:pStyle w:val="Heading2"/>
      </w:pPr>
      <w:bookmarkStart w:id="1" w:name="_Toc198914883"/>
      <w:r w:rsidRPr="00CD409B">
        <w:t>Introduction</w:t>
      </w:r>
      <w:bookmarkEnd w:id="1"/>
    </w:p>
    <w:p w14:paraId="450A2535" w14:textId="77777777" w:rsidR="00CD409B" w:rsidRPr="00CD409B" w:rsidRDefault="00CD409B" w:rsidP="00CD409B">
      <w:r w:rsidRPr="00CD409B">
        <w:t xml:space="preserve"> This report is going to evaluate the proposed event </w:t>
      </w:r>
      <w:r w:rsidRPr="00CD409B">
        <w:rPr>
          <w:i/>
          <w:iCs/>
        </w:rPr>
        <w:t xml:space="preserve">International Culinary and Cultural Festival Wales 2025. </w:t>
      </w:r>
      <w:r w:rsidRPr="00CD409B">
        <w:t xml:space="preserve">This event is going to be a large-scale festival for maintaining original hospitality tourism-based events for celebrating the culture of Wales in maintaining cuisine for the national theme, in visiting the </w:t>
      </w:r>
      <w:r w:rsidRPr="00CD409B">
        <w:rPr>
          <w:i/>
          <w:iCs/>
        </w:rPr>
        <w:t xml:space="preserve">Year of </w:t>
      </w:r>
      <w:proofErr w:type="spellStart"/>
      <w:r w:rsidRPr="00CD409B">
        <w:rPr>
          <w:i/>
          <w:iCs/>
        </w:rPr>
        <w:t>Coreso</w:t>
      </w:r>
      <w:proofErr w:type="spellEnd"/>
      <w:r w:rsidRPr="00CD409B">
        <w:rPr>
          <w:i/>
          <w:iCs/>
        </w:rPr>
        <w:t xml:space="preserve"> 2025</w:t>
      </w:r>
      <w:r w:rsidRPr="00CD409B">
        <w:t>. The event mainly focuses on attracting and gathering people from around the globe as culinary professionals, tourists and hospitality stakeholders. This is going to focus on integrating the rich culture, tradition, hospitality management and local investment processes that align with national tourism strategies for integrating and promoting the sense of tourism development and working capabilities.</w:t>
      </w:r>
    </w:p>
    <w:p w14:paraId="31424D07" w14:textId="77777777" w:rsidR="00CD409B" w:rsidRPr="00CD409B" w:rsidRDefault="00CD409B" w:rsidP="00CD409B">
      <w:r w:rsidRPr="00CD409B">
        <w:t> This report is going to outline a proper delivery process and strategic planning that is necessary for integrating the festival with proper working criteria. Building a proper assessment with a feasible understanding can help maintain its detailed planning processes. It maintains an event planning process and understanding the cycle of applying operational budget, logistics, marketing processes, stakeholder engagement and strategic alignment processes with several trends and finding out the issues. The event is also going to integrate national tourism objectives with a unique understanding and marketable processes for including the experiences that can be critically evaluated.</w:t>
      </w:r>
    </w:p>
    <w:p w14:paraId="5791D929" w14:textId="77777777" w:rsidR="00CD409B" w:rsidRPr="00CD409B" w:rsidRDefault="00CD409B" w:rsidP="00CD409B">
      <w:pPr>
        <w:pStyle w:val="Heading2"/>
      </w:pPr>
      <w:r w:rsidRPr="00CD409B">
        <w:t> </w:t>
      </w:r>
      <w:bookmarkStart w:id="2" w:name="_Toc198914884"/>
      <w:r w:rsidRPr="00CD409B">
        <w:t xml:space="preserve">The event </w:t>
      </w:r>
      <w:proofErr w:type="gramStart"/>
      <w:r w:rsidRPr="00CD409B">
        <w:t>cycle</w:t>
      </w:r>
      <w:bookmarkEnd w:id="2"/>
      <w:proofErr w:type="gramEnd"/>
    </w:p>
    <w:p w14:paraId="1144EF03" w14:textId="77777777" w:rsidR="00CD409B" w:rsidRPr="00CD409B" w:rsidRDefault="00CD409B" w:rsidP="00CD409B">
      <w:r w:rsidRPr="00CD409B">
        <w:t xml:space="preserve"> The event cycle can be the foundational planning or model for event management that can focus on the chronological steps of planning evaluating and delivering the event management processes. According to different resources this cycle can comprise of five main this is that include initiation, planning, implementation, the event and closure. </w:t>
      </w:r>
    </w:p>
    <w:p w14:paraId="1C91F5E6" w14:textId="77777777" w:rsidR="00CD409B" w:rsidRPr="00CD409B" w:rsidRDefault="00CD409B" w:rsidP="00CD409B">
      <w:r w:rsidRPr="00CD409B">
        <w:rPr>
          <w:b/>
          <w:bCs/>
        </w:rPr>
        <w:t>Initiation:</w:t>
      </w:r>
      <w:r w:rsidRPr="00CD409B">
        <w:t xml:space="preserve">  The initiation process mainly involves proper understanding and conceptualising the idea of the event and establishing its importance and relevance. The festival is mainly conceptualised based on its implementation processes with Visit Wales objectives and promoting a warm understanding, which will come through culinary and cultural tourism practices (</w:t>
      </w:r>
      <w:proofErr w:type="spellStart"/>
      <w:r w:rsidRPr="00CD409B">
        <w:t>businesswales</w:t>
      </w:r>
      <w:proofErr w:type="spellEnd"/>
      <w:r w:rsidRPr="00CD409B">
        <w:t>, 2025).  This stage is also involved with proper identification of the objectives and finding a support team for understanding the funding feasibility and tourism integration.</w:t>
      </w:r>
    </w:p>
    <w:p w14:paraId="269327B0" w14:textId="77777777" w:rsidR="00CD409B" w:rsidRPr="00CD409B" w:rsidRDefault="00CD409B" w:rsidP="00CD409B">
      <w:r w:rsidRPr="00CD409B">
        <w:rPr>
          <w:b/>
          <w:bCs/>
        </w:rPr>
        <w:lastRenderedPageBreak/>
        <w:t> Planning:</w:t>
      </w:r>
      <w:r w:rsidRPr="00CD409B">
        <w:t xml:space="preserve">  as per proper understanding the planning is one of the most important stage 4 understanding the resource management processes that include detailed budgeting, scheduling, stakeholder engagement, venue management and risk assessment processes. In this peace the planning can involve with several understandings.</w:t>
      </w:r>
    </w:p>
    <w:p w14:paraId="76664813" w14:textId="77777777" w:rsidR="00CD409B" w:rsidRPr="00CD409B" w:rsidRDefault="00CD409B" w:rsidP="00CD409B">
      <w:pPr>
        <w:numPr>
          <w:ilvl w:val="0"/>
          <w:numId w:val="2"/>
        </w:numPr>
      </w:pPr>
      <w:r w:rsidRPr="00CD409B">
        <w:t xml:space="preserve">Addressing and securing the venue in Cardiff Castle Grounds. </w:t>
      </w:r>
    </w:p>
    <w:p w14:paraId="4CE8097F" w14:textId="77777777" w:rsidR="00CD409B" w:rsidRPr="00CD409B" w:rsidRDefault="00CD409B" w:rsidP="00CD409B">
      <w:pPr>
        <w:numPr>
          <w:ilvl w:val="0"/>
          <w:numId w:val="2"/>
        </w:numPr>
      </w:pPr>
      <w:r w:rsidRPr="00CD409B">
        <w:t>Development of proper partnership with cultural organisations, food vendors, SME’s and different sponsors (</w:t>
      </w:r>
      <w:proofErr w:type="spellStart"/>
      <w:r w:rsidRPr="00CD409B">
        <w:t>Dounavi</w:t>
      </w:r>
      <w:proofErr w:type="spellEnd"/>
      <w:r w:rsidRPr="00CD409B">
        <w:t xml:space="preserve"> </w:t>
      </w:r>
      <w:r w:rsidRPr="00CD409B">
        <w:rPr>
          <w:i/>
          <w:iCs/>
        </w:rPr>
        <w:t xml:space="preserve">et al. </w:t>
      </w:r>
      <w:r w:rsidRPr="00CD409B">
        <w:t>2022).</w:t>
      </w:r>
    </w:p>
    <w:p w14:paraId="7CC12C11" w14:textId="77777777" w:rsidR="00CD409B" w:rsidRPr="00CD409B" w:rsidRDefault="00CD409B" w:rsidP="00CD409B">
      <w:pPr>
        <w:numPr>
          <w:ilvl w:val="0"/>
          <w:numId w:val="2"/>
        </w:numPr>
      </w:pPr>
      <w:r w:rsidRPr="00CD409B">
        <w:t>Maintaining proper marketing strategies and event management plans.</w:t>
      </w:r>
    </w:p>
    <w:p w14:paraId="19C48DB3" w14:textId="77777777" w:rsidR="00CD409B" w:rsidRPr="00CD409B" w:rsidRDefault="00CD409B" w:rsidP="00CD409B">
      <w:pPr>
        <w:numPr>
          <w:ilvl w:val="0"/>
          <w:numId w:val="2"/>
        </w:numPr>
      </w:pPr>
      <w:r w:rsidRPr="00CD409B">
        <w:t>Risk evaluation is achieved by utilising several tools.</w:t>
      </w:r>
    </w:p>
    <w:p w14:paraId="247CD9E1" w14:textId="77777777" w:rsidR="00CD409B" w:rsidRPr="00CD409B" w:rsidRDefault="00CD409B" w:rsidP="00CD409B">
      <w:r w:rsidRPr="00CD409B">
        <w:t> These are the main project management perspectives and understanding its integration processes for interdependency and management of the event.</w:t>
      </w:r>
    </w:p>
    <w:p w14:paraId="64BF5C03" w14:textId="0CF50A84" w:rsidR="00CD409B" w:rsidRPr="00CD409B" w:rsidRDefault="00CD409B" w:rsidP="00CD409B">
      <w:pPr>
        <w:jc w:val="center"/>
      </w:pPr>
      <w:r w:rsidRPr="00CD409B">
        <w:rPr>
          <w:noProof/>
        </w:rPr>
        <w:drawing>
          <wp:inline distT="0" distB="0" distL="0" distR="0" wp14:anchorId="17E0EE43" wp14:editId="70C33C81">
            <wp:extent cx="5486400" cy="3209925"/>
            <wp:effectExtent l="0" t="38100" r="0" b="0"/>
            <wp:docPr id="1963112274"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1C39BFAD" w14:textId="77777777" w:rsidR="00CD409B" w:rsidRPr="00CD409B" w:rsidRDefault="00CD409B" w:rsidP="00CD409B">
      <w:pPr>
        <w:jc w:val="center"/>
        <w:rPr>
          <w:b/>
          <w:bCs/>
        </w:rPr>
      </w:pPr>
      <w:r w:rsidRPr="00CD409B">
        <w:rPr>
          <w:b/>
          <w:bCs/>
        </w:rPr>
        <w:t>Figure 1: Factors of the event cycle</w:t>
      </w:r>
    </w:p>
    <w:p w14:paraId="6E7B087E" w14:textId="77777777" w:rsidR="00CD409B" w:rsidRPr="00CD409B" w:rsidRDefault="00CD409B" w:rsidP="00CD409B">
      <w:pPr>
        <w:jc w:val="center"/>
      </w:pPr>
      <w:r w:rsidRPr="00CD409B">
        <w:t>(Source: Self-developed)</w:t>
      </w:r>
    </w:p>
    <w:p w14:paraId="0101AFE8" w14:textId="77777777" w:rsidR="00CD409B" w:rsidRPr="00CD409B" w:rsidRDefault="00CD409B" w:rsidP="00CD409B">
      <w:r w:rsidRPr="00CD409B">
        <w:rPr>
          <w:b/>
          <w:bCs/>
        </w:rPr>
        <w:t> Implementation:</w:t>
      </w:r>
      <w:r w:rsidRPr="00CD409B">
        <w:t xml:space="preserve">  this part mainly focuses on integrating logistic and physical support for developing the event with proper installation of infrastructural development that includes technological support and staff training processes (</w:t>
      </w:r>
      <w:proofErr w:type="spellStart"/>
      <w:r w:rsidRPr="00CD409B">
        <w:t>Ballarano</w:t>
      </w:r>
      <w:proofErr w:type="spellEnd"/>
      <w:r w:rsidRPr="00CD409B">
        <w:t xml:space="preserve"> </w:t>
      </w:r>
      <w:r w:rsidRPr="00CD409B">
        <w:rPr>
          <w:i/>
          <w:iCs/>
        </w:rPr>
        <w:t xml:space="preserve">et al. </w:t>
      </w:r>
      <w:r w:rsidRPr="00CD409B">
        <w:t xml:space="preserve">2022). In this part, the </w:t>
      </w:r>
      <w:r w:rsidRPr="00CD409B">
        <w:lastRenderedPageBreak/>
        <w:t>vendors need to be evaluated and briefed, development of proper rehearsals, integration of working processes and development of a contingency plan.</w:t>
      </w:r>
    </w:p>
    <w:p w14:paraId="38C5FA93" w14:textId="77777777" w:rsidR="00CD409B" w:rsidRPr="00CD409B" w:rsidRDefault="00CD409B" w:rsidP="00CD409B">
      <w:r w:rsidRPr="00CD409B">
        <w:t> </w:t>
      </w:r>
      <w:r w:rsidRPr="00CD409B">
        <w:rPr>
          <w:b/>
          <w:bCs/>
        </w:rPr>
        <w:t>Event delivery:</w:t>
      </w:r>
      <w:r w:rsidRPr="00CD409B">
        <w:t xml:space="preserve"> the event is going to be a three-day festival in July 2025. It features cultural performances, culinary pavilions and hospitality exhibitions (Carswell </w:t>
      </w:r>
      <w:r w:rsidRPr="00CD409B">
        <w:rPr>
          <w:i/>
          <w:iCs/>
        </w:rPr>
        <w:t xml:space="preserve">et al. </w:t>
      </w:r>
      <w:r w:rsidRPr="00CD409B">
        <w:t>2023). Real-time management mainly focuses on performance, crowd control, emergency responses and social media engagement. These maintain rapid problem solving and flexibility in maintaining a smooth experience for visitors.</w:t>
      </w:r>
    </w:p>
    <w:p w14:paraId="1E2AA216" w14:textId="77777777" w:rsidR="00CD409B" w:rsidRPr="00CD409B" w:rsidRDefault="00CD409B" w:rsidP="00CD409B">
      <w:r w:rsidRPr="00CD409B">
        <w:t> </w:t>
      </w:r>
      <w:r w:rsidRPr="00CD409B">
        <w:rPr>
          <w:b/>
          <w:bCs/>
        </w:rPr>
        <w:t>Evaluation and closure:</w:t>
      </w:r>
      <w:r w:rsidRPr="00CD409B">
        <w:t xml:space="preserve">  The post event evaluation mainly focuses on process payment, understanding the equipment processes and formally assessing the partners and shareholders. This can evaluate proper understanding based on smart objectives and introduce financial perspective and attendee feedback.</w:t>
      </w:r>
    </w:p>
    <w:p w14:paraId="6498EC46" w14:textId="77777777" w:rsidR="00CD409B" w:rsidRPr="00CD409B" w:rsidRDefault="00CD409B" w:rsidP="00CD409B">
      <w:pPr>
        <w:pStyle w:val="Heading2"/>
      </w:pPr>
      <w:r w:rsidRPr="00CD409B">
        <w:t> </w:t>
      </w:r>
      <w:bookmarkStart w:id="3" w:name="_Toc198914885"/>
      <w:r w:rsidRPr="00CD409B">
        <w:t>Event concept</w:t>
      </w:r>
      <w:bookmarkEnd w:id="3"/>
    </w:p>
    <w:p w14:paraId="59AD21CE" w14:textId="77777777" w:rsidR="00CD409B" w:rsidRPr="00CD409B" w:rsidRDefault="00CD409B" w:rsidP="00CD409B">
      <w:r w:rsidRPr="00CD409B">
        <w:t xml:space="preserve"> The </w:t>
      </w:r>
      <w:r w:rsidRPr="00CD409B">
        <w:rPr>
          <w:i/>
          <w:iCs/>
        </w:rPr>
        <w:t>International Culinary and Cultural Festival Wales 2025</w:t>
      </w:r>
      <w:r w:rsidRPr="00CD409B">
        <w:t xml:space="preserve"> is going to be a three-day event with an international showcase of culinary heritage and cultural richness. It focuses on integrating the heritage and cultural interconnected of Wales, UK, that can simultaneously promote tourism and the hospitality industry (Smith, 2012). This event is going to provide a </w:t>
      </w:r>
      <w:proofErr w:type="gramStart"/>
      <w:r w:rsidRPr="00CD409B">
        <w:t>particular understanding</w:t>
      </w:r>
      <w:proofErr w:type="gramEnd"/>
      <w:r w:rsidRPr="00CD409B">
        <w:t xml:space="preserve"> of the capitalisation of the tourism season. It can be aligned with the national campaign for </w:t>
      </w:r>
      <w:r w:rsidRPr="00CD409B">
        <w:rPr>
          <w:i/>
          <w:iCs/>
        </w:rPr>
        <w:t xml:space="preserve">Year of </w:t>
      </w:r>
      <w:proofErr w:type="spellStart"/>
      <w:proofErr w:type="gramStart"/>
      <w:r w:rsidRPr="00CD409B">
        <w:rPr>
          <w:i/>
          <w:iCs/>
        </w:rPr>
        <w:t>Coreso</w:t>
      </w:r>
      <w:proofErr w:type="spellEnd"/>
      <w:r w:rsidRPr="00CD409B">
        <w:rPr>
          <w:i/>
          <w:iCs/>
        </w:rPr>
        <w:t xml:space="preserve">, </w:t>
      </w:r>
      <w:r w:rsidRPr="00CD409B">
        <w:t>and</w:t>
      </w:r>
      <w:proofErr w:type="gramEnd"/>
      <w:r w:rsidRPr="00CD409B">
        <w:t xml:space="preserve"> understanding the working processes for visualising and integrating arts, culture and interactive experience for professional integration of the tourism sector.</w:t>
      </w:r>
    </w:p>
    <w:p w14:paraId="61F6B6A6" w14:textId="77777777" w:rsidR="00CD409B" w:rsidRPr="00CD409B" w:rsidRDefault="00CD409B" w:rsidP="00CD409B">
      <w:pPr>
        <w:pStyle w:val="Heading3"/>
      </w:pPr>
      <w:r w:rsidRPr="00CD409B">
        <w:t> </w:t>
      </w:r>
      <w:bookmarkStart w:id="4" w:name="_Toc198914886"/>
      <w:r w:rsidRPr="00CD409B">
        <w:t>Key features and attractions</w:t>
      </w:r>
      <w:bookmarkEnd w:id="4"/>
    </w:p>
    <w:p w14:paraId="50C9DDD6" w14:textId="77777777" w:rsidR="00CD409B" w:rsidRPr="00CD409B" w:rsidRDefault="00CD409B" w:rsidP="00CD409B">
      <w:r w:rsidRPr="00CD409B">
        <w:t> This festival mainly featured a dedicated understanding of cultural performances, culinary exhibitions and hospitality business management processes (Meredith, 2022). In this culinary part, the food vendors and attendees can experience a demonstration of live cooking by renowned chefs and Vendors in their own food tasting stalls that can focus on local Ingredients and their utilisation in international cuisine and fusion development based on the traditional perspective (</w:t>
      </w:r>
      <w:proofErr w:type="spellStart"/>
      <w:r w:rsidRPr="00CD409B">
        <w:t>kieronj</w:t>
      </w:r>
      <w:proofErr w:type="spellEnd"/>
      <w:r w:rsidRPr="00CD409B">
        <w:t>, 2025). The cultural segment can host traditional dance performances, live music, and storytelling in both English and Welsh. However, the exhibition zone mainly focuses on integrating several working processes of tourism business and hospitality management for promoting adventure activities, accommodations and sustainable tourism practices.</w:t>
      </w:r>
    </w:p>
    <w:p w14:paraId="6B504B48" w14:textId="77777777" w:rsidR="00CD409B" w:rsidRPr="00CD409B" w:rsidRDefault="00CD409B" w:rsidP="00CD409B">
      <w:pPr>
        <w:pStyle w:val="Heading3"/>
      </w:pPr>
      <w:r w:rsidRPr="00CD409B">
        <w:lastRenderedPageBreak/>
        <w:t> </w:t>
      </w:r>
      <w:bookmarkStart w:id="5" w:name="_Toc198914887"/>
      <w:r w:rsidRPr="00CD409B">
        <w:t>Interactivity and visitor engagement</w:t>
      </w:r>
      <w:bookmarkEnd w:id="5"/>
    </w:p>
    <w:p w14:paraId="0265029E" w14:textId="77777777" w:rsidR="00CD409B" w:rsidRPr="00CD409B" w:rsidRDefault="00CD409B" w:rsidP="00CD409B">
      <w:r w:rsidRPr="00CD409B">
        <w:t xml:space="preserve">Interactivity is an essential part of the event. Attendees can be a part of the hands-on activities and workshops including language testers, Welsh baking classes and several sessions for craft making (Carvalho </w:t>
      </w:r>
      <w:r w:rsidRPr="00CD409B">
        <w:rPr>
          <w:i/>
          <w:iCs/>
        </w:rPr>
        <w:t xml:space="preserve">et al. </w:t>
      </w:r>
      <w:r w:rsidRPr="00CD409B">
        <w:t>2021). Other than that, the QR coded food stalls can be helpful for maintaining an appetite journey across the site of the festivals and it can be supported with a mobile application that provide real time feedback scheduling and social media integration with live sharing.</w:t>
      </w:r>
    </w:p>
    <w:p w14:paraId="78222BCE" w14:textId="77777777" w:rsidR="00CD409B" w:rsidRPr="00CD409B" w:rsidRDefault="00CD409B" w:rsidP="00CD409B">
      <w:pPr>
        <w:pStyle w:val="Heading2"/>
      </w:pPr>
      <w:bookmarkStart w:id="6" w:name="_Toc198914888"/>
      <w:r w:rsidRPr="00CD409B">
        <w:t>Aims and SMART objectives</w:t>
      </w:r>
      <w:bookmarkEnd w:id="6"/>
    </w:p>
    <w:p w14:paraId="51F777D2" w14:textId="77777777" w:rsidR="00CD409B" w:rsidRPr="00CD409B" w:rsidRDefault="00CD409B" w:rsidP="00CD409B">
      <w:r w:rsidRPr="00CD409B">
        <w:t xml:space="preserve">Aim:  The main aim of the international culinary and cultural festival Wales 2025 is 2 promote and support the cultural and culinary heritage of Wales as one of the leading international destinations for tourism engagement and an inclusive festival experience that can be aligned with the national </w:t>
      </w:r>
      <w:r w:rsidRPr="00CD409B">
        <w:rPr>
          <w:i/>
          <w:iCs/>
        </w:rPr>
        <w:t xml:space="preserve">Year of </w:t>
      </w:r>
      <w:proofErr w:type="spellStart"/>
      <w:r w:rsidRPr="00CD409B">
        <w:rPr>
          <w:i/>
          <w:iCs/>
        </w:rPr>
        <w:t>Coreso</w:t>
      </w:r>
      <w:proofErr w:type="spellEnd"/>
      <w:r w:rsidRPr="00CD409B">
        <w:t xml:space="preserve"> campaign (</w:t>
      </w:r>
      <w:proofErr w:type="spellStart"/>
      <w:r w:rsidRPr="00CD409B">
        <w:t>Corchado</w:t>
      </w:r>
      <w:proofErr w:type="spellEnd"/>
      <w:r w:rsidRPr="00CD409B">
        <w:t xml:space="preserve"> </w:t>
      </w:r>
      <w:r w:rsidRPr="00CD409B">
        <w:rPr>
          <w:i/>
          <w:iCs/>
        </w:rPr>
        <w:t xml:space="preserve">et al. </w:t>
      </w:r>
      <w:r w:rsidRPr="00CD409B">
        <w:t xml:space="preserve">2021).  This can also support the strategic objectives of </w:t>
      </w:r>
      <w:r w:rsidRPr="00CD409B">
        <w:rPr>
          <w:b/>
          <w:bCs/>
        </w:rPr>
        <w:t xml:space="preserve">Visit Wales </w:t>
      </w:r>
      <w:r w:rsidRPr="00CD409B">
        <w:t>for celebrating the unique identity of cultural integration of the community and integrating economic sustainability by offering a proper experience and authentic hospitality management.</w:t>
      </w:r>
    </w:p>
    <w:p w14:paraId="1DBC991E" w14:textId="77777777" w:rsidR="00CD409B" w:rsidRPr="00CD409B" w:rsidRDefault="00CD409B" w:rsidP="00CD409B">
      <w:pPr>
        <w:rPr>
          <w:b/>
          <w:bCs/>
        </w:rPr>
      </w:pPr>
      <w:r w:rsidRPr="00CD409B">
        <w:rPr>
          <w:b/>
          <w:bCs/>
        </w:rPr>
        <w:t> SMART objectives</w:t>
      </w:r>
    </w:p>
    <w:p w14:paraId="674AE7F7" w14:textId="77777777" w:rsidR="00CD409B" w:rsidRPr="00CD409B" w:rsidRDefault="00CD409B" w:rsidP="00CD409B">
      <w:r w:rsidRPr="00CD409B">
        <w:t> </w:t>
      </w:r>
      <w:r w:rsidRPr="00CD409B">
        <w:rPr>
          <w:b/>
          <w:bCs/>
        </w:rPr>
        <w:t>Specific:</w:t>
      </w:r>
      <w:r w:rsidRPr="00CD409B">
        <w:t xml:space="preserve">  attract and gather a minimum of 5000 domestic and international tourists and attendees for the event through targeted marketing and digital campaigns.</w:t>
      </w:r>
    </w:p>
    <w:p w14:paraId="3FB1E74A" w14:textId="77777777" w:rsidR="00CD409B" w:rsidRPr="00CD409B" w:rsidRDefault="00CD409B" w:rsidP="00CD409B">
      <w:r w:rsidRPr="00CD409B">
        <w:rPr>
          <w:b/>
          <w:bCs/>
        </w:rPr>
        <w:t>Measurable:</w:t>
      </w:r>
      <w:r w:rsidRPr="00CD409B">
        <w:t xml:space="preserve"> Achieve more than 80% of positive feedback on social media posts regarding the event based on visitor satisfaction, food experience and cultural engagement (</w:t>
      </w:r>
      <w:proofErr w:type="spellStart"/>
      <w:r w:rsidRPr="00CD409B">
        <w:t>Makroum</w:t>
      </w:r>
      <w:proofErr w:type="spellEnd"/>
      <w:r w:rsidRPr="00CD409B">
        <w:t xml:space="preserve"> </w:t>
      </w:r>
      <w:r w:rsidRPr="00CD409B">
        <w:rPr>
          <w:i/>
          <w:iCs/>
        </w:rPr>
        <w:t xml:space="preserve">et al. </w:t>
      </w:r>
      <w:r w:rsidRPr="00CD409B">
        <w:t>2022).</w:t>
      </w:r>
    </w:p>
    <w:p w14:paraId="2702E5B0" w14:textId="565A94E1" w:rsidR="00CD409B" w:rsidRPr="00CD409B" w:rsidRDefault="00CD409B" w:rsidP="00CD409B">
      <w:pPr>
        <w:jc w:val="center"/>
      </w:pPr>
      <w:r w:rsidRPr="00CD409B">
        <w:rPr>
          <w:noProof/>
        </w:rPr>
        <w:lastRenderedPageBreak/>
        <w:drawing>
          <wp:inline distT="0" distB="0" distL="0" distR="0" wp14:anchorId="2B214204" wp14:editId="6599BFA9">
            <wp:extent cx="5486400" cy="3248025"/>
            <wp:effectExtent l="0" t="57150" r="0" b="47625"/>
            <wp:docPr id="180092738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53268AE" w14:textId="77777777" w:rsidR="00CD409B" w:rsidRPr="00CD409B" w:rsidRDefault="00CD409B" w:rsidP="00CD409B">
      <w:pPr>
        <w:jc w:val="center"/>
        <w:rPr>
          <w:b/>
          <w:bCs/>
        </w:rPr>
      </w:pPr>
      <w:r w:rsidRPr="00CD409B">
        <w:rPr>
          <w:b/>
          <w:bCs/>
        </w:rPr>
        <w:t>Figure 2: SMART objectives for event management</w:t>
      </w:r>
    </w:p>
    <w:p w14:paraId="69E6A995" w14:textId="77777777" w:rsidR="00CD409B" w:rsidRPr="00CD409B" w:rsidRDefault="00CD409B" w:rsidP="00CD409B">
      <w:pPr>
        <w:jc w:val="center"/>
      </w:pPr>
      <w:r w:rsidRPr="00CD409B">
        <w:t>(Source: Self-developed)</w:t>
      </w:r>
    </w:p>
    <w:p w14:paraId="5104B92E" w14:textId="77777777" w:rsidR="00CD409B" w:rsidRPr="00CD409B" w:rsidRDefault="00CD409B" w:rsidP="00CD409B">
      <w:r w:rsidRPr="00CD409B">
        <w:rPr>
          <w:b/>
          <w:bCs/>
        </w:rPr>
        <w:t> Achievable:</w:t>
      </w:r>
      <w:r w:rsidRPr="00CD409B">
        <w:t xml:space="preserve">  Securing sponsorship and funding that can cover 100% of the event cost through local councils' partnerships and hospitality sponsors.</w:t>
      </w:r>
    </w:p>
    <w:p w14:paraId="3D4103CF" w14:textId="77777777" w:rsidR="00CD409B" w:rsidRPr="00CD409B" w:rsidRDefault="00CD409B" w:rsidP="00CD409B">
      <w:r w:rsidRPr="00CD409B">
        <w:rPr>
          <w:b/>
          <w:bCs/>
        </w:rPr>
        <w:t> Relevant:</w:t>
      </w:r>
      <w:r w:rsidRPr="00CD409B">
        <w:t xml:space="preserve">  More than 60% engagement of artists, vendors and presenters that are Wales-based. It can promote the local economy and align with the theme (</w:t>
      </w:r>
      <w:proofErr w:type="spellStart"/>
      <w:r w:rsidRPr="00CD409B">
        <w:t>Kusumastuti</w:t>
      </w:r>
      <w:proofErr w:type="spellEnd"/>
      <w:r w:rsidRPr="00CD409B">
        <w:t xml:space="preserve"> </w:t>
      </w:r>
      <w:r w:rsidRPr="00CD409B">
        <w:rPr>
          <w:i/>
          <w:iCs/>
        </w:rPr>
        <w:t xml:space="preserve">et al. </w:t>
      </w:r>
      <w:r w:rsidRPr="00CD409B">
        <w:t>2024).</w:t>
      </w:r>
    </w:p>
    <w:p w14:paraId="023BFDD6" w14:textId="77777777" w:rsidR="00CD409B" w:rsidRPr="00CD409B" w:rsidRDefault="00CD409B" w:rsidP="00CD409B">
      <w:r w:rsidRPr="00CD409B">
        <w:t> </w:t>
      </w:r>
      <w:r w:rsidRPr="00CD409B">
        <w:rPr>
          <w:b/>
          <w:bCs/>
        </w:rPr>
        <w:t>Time-bound:</w:t>
      </w:r>
      <w:r w:rsidRPr="00CD409B">
        <w:t xml:space="preserve"> Maintaining A logistical and operational planning that includes permit venue marketing and vendor booking processes by 15</w:t>
      </w:r>
      <w:r w:rsidRPr="00CD409B">
        <w:rPr>
          <w:vertAlign w:val="superscript"/>
        </w:rPr>
        <w:t>th</w:t>
      </w:r>
      <w:r w:rsidRPr="00CD409B">
        <w:t xml:space="preserve"> June 2025.</w:t>
      </w:r>
    </w:p>
    <w:p w14:paraId="5285A1DB" w14:textId="77777777" w:rsidR="00CD409B" w:rsidRPr="00CD409B" w:rsidRDefault="00CD409B" w:rsidP="00CD409B">
      <w:pPr>
        <w:pStyle w:val="Heading2"/>
      </w:pPr>
      <w:r w:rsidRPr="00CD409B">
        <w:t> </w:t>
      </w:r>
      <w:bookmarkStart w:id="7" w:name="_Toc198914889"/>
      <w:r w:rsidRPr="00CD409B">
        <w:t>Event management planning</w:t>
      </w:r>
      <w:bookmarkEnd w:id="7"/>
    </w:p>
    <w:p w14:paraId="6B9F215B" w14:textId="77777777" w:rsidR="00CD409B" w:rsidRPr="00CD409B" w:rsidRDefault="00CD409B" w:rsidP="00CD409B">
      <w:r w:rsidRPr="00CD409B">
        <w:t>According to different resources, it can be said that effective event management is necessary for maintaining a careful understanding of the International Culinary and Cultural Festival Wales 2025. These can help find out the proper planning processes that are related to marketing, operations and stakeholder management for maintaining event delivery and understanding the budget process with proper standard maintenance.</w:t>
      </w:r>
    </w:p>
    <w:p w14:paraId="52CF85E3" w14:textId="77777777" w:rsidR="00CD409B" w:rsidRPr="00CD409B" w:rsidRDefault="00CD409B" w:rsidP="00CD409B">
      <w:pPr>
        <w:pStyle w:val="Heading3"/>
      </w:pPr>
      <w:r w:rsidRPr="00CD409B">
        <w:t> </w:t>
      </w:r>
      <w:bookmarkStart w:id="8" w:name="_Toc198914890"/>
      <w:r w:rsidRPr="00CD409B">
        <w:t>Operational planning</w:t>
      </w:r>
      <w:bookmarkEnd w:id="8"/>
    </w:p>
    <w:p w14:paraId="7E50299B" w14:textId="77777777" w:rsidR="00CD409B" w:rsidRPr="00CD409B" w:rsidRDefault="00CD409B" w:rsidP="00CD409B">
      <w:r w:rsidRPr="00CD409B">
        <w:t xml:space="preserve"> Operational planning can help maintain the venue as Cardiff Castle Ground and maintain the safety requirements, capacity and accessibility processes. These helps maintain a proper </w:t>
      </w:r>
      <w:r w:rsidRPr="00CD409B">
        <w:lastRenderedPageBreak/>
        <w:t xml:space="preserve">understanding based on its requirements that are necessary for food and alcohol distribution, licenses for venue management and event management processes (Chen </w:t>
      </w:r>
      <w:r w:rsidRPr="00CD409B">
        <w:rPr>
          <w:i/>
          <w:iCs/>
        </w:rPr>
        <w:t xml:space="preserve">et al. </w:t>
      </w:r>
      <w:r w:rsidRPr="00CD409B">
        <w:t>2021). Infrastructural requirements also include seating capacity, mobile kitchen setups and waste management processes. Other than that, power accessibility, water solutions and sanitation facilities are also important. These also involve hiring of temporary personnel, including cleaning staff, stewards, event musicians and technical crew. A detailed timeline is also helpful for maintaining up tear understanding of the event.</w:t>
      </w:r>
    </w:p>
    <w:p w14:paraId="64591ED6" w14:textId="77777777" w:rsidR="00CD409B" w:rsidRPr="00CD409B" w:rsidRDefault="00CD409B" w:rsidP="00CD409B">
      <w:pPr>
        <w:pStyle w:val="Heading3"/>
      </w:pPr>
      <w:r w:rsidRPr="00CD409B">
        <w:t> </w:t>
      </w:r>
      <w:bookmarkStart w:id="9" w:name="_Toc198914891"/>
      <w:r w:rsidRPr="00CD409B">
        <w:t>Marketing and communication</w:t>
      </w:r>
      <w:bookmarkEnd w:id="9"/>
    </w:p>
    <w:p w14:paraId="4A00D793" w14:textId="77777777" w:rsidR="00CD409B" w:rsidRPr="00CD409B" w:rsidRDefault="00CD409B" w:rsidP="00CD409B">
      <w:r w:rsidRPr="00CD409B">
        <w:t> Marketing and communication processes mainly focus on a digital-first approach utilising several social media platforms, event listing processes and influencer partnerships. Printed materials are also helpful in several airports, hotels and travel agencies. Maintaining a bilingual mobile application and website can help offer real-time registration and upgradation (</w:t>
      </w:r>
      <w:proofErr w:type="spellStart"/>
      <w:r w:rsidRPr="00CD409B">
        <w:t>Urdea</w:t>
      </w:r>
      <w:proofErr w:type="spellEnd"/>
      <w:r w:rsidRPr="00CD409B">
        <w:t xml:space="preserve"> and Constantin, 2021). Early ticketing and payment options through online mode can help gather the early audience.</w:t>
      </w:r>
    </w:p>
    <w:p w14:paraId="1D5B0875" w14:textId="33E78EC1" w:rsidR="00CD409B" w:rsidRPr="00CD409B" w:rsidRDefault="00CD409B" w:rsidP="00CD409B">
      <w:r w:rsidRPr="00CD409B">
        <w:rPr>
          <w:noProof/>
        </w:rPr>
        <w:drawing>
          <wp:inline distT="0" distB="0" distL="0" distR="0" wp14:anchorId="35EE6217" wp14:editId="37C8F83A">
            <wp:extent cx="4848225" cy="2533650"/>
            <wp:effectExtent l="57150" t="19050" r="47625" b="19050"/>
            <wp:docPr id="288619789"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860331D" w14:textId="00ED71AE" w:rsidR="00CD409B" w:rsidRPr="00CD409B" w:rsidRDefault="00CD409B" w:rsidP="00CD409B">
      <w:pPr>
        <w:jc w:val="center"/>
        <w:rPr>
          <w:b/>
          <w:bCs/>
        </w:rPr>
      </w:pPr>
      <w:r w:rsidRPr="00CD409B">
        <w:rPr>
          <w:b/>
          <w:bCs/>
        </w:rPr>
        <w:t>Figure 3: Marketing strategies for the event</w:t>
      </w:r>
    </w:p>
    <w:p w14:paraId="2D95CBBC" w14:textId="77777777" w:rsidR="00CD409B" w:rsidRPr="00CD409B" w:rsidRDefault="00CD409B" w:rsidP="00CD409B">
      <w:pPr>
        <w:jc w:val="center"/>
      </w:pPr>
      <w:r w:rsidRPr="00CD409B">
        <w:t>(Source: Self-developed)</w:t>
      </w:r>
    </w:p>
    <w:p w14:paraId="66B5A9DC" w14:textId="77777777" w:rsidR="00CD409B" w:rsidRPr="00CD409B" w:rsidRDefault="00CD409B" w:rsidP="00CD409B">
      <w:r w:rsidRPr="00CD409B">
        <w:t xml:space="preserve"> Several PR campaigns are also helpful in collaborating with the government media partnership for reaching an international and domestic audience.</w:t>
      </w:r>
    </w:p>
    <w:p w14:paraId="62425076" w14:textId="77777777" w:rsidR="00CD409B" w:rsidRPr="00CD409B" w:rsidRDefault="00CD409B" w:rsidP="00CD409B">
      <w:pPr>
        <w:pStyle w:val="Heading3"/>
      </w:pPr>
      <w:r w:rsidRPr="00CD409B">
        <w:t> </w:t>
      </w:r>
      <w:bookmarkStart w:id="10" w:name="_Toc198914892"/>
      <w:r w:rsidRPr="00CD409B">
        <w:t>Stakeholder engagement</w:t>
      </w:r>
      <w:bookmarkEnd w:id="10"/>
    </w:p>
    <w:p w14:paraId="25159C28" w14:textId="77777777" w:rsidR="00CD409B" w:rsidRPr="00CD409B" w:rsidRDefault="00CD409B" w:rsidP="00CD409B">
      <w:r w:rsidRPr="00CD409B">
        <w:t xml:space="preserve"> Stakeholder engagement is one of the crucial factors. Key stakeholders mainly include Visit Wales, Cardiff Council, local businesses, </w:t>
      </w:r>
      <w:r w:rsidRPr="00CD409B">
        <w:rPr>
          <w:b/>
          <w:bCs/>
        </w:rPr>
        <w:t>Wales Hospitality Association</w:t>
      </w:r>
      <w:r w:rsidRPr="00CD409B">
        <w:t xml:space="preserve">, food vendors, </w:t>
      </w:r>
      <w:r w:rsidRPr="00CD409B">
        <w:lastRenderedPageBreak/>
        <w:t xml:space="preserve">cultural organisations and other sponsors. However, stakeholder management mainly focuses on integrating several understandings about transparency, shared goals, and collaboration in planning the event (Alghamdi </w:t>
      </w:r>
      <w:r w:rsidRPr="00CD409B">
        <w:rPr>
          <w:i/>
          <w:iCs/>
        </w:rPr>
        <w:t xml:space="preserve">et al. </w:t>
      </w:r>
      <w:r w:rsidRPr="00CD409B">
        <w:t>2023). These contracts with partners and vendors help maintain a service level agreement that can outline logistics, performance expectations and contingency plans. Collaboration with local universities and colleges can help recruit students from the hospitality management sector who can volunteer as interns and collect real-world experience with community engagement processes. Other than that, risk assessment is also helpful for maintaining health and safety protocols and understanding the Importance of insurance coverage in this process.</w:t>
      </w:r>
    </w:p>
    <w:p w14:paraId="4914637A" w14:textId="77777777" w:rsidR="00CD409B" w:rsidRPr="00CD409B" w:rsidRDefault="00CD409B" w:rsidP="00CD409B">
      <w:pPr>
        <w:pStyle w:val="Heading2"/>
      </w:pPr>
      <w:bookmarkStart w:id="11" w:name="_Toc198914893"/>
      <w:r w:rsidRPr="00CD409B">
        <w:t>Budget evaluation for the event</w:t>
      </w:r>
      <w:bookmarkEnd w:id="11"/>
    </w:p>
    <w:p w14:paraId="2E391AF6" w14:textId="77777777" w:rsidR="00CD409B" w:rsidRPr="00CD409B" w:rsidRDefault="00CD409B" w:rsidP="00CD409B">
      <w:r w:rsidRPr="00CD409B">
        <w:t> According to different resources, it can be said that the development of a realistic and detailed budget is crucial for understanding and measuring the successful execution of the event. The event management group must understand the capabilities, sponsorships and vendor inclusion for evaluating the event budget (</w:t>
      </w:r>
      <w:proofErr w:type="spellStart"/>
      <w:r w:rsidRPr="00CD409B">
        <w:t>Fedchenko</w:t>
      </w:r>
      <w:proofErr w:type="spellEnd"/>
      <w:r w:rsidRPr="00CD409B">
        <w:t xml:space="preserve"> </w:t>
      </w:r>
      <w:r w:rsidRPr="00CD409B">
        <w:rPr>
          <w:i/>
          <w:iCs/>
        </w:rPr>
        <w:t xml:space="preserve">et al. </w:t>
      </w:r>
      <w:r w:rsidRPr="00CD409B">
        <w:t>2022). The total projected cost for this event is mainly estimated at more than £240,000, which mainly includes venue integration, infrastructural perspectives, staff management, entertainment, marketing processes and integration of a contingency planning fund. The financial models help integrate a full recovery of the cost and integrate potential surplus through income streams and a diversified understanding of the working capabilities.</w:t>
      </w:r>
    </w:p>
    <w:tbl>
      <w:tblPr>
        <w:tblStyle w:val="GridTable4-Accent4"/>
        <w:tblW w:w="5000" w:type="pct"/>
        <w:tblLook w:val="04A0" w:firstRow="1" w:lastRow="0" w:firstColumn="1" w:lastColumn="0" w:noHBand="0" w:noVBand="1"/>
      </w:tblPr>
      <w:tblGrid>
        <w:gridCol w:w="6971"/>
        <w:gridCol w:w="2045"/>
      </w:tblGrid>
      <w:tr w:rsidR="00CD409B" w:rsidRPr="00CD409B" w14:paraId="50E54644" w14:textId="77777777" w:rsidTr="00CD40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6" w:type="pct"/>
            <w:hideMark/>
          </w:tcPr>
          <w:p w14:paraId="5FCC0876" w14:textId="77777777" w:rsidR="00CD409B" w:rsidRPr="00CD409B" w:rsidRDefault="00CD409B" w:rsidP="00CD409B">
            <w:pPr>
              <w:spacing w:after="160"/>
            </w:pPr>
            <w:r w:rsidRPr="00CD409B">
              <w:t>Category</w:t>
            </w:r>
          </w:p>
        </w:tc>
        <w:tc>
          <w:tcPr>
            <w:tcW w:w="1134" w:type="pct"/>
            <w:hideMark/>
          </w:tcPr>
          <w:p w14:paraId="316D8071" w14:textId="77777777" w:rsidR="00CD409B" w:rsidRPr="00CD409B" w:rsidRDefault="00CD409B" w:rsidP="00CD409B">
            <w:pPr>
              <w:spacing w:after="160"/>
              <w:cnfStyle w:val="100000000000" w:firstRow="1" w:lastRow="0" w:firstColumn="0" w:lastColumn="0" w:oddVBand="0" w:evenVBand="0" w:oddHBand="0" w:evenHBand="0" w:firstRowFirstColumn="0" w:firstRowLastColumn="0" w:lastRowFirstColumn="0" w:lastRowLastColumn="0"/>
            </w:pPr>
            <w:r w:rsidRPr="00CD409B">
              <w:t>Cost (£)</w:t>
            </w:r>
          </w:p>
        </w:tc>
      </w:tr>
      <w:tr w:rsidR="00CD409B" w:rsidRPr="00CD409B" w14:paraId="5C16D0F4" w14:textId="77777777" w:rsidTr="00CD40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6"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06C58908" w14:textId="77777777" w:rsidR="00CD409B" w:rsidRPr="00CD409B" w:rsidRDefault="00CD409B" w:rsidP="00CD409B">
            <w:pPr>
              <w:spacing w:after="160"/>
            </w:pPr>
            <w:r w:rsidRPr="00CD409B">
              <w:t>Venue Hire &amp; Permits</w:t>
            </w:r>
          </w:p>
        </w:tc>
        <w:tc>
          <w:tcPr>
            <w:tcW w:w="1134"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6326A1B7" w14:textId="77777777" w:rsidR="00CD409B" w:rsidRPr="00CD409B" w:rsidRDefault="00CD409B" w:rsidP="00CD409B">
            <w:pPr>
              <w:spacing w:after="160"/>
              <w:cnfStyle w:val="000000100000" w:firstRow="0" w:lastRow="0" w:firstColumn="0" w:lastColumn="0" w:oddVBand="0" w:evenVBand="0" w:oddHBand="1" w:evenHBand="0" w:firstRowFirstColumn="0" w:firstRowLastColumn="0" w:lastRowFirstColumn="0" w:lastRowLastColumn="0"/>
            </w:pPr>
            <w:r w:rsidRPr="00CD409B">
              <w:t>25,000</w:t>
            </w:r>
          </w:p>
        </w:tc>
      </w:tr>
      <w:tr w:rsidR="00CD409B" w:rsidRPr="00CD409B" w14:paraId="180E212F" w14:textId="77777777" w:rsidTr="00CD409B">
        <w:tc>
          <w:tcPr>
            <w:cnfStyle w:val="001000000000" w:firstRow="0" w:lastRow="0" w:firstColumn="1" w:lastColumn="0" w:oddVBand="0" w:evenVBand="0" w:oddHBand="0" w:evenHBand="0" w:firstRowFirstColumn="0" w:firstRowLastColumn="0" w:lastRowFirstColumn="0" w:lastRowLastColumn="0"/>
            <w:tcW w:w="3866"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725B1AEC" w14:textId="77777777" w:rsidR="00CD409B" w:rsidRPr="00CD409B" w:rsidRDefault="00CD409B" w:rsidP="00CD409B">
            <w:pPr>
              <w:spacing w:after="160"/>
            </w:pPr>
            <w:r w:rsidRPr="00CD409B">
              <w:t>Infrastructure (stages, tents)</w:t>
            </w:r>
          </w:p>
        </w:tc>
        <w:tc>
          <w:tcPr>
            <w:tcW w:w="1134"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2C24BA5C" w14:textId="77777777" w:rsidR="00CD409B" w:rsidRPr="00CD409B" w:rsidRDefault="00CD409B" w:rsidP="00CD409B">
            <w:pPr>
              <w:spacing w:after="160"/>
              <w:cnfStyle w:val="000000000000" w:firstRow="0" w:lastRow="0" w:firstColumn="0" w:lastColumn="0" w:oddVBand="0" w:evenVBand="0" w:oddHBand="0" w:evenHBand="0" w:firstRowFirstColumn="0" w:firstRowLastColumn="0" w:lastRowFirstColumn="0" w:lastRowLastColumn="0"/>
            </w:pPr>
            <w:r w:rsidRPr="00CD409B">
              <w:t>50,000</w:t>
            </w:r>
          </w:p>
        </w:tc>
      </w:tr>
      <w:tr w:rsidR="00CD409B" w:rsidRPr="00CD409B" w14:paraId="7E65A7A4" w14:textId="77777777" w:rsidTr="00CD40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6"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711BBFAB" w14:textId="77777777" w:rsidR="00CD409B" w:rsidRPr="00CD409B" w:rsidRDefault="00CD409B" w:rsidP="00CD409B">
            <w:pPr>
              <w:spacing w:after="160"/>
            </w:pPr>
            <w:r w:rsidRPr="00CD409B">
              <w:t>Staffing and Security</w:t>
            </w:r>
          </w:p>
        </w:tc>
        <w:tc>
          <w:tcPr>
            <w:tcW w:w="1134"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5094FAC8" w14:textId="77777777" w:rsidR="00CD409B" w:rsidRPr="00CD409B" w:rsidRDefault="00CD409B" w:rsidP="00CD409B">
            <w:pPr>
              <w:spacing w:after="160"/>
              <w:cnfStyle w:val="000000100000" w:firstRow="0" w:lastRow="0" w:firstColumn="0" w:lastColumn="0" w:oddVBand="0" w:evenVBand="0" w:oddHBand="1" w:evenHBand="0" w:firstRowFirstColumn="0" w:firstRowLastColumn="0" w:lastRowFirstColumn="0" w:lastRowLastColumn="0"/>
            </w:pPr>
            <w:r w:rsidRPr="00CD409B">
              <w:t>40,000</w:t>
            </w:r>
          </w:p>
        </w:tc>
      </w:tr>
      <w:tr w:rsidR="00CD409B" w:rsidRPr="00CD409B" w14:paraId="49DED299" w14:textId="77777777" w:rsidTr="00CD409B">
        <w:tc>
          <w:tcPr>
            <w:cnfStyle w:val="001000000000" w:firstRow="0" w:lastRow="0" w:firstColumn="1" w:lastColumn="0" w:oddVBand="0" w:evenVBand="0" w:oddHBand="0" w:evenHBand="0" w:firstRowFirstColumn="0" w:firstRowLastColumn="0" w:lastRowFirstColumn="0" w:lastRowLastColumn="0"/>
            <w:tcW w:w="3866"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1CDD2861" w14:textId="77777777" w:rsidR="00CD409B" w:rsidRPr="00CD409B" w:rsidRDefault="00CD409B" w:rsidP="00CD409B">
            <w:pPr>
              <w:spacing w:after="160"/>
            </w:pPr>
            <w:r w:rsidRPr="00CD409B">
              <w:t>Marketing and Promotion</w:t>
            </w:r>
          </w:p>
        </w:tc>
        <w:tc>
          <w:tcPr>
            <w:tcW w:w="1134"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6B62D6FF" w14:textId="77777777" w:rsidR="00CD409B" w:rsidRPr="00CD409B" w:rsidRDefault="00CD409B" w:rsidP="00CD409B">
            <w:pPr>
              <w:spacing w:after="160"/>
              <w:cnfStyle w:val="000000000000" w:firstRow="0" w:lastRow="0" w:firstColumn="0" w:lastColumn="0" w:oddVBand="0" w:evenVBand="0" w:oddHBand="0" w:evenHBand="0" w:firstRowFirstColumn="0" w:firstRowLastColumn="0" w:lastRowFirstColumn="0" w:lastRowLastColumn="0"/>
            </w:pPr>
            <w:r w:rsidRPr="00CD409B">
              <w:t>30,000</w:t>
            </w:r>
          </w:p>
        </w:tc>
      </w:tr>
      <w:tr w:rsidR="00CD409B" w:rsidRPr="00CD409B" w14:paraId="5156A2EA" w14:textId="77777777" w:rsidTr="00CD40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6"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04420908" w14:textId="77777777" w:rsidR="00CD409B" w:rsidRPr="00CD409B" w:rsidRDefault="00CD409B" w:rsidP="00CD409B">
            <w:pPr>
              <w:spacing w:after="160"/>
            </w:pPr>
            <w:r w:rsidRPr="00CD409B">
              <w:t>Catering and Vendor Setup</w:t>
            </w:r>
          </w:p>
        </w:tc>
        <w:tc>
          <w:tcPr>
            <w:tcW w:w="1134"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74613C63" w14:textId="77777777" w:rsidR="00CD409B" w:rsidRPr="00CD409B" w:rsidRDefault="00CD409B" w:rsidP="00CD409B">
            <w:pPr>
              <w:spacing w:after="160"/>
              <w:cnfStyle w:val="000000100000" w:firstRow="0" w:lastRow="0" w:firstColumn="0" w:lastColumn="0" w:oddVBand="0" w:evenVBand="0" w:oddHBand="1" w:evenHBand="0" w:firstRowFirstColumn="0" w:firstRowLastColumn="0" w:lastRowFirstColumn="0" w:lastRowLastColumn="0"/>
            </w:pPr>
            <w:r w:rsidRPr="00CD409B">
              <w:t>20,000</w:t>
            </w:r>
          </w:p>
        </w:tc>
      </w:tr>
      <w:tr w:rsidR="00CD409B" w:rsidRPr="00CD409B" w14:paraId="58428A5B" w14:textId="77777777" w:rsidTr="00CD409B">
        <w:tc>
          <w:tcPr>
            <w:cnfStyle w:val="001000000000" w:firstRow="0" w:lastRow="0" w:firstColumn="1" w:lastColumn="0" w:oddVBand="0" w:evenVBand="0" w:oddHBand="0" w:evenHBand="0" w:firstRowFirstColumn="0" w:firstRowLastColumn="0" w:lastRowFirstColumn="0" w:lastRowLastColumn="0"/>
            <w:tcW w:w="3866"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03B4DC14" w14:textId="77777777" w:rsidR="00CD409B" w:rsidRPr="00CD409B" w:rsidRDefault="00CD409B" w:rsidP="00CD409B">
            <w:pPr>
              <w:spacing w:after="160"/>
            </w:pPr>
            <w:r w:rsidRPr="00CD409B">
              <w:t>Entertainment and Activities</w:t>
            </w:r>
          </w:p>
        </w:tc>
        <w:tc>
          <w:tcPr>
            <w:tcW w:w="1134"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4C6BA26A" w14:textId="77777777" w:rsidR="00CD409B" w:rsidRPr="00CD409B" w:rsidRDefault="00CD409B" w:rsidP="00CD409B">
            <w:pPr>
              <w:spacing w:after="160"/>
              <w:cnfStyle w:val="000000000000" w:firstRow="0" w:lastRow="0" w:firstColumn="0" w:lastColumn="0" w:oddVBand="0" w:evenVBand="0" w:oddHBand="0" w:evenHBand="0" w:firstRowFirstColumn="0" w:firstRowLastColumn="0" w:lastRowFirstColumn="0" w:lastRowLastColumn="0"/>
            </w:pPr>
            <w:r w:rsidRPr="00CD409B">
              <w:t>25,000</w:t>
            </w:r>
          </w:p>
        </w:tc>
      </w:tr>
      <w:tr w:rsidR="00CD409B" w:rsidRPr="00CD409B" w14:paraId="1C9892E6" w14:textId="77777777" w:rsidTr="00CD40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6"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0BC2BAB3" w14:textId="77777777" w:rsidR="00CD409B" w:rsidRPr="00CD409B" w:rsidRDefault="00CD409B" w:rsidP="00CD409B">
            <w:pPr>
              <w:spacing w:after="160"/>
            </w:pPr>
            <w:r w:rsidRPr="00CD409B">
              <w:t>Licensing and Insurance</w:t>
            </w:r>
          </w:p>
        </w:tc>
        <w:tc>
          <w:tcPr>
            <w:tcW w:w="1134"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48811F3F" w14:textId="77777777" w:rsidR="00CD409B" w:rsidRPr="00CD409B" w:rsidRDefault="00CD409B" w:rsidP="00CD409B">
            <w:pPr>
              <w:spacing w:after="160"/>
              <w:cnfStyle w:val="000000100000" w:firstRow="0" w:lastRow="0" w:firstColumn="0" w:lastColumn="0" w:oddVBand="0" w:evenVBand="0" w:oddHBand="1" w:evenHBand="0" w:firstRowFirstColumn="0" w:firstRowLastColumn="0" w:lastRowFirstColumn="0" w:lastRowLastColumn="0"/>
            </w:pPr>
            <w:r w:rsidRPr="00CD409B">
              <w:t>10,000</w:t>
            </w:r>
          </w:p>
        </w:tc>
      </w:tr>
      <w:tr w:rsidR="00CD409B" w:rsidRPr="00CD409B" w14:paraId="7FC0EE38" w14:textId="77777777" w:rsidTr="00CD409B">
        <w:tc>
          <w:tcPr>
            <w:cnfStyle w:val="001000000000" w:firstRow="0" w:lastRow="0" w:firstColumn="1" w:lastColumn="0" w:oddVBand="0" w:evenVBand="0" w:oddHBand="0" w:evenHBand="0" w:firstRowFirstColumn="0" w:firstRowLastColumn="0" w:lastRowFirstColumn="0" w:lastRowLastColumn="0"/>
            <w:tcW w:w="3866"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24484152" w14:textId="77777777" w:rsidR="00CD409B" w:rsidRPr="00CD409B" w:rsidRDefault="00CD409B" w:rsidP="00CD409B">
            <w:pPr>
              <w:spacing w:after="160"/>
            </w:pPr>
            <w:r w:rsidRPr="00CD409B">
              <w:t>Sanitation and Waste Management</w:t>
            </w:r>
          </w:p>
        </w:tc>
        <w:tc>
          <w:tcPr>
            <w:tcW w:w="1134"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02FEB05F" w14:textId="77777777" w:rsidR="00CD409B" w:rsidRPr="00CD409B" w:rsidRDefault="00CD409B" w:rsidP="00CD409B">
            <w:pPr>
              <w:spacing w:after="160"/>
              <w:cnfStyle w:val="000000000000" w:firstRow="0" w:lastRow="0" w:firstColumn="0" w:lastColumn="0" w:oddVBand="0" w:evenVBand="0" w:oddHBand="0" w:evenHBand="0" w:firstRowFirstColumn="0" w:firstRowLastColumn="0" w:lastRowFirstColumn="0" w:lastRowLastColumn="0"/>
            </w:pPr>
            <w:r w:rsidRPr="00CD409B">
              <w:t>8,000</w:t>
            </w:r>
          </w:p>
        </w:tc>
      </w:tr>
      <w:tr w:rsidR="00CD409B" w:rsidRPr="00CD409B" w14:paraId="738F223B" w14:textId="77777777" w:rsidTr="00CD40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6"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277FE604" w14:textId="77777777" w:rsidR="00CD409B" w:rsidRPr="00CD409B" w:rsidRDefault="00CD409B" w:rsidP="00CD409B">
            <w:pPr>
              <w:spacing w:after="160"/>
            </w:pPr>
            <w:r w:rsidRPr="00CD409B">
              <w:lastRenderedPageBreak/>
              <w:t>Technology (app, website)</w:t>
            </w:r>
          </w:p>
        </w:tc>
        <w:tc>
          <w:tcPr>
            <w:tcW w:w="1134"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70A7E1D2" w14:textId="77777777" w:rsidR="00CD409B" w:rsidRPr="00CD409B" w:rsidRDefault="00CD409B" w:rsidP="00CD409B">
            <w:pPr>
              <w:spacing w:after="160"/>
              <w:cnfStyle w:val="000000100000" w:firstRow="0" w:lastRow="0" w:firstColumn="0" w:lastColumn="0" w:oddVBand="0" w:evenVBand="0" w:oddHBand="1" w:evenHBand="0" w:firstRowFirstColumn="0" w:firstRowLastColumn="0" w:lastRowFirstColumn="0" w:lastRowLastColumn="0"/>
            </w:pPr>
            <w:r w:rsidRPr="00CD409B">
              <w:t>7,000</w:t>
            </w:r>
          </w:p>
        </w:tc>
      </w:tr>
      <w:tr w:rsidR="00CD409B" w:rsidRPr="00CD409B" w14:paraId="0590E69B" w14:textId="77777777" w:rsidTr="00CD409B">
        <w:tc>
          <w:tcPr>
            <w:cnfStyle w:val="001000000000" w:firstRow="0" w:lastRow="0" w:firstColumn="1" w:lastColumn="0" w:oddVBand="0" w:evenVBand="0" w:oddHBand="0" w:evenHBand="0" w:firstRowFirstColumn="0" w:firstRowLastColumn="0" w:lastRowFirstColumn="0" w:lastRowLastColumn="0"/>
            <w:tcW w:w="3866"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552135D5" w14:textId="77777777" w:rsidR="00CD409B" w:rsidRPr="00CD409B" w:rsidRDefault="00CD409B" w:rsidP="00CD409B">
            <w:pPr>
              <w:spacing w:after="160"/>
            </w:pPr>
            <w:r w:rsidRPr="00CD409B">
              <w:t>Contingency Fund (10%)</w:t>
            </w:r>
          </w:p>
        </w:tc>
        <w:tc>
          <w:tcPr>
            <w:tcW w:w="1134"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761B04B7" w14:textId="77777777" w:rsidR="00CD409B" w:rsidRPr="00CD409B" w:rsidRDefault="00CD409B" w:rsidP="00CD409B">
            <w:pPr>
              <w:spacing w:after="160"/>
              <w:cnfStyle w:val="000000000000" w:firstRow="0" w:lastRow="0" w:firstColumn="0" w:lastColumn="0" w:oddVBand="0" w:evenVBand="0" w:oddHBand="0" w:evenHBand="0" w:firstRowFirstColumn="0" w:firstRowLastColumn="0" w:lastRowFirstColumn="0" w:lastRowLastColumn="0"/>
            </w:pPr>
            <w:r w:rsidRPr="00CD409B">
              <w:rPr>
                <w:b/>
                <w:bCs/>
              </w:rPr>
              <w:t>25,000</w:t>
            </w:r>
          </w:p>
        </w:tc>
      </w:tr>
      <w:tr w:rsidR="00CD409B" w:rsidRPr="00CD409B" w14:paraId="66E0EAD1" w14:textId="77777777" w:rsidTr="00CD40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6"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22EB812E" w14:textId="77777777" w:rsidR="00CD409B" w:rsidRPr="00CD409B" w:rsidRDefault="00CD409B" w:rsidP="00CD409B">
            <w:pPr>
              <w:spacing w:after="160"/>
            </w:pPr>
            <w:r w:rsidRPr="00CD409B">
              <w:t>Total Estimated Cost</w:t>
            </w:r>
          </w:p>
        </w:tc>
        <w:tc>
          <w:tcPr>
            <w:tcW w:w="1134" w:type="pct"/>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hideMark/>
          </w:tcPr>
          <w:p w14:paraId="3FC79661" w14:textId="77777777" w:rsidR="00CD409B" w:rsidRPr="00CD409B" w:rsidRDefault="00CD409B" w:rsidP="00CD409B">
            <w:pPr>
              <w:spacing w:after="160"/>
              <w:cnfStyle w:val="000000100000" w:firstRow="0" w:lastRow="0" w:firstColumn="0" w:lastColumn="0" w:oddVBand="0" w:evenVBand="0" w:oddHBand="1" w:evenHBand="0" w:firstRowFirstColumn="0" w:firstRowLastColumn="0" w:lastRowFirstColumn="0" w:lastRowLastColumn="0"/>
            </w:pPr>
            <w:r w:rsidRPr="00CD409B">
              <w:rPr>
                <w:b/>
                <w:bCs/>
              </w:rPr>
              <w:t>£240,000</w:t>
            </w:r>
          </w:p>
        </w:tc>
      </w:tr>
    </w:tbl>
    <w:p w14:paraId="5D9D3D20" w14:textId="19482CDA" w:rsidR="00CD409B" w:rsidRPr="00CD409B" w:rsidRDefault="00CD409B" w:rsidP="00CD409B">
      <w:pPr>
        <w:jc w:val="center"/>
        <w:rPr>
          <w:b/>
          <w:bCs/>
        </w:rPr>
      </w:pPr>
      <w:r w:rsidRPr="00CD409B">
        <w:rPr>
          <w:b/>
          <w:bCs/>
        </w:rPr>
        <w:t>Table 1: Estimation of expenditure</w:t>
      </w:r>
    </w:p>
    <w:p w14:paraId="743ECF5C" w14:textId="77777777" w:rsidR="00CD409B" w:rsidRPr="00CD409B" w:rsidRDefault="00CD409B" w:rsidP="00CD409B">
      <w:pPr>
        <w:jc w:val="center"/>
      </w:pPr>
      <w:r w:rsidRPr="00CD409B">
        <w:t>(Source: Self-developed)</w:t>
      </w:r>
    </w:p>
    <w:p w14:paraId="28A5FB5A" w14:textId="77777777" w:rsidR="00CD409B" w:rsidRPr="00CD409B" w:rsidRDefault="00CD409B" w:rsidP="00CD409B">
      <w:r w:rsidRPr="00CD409B">
        <w:t xml:space="preserve"> In this process it is also important to understand that the event is designed for generating more than £50,000 to £60,000 Surplus that can be funded and reinvested in other events and future editions. These are also helpful for supporting the local economy and community projects (Welsh, 2025). </w:t>
      </w:r>
    </w:p>
    <w:tbl>
      <w:tblPr>
        <w:tblStyle w:val="GridTable4-Accent6"/>
        <w:tblW w:w="5000" w:type="pct"/>
        <w:tblLook w:val="04A0" w:firstRow="1" w:lastRow="0" w:firstColumn="1" w:lastColumn="0" w:noHBand="0" w:noVBand="1"/>
      </w:tblPr>
      <w:tblGrid>
        <w:gridCol w:w="6708"/>
        <w:gridCol w:w="2308"/>
      </w:tblGrid>
      <w:tr w:rsidR="00CD409B" w:rsidRPr="00CD409B" w14:paraId="2B23AB10" w14:textId="77777777" w:rsidTr="00CD40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46" w:type="pct"/>
            <w:hideMark/>
          </w:tcPr>
          <w:p w14:paraId="02A87A26" w14:textId="77777777" w:rsidR="00CD409B" w:rsidRPr="00CD409B" w:rsidRDefault="00CD409B" w:rsidP="00CD409B">
            <w:pPr>
              <w:spacing w:after="160"/>
            </w:pPr>
            <w:r w:rsidRPr="00CD409B">
              <w:t>Source</w:t>
            </w:r>
          </w:p>
        </w:tc>
        <w:tc>
          <w:tcPr>
            <w:tcW w:w="1254" w:type="pct"/>
            <w:hideMark/>
          </w:tcPr>
          <w:p w14:paraId="1462BE1A" w14:textId="77777777" w:rsidR="00CD409B" w:rsidRPr="00CD409B" w:rsidRDefault="00CD409B" w:rsidP="00CD409B">
            <w:pPr>
              <w:spacing w:after="160"/>
              <w:cnfStyle w:val="100000000000" w:firstRow="1" w:lastRow="0" w:firstColumn="0" w:lastColumn="0" w:oddVBand="0" w:evenVBand="0" w:oddHBand="0" w:evenHBand="0" w:firstRowFirstColumn="0" w:firstRowLastColumn="0" w:lastRowFirstColumn="0" w:lastRowLastColumn="0"/>
            </w:pPr>
            <w:r w:rsidRPr="00CD409B">
              <w:t>Income (£)</w:t>
            </w:r>
          </w:p>
        </w:tc>
      </w:tr>
      <w:tr w:rsidR="00CD409B" w:rsidRPr="00CD409B" w14:paraId="6347737D" w14:textId="77777777" w:rsidTr="00CD40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46" w:type="pct"/>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12665776" w14:textId="77777777" w:rsidR="00CD409B" w:rsidRPr="00CD409B" w:rsidRDefault="00CD409B" w:rsidP="00CD409B">
            <w:pPr>
              <w:spacing w:after="160"/>
            </w:pPr>
            <w:r w:rsidRPr="00CD409B">
              <w:t>Ticket Sales (5,000 x £30/person)</w:t>
            </w:r>
          </w:p>
        </w:tc>
        <w:tc>
          <w:tcPr>
            <w:tcW w:w="1254" w:type="pct"/>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7B360AC0" w14:textId="77777777" w:rsidR="00CD409B" w:rsidRPr="00CD409B" w:rsidRDefault="00CD409B" w:rsidP="00CD409B">
            <w:pPr>
              <w:spacing w:after="160"/>
              <w:cnfStyle w:val="000000100000" w:firstRow="0" w:lastRow="0" w:firstColumn="0" w:lastColumn="0" w:oddVBand="0" w:evenVBand="0" w:oddHBand="1" w:evenHBand="0" w:firstRowFirstColumn="0" w:firstRowLastColumn="0" w:lastRowFirstColumn="0" w:lastRowLastColumn="0"/>
            </w:pPr>
            <w:r w:rsidRPr="00CD409B">
              <w:t>150,000</w:t>
            </w:r>
          </w:p>
        </w:tc>
      </w:tr>
      <w:tr w:rsidR="00CD409B" w:rsidRPr="00CD409B" w14:paraId="18138C7C" w14:textId="77777777" w:rsidTr="00CD409B">
        <w:tc>
          <w:tcPr>
            <w:cnfStyle w:val="001000000000" w:firstRow="0" w:lastRow="0" w:firstColumn="1" w:lastColumn="0" w:oddVBand="0" w:evenVBand="0" w:oddHBand="0" w:evenHBand="0" w:firstRowFirstColumn="0" w:firstRowLastColumn="0" w:lastRowFirstColumn="0" w:lastRowLastColumn="0"/>
            <w:tcW w:w="3646" w:type="pct"/>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47267979" w14:textId="77777777" w:rsidR="00CD409B" w:rsidRPr="00CD409B" w:rsidRDefault="00CD409B" w:rsidP="00CD409B">
            <w:pPr>
              <w:spacing w:after="160"/>
            </w:pPr>
            <w:r w:rsidRPr="00CD409B">
              <w:t xml:space="preserve">Sponsorship </w:t>
            </w:r>
          </w:p>
        </w:tc>
        <w:tc>
          <w:tcPr>
            <w:tcW w:w="1254" w:type="pct"/>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2A0EE27D" w14:textId="77777777" w:rsidR="00CD409B" w:rsidRPr="00CD409B" w:rsidRDefault="00CD409B" w:rsidP="00CD409B">
            <w:pPr>
              <w:spacing w:after="160"/>
              <w:cnfStyle w:val="000000000000" w:firstRow="0" w:lastRow="0" w:firstColumn="0" w:lastColumn="0" w:oddVBand="0" w:evenVBand="0" w:oddHBand="0" w:evenHBand="0" w:firstRowFirstColumn="0" w:firstRowLastColumn="0" w:lastRowFirstColumn="0" w:lastRowLastColumn="0"/>
            </w:pPr>
            <w:r w:rsidRPr="00CD409B">
              <w:t>75,000</w:t>
            </w:r>
          </w:p>
        </w:tc>
      </w:tr>
      <w:tr w:rsidR="00CD409B" w:rsidRPr="00CD409B" w14:paraId="26E849C5" w14:textId="77777777" w:rsidTr="00CD40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46" w:type="pct"/>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410137EE" w14:textId="77777777" w:rsidR="00CD409B" w:rsidRPr="00CD409B" w:rsidRDefault="00CD409B" w:rsidP="00CD409B">
            <w:pPr>
              <w:spacing w:after="160"/>
            </w:pPr>
            <w:r w:rsidRPr="00CD409B">
              <w:t>Vendor Fees and Food Sales</w:t>
            </w:r>
          </w:p>
        </w:tc>
        <w:tc>
          <w:tcPr>
            <w:tcW w:w="1254" w:type="pct"/>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66CB78DB" w14:textId="77777777" w:rsidR="00CD409B" w:rsidRPr="00CD409B" w:rsidRDefault="00CD409B" w:rsidP="00CD409B">
            <w:pPr>
              <w:spacing w:after="160"/>
              <w:cnfStyle w:val="000000100000" w:firstRow="0" w:lastRow="0" w:firstColumn="0" w:lastColumn="0" w:oddVBand="0" w:evenVBand="0" w:oddHBand="1" w:evenHBand="0" w:firstRowFirstColumn="0" w:firstRowLastColumn="0" w:lastRowFirstColumn="0" w:lastRowLastColumn="0"/>
            </w:pPr>
            <w:r w:rsidRPr="00CD409B">
              <w:t>80,000</w:t>
            </w:r>
          </w:p>
        </w:tc>
      </w:tr>
      <w:tr w:rsidR="00CD409B" w:rsidRPr="00CD409B" w14:paraId="7AC6DDD3" w14:textId="77777777" w:rsidTr="00CD409B">
        <w:tc>
          <w:tcPr>
            <w:cnfStyle w:val="001000000000" w:firstRow="0" w:lastRow="0" w:firstColumn="1" w:lastColumn="0" w:oddVBand="0" w:evenVBand="0" w:oddHBand="0" w:evenHBand="0" w:firstRowFirstColumn="0" w:firstRowLastColumn="0" w:lastRowFirstColumn="0" w:lastRowLastColumn="0"/>
            <w:tcW w:w="3646" w:type="pct"/>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3862C6BC" w14:textId="77777777" w:rsidR="00CD409B" w:rsidRPr="00CD409B" w:rsidRDefault="00CD409B" w:rsidP="00CD409B">
            <w:pPr>
              <w:spacing w:after="160"/>
            </w:pPr>
            <w:r w:rsidRPr="00CD409B">
              <w:t>Total Estimated Income</w:t>
            </w:r>
          </w:p>
        </w:tc>
        <w:tc>
          <w:tcPr>
            <w:tcW w:w="1254" w:type="pct"/>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406EEEAB" w14:textId="77777777" w:rsidR="00CD409B" w:rsidRPr="00CD409B" w:rsidRDefault="00CD409B" w:rsidP="00CD409B">
            <w:pPr>
              <w:spacing w:after="160"/>
              <w:cnfStyle w:val="000000000000" w:firstRow="0" w:lastRow="0" w:firstColumn="0" w:lastColumn="0" w:oddVBand="0" w:evenVBand="0" w:oddHBand="0" w:evenHBand="0" w:firstRowFirstColumn="0" w:firstRowLastColumn="0" w:lastRowFirstColumn="0" w:lastRowLastColumn="0"/>
            </w:pPr>
            <w:r w:rsidRPr="00CD409B">
              <w:rPr>
                <w:b/>
                <w:bCs/>
              </w:rPr>
              <w:t>£305,000</w:t>
            </w:r>
          </w:p>
        </w:tc>
      </w:tr>
    </w:tbl>
    <w:p w14:paraId="3A38E156" w14:textId="77777777" w:rsidR="00CD409B" w:rsidRPr="00CD409B" w:rsidRDefault="00CD409B" w:rsidP="00CD409B">
      <w:pPr>
        <w:jc w:val="center"/>
        <w:rPr>
          <w:b/>
          <w:bCs/>
        </w:rPr>
      </w:pPr>
      <w:r w:rsidRPr="00CD409B">
        <w:rPr>
          <w:b/>
          <w:bCs/>
        </w:rPr>
        <w:t>Table 2: Estimation of income</w:t>
      </w:r>
    </w:p>
    <w:p w14:paraId="3329797C" w14:textId="77777777" w:rsidR="00CD409B" w:rsidRPr="00CD409B" w:rsidRDefault="00CD409B" w:rsidP="00CD409B">
      <w:pPr>
        <w:jc w:val="center"/>
      </w:pPr>
      <w:r w:rsidRPr="00CD409B">
        <w:t>(Source: Self-developed)</w:t>
      </w:r>
    </w:p>
    <w:p w14:paraId="59264A56" w14:textId="77777777" w:rsidR="00CD409B" w:rsidRPr="00CD409B" w:rsidRDefault="00CD409B" w:rsidP="00CD409B">
      <w:r w:rsidRPr="00CD409B">
        <w:t>The sponsorships are integrated with local hospitality management processes and the Visit Wales Council for developing the critical understanding and funding processes based on different sources, where the vendors need to provide proper participation based on culinary diversity and income management. However, integration of a 10% contingency fund can help address and minimise the challenges regarding unforeseen issues or expenses (</w:t>
      </w:r>
      <w:proofErr w:type="spellStart"/>
      <w:r w:rsidRPr="00CD409B">
        <w:t>Guidotti</w:t>
      </w:r>
      <w:proofErr w:type="spellEnd"/>
      <w:r w:rsidRPr="00CD409B">
        <w:t xml:space="preserve"> </w:t>
      </w:r>
      <w:r w:rsidRPr="00CD409B">
        <w:rPr>
          <w:i/>
          <w:iCs/>
        </w:rPr>
        <w:t xml:space="preserve">et al. </w:t>
      </w:r>
      <w:r w:rsidRPr="00CD409B">
        <w:t>2023).  However, it is also necessary for the event management process to understand the working capabilities of these sponsors and partners for integrating their experience and find out a proper way that can help gather the support in case of economic funding and projecting the event as one of the largest and engaging perspective in case of funding management and economic integrity.</w:t>
      </w:r>
    </w:p>
    <w:p w14:paraId="2CFE993D" w14:textId="77777777" w:rsidR="00CD409B" w:rsidRPr="00CD409B" w:rsidRDefault="00CD409B" w:rsidP="00CD409B">
      <w:pPr>
        <w:pStyle w:val="Heading2"/>
      </w:pPr>
      <w:r w:rsidRPr="00CD409B">
        <w:lastRenderedPageBreak/>
        <w:t> </w:t>
      </w:r>
      <w:bookmarkStart w:id="12" w:name="_Toc198914894"/>
      <w:r w:rsidRPr="00CD409B">
        <w:t>Industry trends, impacts, and issues</w:t>
      </w:r>
      <w:bookmarkEnd w:id="12"/>
    </w:p>
    <w:p w14:paraId="3E498463" w14:textId="77777777" w:rsidR="00CD409B" w:rsidRPr="00CD409B" w:rsidRDefault="00CD409B" w:rsidP="00CD409B">
      <w:r w:rsidRPr="00CD409B">
        <w:t xml:space="preserve">The hospitality industry and event management processes are facing several challenges that are significant for developing this festival or events. These challenges are mainly driven by global disruption, challenges regarding the COVID-19 pandemic, growing awareness of inclusivity, inability issues and involvement of customer expectations (Rogers </w:t>
      </w:r>
      <w:r w:rsidRPr="00CD409B">
        <w:rPr>
          <w:i/>
          <w:iCs/>
        </w:rPr>
        <w:t xml:space="preserve">et al. </w:t>
      </w:r>
      <w:r w:rsidRPr="00CD409B">
        <w:t xml:space="preserve">2022). Understanding of these challenges and industry trends can help implement several strategies for event planning and the successful delivery of the International Culinary and Culture Festival Wales 2025. </w:t>
      </w:r>
    </w:p>
    <w:p w14:paraId="2568B1E4" w14:textId="77777777" w:rsidR="00CD409B" w:rsidRPr="00CD409B" w:rsidRDefault="00CD409B" w:rsidP="00CD409B">
      <w:r w:rsidRPr="00CD409B">
        <w:t>As per proper understanding post post-pandemic issues regarding the Attendance of people in live events can be one of the major problems. In this process, it is important to integrate several safety and security standards that focus on these challenges. It also provides a proper understanding of the organisational trend for integrating event management planning. In case of 2023, it faces a 35% enhancement in ticket sales in several cultural events across the United Kingdom compared to previous years (González-</w:t>
      </w:r>
      <w:proofErr w:type="spellStart"/>
      <w:r w:rsidRPr="00CD409B">
        <w:t>Granadillo</w:t>
      </w:r>
      <w:proofErr w:type="spellEnd"/>
      <w:r w:rsidRPr="00CD409B">
        <w:t xml:space="preserve"> </w:t>
      </w:r>
      <w:r w:rsidRPr="00CD409B">
        <w:rPr>
          <w:i/>
          <w:iCs/>
        </w:rPr>
        <w:t xml:space="preserve">et al. </w:t>
      </w:r>
      <w:r w:rsidRPr="00CD409B">
        <w:t>2021).  Therefore, it is necessary to develop a strong marketing process and provide engagement, community services and authenticity for a better experience. The festival also needs to focus on maintaining a cultural interconnectedness and immersive culinary support that can provide better demand.</w:t>
      </w:r>
    </w:p>
    <w:p w14:paraId="3C7D4F32" w14:textId="77777777" w:rsidR="00CD409B" w:rsidRPr="00CD409B" w:rsidRDefault="00CD409B" w:rsidP="00CD409B">
      <w:r w:rsidRPr="00CD409B">
        <w:t xml:space="preserve"> Other than that, sustainable event management is also a major trend in recent times. Nowadays, attendees from all over the world are focused on environmental consciousness and expect organisers to maintain a low carbon footprint, minimise waste and utilise local resources (Bellini </w:t>
      </w:r>
      <w:r w:rsidRPr="00CD409B">
        <w:rPr>
          <w:i/>
          <w:iCs/>
        </w:rPr>
        <w:t xml:space="preserve">et al. </w:t>
      </w:r>
      <w:r w:rsidRPr="00CD409B">
        <w:t>2022). This event is going to evaluate these processes with proper materials and locally sourced food products. This can offer the i</w:t>
      </w:r>
      <w:bookmarkStart w:id="13" w:name="_GoBack"/>
      <w:bookmarkEnd w:id="13"/>
      <w:r w:rsidRPr="00CD409B">
        <w:t>mplementation of a zero-waste plan and integrate a composting and recycling station.</w:t>
      </w:r>
    </w:p>
    <w:p w14:paraId="2E540310" w14:textId="52747DA2" w:rsidR="00CD409B" w:rsidRPr="00CD409B" w:rsidRDefault="00CD409B" w:rsidP="00CD409B">
      <w:pPr>
        <w:jc w:val="center"/>
      </w:pPr>
      <w:r w:rsidRPr="00CD409B">
        <w:rPr>
          <w:noProof/>
        </w:rPr>
        <w:drawing>
          <wp:inline distT="0" distB="0" distL="0" distR="0" wp14:anchorId="1535EB41" wp14:editId="31061C32">
            <wp:extent cx="4257675" cy="1857375"/>
            <wp:effectExtent l="57150" t="38100" r="9525" b="66675"/>
            <wp:docPr id="1446228904"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680644BE" w14:textId="77777777" w:rsidR="00CD409B" w:rsidRPr="00CD409B" w:rsidRDefault="00CD409B" w:rsidP="00CD409B">
      <w:pPr>
        <w:jc w:val="center"/>
        <w:rPr>
          <w:b/>
          <w:bCs/>
        </w:rPr>
      </w:pPr>
      <w:r w:rsidRPr="00CD409B">
        <w:rPr>
          <w:b/>
          <w:bCs/>
        </w:rPr>
        <w:t>Figure 4: Industry trends for supporting the event</w:t>
      </w:r>
    </w:p>
    <w:p w14:paraId="5388153F" w14:textId="4458AF41" w:rsidR="00CD409B" w:rsidRPr="00CD409B" w:rsidRDefault="00CD409B" w:rsidP="00CD409B">
      <w:pPr>
        <w:jc w:val="center"/>
      </w:pPr>
      <w:r w:rsidRPr="00CD409B">
        <w:t>(Source: Self-developed)</w:t>
      </w:r>
    </w:p>
    <w:p w14:paraId="26A40521" w14:textId="77777777" w:rsidR="00CD409B" w:rsidRPr="00CD409B" w:rsidRDefault="00CD409B" w:rsidP="00CD409B">
      <w:r w:rsidRPr="00CD409B">
        <w:lastRenderedPageBreak/>
        <w:t> Cultural diversity and inclusivity programs are also a priority in recent times (Bowden, 2025). According to different resources, international visitors mainly focus on cultural diversity, local interaction and authenticity as the main motivators of any event. Featuring diverse language perspectives, bilingual communication, and local artisans for alignment of the festival can help maintain the practices. It also aligned with the integration of visitor satisfaction and enhancement in several working processes (</w:t>
      </w:r>
      <w:proofErr w:type="spellStart"/>
      <w:r w:rsidRPr="00CD409B">
        <w:t>Nyström</w:t>
      </w:r>
      <w:proofErr w:type="spellEnd"/>
      <w:r w:rsidRPr="00CD409B">
        <w:t xml:space="preserve"> </w:t>
      </w:r>
      <w:r w:rsidRPr="00CD409B">
        <w:rPr>
          <w:i/>
          <w:iCs/>
        </w:rPr>
        <w:t xml:space="preserve">et al. </w:t>
      </w:r>
      <w:r w:rsidRPr="00CD409B">
        <w:t>2022). On the contrary, the industry can face several challenges due to rising inflation and operational costs. Other than that, labour shortages in the tourism and hospitality sector can also create several issues. To mitigate these problems event can maintain long-term contracts with different suppliers that can collaborate with local employment resources for engaging volunteers and interns.</w:t>
      </w:r>
    </w:p>
    <w:p w14:paraId="7D658466" w14:textId="77777777" w:rsidR="00CD409B" w:rsidRPr="00CD409B" w:rsidRDefault="00CD409B" w:rsidP="00CD409B">
      <w:pPr>
        <w:pStyle w:val="Heading2"/>
      </w:pPr>
      <w:bookmarkStart w:id="14" w:name="_Toc198914895"/>
      <w:r w:rsidRPr="00CD409B">
        <w:t>Situational and cultural considerations</w:t>
      </w:r>
      <w:bookmarkEnd w:id="14"/>
    </w:p>
    <w:p w14:paraId="3A952CD9" w14:textId="77777777" w:rsidR="00CD409B" w:rsidRPr="00CD409B" w:rsidRDefault="00CD409B" w:rsidP="00CD409B">
      <w:pPr>
        <w:pStyle w:val="Heading3"/>
      </w:pPr>
      <w:bookmarkStart w:id="15" w:name="_Toc198914896"/>
      <w:r w:rsidRPr="00CD409B">
        <w:t>Cultural sensitivity, diversity and inclusivity</w:t>
      </w:r>
      <w:bookmarkEnd w:id="15"/>
    </w:p>
    <w:p w14:paraId="07E65AF9" w14:textId="77777777" w:rsidR="00CD409B" w:rsidRPr="00CD409B" w:rsidRDefault="00CD409B" w:rsidP="00CD409B">
      <w:r w:rsidRPr="00CD409B">
        <w:t> The United Kingdom, particularly Wales, is known for maintaining a strong heritage, national identity and a bilingual culture. Other than that United Kingdom also maintains a diverse perspective and an inclusive culture in several working processes. The event management group must maintain an inclusive and diverse culture for value management (</w:t>
      </w:r>
      <w:proofErr w:type="spellStart"/>
      <w:r w:rsidRPr="00CD409B">
        <w:t>Wolbring</w:t>
      </w:r>
      <w:proofErr w:type="spellEnd"/>
      <w:r w:rsidRPr="00CD409B">
        <w:t xml:space="preserve"> and Lillywhite, 2021). That can help integrate cultural diversity management efficiently. Other than that, alignment of the government is also necessary for emphasising the importance of promoting domestic culture and protecting the interconnectedness of inclusivity and diversity.</w:t>
      </w:r>
    </w:p>
    <w:p w14:paraId="2B3CC9A4" w14:textId="77777777" w:rsidR="00CD409B" w:rsidRPr="00CD409B" w:rsidRDefault="00CD409B" w:rsidP="00CD409B">
      <w:pPr>
        <w:pStyle w:val="Heading3"/>
      </w:pPr>
      <w:bookmarkStart w:id="16" w:name="_Toc198914897"/>
      <w:r w:rsidRPr="00CD409B">
        <w:t>Social and community integration</w:t>
      </w:r>
      <w:bookmarkEnd w:id="16"/>
    </w:p>
    <w:p w14:paraId="5610617B" w14:textId="77777777" w:rsidR="00CD409B" w:rsidRPr="00CD409B" w:rsidRDefault="00CD409B" w:rsidP="00CD409B">
      <w:r w:rsidRPr="00CD409B">
        <w:t> Local community is helpful for understanding the cultural relevance. Therefore, involvement of local community is helpful in maintaining the deep-rooted authentication of the event. This is helpful in boosting the goodwill and alignment of sustainability goals for the event (</w:t>
      </w:r>
      <w:proofErr w:type="spellStart"/>
      <w:r w:rsidRPr="00CD409B">
        <w:t>Tavra</w:t>
      </w:r>
      <w:proofErr w:type="spellEnd"/>
      <w:r w:rsidRPr="00CD409B">
        <w:t xml:space="preserve"> </w:t>
      </w:r>
      <w:r w:rsidRPr="00CD409B">
        <w:rPr>
          <w:i/>
          <w:iCs/>
        </w:rPr>
        <w:t xml:space="preserve">et al. </w:t>
      </w:r>
      <w:r w:rsidRPr="00CD409B">
        <w:t>2021). This also engage with an underrepresented perspective about the group for encouraging accessibility and diversity.</w:t>
      </w:r>
    </w:p>
    <w:p w14:paraId="4D78A1C5" w14:textId="77777777" w:rsidR="00CD409B" w:rsidRPr="00CD409B" w:rsidRDefault="00CD409B" w:rsidP="00CD409B">
      <w:pPr>
        <w:pStyle w:val="Heading3"/>
      </w:pPr>
      <w:r w:rsidRPr="00CD409B">
        <w:t> </w:t>
      </w:r>
      <w:bookmarkStart w:id="17" w:name="_Toc198914898"/>
      <w:r w:rsidRPr="00CD409B">
        <w:t>Regulatory and legal considerations</w:t>
      </w:r>
      <w:bookmarkEnd w:id="17"/>
    </w:p>
    <w:p w14:paraId="27E2E699" w14:textId="77777777" w:rsidR="00CD409B" w:rsidRPr="00CD409B" w:rsidRDefault="00CD409B" w:rsidP="00CD409B">
      <w:r w:rsidRPr="00CD409B">
        <w:t> Different necessary events mainly focus on maintaining all permits and licenses that include data protection policies health and safety regulations and other licensing processes that maintain ethical event delivery and lawful integration. These are also helpful in integrating risk assessment processes and insurance coverage for finalizing the working process.</w:t>
      </w:r>
    </w:p>
    <w:p w14:paraId="46B541DD" w14:textId="77777777" w:rsidR="00CD409B" w:rsidRPr="00CD409B" w:rsidRDefault="00CD409B" w:rsidP="00CD409B">
      <w:pPr>
        <w:pStyle w:val="Heading2"/>
      </w:pPr>
      <w:r w:rsidRPr="00CD409B">
        <w:lastRenderedPageBreak/>
        <w:t> </w:t>
      </w:r>
      <w:bookmarkStart w:id="18" w:name="_Toc198914899"/>
      <w:r w:rsidRPr="00CD409B">
        <w:t>Conclusion</w:t>
      </w:r>
      <w:bookmarkEnd w:id="18"/>
    </w:p>
    <w:p w14:paraId="32ACA3A9" w14:textId="77777777" w:rsidR="00CD409B" w:rsidRPr="00CD409B" w:rsidRDefault="00CD409B" w:rsidP="00CD409B">
      <w:r w:rsidRPr="00CD409B">
        <w:t xml:space="preserve"> The </w:t>
      </w:r>
      <w:r w:rsidRPr="00CD409B">
        <w:rPr>
          <w:i/>
          <w:iCs/>
        </w:rPr>
        <w:t>International Culinary and Culture Festival Wales 2025</w:t>
      </w:r>
      <w:r w:rsidRPr="00CD409B">
        <w:t xml:space="preserve"> can represent our strategic understanding and promotion of the cultural opportunities of Wales, UK an international perspective. These integrations and event management processes focus on building a feasible understanding of the strategic plan development and delivery processes for understanding event management more successfully. These are integrated with several operational perspectives that include development of event cycle, detailed operational planning, integration of smart objectives, stakeholder engagement, financial forecasting and understanding industry trends. Alignment of national tourism perspectives can be helpful for this event based on cultural authenticity, maintaining diversity, inclusivity and sustainable development processes. Other than that, it can also maintain well-positioned processes for audience integration and policy development processes. Furthermore, this report also demonstrates a careful understanding of clear maintenance and risk mitigation processes for the event.</w:t>
      </w:r>
    </w:p>
    <w:p w14:paraId="6ECA53B2" w14:textId="77777777" w:rsidR="005C2CEA" w:rsidRPr="005C2CEA" w:rsidRDefault="005C2CEA" w:rsidP="005C2CEA"/>
    <w:p w14:paraId="742998A8" w14:textId="77777777" w:rsidR="005C2CEA" w:rsidRPr="005C2CEA" w:rsidRDefault="005C2CEA" w:rsidP="005C2CEA">
      <w:r w:rsidRPr="005C2CEA">
        <w:t> </w:t>
      </w:r>
    </w:p>
    <w:p w14:paraId="7AD26D3F" w14:textId="77777777" w:rsidR="005C2CEA" w:rsidRPr="005C2CEA" w:rsidRDefault="005C2CEA" w:rsidP="005C2CEA">
      <w:r w:rsidRPr="005C2CEA">
        <w:t> </w:t>
      </w:r>
    </w:p>
    <w:p w14:paraId="75B612C7" w14:textId="77777777" w:rsidR="005C2CEA" w:rsidRPr="005C2CEA" w:rsidRDefault="005C2CEA" w:rsidP="005C2CEA">
      <w:r w:rsidRPr="005C2CEA">
        <w:t> </w:t>
      </w:r>
    </w:p>
    <w:p w14:paraId="64FB5719" w14:textId="77777777" w:rsidR="005C2CEA" w:rsidRPr="005C2CEA" w:rsidRDefault="005C2CEA" w:rsidP="005C2CEA">
      <w:r w:rsidRPr="005C2CEA">
        <w:t> </w:t>
      </w:r>
    </w:p>
    <w:p w14:paraId="12D14BCB" w14:textId="7CCE0844" w:rsidR="00CD409B" w:rsidRDefault="005C2CEA" w:rsidP="00E76EA9">
      <w:r w:rsidRPr="005C2CEA">
        <w:t> </w:t>
      </w:r>
    </w:p>
    <w:p w14:paraId="7462B9B8" w14:textId="0A7BBEFC" w:rsidR="00E76EA9" w:rsidRPr="00E76EA9" w:rsidRDefault="00CD409B">
      <w:pPr>
        <w:spacing w:line="259" w:lineRule="auto"/>
        <w:jc w:val="left"/>
      </w:pPr>
      <w:r>
        <w:br w:type="page"/>
      </w:r>
    </w:p>
    <w:p w14:paraId="7AE1569F" w14:textId="02555C6D" w:rsidR="00BE6B49" w:rsidRPr="008E42E3" w:rsidRDefault="0053790B" w:rsidP="0035142C">
      <w:pPr>
        <w:pStyle w:val="Heading1"/>
      </w:pPr>
      <w:bookmarkStart w:id="19" w:name="_Toc198914900"/>
      <w:r>
        <w:lastRenderedPageBreak/>
        <w:t>References</w:t>
      </w:r>
      <w:bookmarkEnd w:id="19"/>
    </w:p>
    <w:p w14:paraId="1B653830" w14:textId="77777777" w:rsidR="00CD409B" w:rsidRPr="00CD409B" w:rsidRDefault="00CD409B" w:rsidP="00CD409B">
      <w:r w:rsidRPr="00CD409B">
        <w:t xml:space="preserve">Alghamdi, A.M., Pileggi, S.F. and </w:t>
      </w:r>
      <w:proofErr w:type="spellStart"/>
      <w:r w:rsidRPr="00CD409B">
        <w:t>Sohaib</w:t>
      </w:r>
      <w:proofErr w:type="spellEnd"/>
      <w:r w:rsidRPr="00CD409B">
        <w:t>, O., 2023. Social media analysis to enhance sustainable knowledge management: A concise literature review. </w:t>
      </w:r>
      <w:r w:rsidRPr="00CD409B">
        <w:rPr>
          <w:i/>
          <w:iCs/>
        </w:rPr>
        <w:t>Sustainability</w:t>
      </w:r>
      <w:r w:rsidRPr="00CD409B">
        <w:t>, </w:t>
      </w:r>
      <w:r w:rsidRPr="00CD409B">
        <w:rPr>
          <w:i/>
          <w:iCs/>
        </w:rPr>
        <w:t>15</w:t>
      </w:r>
      <w:r w:rsidRPr="00CD409B">
        <w:t>(13), p.9957.</w:t>
      </w:r>
    </w:p>
    <w:p w14:paraId="15293A12" w14:textId="77777777" w:rsidR="00CD409B" w:rsidRPr="00CD409B" w:rsidRDefault="00CD409B" w:rsidP="00CD409B">
      <w:proofErr w:type="spellStart"/>
      <w:r w:rsidRPr="00CD409B">
        <w:t>Ballarano</w:t>
      </w:r>
      <w:proofErr w:type="spellEnd"/>
      <w:r w:rsidRPr="00CD409B">
        <w:t xml:space="preserve">, D., Patella, S.M. and </w:t>
      </w:r>
      <w:proofErr w:type="spellStart"/>
      <w:r w:rsidRPr="00CD409B">
        <w:t>Asdrubali</w:t>
      </w:r>
      <w:proofErr w:type="spellEnd"/>
      <w:r w:rsidRPr="00CD409B">
        <w:t>, F., 2022. Sustainable transportation for events: A systematic review. </w:t>
      </w:r>
      <w:r w:rsidRPr="00CD409B">
        <w:rPr>
          <w:i/>
          <w:iCs/>
        </w:rPr>
        <w:t>Sustainability</w:t>
      </w:r>
      <w:r w:rsidRPr="00CD409B">
        <w:t>, </w:t>
      </w:r>
      <w:r w:rsidRPr="00CD409B">
        <w:rPr>
          <w:i/>
          <w:iCs/>
        </w:rPr>
        <w:t>14</w:t>
      </w:r>
      <w:r w:rsidRPr="00CD409B">
        <w:t>(23), p.15815.</w:t>
      </w:r>
    </w:p>
    <w:p w14:paraId="69A57398" w14:textId="77777777" w:rsidR="00CD409B" w:rsidRPr="00CD409B" w:rsidRDefault="00CD409B" w:rsidP="00CD409B">
      <w:r w:rsidRPr="00CD409B">
        <w:t xml:space="preserve">Bellini, P., </w:t>
      </w:r>
      <w:proofErr w:type="spellStart"/>
      <w:r w:rsidRPr="00CD409B">
        <w:t>Nesi</w:t>
      </w:r>
      <w:proofErr w:type="spellEnd"/>
      <w:r w:rsidRPr="00CD409B">
        <w:t>, P. and Pantaleo, G., 2022. IoT-enabled smart cities: A review of concepts, frameworks and key technologies. </w:t>
      </w:r>
      <w:r w:rsidRPr="00CD409B">
        <w:rPr>
          <w:i/>
          <w:iCs/>
        </w:rPr>
        <w:t>Applied Sciences</w:t>
      </w:r>
      <w:r w:rsidRPr="00CD409B">
        <w:t>, </w:t>
      </w:r>
      <w:r w:rsidRPr="00CD409B">
        <w:rPr>
          <w:i/>
          <w:iCs/>
        </w:rPr>
        <w:t>12</w:t>
      </w:r>
      <w:r w:rsidRPr="00CD409B">
        <w:t>(3), p.1607.</w:t>
      </w:r>
    </w:p>
    <w:p w14:paraId="0B506AC2" w14:textId="77777777" w:rsidR="00CD409B" w:rsidRDefault="00CD409B" w:rsidP="008E42E3">
      <w:r w:rsidRPr="008E42E3">
        <w:t xml:space="preserve">Bowden, G. (2025). </w:t>
      </w:r>
      <w:r w:rsidRPr="008E42E3">
        <w:rPr>
          <w:i/>
          <w:iCs/>
        </w:rPr>
        <w:t xml:space="preserve">2025: Join us for the Year of </w:t>
      </w:r>
      <w:proofErr w:type="spellStart"/>
      <w:r w:rsidRPr="008E42E3">
        <w:rPr>
          <w:i/>
          <w:iCs/>
        </w:rPr>
        <w:t>Croeso</w:t>
      </w:r>
      <w:proofErr w:type="spellEnd"/>
      <w:r w:rsidRPr="008E42E3">
        <w:rPr>
          <w:i/>
          <w:iCs/>
        </w:rPr>
        <w:t xml:space="preserve"> | Neath Port Talbot Destinations</w:t>
      </w:r>
      <w:r w:rsidRPr="008E42E3">
        <w:t>. [online] Neath Port Talbot Destinations. Available at: https://dramaticheart.wales/blog/2025-join-us-for-the-year-of-croeso/ [Accessed 22 May 2025].</w:t>
      </w:r>
    </w:p>
    <w:p w14:paraId="271C5478" w14:textId="77777777" w:rsidR="00CD409B" w:rsidRDefault="00CD409B" w:rsidP="00683E9E">
      <w:r w:rsidRPr="00683E9E">
        <w:t xml:space="preserve">Business Wales. (2025). </w:t>
      </w:r>
      <w:proofErr w:type="spellStart"/>
      <w:r w:rsidRPr="00683E9E">
        <w:rPr>
          <w:i/>
          <w:iCs/>
        </w:rPr>
        <w:t>Croeso</w:t>
      </w:r>
      <w:proofErr w:type="spellEnd"/>
      <w:r w:rsidRPr="00683E9E">
        <w:rPr>
          <w:i/>
          <w:iCs/>
        </w:rPr>
        <w:t xml:space="preserve"> 25</w:t>
      </w:r>
      <w:r w:rsidRPr="00683E9E">
        <w:t xml:space="preserve">. [online] Available at: </w:t>
      </w:r>
      <w:hyperlink r:id="rId26" w:history="1">
        <w:r w:rsidRPr="00683E9E">
          <w:rPr>
            <w:rStyle w:val="Hyperlink"/>
          </w:rPr>
          <w:t>https://businesswales.gov.wales/news-and-blog/croeso-25</w:t>
        </w:r>
      </w:hyperlink>
      <w:r w:rsidRPr="00683E9E">
        <w:t>.</w:t>
      </w:r>
    </w:p>
    <w:p w14:paraId="04E137B8" w14:textId="77777777" w:rsidR="00CD409B" w:rsidRDefault="00CD409B" w:rsidP="001B0916">
      <w:proofErr w:type="spellStart"/>
      <w:r w:rsidRPr="001B0916">
        <w:t>businesswales</w:t>
      </w:r>
      <w:proofErr w:type="spellEnd"/>
      <w:r w:rsidRPr="001B0916">
        <w:t xml:space="preserve"> (2025). </w:t>
      </w:r>
      <w:r w:rsidRPr="001B0916">
        <w:rPr>
          <w:i/>
          <w:iCs/>
        </w:rPr>
        <w:t>Food &amp; Drink Wales Insight Conference 2025: Be Ahead of the Curve 10th – 14th March 2025</w:t>
      </w:r>
      <w:r w:rsidRPr="001B0916">
        <w:t>. [online] Business Wales - Food and drink. Available at: https://businesswales.gov.wales/foodanddrink/news-and-events/events/food-drink-wales-insight-conference-2025-be-ahead-curve-10th-14th-march-2025 [Accessed 22 May 2025].</w:t>
      </w:r>
    </w:p>
    <w:p w14:paraId="4F234331" w14:textId="77777777" w:rsidR="00CD409B" w:rsidRDefault="00CD409B" w:rsidP="008A23F0">
      <w:proofErr w:type="spellStart"/>
      <w:r w:rsidRPr="008A23F0">
        <w:t>businesswales</w:t>
      </w:r>
      <w:proofErr w:type="spellEnd"/>
      <w:r w:rsidRPr="008A23F0">
        <w:t xml:space="preserve"> (2025). </w:t>
      </w:r>
      <w:r w:rsidRPr="008A23F0">
        <w:rPr>
          <w:i/>
          <w:iCs/>
        </w:rPr>
        <w:t>Welsh Food &amp; Drink Makes an Impact in Asia</w:t>
      </w:r>
      <w:r w:rsidRPr="008A23F0">
        <w:t>. [online] Business Wales - Food and drink. Available at: https://businesswales.gov.wales/foodanddrink/news-and-events/news/welsh-food-drink-makes-impact-asia [Accessed 22 May 2025].</w:t>
      </w:r>
    </w:p>
    <w:p w14:paraId="16D5953B" w14:textId="77777777" w:rsidR="00CD409B" w:rsidRPr="00CD409B" w:rsidRDefault="00CD409B" w:rsidP="00CD409B">
      <w:r w:rsidRPr="00CD409B">
        <w:t xml:space="preserve">Carswell, J., Jamal, T., Lee, S., </w:t>
      </w:r>
      <w:proofErr w:type="spellStart"/>
      <w:r w:rsidRPr="00CD409B">
        <w:t>Sullins</w:t>
      </w:r>
      <w:proofErr w:type="spellEnd"/>
      <w:r w:rsidRPr="00CD409B">
        <w:t>, D.L. and Wellman, K., 2023. Post-pandemic lessons for destination resilience and sustainable event management: the complex learning destination. </w:t>
      </w:r>
      <w:r w:rsidRPr="00CD409B">
        <w:rPr>
          <w:i/>
          <w:iCs/>
        </w:rPr>
        <w:t>Tourism and Hospitality</w:t>
      </w:r>
      <w:r w:rsidRPr="00CD409B">
        <w:t>, </w:t>
      </w:r>
      <w:r w:rsidRPr="00CD409B">
        <w:rPr>
          <w:i/>
          <w:iCs/>
        </w:rPr>
        <w:t>4</w:t>
      </w:r>
      <w:r w:rsidRPr="00CD409B">
        <w:t>(1), pp.91-140.</w:t>
      </w:r>
    </w:p>
    <w:p w14:paraId="1ACAB787" w14:textId="77777777" w:rsidR="00CD409B" w:rsidRPr="00CD409B" w:rsidRDefault="00CD409B" w:rsidP="00CD409B">
      <w:r w:rsidRPr="00CD409B">
        <w:t xml:space="preserve">Carvalho, M., </w:t>
      </w:r>
      <w:proofErr w:type="spellStart"/>
      <w:r w:rsidRPr="00CD409B">
        <w:t>Kastenholz</w:t>
      </w:r>
      <w:proofErr w:type="spellEnd"/>
      <w:r w:rsidRPr="00CD409B">
        <w:t xml:space="preserve">, E. and Carneiro, M.J., 2021. Interaction as a central element of co-creative wine tourism experiences—Evidence from </w:t>
      </w:r>
      <w:proofErr w:type="spellStart"/>
      <w:r w:rsidRPr="00CD409B">
        <w:t>Bairrada</w:t>
      </w:r>
      <w:proofErr w:type="spellEnd"/>
      <w:r w:rsidRPr="00CD409B">
        <w:t>, a Portuguese wine-producing region. </w:t>
      </w:r>
      <w:r w:rsidRPr="00CD409B">
        <w:rPr>
          <w:i/>
          <w:iCs/>
        </w:rPr>
        <w:t>Sustainability</w:t>
      </w:r>
      <w:r w:rsidRPr="00CD409B">
        <w:t>, </w:t>
      </w:r>
      <w:r w:rsidRPr="00CD409B">
        <w:rPr>
          <w:i/>
          <w:iCs/>
        </w:rPr>
        <w:t>13</w:t>
      </w:r>
      <w:r w:rsidRPr="00CD409B">
        <w:t>(16), p.9374.</w:t>
      </w:r>
    </w:p>
    <w:p w14:paraId="6DEF6745" w14:textId="77777777" w:rsidR="00CD409B" w:rsidRPr="00CD409B" w:rsidRDefault="00CD409B" w:rsidP="00CD409B">
      <w:r w:rsidRPr="00CD409B">
        <w:t xml:space="preserve">Chen, X., </w:t>
      </w:r>
      <w:proofErr w:type="spellStart"/>
      <w:r w:rsidRPr="00CD409B">
        <w:t>Yim</w:t>
      </w:r>
      <w:proofErr w:type="spellEnd"/>
      <w:r w:rsidRPr="00CD409B">
        <w:t xml:space="preserve">, B.H., </w:t>
      </w:r>
      <w:proofErr w:type="spellStart"/>
      <w:r w:rsidRPr="00CD409B">
        <w:t>Tuo</w:t>
      </w:r>
      <w:proofErr w:type="spellEnd"/>
      <w:r w:rsidRPr="00CD409B">
        <w:t>, Z., Zhou, L., Liu, T. and Zhang, J.J., 2021. “One event, one city”: promoting the loyalty of marathon runners to a host city by improving event service quality. </w:t>
      </w:r>
      <w:r w:rsidRPr="00CD409B">
        <w:rPr>
          <w:i/>
          <w:iCs/>
        </w:rPr>
        <w:t>Sustainability</w:t>
      </w:r>
      <w:r w:rsidRPr="00CD409B">
        <w:t>, </w:t>
      </w:r>
      <w:r w:rsidRPr="00CD409B">
        <w:rPr>
          <w:i/>
          <w:iCs/>
        </w:rPr>
        <w:t>13</w:t>
      </w:r>
      <w:r w:rsidRPr="00CD409B">
        <w:t>(7), p.3795.</w:t>
      </w:r>
    </w:p>
    <w:p w14:paraId="1459A8DF" w14:textId="77777777" w:rsidR="00CD409B" w:rsidRPr="00CD409B" w:rsidRDefault="00CD409B" w:rsidP="00CD409B">
      <w:proofErr w:type="spellStart"/>
      <w:r w:rsidRPr="00CD409B">
        <w:lastRenderedPageBreak/>
        <w:t>Corchado</w:t>
      </w:r>
      <w:proofErr w:type="spellEnd"/>
      <w:r w:rsidRPr="00CD409B">
        <w:t xml:space="preserve">, J.M., </w:t>
      </w:r>
      <w:proofErr w:type="spellStart"/>
      <w:r w:rsidRPr="00CD409B">
        <w:t>Chamoso</w:t>
      </w:r>
      <w:proofErr w:type="spellEnd"/>
      <w:r w:rsidRPr="00CD409B">
        <w:t xml:space="preserve">, P., Hernández, G., Gutierrez, A.S.R., Camacho, A.R., González-Briones, A., Pinto-Santos, F., </w:t>
      </w:r>
      <w:proofErr w:type="spellStart"/>
      <w:r w:rsidRPr="00CD409B">
        <w:t>Goyenechea</w:t>
      </w:r>
      <w:proofErr w:type="spellEnd"/>
      <w:r w:rsidRPr="00CD409B">
        <w:t>, E., García-</w:t>
      </w:r>
      <w:proofErr w:type="spellStart"/>
      <w:r w:rsidRPr="00CD409B">
        <w:t>Retuerta</w:t>
      </w:r>
      <w:proofErr w:type="spellEnd"/>
      <w:r w:rsidRPr="00CD409B">
        <w:t xml:space="preserve">, D., Alonso-Miguel, M. and Hernandez, B.B., 2021. </w:t>
      </w:r>
      <w:proofErr w:type="spellStart"/>
      <w:r w:rsidRPr="00CD409B">
        <w:t>Deepint</w:t>
      </w:r>
      <w:proofErr w:type="spellEnd"/>
      <w:r w:rsidRPr="00CD409B">
        <w:t>. net: A rapid deployment platform for smart territories. </w:t>
      </w:r>
      <w:r w:rsidRPr="00CD409B">
        <w:rPr>
          <w:i/>
          <w:iCs/>
        </w:rPr>
        <w:t>Sensors</w:t>
      </w:r>
      <w:r w:rsidRPr="00CD409B">
        <w:t>, </w:t>
      </w:r>
      <w:r w:rsidRPr="00CD409B">
        <w:rPr>
          <w:i/>
          <w:iCs/>
        </w:rPr>
        <w:t>21</w:t>
      </w:r>
      <w:r w:rsidRPr="00CD409B">
        <w:t>(1), p.236.</w:t>
      </w:r>
    </w:p>
    <w:p w14:paraId="4EB02E94" w14:textId="77777777" w:rsidR="00CD409B" w:rsidRPr="00CD409B" w:rsidRDefault="00CD409B" w:rsidP="00CD409B">
      <w:proofErr w:type="spellStart"/>
      <w:r w:rsidRPr="00CD409B">
        <w:t>Dounavi</w:t>
      </w:r>
      <w:proofErr w:type="spellEnd"/>
      <w:r w:rsidRPr="00CD409B">
        <w:t xml:space="preserve">, L.E., </w:t>
      </w:r>
      <w:proofErr w:type="spellStart"/>
      <w:r w:rsidRPr="00CD409B">
        <w:t>Dermitzakis</w:t>
      </w:r>
      <w:proofErr w:type="spellEnd"/>
      <w:r w:rsidRPr="00CD409B">
        <w:t xml:space="preserve">, E., </w:t>
      </w:r>
      <w:proofErr w:type="spellStart"/>
      <w:r w:rsidRPr="00CD409B">
        <w:t>Chatzistelios</w:t>
      </w:r>
      <w:proofErr w:type="spellEnd"/>
      <w:r w:rsidRPr="00CD409B">
        <w:t xml:space="preserve">, G. and </w:t>
      </w:r>
      <w:proofErr w:type="spellStart"/>
      <w:r w:rsidRPr="00CD409B">
        <w:t>Kirytopoulos</w:t>
      </w:r>
      <w:proofErr w:type="spellEnd"/>
      <w:r w:rsidRPr="00CD409B">
        <w:t>, K., 2022. Project management for corporate events: A set of tools to manage risk and increase quality outcomes. </w:t>
      </w:r>
      <w:r w:rsidRPr="00CD409B">
        <w:rPr>
          <w:i/>
          <w:iCs/>
        </w:rPr>
        <w:t>Sustainability</w:t>
      </w:r>
      <w:r w:rsidRPr="00CD409B">
        <w:t>, </w:t>
      </w:r>
      <w:r w:rsidRPr="00CD409B">
        <w:rPr>
          <w:i/>
          <w:iCs/>
        </w:rPr>
        <w:t>14</w:t>
      </w:r>
      <w:r w:rsidRPr="00CD409B">
        <w:t>(4), p.2009. </w:t>
      </w:r>
    </w:p>
    <w:p w14:paraId="57F7CD1D" w14:textId="77777777" w:rsidR="00CD409B" w:rsidRPr="00CD409B" w:rsidRDefault="00CD409B" w:rsidP="00CD409B">
      <w:proofErr w:type="spellStart"/>
      <w:r w:rsidRPr="00CD409B">
        <w:t>Fedchenko</w:t>
      </w:r>
      <w:proofErr w:type="spellEnd"/>
      <w:r w:rsidRPr="00CD409B">
        <w:t xml:space="preserve">, E.A., </w:t>
      </w:r>
      <w:proofErr w:type="spellStart"/>
      <w:r w:rsidRPr="00CD409B">
        <w:t>Gusarova</w:t>
      </w:r>
      <w:proofErr w:type="spellEnd"/>
      <w:r w:rsidRPr="00CD409B">
        <w:t xml:space="preserve">, L.V., </w:t>
      </w:r>
      <w:proofErr w:type="spellStart"/>
      <w:r w:rsidRPr="00CD409B">
        <w:t>Vasyunina</w:t>
      </w:r>
      <w:proofErr w:type="spellEnd"/>
      <w:r w:rsidRPr="00CD409B">
        <w:t xml:space="preserve">, M.L., </w:t>
      </w:r>
      <w:proofErr w:type="spellStart"/>
      <w:r w:rsidRPr="00CD409B">
        <w:t>Lozhechko</w:t>
      </w:r>
      <w:proofErr w:type="spellEnd"/>
      <w:r w:rsidRPr="00CD409B">
        <w:t>, A.S. and Lysenko, A.A., 2022. The mechanism of budget management as an element of risk control in regulatory authorities. </w:t>
      </w:r>
      <w:r w:rsidRPr="00CD409B">
        <w:rPr>
          <w:i/>
          <w:iCs/>
        </w:rPr>
        <w:t>Risks</w:t>
      </w:r>
      <w:r w:rsidRPr="00CD409B">
        <w:t>, </w:t>
      </w:r>
      <w:r w:rsidRPr="00CD409B">
        <w:rPr>
          <w:i/>
          <w:iCs/>
        </w:rPr>
        <w:t>10</w:t>
      </w:r>
      <w:r w:rsidRPr="00CD409B">
        <w:t>(9), p.177.</w:t>
      </w:r>
    </w:p>
    <w:p w14:paraId="5884BA35" w14:textId="77777777" w:rsidR="00CD409B" w:rsidRPr="006E42A0" w:rsidRDefault="00CD409B" w:rsidP="0035142C">
      <w:r>
        <w:t xml:space="preserve">Getz, D. and Page, S. (2019) </w:t>
      </w:r>
      <w:r w:rsidRPr="0035142C">
        <w:rPr>
          <w:i/>
          <w:iCs/>
        </w:rPr>
        <w:t>Event studies</w:t>
      </w:r>
      <w:r>
        <w:t>: theory, research and policy for planned events. 3rd Edition. Routledge: Oxford</w:t>
      </w:r>
    </w:p>
    <w:p w14:paraId="76E879F0" w14:textId="77777777" w:rsidR="00CD409B" w:rsidRPr="00CD409B" w:rsidRDefault="00CD409B" w:rsidP="00CD409B">
      <w:r w:rsidRPr="00CD409B">
        <w:t>González-</w:t>
      </w:r>
      <w:proofErr w:type="spellStart"/>
      <w:r w:rsidRPr="00CD409B">
        <w:t>Granadillo</w:t>
      </w:r>
      <w:proofErr w:type="spellEnd"/>
      <w:r w:rsidRPr="00CD409B">
        <w:t>, G., González-</w:t>
      </w:r>
      <w:proofErr w:type="spellStart"/>
      <w:r w:rsidRPr="00CD409B">
        <w:t>Zarzosa</w:t>
      </w:r>
      <w:proofErr w:type="spellEnd"/>
      <w:r w:rsidRPr="00CD409B">
        <w:t>, S. and Diaz, R., 2021. Security information and event management (SIEM): Analysis, trends, and usage in critical infrastructures. </w:t>
      </w:r>
      <w:r w:rsidRPr="00CD409B">
        <w:rPr>
          <w:i/>
          <w:iCs/>
        </w:rPr>
        <w:t>Sensors</w:t>
      </w:r>
      <w:r w:rsidRPr="00CD409B">
        <w:t>, </w:t>
      </w:r>
      <w:r w:rsidRPr="00CD409B">
        <w:rPr>
          <w:i/>
          <w:iCs/>
        </w:rPr>
        <w:t>21</w:t>
      </w:r>
      <w:r w:rsidRPr="00CD409B">
        <w:t>(14), p.4759.</w:t>
      </w:r>
    </w:p>
    <w:p w14:paraId="4F9AE199" w14:textId="77777777" w:rsidR="00CD409B" w:rsidRDefault="00CD409B" w:rsidP="00683E9E">
      <w:r w:rsidRPr="00683E9E">
        <w:t xml:space="preserve">GOV.WALES. (2025). </w:t>
      </w:r>
      <w:r w:rsidRPr="00683E9E">
        <w:rPr>
          <w:i/>
          <w:iCs/>
        </w:rPr>
        <w:t>Decision Reports: 2025 | GOV.WALES</w:t>
      </w:r>
      <w:r w:rsidRPr="00683E9E">
        <w:t>. [online] Available at: https://www.gov.wales/decision-reports-2025 [Accessed 22 May 2025].</w:t>
      </w:r>
    </w:p>
    <w:p w14:paraId="03CD9CB4" w14:textId="77777777" w:rsidR="00CD409B" w:rsidRPr="00CD409B" w:rsidRDefault="00CD409B" w:rsidP="00CD409B">
      <w:proofErr w:type="spellStart"/>
      <w:r w:rsidRPr="00CD409B">
        <w:t>Guidotti</w:t>
      </w:r>
      <w:proofErr w:type="spellEnd"/>
      <w:r w:rsidRPr="00CD409B">
        <w:t xml:space="preserve">, F., </w:t>
      </w:r>
      <w:proofErr w:type="spellStart"/>
      <w:r w:rsidRPr="00CD409B">
        <w:t>Demarie</w:t>
      </w:r>
      <w:proofErr w:type="spellEnd"/>
      <w:r w:rsidRPr="00CD409B">
        <w:t xml:space="preserve">, S., </w:t>
      </w:r>
      <w:proofErr w:type="spellStart"/>
      <w:r w:rsidRPr="00CD409B">
        <w:t>Ciaccioni</w:t>
      </w:r>
      <w:proofErr w:type="spellEnd"/>
      <w:r w:rsidRPr="00CD409B">
        <w:t xml:space="preserve">, S. and </w:t>
      </w:r>
      <w:proofErr w:type="spellStart"/>
      <w:r w:rsidRPr="00CD409B">
        <w:t>Capranica</w:t>
      </w:r>
      <w:proofErr w:type="spellEnd"/>
      <w:r w:rsidRPr="00CD409B">
        <w:t>, L., 2023. Knowledge, competencies, and skills for a sustainable sport management growth: a systematic review. </w:t>
      </w:r>
      <w:r w:rsidRPr="00CD409B">
        <w:rPr>
          <w:i/>
          <w:iCs/>
        </w:rPr>
        <w:t>Sustainability</w:t>
      </w:r>
      <w:r w:rsidRPr="00CD409B">
        <w:t>, </w:t>
      </w:r>
      <w:r w:rsidRPr="00CD409B">
        <w:rPr>
          <w:i/>
          <w:iCs/>
        </w:rPr>
        <w:t>15</w:t>
      </w:r>
      <w:r w:rsidRPr="00CD409B">
        <w:t>(9), p.7061.</w:t>
      </w:r>
    </w:p>
    <w:p w14:paraId="02014B02" w14:textId="77777777" w:rsidR="00CD409B" w:rsidRDefault="00CD409B" w:rsidP="00683E9E">
      <w:proofErr w:type="spellStart"/>
      <w:r w:rsidRPr="00683E9E">
        <w:t>kieronj</w:t>
      </w:r>
      <w:proofErr w:type="spellEnd"/>
      <w:r w:rsidRPr="00683E9E">
        <w:t xml:space="preserve"> (2025). </w:t>
      </w:r>
      <w:r w:rsidRPr="00683E9E">
        <w:rPr>
          <w:i/>
          <w:iCs/>
        </w:rPr>
        <w:t xml:space="preserve">Year of </w:t>
      </w:r>
      <w:proofErr w:type="spellStart"/>
      <w:r w:rsidRPr="00683E9E">
        <w:rPr>
          <w:i/>
          <w:iCs/>
        </w:rPr>
        <w:t>Croeso</w:t>
      </w:r>
      <w:proofErr w:type="spellEnd"/>
      <w:r w:rsidRPr="00683E9E">
        <w:rPr>
          <w:i/>
          <w:iCs/>
        </w:rPr>
        <w:t>: Weather-Proofing Fund for Tourism Attractions 2025-2026</w:t>
      </w:r>
      <w:r w:rsidRPr="00683E9E">
        <w:t xml:space="preserve">. [online] Cardiff Music City. Available at: </w:t>
      </w:r>
      <w:hyperlink r:id="rId27" w:history="1">
        <w:r w:rsidRPr="00683E9E">
          <w:rPr>
            <w:rStyle w:val="Hyperlink"/>
          </w:rPr>
          <w:t>https://cardiffmusiccity.wales/2025/05/07/year-of-croeso-weather-proofing-fund-for-tourism-attractions-2025-2026/</w:t>
        </w:r>
      </w:hyperlink>
      <w:r w:rsidRPr="00683E9E">
        <w:t>.</w:t>
      </w:r>
    </w:p>
    <w:p w14:paraId="06A74640" w14:textId="77777777" w:rsidR="00CD409B" w:rsidRPr="00CD409B" w:rsidRDefault="00CD409B" w:rsidP="00CD409B">
      <w:proofErr w:type="spellStart"/>
      <w:r w:rsidRPr="00CD409B">
        <w:t>Kusumastuti</w:t>
      </w:r>
      <w:proofErr w:type="spellEnd"/>
      <w:r w:rsidRPr="00CD409B">
        <w:t xml:space="preserve">, H., </w:t>
      </w:r>
      <w:proofErr w:type="spellStart"/>
      <w:r w:rsidRPr="00CD409B">
        <w:t>Pranita</w:t>
      </w:r>
      <w:proofErr w:type="spellEnd"/>
      <w:r w:rsidRPr="00CD409B">
        <w:t xml:space="preserve">, D., </w:t>
      </w:r>
      <w:proofErr w:type="spellStart"/>
      <w:r w:rsidRPr="00CD409B">
        <w:t>Viendyasari</w:t>
      </w:r>
      <w:proofErr w:type="spellEnd"/>
      <w:r w:rsidRPr="00CD409B">
        <w:t xml:space="preserve">, M., Rasul, M.S. and </w:t>
      </w:r>
      <w:proofErr w:type="spellStart"/>
      <w:r w:rsidRPr="00CD409B">
        <w:t>Sarjana</w:t>
      </w:r>
      <w:proofErr w:type="spellEnd"/>
      <w:r w:rsidRPr="00CD409B">
        <w:t>, S., 2024. Leveraging local value in a post-smart tourism village to encourage sustainable tourism. </w:t>
      </w:r>
      <w:r w:rsidRPr="00CD409B">
        <w:rPr>
          <w:i/>
          <w:iCs/>
        </w:rPr>
        <w:t>Sustainability</w:t>
      </w:r>
      <w:r w:rsidRPr="00CD409B">
        <w:t>, </w:t>
      </w:r>
      <w:r w:rsidRPr="00CD409B">
        <w:rPr>
          <w:i/>
          <w:iCs/>
        </w:rPr>
        <w:t>16</w:t>
      </w:r>
      <w:r w:rsidRPr="00CD409B">
        <w:t>(2), p.873.</w:t>
      </w:r>
    </w:p>
    <w:p w14:paraId="5A3EB368" w14:textId="77777777" w:rsidR="00CD409B" w:rsidRPr="00CD409B" w:rsidRDefault="00CD409B" w:rsidP="00CD409B">
      <w:proofErr w:type="spellStart"/>
      <w:r w:rsidRPr="00CD409B">
        <w:t>Makroum</w:t>
      </w:r>
      <w:proofErr w:type="spellEnd"/>
      <w:r w:rsidRPr="00CD409B">
        <w:t xml:space="preserve">, M.A., Adda, M., </w:t>
      </w:r>
      <w:proofErr w:type="spellStart"/>
      <w:r w:rsidRPr="00CD409B">
        <w:t>Bouzouane</w:t>
      </w:r>
      <w:proofErr w:type="spellEnd"/>
      <w:r w:rsidRPr="00CD409B">
        <w:t>, A. and Ibrahim, H., 2022. Machine learning and smart devices for diabetes management: Systematic review. </w:t>
      </w:r>
      <w:r w:rsidRPr="00CD409B">
        <w:rPr>
          <w:i/>
          <w:iCs/>
        </w:rPr>
        <w:t>Sensors</w:t>
      </w:r>
      <w:r w:rsidRPr="00CD409B">
        <w:t>, </w:t>
      </w:r>
      <w:r w:rsidRPr="00CD409B">
        <w:rPr>
          <w:i/>
          <w:iCs/>
        </w:rPr>
        <w:t>22</w:t>
      </w:r>
      <w:r w:rsidRPr="00CD409B">
        <w:t>(5), p.1843.</w:t>
      </w:r>
    </w:p>
    <w:p w14:paraId="3275896B" w14:textId="77777777" w:rsidR="00CD409B" w:rsidRPr="00CD409B" w:rsidRDefault="00CD409B" w:rsidP="00CD409B">
      <w:r w:rsidRPr="00CD409B">
        <w:t>Meredith, J. (2022) Project management: a managerial approach</w:t>
      </w:r>
    </w:p>
    <w:p w14:paraId="6225A6F6" w14:textId="77777777" w:rsidR="00CD409B" w:rsidRPr="00CD409B" w:rsidRDefault="00CD409B" w:rsidP="00CD409B">
      <w:proofErr w:type="spellStart"/>
      <w:r w:rsidRPr="00CD409B">
        <w:lastRenderedPageBreak/>
        <w:t>Nyström</w:t>
      </w:r>
      <w:proofErr w:type="spellEnd"/>
      <w:r w:rsidRPr="00CD409B">
        <w:t xml:space="preserve">, A.G., McCauley, B., Macey, J., </w:t>
      </w:r>
      <w:proofErr w:type="spellStart"/>
      <w:r w:rsidRPr="00CD409B">
        <w:t>Besombes</w:t>
      </w:r>
      <w:proofErr w:type="spellEnd"/>
      <w:r w:rsidRPr="00CD409B">
        <w:t xml:space="preserve">, N., </w:t>
      </w:r>
      <w:proofErr w:type="spellStart"/>
      <w:r w:rsidRPr="00CD409B">
        <w:t>Cestino</w:t>
      </w:r>
      <w:proofErr w:type="spellEnd"/>
      <w:r w:rsidRPr="00CD409B">
        <w:t xml:space="preserve">, J., </w:t>
      </w:r>
      <w:proofErr w:type="spellStart"/>
      <w:r w:rsidRPr="00CD409B">
        <w:t>Hiltscher</w:t>
      </w:r>
      <w:proofErr w:type="spellEnd"/>
      <w:r w:rsidRPr="00CD409B">
        <w:t xml:space="preserve">, J., Stephanie, O., Rumble, R. and </w:t>
      </w:r>
      <w:proofErr w:type="spellStart"/>
      <w:r w:rsidRPr="00CD409B">
        <w:t>Törmänen</w:t>
      </w:r>
      <w:proofErr w:type="spellEnd"/>
      <w:r w:rsidRPr="00CD409B">
        <w:t>, M., 2022. Current issues of sustainability in esports. </w:t>
      </w:r>
      <w:r w:rsidRPr="00CD409B">
        <w:rPr>
          <w:i/>
          <w:iCs/>
        </w:rPr>
        <w:t>International Journal of Esports</w:t>
      </w:r>
      <w:r w:rsidRPr="00CD409B">
        <w:t>, </w:t>
      </w:r>
      <w:r w:rsidRPr="00CD409B">
        <w:rPr>
          <w:i/>
          <w:iCs/>
        </w:rPr>
        <w:t>1</w:t>
      </w:r>
      <w:r w:rsidRPr="00CD409B">
        <w:t>(1).</w:t>
      </w:r>
    </w:p>
    <w:p w14:paraId="59830415" w14:textId="77777777" w:rsidR="00CD409B" w:rsidRDefault="00CD409B" w:rsidP="00F94E6C">
      <w:r w:rsidRPr="00F94E6C">
        <w:t xml:space="preserve">Olivia (2025). </w:t>
      </w:r>
      <w:r w:rsidRPr="00F94E6C">
        <w:rPr>
          <w:i/>
          <w:iCs/>
        </w:rPr>
        <w:t xml:space="preserve">Wales to Host </w:t>
      </w:r>
      <w:proofErr w:type="spellStart"/>
      <w:r w:rsidRPr="00F94E6C">
        <w:rPr>
          <w:i/>
          <w:iCs/>
        </w:rPr>
        <w:t>Worldchefs</w:t>
      </w:r>
      <w:proofErr w:type="spellEnd"/>
      <w:r w:rsidRPr="00F94E6C">
        <w:rPr>
          <w:i/>
          <w:iCs/>
        </w:rPr>
        <w:t xml:space="preserve"> Congress &amp; Expo 2026, Bringing the Global Culinary Community Together</w:t>
      </w:r>
      <w:r w:rsidRPr="00F94E6C">
        <w:t>. [online] WORLDCHEFS. Available at: https://worldchefs.org/wales-to-host-worldchefs-congress-expo-2026/ [Accessed 22 May 2025].</w:t>
      </w:r>
    </w:p>
    <w:p w14:paraId="124075DE" w14:textId="77777777" w:rsidR="00CD409B" w:rsidRPr="00CD409B" w:rsidRDefault="00CD409B" w:rsidP="00CD409B">
      <w:r w:rsidRPr="00CD409B">
        <w:t>Rogers, T. Wynn-Moylan, P (2022) Conferences and conventions: a global industry. 4th Edition. Routledge: Oxford</w:t>
      </w:r>
    </w:p>
    <w:p w14:paraId="4DF69020" w14:textId="77777777" w:rsidR="00CD409B" w:rsidRPr="00CD409B" w:rsidRDefault="00CD409B" w:rsidP="00CD409B">
      <w:r w:rsidRPr="00CD409B">
        <w:t>Smith, A. (2012) Events and urban regeneration: the strategic use of events to revitalise cities. Routledge: Oxford</w:t>
      </w:r>
    </w:p>
    <w:p w14:paraId="07040A99" w14:textId="77777777" w:rsidR="00CD409B" w:rsidRPr="00CD409B" w:rsidRDefault="00CD409B" w:rsidP="00CD409B">
      <w:proofErr w:type="spellStart"/>
      <w:r w:rsidRPr="00CD409B">
        <w:t>Tavra</w:t>
      </w:r>
      <w:proofErr w:type="spellEnd"/>
      <w:r w:rsidRPr="00CD409B">
        <w:t xml:space="preserve">, M., </w:t>
      </w:r>
      <w:proofErr w:type="spellStart"/>
      <w:r w:rsidRPr="00CD409B">
        <w:t>Racetin</w:t>
      </w:r>
      <w:proofErr w:type="spellEnd"/>
      <w:r w:rsidRPr="00CD409B">
        <w:t xml:space="preserve">, I. and </w:t>
      </w:r>
      <w:proofErr w:type="spellStart"/>
      <w:r w:rsidRPr="00CD409B">
        <w:t>Peroš</w:t>
      </w:r>
      <w:proofErr w:type="spellEnd"/>
      <w:r w:rsidRPr="00CD409B">
        <w:t>, J., 2021. The role of crowdsourcing and social media in crisis mapping: a case study of a wildfire reaching Croatian City of Split. </w:t>
      </w:r>
      <w:proofErr w:type="spellStart"/>
      <w:r w:rsidRPr="00CD409B">
        <w:rPr>
          <w:i/>
          <w:iCs/>
        </w:rPr>
        <w:t>Geoenvironmental</w:t>
      </w:r>
      <w:proofErr w:type="spellEnd"/>
      <w:r w:rsidRPr="00CD409B">
        <w:rPr>
          <w:i/>
          <w:iCs/>
        </w:rPr>
        <w:t xml:space="preserve"> Disasters</w:t>
      </w:r>
      <w:r w:rsidRPr="00CD409B">
        <w:t>, </w:t>
      </w:r>
      <w:r w:rsidRPr="00CD409B">
        <w:rPr>
          <w:i/>
          <w:iCs/>
        </w:rPr>
        <w:t>8</w:t>
      </w:r>
      <w:r w:rsidRPr="00CD409B">
        <w:t>, pp.1-16.</w:t>
      </w:r>
    </w:p>
    <w:p w14:paraId="4117436F" w14:textId="77777777" w:rsidR="00CD409B" w:rsidRPr="00CD409B" w:rsidRDefault="00CD409B" w:rsidP="00CD409B">
      <w:proofErr w:type="spellStart"/>
      <w:r w:rsidRPr="00CD409B">
        <w:t>Urdea</w:t>
      </w:r>
      <w:proofErr w:type="spellEnd"/>
      <w:r w:rsidRPr="00CD409B">
        <w:t>, A.M. and Constantin, C.P., 2021. Experts’ perspective on the development of experiential marketing strategy: implementation steps, benefits, and challenges. </w:t>
      </w:r>
      <w:r w:rsidRPr="00CD409B">
        <w:rPr>
          <w:i/>
          <w:iCs/>
        </w:rPr>
        <w:t>Journal of risk and financial management</w:t>
      </w:r>
      <w:r w:rsidRPr="00CD409B">
        <w:t>, </w:t>
      </w:r>
      <w:r w:rsidRPr="00CD409B">
        <w:rPr>
          <w:i/>
          <w:iCs/>
        </w:rPr>
        <w:t>14</w:t>
      </w:r>
      <w:r w:rsidRPr="00CD409B">
        <w:t>(10), p.502.</w:t>
      </w:r>
    </w:p>
    <w:p w14:paraId="3482C77A" w14:textId="77777777" w:rsidR="00CD409B" w:rsidRDefault="00CD409B" w:rsidP="006E42A0">
      <w:r w:rsidRPr="006E42A0">
        <w:t xml:space="preserve">Welsh (2025). </w:t>
      </w:r>
      <w:r w:rsidRPr="006E42A0">
        <w:rPr>
          <w:i/>
          <w:iCs/>
        </w:rPr>
        <w:t>Events Archives</w:t>
      </w:r>
      <w:r w:rsidRPr="006E42A0">
        <w:t>. [online] Welsh Food and Drink. Available at: https://www.welshfoodanddrink.wales/post-category/events/ [Accessed 22 May 2025].</w:t>
      </w:r>
    </w:p>
    <w:p w14:paraId="25D3384D" w14:textId="45C5AD03" w:rsidR="003C6BF2" w:rsidRDefault="00CD409B" w:rsidP="005C2CEA">
      <w:proofErr w:type="spellStart"/>
      <w:r w:rsidRPr="00CD409B">
        <w:t>Wolbring</w:t>
      </w:r>
      <w:proofErr w:type="spellEnd"/>
      <w:r w:rsidRPr="00CD409B">
        <w:t>, G. and Lillywhite, A., 2021. Equity/equality, diversity, and inclusion (EDI) in universities: the case of disabled people. </w:t>
      </w:r>
      <w:r w:rsidRPr="00CD409B">
        <w:rPr>
          <w:i/>
          <w:iCs/>
        </w:rPr>
        <w:t>Societies</w:t>
      </w:r>
      <w:r w:rsidRPr="00CD409B">
        <w:t>, </w:t>
      </w:r>
      <w:r w:rsidRPr="00CD409B">
        <w:rPr>
          <w:i/>
          <w:iCs/>
        </w:rPr>
        <w:t>11</w:t>
      </w:r>
      <w:r w:rsidRPr="00CD409B">
        <w:t>(2), p.49.</w:t>
      </w:r>
    </w:p>
    <w:sectPr w:rsidR="003C6BF2" w:rsidSect="005C2CE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69487B"/>
    <w:multiLevelType w:val="hybridMultilevel"/>
    <w:tmpl w:val="B0868E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5B62A5C"/>
    <w:multiLevelType w:val="hybridMultilevel"/>
    <w:tmpl w:val="A302015A"/>
    <w:lvl w:ilvl="0" w:tplc="4009000D">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CEA"/>
    <w:rsid w:val="00066A3D"/>
    <w:rsid w:val="000E3D97"/>
    <w:rsid w:val="001575D8"/>
    <w:rsid w:val="001B0916"/>
    <w:rsid w:val="00206AD2"/>
    <w:rsid w:val="00241C20"/>
    <w:rsid w:val="002C6D2F"/>
    <w:rsid w:val="0035142C"/>
    <w:rsid w:val="00361575"/>
    <w:rsid w:val="003B292C"/>
    <w:rsid w:val="003C6BF2"/>
    <w:rsid w:val="00426432"/>
    <w:rsid w:val="00461E7D"/>
    <w:rsid w:val="0053790B"/>
    <w:rsid w:val="005C2CEA"/>
    <w:rsid w:val="00683E9E"/>
    <w:rsid w:val="006E42A0"/>
    <w:rsid w:val="007E1878"/>
    <w:rsid w:val="007E36BD"/>
    <w:rsid w:val="008837C7"/>
    <w:rsid w:val="008A23F0"/>
    <w:rsid w:val="008E42E3"/>
    <w:rsid w:val="00991C2A"/>
    <w:rsid w:val="009A2389"/>
    <w:rsid w:val="00BE6B49"/>
    <w:rsid w:val="00C53DC7"/>
    <w:rsid w:val="00CD409B"/>
    <w:rsid w:val="00DA60A2"/>
    <w:rsid w:val="00E7217E"/>
    <w:rsid w:val="00E76EA9"/>
    <w:rsid w:val="00EB0872"/>
    <w:rsid w:val="00EB1C8A"/>
    <w:rsid w:val="00F94E6C"/>
    <w:rsid w:val="00FF14D1"/>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BAB7A"/>
  <w15:chartTrackingRefBased/>
  <w15:docId w15:val="{687A4CB5-6DAB-43C7-8EDF-1A35809BE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CE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3790B"/>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53790B"/>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CD409B"/>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5C2CE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C2CE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C2C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2C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2C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2C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90B"/>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53790B"/>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CD409B"/>
    <w:rPr>
      <w:rFonts w:ascii="Times New Roman" w:eastAsiaTheme="majorEastAsia" w:hAnsi="Times New Roman" w:cstheme="majorBidi"/>
      <w:b/>
      <w:sz w:val="24"/>
      <w:szCs w:val="28"/>
    </w:rPr>
  </w:style>
  <w:style w:type="character" w:customStyle="1" w:styleId="Heading4Char">
    <w:name w:val="Heading 4 Char"/>
    <w:basedOn w:val="DefaultParagraphFont"/>
    <w:link w:val="Heading4"/>
    <w:uiPriority w:val="9"/>
    <w:semiHidden/>
    <w:rsid w:val="005C2CE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C2CE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C2C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2C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2C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2CEA"/>
    <w:rPr>
      <w:rFonts w:eastAsiaTheme="majorEastAsia" w:cstheme="majorBidi"/>
      <w:color w:val="272727" w:themeColor="text1" w:themeTint="D8"/>
    </w:rPr>
  </w:style>
  <w:style w:type="paragraph" w:styleId="Title">
    <w:name w:val="Title"/>
    <w:basedOn w:val="Normal"/>
    <w:next w:val="Normal"/>
    <w:link w:val="TitleChar"/>
    <w:uiPriority w:val="10"/>
    <w:qFormat/>
    <w:rsid w:val="005C2C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2C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2C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2C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2CEA"/>
    <w:pPr>
      <w:spacing w:before="160"/>
      <w:jc w:val="center"/>
    </w:pPr>
    <w:rPr>
      <w:i/>
      <w:iCs/>
      <w:color w:val="404040" w:themeColor="text1" w:themeTint="BF"/>
    </w:rPr>
  </w:style>
  <w:style w:type="character" w:customStyle="1" w:styleId="QuoteChar">
    <w:name w:val="Quote Char"/>
    <w:basedOn w:val="DefaultParagraphFont"/>
    <w:link w:val="Quote"/>
    <w:uiPriority w:val="29"/>
    <w:rsid w:val="005C2CEA"/>
    <w:rPr>
      <w:i/>
      <w:iCs/>
      <w:color w:val="404040" w:themeColor="text1" w:themeTint="BF"/>
    </w:rPr>
  </w:style>
  <w:style w:type="paragraph" w:styleId="ListParagraph">
    <w:name w:val="List Paragraph"/>
    <w:basedOn w:val="Normal"/>
    <w:uiPriority w:val="34"/>
    <w:qFormat/>
    <w:rsid w:val="005C2CEA"/>
    <w:pPr>
      <w:ind w:left="720"/>
      <w:contextualSpacing/>
    </w:pPr>
  </w:style>
  <w:style w:type="character" w:styleId="IntenseEmphasis">
    <w:name w:val="Intense Emphasis"/>
    <w:basedOn w:val="DefaultParagraphFont"/>
    <w:uiPriority w:val="21"/>
    <w:qFormat/>
    <w:rsid w:val="005C2CEA"/>
    <w:rPr>
      <w:i/>
      <w:iCs/>
      <w:color w:val="2F5496" w:themeColor="accent1" w:themeShade="BF"/>
    </w:rPr>
  </w:style>
  <w:style w:type="paragraph" w:styleId="IntenseQuote">
    <w:name w:val="Intense Quote"/>
    <w:basedOn w:val="Normal"/>
    <w:next w:val="Normal"/>
    <w:link w:val="IntenseQuoteChar"/>
    <w:uiPriority w:val="30"/>
    <w:qFormat/>
    <w:rsid w:val="005C2C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C2CEA"/>
    <w:rPr>
      <w:i/>
      <w:iCs/>
      <w:color w:val="2F5496" w:themeColor="accent1" w:themeShade="BF"/>
    </w:rPr>
  </w:style>
  <w:style w:type="character" w:styleId="IntenseReference">
    <w:name w:val="Intense Reference"/>
    <w:basedOn w:val="DefaultParagraphFont"/>
    <w:uiPriority w:val="32"/>
    <w:qFormat/>
    <w:rsid w:val="005C2CEA"/>
    <w:rPr>
      <w:b/>
      <w:bCs/>
      <w:smallCaps/>
      <w:color w:val="2F5496" w:themeColor="accent1" w:themeShade="BF"/>
      <w:spacing w:val="5"/>
    </w:rPr>
  </w:style>
  <w:style w:type="character" w:styleId="Hyperlink">
    <w:name w:val="Hyperlink"/>
    <w:basedOn w:val="DefaultParagraphFont"/>
    <w:uiPriority w:val="99"/>
    <w:unhideWhenUsed/>
    <w:rsid w:val="00EB0872"/>
    <w:rPr>
      <w:color w:val="0563C1" w:themeColor="hyperlink"/>
      <w:u w:val="single"/>
    </w:rPr>
  </w:style>
  <w:style w:type="character" w:styleId="UnresolvedMention">
    <w:name w:val="Unresolved Mention"/>
    <w:basedOn w:val="DefaultParagraphFont"/>
    <w:uiPriority w:val="99"/>
    <w:semiHidden/>
    <w:unhideWhenUsed/>
    <w:rsid w:val="00EB0872"/>
    <w:rPr>
      <w:color w:val="605E5C"/>
      <w:shd w:val="clear" w:color="auto" w:fill="E1DFDD"/>
    </w:rPr>
  </w:style>
  <w:style w:type="table" w:styleId="GridTable4-Accent4">
    <w:name w:val="Grid Table 4 Accent 4"/>
    <w:basedOn w:val="TableNormal"/>
    <w:uiPriority w:val="49"/>
    <w:rsid w:val="00CD409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CD409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CD409B"/>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CD409B"/>
    <w:pPr>
      <w:spacing w:after="100"/>
    </w:pPr>
  </w:style>
  <w:style w:type="paragraph" w:styleId="TOC2">
    <w:name w:val="toc 2"/>
    <w:basedOn w:val="Normal"/>
    <w:next w:val="Normal"/>
    <w:autoRedefine/>
    <w:uiPriority w:val="39"/>
    <w:unhideWhenUsed/>
    <w:rsid w:val="00CD409B"/>
    <w:pPr>
      <w:spacing w:after="100"/>
      <w:ind w:left="240"/>
    </w:pPr>
  </w:style>
  <w:style w:type="paragraph" w:styleId="TOC3">
    <w:name w:val="toc 3"/>
    <w:basedOn w:val="Normal"/>
    <w:next w:val="Normal"/>
    <w:autoRedefine/>
    <w:uiPriority w:val="39"/>
    <w:unhideWhenUsed/>
    <w:rsid w:val="00CD409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72023">
      <w:bodyDiv w:val="1"/>
      <w:marLeft w:val="0"/>
      <w:marRight w:val="0"/>
      <w:marTop w:val="0"/>
      <w:marBottom w:val="0"/>
      <w:divBdr>
        <w:top w:val="none" w:sz="0" w:space="0" w:color="auto"/>
        <w:left w:val="none" w:sz="0" w:space="0" w:color="auto"/>
        <w:bottom w:val="none" w:sz="0" w:space="0" w:color="auto"/>
        <w:right w:val="none" w:sz="0" w:space="0" w:color="auto"/>
      </w:divBdr>
      <w:divsChild>
        <w:div w:id="950673787">
          <w:marLeft w:val="0"/>
          <w:marRight w:val="0"/>
          <w:marTop w:val="0"/>
          <w:marBottom w:val="0"/>
          <w:divBdr>
            <w:top w:val="none" w:sz="0" w:space="0" w:color="auto"/>
            <w:left w:val="none" w:sz="0" w:space="0" w:color="auto"/>
            <w:bottom w:val="none" w:sz="0" w:space="0" w:color="auto"/>
            <w:right w:val="none" w:sz="0" w:space="0" w:color="auto"/>
          </w:divBdr>
        </w:div>
      </w:divsChild>
    </w:div>
    <w:div w:id="47149256">
      <w:bodyDiv w:val="1"/>
      <w:marLeft w:val="0"/>
      <w:marRight w:val="0"/>
      <w:marTop w:val="0"/>
      <w:marBottom w:val="0"/>
      <w:divBdr>
        <w:top w:val="none" w:sz="0" w:space="0" w:color="auto"/>
        <w:left w:val="none" w:sz="0" w:space="0" w:color="auto"/>
        <w:bottom w:val="none" w:sz="0" w:space="0" w:color="auto"/>
        <w:right w:val="none" w:sz="0" w:space="0" w:color="auto"/>
      </w:divBdr>
      <w:divsChild>
        <w:div w:id="972633188">
          <w:marLeft w:val="0"/>
          <w:marRight w:val="0"/>
          <w:marTop w:val="0"/>
          <w:marBottom w:val="0"/>
          <w:divBdr>
            <w:top w:val="none" w:sz="0" w:space="0" w:color="auto"/>
            <w:left w:val="none" w:sz="0" w:space="0" w:color="auto"/>
            <w:bottom w:val="none" w:sz="0" w:space="0" w:color="auto"/>
            <w:right w:val="none" w:sz="0" w:space="0" w:color="auto"/>
          </w:divBdr>
        </w:div>
      </w:divsChild>
    </w:div>
    <w:div w:id="217012792">
      <w:bodyDiv w:val="1"/>
      <w:marLeft w:val="0"/>
      <w:marRight w:val="0"/>
      <w:marTop w:val="0"/>
      <w:marBottom w:val="0"/>
      <w:divBdr>
        <w:top w:val="none" w:sz="0" w:space="0" w:color="auto"/>
        <w:left w:val="none" w:sz="0" w:space="0" w:color="auto"/>
        <w:bottom w:val="none" w:sz="0" w:space="0" w:color="auto"/>
        <w:right w:val="none" w:sz="0" w:space="0" w:color="auto"/>
      </w:divBdr>
      <w:divsChild>
        <w:div w:id="1108895211">
          <w:marLeft w:val="0"/>
          <w:marRight w:val="0"/>
          <w:marTop w:val="0"/>
          <w:marBottom w:val="0"/>
          <w:divBdr>
            <w:top w:val="none" w:sz="0" w:space="0" w:color="auto"/>
            <w:left w:val="none" w:sz="0" w:space="0" w:color="auto"/>
            <w:bottom w:val="none" w:sz="0" w:space="0" w:color="auto"/>
            <w:right w:val="none" w:sz="0" w:space="0" w:color="auto"/>
          </w:divBdr>
        </w:div>
      </w:divsChild>
    </w:div>
    <w:div w:id="228420791">
      <w:bodyDiv w:val="1"/>
      <w:marLeft w:val="0"/>
      <w:marRight w:val="0"/>
      <w:marTop w:val="0"/>
      <w:marBottom w:val="0"/>
      <w:divBdr>
        <w:top w:val="none" w:sz="0" w:space="0" w:color="auto"/>
        <w:left w:val="none" w:sz="0" w:space="0" w:color="auto"/>
        <w:bottom w:val="none" w:sz="0" w:space="0" w:color="auto"/>
        <w:right w:val="none" w:sz="0" w:space="0" w:color="auto"/>
      </w:divBdr>
    </w:div>
    <w:div w:id="274944696">
      <w:bodyDiv w:val="1"/>
      <w:marLeft w:val="0"/>
      <w:marRight w:val="0"/>
      <w:marTop w:val="0"/>
      <w:marBottom w:val="0"/>
      <w:divBdr>
        <w:top w:val="none" w:sz="0" w:space="0" w:color="auto"/>
        <w:left w:val="none" w:sz="0" w:space="0" w:color="auto"/>
        <w:bottom w:val="none" w:sz="0" w:space="0" w:color="auto"/>
        <w:right w:val="none" w:sz="0" w:space="0" w:color="auto"/>
      </w:divBdr>
    </w:div>
    <w:div w:id="398091726">
      <w:bodyDiv w:val="1"/>
      <w:marLeft w:val="0"/>
      <w:marRight w:val="0"/>
      <w:marTop w:val="0"/>
      <w:marBottom w:val="0"/>
      <w:divBdr>
        <w:top w:val="none" w:sz="0" w:space="0" w:color="auto"/>
        <w:left w:val="none" w:sz="0" w:space="0" w:color="auto"/>
        <w:bottom w:val="none" w:sz="0" w:space="0" w:color="auto"/>
        <w:right w:val="none" w:sz="0" w:space="0" w:color="auto"/>
      </w:divBdr>
      <w:divsChild>
        <w:div w:id="1538470426">
          <w:marLeft w:val="0"/>
          <w:marRight w:val="0"/>
          <w:marTop w:val="0"/>
          <w:marBottom w:val="0"/>
          <w:divBdr>
            <w:top w:val="none" w:sz="0" w:space="0" w:color="auto"/>
            <w:left w:val="none" w:sz="0" w:space="0" w:color="auto"/>
            <w:bottom w:val="none" w:sz="0" w:space="0" w:color="auto"/>
            <w:right w:val="none" w:sz="0" w:space="0" w:color="auto"/>
          </w:divBdr>
        </w:div>
      </w:divsChild>
    </w:div>
    <w:div w:id="724597166">
      <w:bodyDiv w:val="1"/>
      <w:marLeft w:val="0"/>
      <w:marRight w:val="0"/>
      <w:marTop w:val="0"/>
      <w:marBottom w:val="0"/>
      <w:divBdr>
        <w:top w:val="none" w:sz="0" w:space="0" w:color="auto"/>
        <w:left w:val="none" w:sz="0" w:space="0" w:color="auto"/>
        <w:bottom w:val="none" w:sz="0" w:space="0" w:color="auto"/>
        <w:right w:val="none" w:sz="0" w:space="0" w:color="auto"/>
      </w:divBdr>
      <w:divsChild>
        <w:div w:id="230307795">
          <w:marLeft w:val="0"/>
          <w:marRight w:val="0"/>
          <w:marTop w:val="0"/>
          <w:marBottom w:val="0"/>
          <w:divBdr>
            <w:top w:val="none" w:sz="0" w:space="0" w:color="auto"/>
            <w:left w:val="none" w:sz="0" w:space="0" w:color="auto"/>
            <w:bottom w:val="none" w:sz="0" w:space="0" w:color="auto"/>
            <w:right w:val="none" w:sz="0" w:space="0" w:color="auto"/>
          </w:divBdr>
        </w:div>
      </w:divsChild>
    </w:div>
    <w:div w:id="735324730">
      <w:bodyDiv w:val="1"/>
      <w:marLeft w:val="0"/>
      <w:marRight w:val="0"/>
      <w:marTop w:val="0"/>
      <w:marBottom w:val="0"/>
      <w:divBdr>
        <w:top w:val="none" w:sz="0" w:space="0" w:color="auto"/>
        <w:left w:val="none" w:sz="0" w:space="0" w:color="auto"/>
        <w:bottom w:val="none" w:sz="0" w:space="0" w:color="auto"/>
        <w:right w:val="none" w:sz="0" w:space="0" w:color="auto"/>
      </w:divBdr>
      <w:divsChild>
        <w:div w:id="681467378">
          <w:marLeft w:val="-720"/>
          <w:marRight w:val="0"/>
          <w:marTop w:val="0"/>
          <w:marBottom w:val="0"/>
          <w:divBdr>
            <w:top w:val="none" w:sz="0" w:space="0" w:color="auto"/>
            <w:left w:val="none" w:sz="0" w:space="0" w:color="auto"/>
            <w:bottom w:val="none" w:sz="0" w:space="0" w:color="auto"/>
            <w:right w:val="none" w:sz="0" w:space="0" w:color="auto"/>
          </w:divBdr>
        </w:div>
      </w:divsChild>
    </w:div>
    <w:div w:id="1127775299">
      <w:bodyDiv w:val="1"/>
      <w:marLeft w:val="0"/>
      <w:marRight w:val="0"/>
      <w:marTop w:val="0"/>
      <w:marBottom w:val="0"/>
      <w:divBdr>
        <w:top w:val="none" w:sz="0" w:space="0" w:color="auto"/>
        <w:left w:val="none" w:sz="0" w:space="0" w:color="auto"/>
        <w:bottom w:val="none" w:sz="0" w:space="0" w:color="auto"/>
        <w:right w:val="none" w:sz="0" w:space="0" w:color="auto"/>
      </w:divBdr>
      <w:divsChild>
        <w:div w:id="221673966">
          <w:marLeft w:val="0"/>
          <w:marRight w:val="0"/>
          <w:marTop w:val="0"/>
          <w:marBottom w:val="0"/>
          <w:divBdr>
            <w:top w:val="none" w:sz="0" w:space="0" w:color="auto"/>
            <w:left w:val="none" w:sz="0" w:space="0" w:color="auto"/>
            <w:bottom w:val="none" w:sz="0" w:space="0" w:color="auto"/>
            <w:right w:val="none" w:sz="0" w:space="0" w:color="auto"/>
          </w:divBdr>
        </w:div>
      </w:divsChild>
    </w:div>
    <w:div w:id="1273125341">
      <w:bodyDiv w:val="1"/>
      <w:marLeft w:val="0"/>
      <w:marRight w:val="0"/>
      <w:marTop w:val="0"/>
      <w:marBottom w:val="0"/>
      <w:divBdr>
        <w:top w:val="none" w:sz="0" w:space="0" w:color="auto"/>
        <w:left w:val="none" w:sz="0" w:space="0" w:color="auto"/>
        <w:bottom w:val="none" w:sz="0" w:space="0" w:color="auto"/>
        <w:right w:val="none" w:sz="0" w:space="0" w:color="auto"/>
      </w:divBdr>
      <w:divsChild>
        <w:div w:id="1097361013">
          <w:marLeft w:val="-720"/>
          <w:marRight w:val="0"/>
          <w:marTop w:val="0"/>
          <w:marBottom w:val="0"/>
          <w:divBdr>
            <w:top w:val="none" w:sz="0" w:space="0" w:color="auto"/>
            <w:left w:val="none" w:sz="0" w:space="0" w:color="auto"/>
            <w:bottom w:val="none" w:sz="0" w:space="0" w:color="auto"/>
            <w:right w:val="none" w:sz="0" w:space="0" w:color="auto"/>
          </w:divBdr>
        </w:div>
      </w:divsChild>
    </w:div>
    <w:div w:id="1331324418">
      <w:bodyDiv w:val="1"/>
      <w:marLeft w:val="0"/>
      <w:marRight w:val="0"/>
      <w:marTop w:val="0"/>
      <w:marBottom w:val="0"/>
      <w:divBdr>
        <w:top w:val="none" w:sz="0" w:space="0" w:color="auto"/>
        <w:left w:val="none" w:sz="0" w:space="0" w:color="auto"/>
        <w:bottom w:val="none" w:sz="0" w:space="0" w:color="auto"/>
        <w:right w:val="none" w:sz="0" w:space="0" w:color="auto"/>
      </w:divBdr>
    </w:div>
    <w:div w:id="1359769033">
      <w:bodyDiv w:val="1"/>
      <w:marLeft w:val="0"/>
      <w:marRight w:val="0"/>
      <w:marTop w:val="0"/>
      <w:marBottom w:val="0"/>
      <w:divBdr>
        <w:top w:val="none" w:sz="0" w:space="0" w:color="auto"/>
        <w:left w:val="none" w:sz="0" w:space="0" w:color="auto"/>
        <w:bottom w:val="none" w:sz="0" w:space="0" w:color="auto"/>
        <w:right w:val="none" w:sz="0" w:space="0" w:color="auto"/>
      </w:divBdr>
      <w:divsChild>
        <w:div w:id="1310868180">
          <w:marLeft w:val="0"/>
          <w:marRight w:val="0"/>
          <w:marTop w:val="0"/>
          <w:marBottom w:val="0"/>
          <w:divBdr>
            <w:top w:val="none" w:sz="0" w:space="0" w:color="auto"/>
            <w:left w:val="none" w:sz="0" w:space="0" w:color="auto"/>
            <w:bottom w:val="none" w:sz="0" w:space="0" w:color="auto"/>
            <w:right w:val="none" w:sz="0" w:space="0" w:color="auto"/>
          </w:divBdr>
        </w:div>
      </w:divsChild>
    </w:div>
    <w:div w:id="1366130516">
      <w:bodyDiv w:val="1"/>
      <w:marLeft w:val="0"/>
      <w:marRight w:val="0"/>
      <w:marTop w:val="0"/>
      <w:marBottom w:val="0"/>
      <w:divBdr>
        <w:top w:val="none" w:sz="0" w:space="0" w:color="auto"/>
        <w:left w:val="none" w:sz="0" w:space="0" w:color="auto"/>
        <w:bottom w:val="none" w:sz="0" w:space="0" w:color="auto"/>
        <w:right w:val="none" w:sz="0" w:space="0" w:color="auto"/>
      </w:divBdr>
      <w:divsChild>
        <w:div w:id="1916041467">
          <w:marLeft w:val="0"/>
          <w:marRight w:val="0"/>
          <w:marTop w:val="0"/>
          <w:marBottom w:val="0"/>
          <w:divBdr>
            <w:top w:val="none" w:sz="0" w:space="0" w:color="auto"/>
            <w:left w:val="none" w:sz="0" w:space="0" w:color="auto"/>
            <w:bottom w:val="none" w:sz="0" w:space="0" w:color="auto"/>
            <w:right w:val="none" w:sz="0" w:space="0" w:color="auto"/>
          </w:divBdr>
        </w:div>
      </w:divsChild>
    </w:div>
    <w:div w:id="1366785249">
      <w:bodyDiv w:val="1"/>
      <w:marLeft w:val="0"/>
      <w:marRight w:val="0"/>
      <w:marTop w:val="0"/>
      <w:marBottom w:val="0"/>
      <w:divBdr>
        <w:top w:val="none" w:sz="0" w:space="0" w:color="auto"/>
        <w:left w:val="none" w:sz="0" w:space="0" w:color="auto"/>
        <w:bottom w:val="none" w:sz="0" w:space="0" w:color="auto"/>
        <w:right w:val="none" w:sz="0" w:space="0" w:color="auto"/>
      </w:divBdr>
      <w:divsChild>
        <w:div w:id="1693528360">
          <w:marLeft w:val="0"/>
          <w:marRight w:val="0"/>
          <w:marTop w:val="0"/>
          <w:marBottom w:val="0"/>
          <w:divBdr>
            <w:top w:val="none" w:sz="0" w:space="0" w:color="auto"/>
            <w:left w:val="none" w:sz="0" w:space="0" w:color="auto"/>
            <w:bottom w:val="none" w:sz="0" w:space="0" w:color="auto"/>
            <w:right w:val="none" w:sz="0" w:space="0" w:color="auto"/>
          </w:divBdr>
        </w:div>
      </w:divsChild>
    </w:div>
    <w:div w:id="1397127598">
      <w:bodyDiv w:val="1"/>
      <w:marLeft w:val="0"/>
      <w:marRight w:val="0"/>
      <w:marTop w:val="0"/>
      <w:marBottom w:val="0"/>
      <w:divBdr>
        <w:top w:val="none" w:sz="0" w:space="0" w:color="auto"/>
        <w:left w:val="none" w:sz="0" w:space="0" w:color="auto"/>
        <w:bottom w:val="none" w:sz="0" w:space="0" w:color="auto"/>
        <w:right w:val="none" w:sz="0" w:space="0" w:color="auto"/>
      </w:divBdr>
      <w:divsChild>
        <w:div w:id="1496604337">
          <w:marLeft w:val="0"/>
          <w:marRight w:val="0"/>
          <w:marTop w:val="0"/>
          <w:marBottom w:val="0"/>
          <w:divBdr>
            <w:top w:val="none" w:sz="0" w:space="0" w:color="auto"/>
            <w:left w:val="none" w:sz="0" w:space="0" w:color="auto"/>
            <w:bottom w:val="none" w:sz="0" w:space="0" w:color="auto"/>
            <w:right w:val="none" w:sz="0" w:space="0" w:color="auto"/>
          </w:divBdr>
        </w:div>
      </w:divsChild>
    </w:div>
    <w:div w:id="1400132456">
      <w:bodyDiv w:val="1"/>
      <w:marLeft w:val="0"/>
      <w:marRight w:val="0"/>
      <w:marTop w:val="0"/>
      <w:marBottom w:val="0"/>
      <w:divBdr>
        <w:top w:val="none" w:sz="0" w:space="0" w:color="auto"/>
        <w:left w:val="none" w:sz="0" w:space="0" w:color="auto"/>
        <w:bottom w:val="none" w:sz="0" w:space="0" w:color="auto"/>
        <w:right w:val="none" w:sz="0" w:space="0" w:color="auto"/>
      </w:divBdr>
      <w:divsChild>
        <w:div w:id="1170215866">
          <w:marLeft w:val="0"/>
          <w:marRight w:val="0"/>
          <w:marTop w:val="0"/>
          <w:marBottom w:val="0"/>
          <w:divBdr>
            <w:top w:val="none" w:sz="0" w:space="0" w:color="auto"/>
            <w:left w:val="none" w:sz="0" w:space="0" w:color="auto"/>
            <w:bottom w:val="none" w:sz="0" w:space="0" w:color="auto"/>
            <w:right w:val="none" w:sz="0" w:space="0" w:color="auto"/>
          </w:divBdr>
        </w:div>
      </w:divsChild>
    </w:div>
    <w:div w:id="1479031797">
      <w:bodyDiv w:val="1"/>
      <w:marLeft w:val="0"/>
      <w:marRight w:val="0"/>
      <w:marTop w:val="0"/>
      <w:marBottom w:val="0"/>
      <w:divBdr>
        <w:top w:val="none" w:sz="0" w:space="0" w:color="auto"/>
        <w:left w:val="none" w:sz="0" w:space="0" w:color="auto"/>
        <w:bottom w:val="none" w:sz="0" w:space="0" w:color="auto"/>
        <w:right w:val="none" w:sz="0" w:space="0" w:color="auto"/>
      </w:divBdr>
      <w:divsChild>
        <w:div w:id="1952474471">
          <w:marLeft w:val="0"/>
          <w:marRight w:val="0"/>
          <w:marTop w:val="0"/>
          <w:marBottom w:val="0"/>
          <w:divBdr>
            <w:top w:val="none" w:sz="0" w:space="0" w:color="auto"/>
            <w:left w:val="none" w:sz="0" w:space="0" w:color="auto"/>
            <w:bottom w:val="none" w:sz="0" w:space="0" w:color="auto"/>
            <w:right w:val="none" w:sz="0" w:space="0" w:color="auto"/>
          </w:divBdr>
        </w:div>
      </w:divsChild>
    </w:div>
    <w:div w:id="1612006914">
      <w:bodyDiv w:val="1"/>
      <w:marLeft w:val="0"/>
      <w:marRight w:val="0"/>
      <w:marTop w:val="0"/>
      <w:marBottom w:val="0"/>
      <w:divBdr>
        <w:top w:val="none" w:sz="0" w:space="0" w:color="auto"/>
        <w:left w:val="none" w:sz="0" w:space="0" w:color="auto"/>
        <w:bottom w:val="none" w:sz="0" w:space="0" w:color="auto"/>
        <w:right w:val="none" w:sz="0" w:space="0" w:color="auto"/>
      </w:divBdr>
      <w:divsChild>
        <w:div w:id="588805925">
          <w:marLeft w:val="0"/>
          <w:marRight w:val="0"/>
          <w:marTop w:val="0"/>
          <w:marBottom w:val="0"/>
          <w:divBdr>
            <w:top w:val="none" w:sz="0" w:space="0" w:color="auto"/>
            <w:left w:val="none" w:sz="0" w:space="0" w:color="auto"/>
            <w:bottom w:val="none" w:sz="0" w:space="0" w:color="auto"/>
            <w:right w:val="none" w:sz="0" w:space="0" w:color="auto"/>
          </w:divBdr>
        </w:div>
      </w:divsChild>
    </w:div>
    <w:div w:id="1664968645">
      <w:bodyDiv w:val="1"/>
      <w:marLeft w:val="0"/>
      <w:marRight w:val="0"/>
      <w:marTop w:val="0"/>
      <w:marBottom w:val="0"/>
      <w:divBdr>
        <w:top w:val="none" w:sz="0" w:space="0" w:color="auto"/>
        <w:left w:val="none" w:sz="0" w:space="0" w:color="auto"/>
        <w:bottom w:val="none" w:sz="0" w:space="0" w:color="auto"/>
        <w:right w:val="none" w:sz="0" w:space="0" w:color="auto"/>
      </w:divBdr>
      <w:divsChild>
        <w:div w:id="1783524786">
          <w:marLeft w:val="0"/>
          <w:marRight w:val="0"/>
          <w:marTop w:val="0"/>
          <w:marBottom w:val="0"/>
          <w:divBdr>
            <w:top w:val="none" w:sz="0" w:space="0" w:color="auto"/>
            <w:left w:val="none" w:sz="0" w:space="0" w:color="auto"/>
            <w:bottom w:val="none" w:sz="0" w:space="0" w:color="auto"/>
            <w:right w:val="none" w:sz="0" w:space="0" w:color="auto"/>
          </w:divBdr>
        </w:div>
      </w:divsChild>
    </w:div>
    <w:div w:id="1669357332">
      <w:bodyDiv w:val="1"/>
      <w:marLeft w:val="0"/>
      <w:marRight w:val="0"/>
      <w:marTop w:val="0"/>
      <w:marBottom w:val="0"/>
      <w:divBdr>
        <w:top w:val="none" w:sz="0" w:space="0" w:color="auto"/>
        <w:left w:val="none" w:sz="0" w:space="0" w:color="auto"/>
        <w:bottom w:val="none" w:sz="0" w:space="0" w:color="auto"/>
        <w:right w:val="none" w:sz="0" w:space="0" w:color="auto"/>
      </w:divBdr>
      <w:divsChild>
        <w:div w:id="826748704">
          <w:marLeft w:val="0"/>
          <w:marRight w:val="0"/>
          <w:marTop w:val="0"/>
          <w:marBottom w:val="0"/>
          <w:divBdr>
            <w:top w:val="none" w:sz="0" w:space="0" w:color="auto"/>
            <w:left w:val="none" w:sz="0" w:space="0" w:color="auto"/>
            <w:bottom w:val="none" w:sz="0" w:space="0" w:color="auto"/>
            <w:right w:val="none" w:sz="0" w:space="0" w:color="auto"/>
          </w:divBdr>
        </w:div>
      </w:divsChild>
    </w:div>
    <w:div w:id="1768229183">
      <w:bodyDiv w:val="1"/>
      <w:marLeft w:val="0"/>
      <w:marRight w:val="0"/>
      <w:marTop w:val="0"/>
      <w:marBottom w:val="0"/>
      <w:divBdr>
        <w:top w:val="none" w:sz="0" w:space="0" w:color="auto"/>
        <w:left w:val="none" w:sz="0" w:space="0" w:color="auto"/>
        <w:bottom w:val="none" w:sz="0" w:space="0" w:color="auto"/>
        <w:right w:val="none" w:sz="0" w:space="0" w:color="auto"/>
      </w:divBdr>
      <w:divsChild>
        <w:div w:id="22902358">
          <w:marLeft w:val="0"/>
          <w:marRight w:val="0"/>
          <w:marTop w:val="0"/>
          <w:marBottom w:val="0"/>
          <w:divBdr>
            <w:top w:val="none" w:sz="0" w:space="0" w:color="auto"/>
            <w:left w:val="none" w:sz="0" w:space="0" w:color="auto"/>
            <w:bottom w:val="none" w:sz="0" w:space="0" w:color="auto"/>
            <w:right w:val="none" w:sz="0" w:space="0" w:color="auto"/>
          </w:divBdr>
        </w:div>
      </w:divsChild>
    </w:div>
    <w:div w:id="1769619526">
      <w:bodyDiv w:val="1"/>
      <w:marLeft w:val="0"/>
      <w:marRight w:val="0"/>
      <w:marTop w:val="0"/>
      <w:marBottom w:val="0"/>
      <w:divBdr>
        <w:top w:val="none" w:sz="0" w:space="0" w:color="auto"/>
        <w:left w:val="none" w:sz="0" w:space="0" w:color="auto"/>
        <w:bottom w:val="none" w:sz="0" w:space="0" w:color="auto"/>
        <w:right w:val="none" w:sz="0" w:space="0" w:color="auto"/>
      </w:divBdr>
      <w:divsChild>
        <w:div w:id="1515459044">
          <w:marLeft w:val="0"/>
          <w:marRight w:val="0"/>
          <w:marTop w:val="0"/>
          <w:marBottom w:val="0"/>
          <w:divBdr>
            <w:top w:val="none" w:sz="0" w:space="0" w:color="auto"/>
            <w:left w:val="none" w:sz="0" w:space="0" w:color="auto"/>
            <w:bottom w:val="none" w:sz="0" w:space="0" w:color="auto"/>
            <w:right w:val="none" w:sz="0" w:space="0" w:color="auto"/>
          </w:divBdr>
        </w:div>
      </w:divsChild>
    </w:div>
    <w:div w:id="1843354288">
      <w:bodyDiv w:val="1"/>
      <w:marLeft w:val="0"/>
      <w:marRight w:val="0"/>
      <w:marTop w:val="0"/>
      <w:marBottom w:val="0"/>
      <w:divBdr>
        <w:top w:val="none" w:sz="0" w:space="0" w:color="auto"/>
        <w:left w:val="none" w:sz="0" w:space="0" w:color="auto"/>
        <w:bottom w:val="none" w:sz="0" w:space="0" w:color="auto"/>
        <w:right w:val="none" w:sz="0" w:space="0" w:color="auto"/>
      </w:divBdr>
      <w:divsChild>
        <w:div w:id="264267095">
          <w:marLeft w:val="0"/>
          <w:marRight w:val="0"/>
          <w:marTop w:val="0"/>
          <w:marBottom w:val="0"/>
          <w:divBdr>
            <w:top w:val="none" w:sz="0" w:space="0" w:color="auto"/>
            <w:left w:val="none" w:sz="0" w:space="0" w:color="auto"/>
            <w:bottom w:val="none" w:sz="0" w:space="0" w:color="auto"/>
            <w:right w:val="none" w:sz="0" w:space="0" w:color="auto"/>
          </w:divBdr>
        </w:div>
      </w:divsChild>
    </w:div>
    <w:div w:id="1863739893">
      <w:bodyDiv w:val="1"/>
      <w:marLeft w:val="0"/>
      <w:marRight w:val="0"/>
      <w:marTop w:val="0"/>
      <w:marBottom w:val="0"/>
      <w:divBdr>
        <w:top w:val="none" w:sz="0" w:space="0" w:color="auto"/>
        <w:left w:val="none" w:sz="0" w:space="0" w:color="auto"/>
        <w:bottom w:val="none" w:sz="0" w:space="0" w:color="auto"/>
        <w:right w:val="none" w:sz="0" w:space="0" w:color="auto"/>
      </w:divBdr>
      <w:divsChild>
        <w:div w:id="1054546772">
          <w:marLeft w:val="0"/>
          <w:marRight w:val="0"/>
          <w:marTop w:val="0"/>
          <w:marBottom w:val="0"/>
          <w:divBdr>
            <w:top w:val="none" w:sz="0" w:space="0" w:color="auto"/>
            <w:left w:val="none" w:sz="0" w:space="0" w:color="auto"/>
            <w:bottom w:val="none" w:sz="0" w:space="0" w:color="auto"/>
            <w:right w:val="none" w:sz="0" w:space="0" w:color="auto"/>
          </w:divBdr>
        </w:div>
      </w:divsChild>
    </w:div>
    <w:div w:id="1987318675">
      <w:bodyDiv w:val="1"/>
      <w:marLeft w:val="0"/>
      <w:marRight w:val="0"/>
      <w:marTop w:val="0"/>
      <w:marBottom w:val="0"/>
      <w:divBdr>
        <w:top w:val="none" w:sz="0" w:space="0" w:color="auto"/>
        <w:left w:val="none" w:sz="0" w:space="0" w:color="auto"/>
        <w:bottom w:val="none" w:sz="0" w:space="0" w:color="auto"/>
        <w:right w:val="none" w:sz="0" w:space="0" w:color="auto"/>
      </w:divBdr>
    </w:div>
    <w:div w:id="2011715266">
      <w:bodyDiv w:val="1"/>
      <w:marLeft w:val="0"/>
      <w:marRight w:val="0"/>
      <w:marTop w:val="0"/>
      <w:marBottom w:val="0"/>
      <w:divBdr>
        <w:top w:val="none" w:sz="0" w:space="0" w:color="auto"/>
        <w:left w:val="none" w:sz="0" w:space="0" w:color="auto"/>
        <w:bottom w:val="none" w:sz="0" w:space="0" w:color="auto"/>
        <w:right w:val="none" w:sz="0" w:space="0" w:color="auto"/>
      </w:divBdr>
    </w:div>
    <w:div w:id="2052487444">
      <w:bodyDiv w:val="1"/>
      <w:marLeft w:val="0"/>
      <w:marRight w:val="0"/>
      <w:marTop w:val="0"/>
      <w:marBottom w:val="0"/>
      <w:divBdr>
        <w:top w:val="none" w:sz="0" w:space="0" w:color="auto"/>
        <w:left w:val="none" w:sz="0" w:space="0" w:color="auto"/>
        <w:bottom w:val="none" w:sz="0" w:space="0" w:color="auto"/>
        <w:right w:val="none" w:sz="0" w:space="0" w:color="auto"/>
      </w:divBdr>
      <w:divsChild>
        <w:div w:id="305475330">
          <w:marLeft w:val="0"/>
          <w:marRight w:val="0"/>
          <w:marTop w:val="0"/>
          <w:marBottom w:val="0"/>
          <w:divBdr>
            <w:top w:val="none" w:sz="0" w:space="0" w:color="auto"/>
            <w:left w:val="none" w:sz="0" w:space="0" w:color="auto"/>
            <w:bottom w:val="none" w:sz="0" w:space="0" w:color="auto"/>
            <w:right w:val="none" w:sz="0" w:space="0" w:color="auto"/>
          </w:divBdr>
        </w:div>
      </w:divsChild>
    </w:div>
    <w:div w:id="2097510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diagramQuickStyle" Target="diagrams/quickStyle3.xml"/><Relationship Id="rId26" Type="http://schemas.openxmlformats.org/officeDocument/2006/relationships/hyperlink" Target="https://businesswales.gov.wales/news-and-blog/croeso-25" TargetMode="External"/><Relationship Id="rId3" Type="http://schemas.openxmlformats.org/officeDocument/2006/relationships/styles" Target="styles.xml"/><Relationship Id="rId21" Type="http://schemas.openxmlformats.org/officeDocument/2006/relationships/diagramData" Target="diagrams/data4.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diagramLayout" Target="diagrams/layout3.xml"/><Relationship Id="rId25" Type="http://schemas.microsoft.com/office/2007/relationships/diagramDrawing" Target="diagrams/drawing4.xml"/><Relationship Id="rId2" Type="http://schemas.openxmlformats.org/officeDocument/2006/relationships/numbering" Target="numbering.xml"/><Relationship Id="rId16" Type="http://schemas.openxmlformats.org/officeDocument/2006/relationships/diagramData" Target="diagrams/data3.xml"/><Relationship Id="rId20" Type="http://schemas.microsoft.com/office/2007/relationships/diagramDrawing" Target="diagrams/drawing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diagramData" Target="diagrams/data2.xml"/><Relationship Id="rId24" Type="http://schemas.openxmlformats.org/officeDocument/2006/relationships/diagramColors" Target="diagrams/colors4.xml"/><Relationship Id="rId5" Type="http://schemas.openxmlformats.org/officeDocument/2006/relationships/webSettings" Target="webSettings.xml"/><Relationship Id="rId15" Type="http://schemas.microsoft.com/office/2007/relationships/diagramDrawing" Target="diagrams/drawing2.xml"/><Relationship Id="rId23" Type="http://schemas.openxmlformats.org/officeDocument/2006/relationships/diagramQuickStyle" Target="diagrams/quickStyle4.xml"/><Relationship Id="rId28" Type="http://schemas.openxmlformats.org/officeDocument/2006/relationships/fontTable" Target="fontTable.xml"/><Relationship Id="rId10" Type="http://schemas.microsoft.com/office/2007/relationships/diagramDrawing" Target="diagrams/drawing1.xml"/><Relationship Id="rId19" Type="http://schemas.openxmlformats.org/officeDocument/2006/relationships/diagramColors" Target="diagrams/colors3.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diagramLayout" Target="diagrams/layout4.xml"/><Relationship Id="rId27" Type="http://schemas.openxmlformats.org/officeDocument/2006/relationships/hyperlink" Target="https://cardiffmusiccity.wales/2025/05/07/year-of-croeso-weather-proofing-fund-for-tourism-attractions-2025-2026/"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BB2423-D235-4974-9120-8AE9554D941C}" type="doc">
      <dgm:prSet loTypeId="urn:microsoft.com/office/officeart/2005/8/layout/cycle1" loCatId="cycle" qsTypeId="urn:microsoft.com/office/officeart/2005/8/quickstyle/simple5" qsCatId="simple" csTypeId="urn:microsoft.com/office/officeart/2005/8/colors/colorful1" csCatId="colorful" phldr="1"/>
      <dgm:spPr/>
      <dgm:t>
        <a:bodyPr/>
        <a:lstStyle/>
        <a:p>
          <a:endParaRPr lang="en-IN"/>
        </a:p>
      </dgm:t>
    </dgm:pt>
    <dgm:pt modelId="{970BD3F2-2ED6-44D3-B40A-FE887BDCE5F8}">
      <dgm:prSet phldrT="[Text]"/>
      <dgm:spPr/>
      <dgm:t>
        <a:bodyPr/>
        <a:lstStyle/>
        <a:p>
          <a:pPr>
            <a:buNone/>
          </a:pPr>
          <a:r>
            <a:rPr lang="en-IN" b="1">
              <a:latin typeface="Times New Roman" panose="02020603050405020304" pitchFamily="18" charset="0"/>
              <a:cs typeface="Times New Roman" panose="02020603050405020304" pitchFamily="18" charset="0"/>
            </a:rPr>
            <a:t>Initiation</a:t>
          </a:r>
        </a:p>
      </dgm:t>
    </dgm:pt>
    <dgm:pt modelId="{5BEC7F6B-DBC9-458A-ADCA-4895BAC3D187}" type="parTrans" cxnId="{B18E4AD9-0E00-4825-A271-395300FCA25E}">
      <dgm:prSet/>
      <dgm:spPr/>
      <dgm:t>
        <a:bodyPr/>
        <a:lstStyle/>
        <a:p>
          <a:endParaRPr lang="en-IN"/>
        </a:p>
      </dgm:t>
    </dgm:pt>
    <dgm:pt modelId="{D43BCD7F-635E-45DB-9A60-D840B6591B08}" type="sibTrans" cxnId="{B18E4AD9-0E00-4825-A271-395300FCA25E}">
      <dgm:prSet/>
      <dgm:spPr/>
      <dgm:t>
        <a:bodyPr/>
        <a:lstStyle/>
        <a:p>
          <a:endParaRPr lang="en-IN"/>
        </a:p>
      </dgm:t>
    </dgm:pt>
    <dgm:pt modelId="{C8CC961D-9BF6-48C0-8574-994E7E2E1559}">
      <dgm:prSet phldrT="[Text]"/>
      <dgm:spPr/>
      <dgm:t>
        <a:bodyPr/>
        <a:lstStyle/>
        <a:p>
          <a:r>
            <a:rPr lang="en-IN" b="1">
              <a:latin typeface="Times New Roman" panose="02020603050405020304" pitchFamily="18" charset="0"/>
              <a:cs typeface="Times New Roman" panose="02020603050405020304" pitchFamily="18" charset="0"/>
            </a:rPr>
            <a:t>planning</a:t>
          </a:r>
        </a:p>
      </dgm:t>
    </dgm:pt>
    <dgm:pt modelId="{876AF246-AE1A-43F8-8A14-8DC2C6C99635}" type="parTrans" cxnId="{77A6D402-86B2-4543-B439-00B2D0B8DE00}">
      <dgm:prSet/>
      <dgm:spPr/>
      <dgm:t>
        <a:bodyPr/>
        <a:lstStyle/>
        <a:p>
          <a:endParaRPr lang="en-IN"/>
        </a:p>
      </dgm:t>
    </dgm:pt>
    <dgm:pt modelId="{B6214ABB-25AB-4274-8180-514C684A5C4A}" type="sibTrans" cxnId="{77A6D402-86B2-4543-B439-00B2D0B8DE00}">
      <dgm:prSet/>
      <dgm:spPr/>
      <dgm:t>
        <a:bodyPr/>
        <a:lstStyle/>
        <a:p>
          <a:endParaRPr lang="en-IN"/>
        </a:p>
      </dgm:t>
    </dgm:pt>
    <dgm:pt modelId="{A27609B4-9286-4A22-A856-C10AEA2E06F9}">
      <dgm:prSet phldrT="[Text]"/>
      <dgm:spPr/>
      <dgm:t>
        <a:bodyPr/>
        <a:lstStyle/>
        <a:p>
          <a:r>
            <a:rPr lang="en-IN" b="1">
              <a:latin typeface="Times New Roman" panose="02020603050405020304" pitchFamily="18" charset="0"/>
              <a:cs typeface="Times New Roman" panose="02020603050405020304" pitchFamily="18" charset="0"/>
            </a:rPr>
            <a:t>Implimentation</a:t>
          </a:r>
        </a:p>
      </dgm:t>
    </dgm:pt>
    <dgm:pt modelId="{278D6F7B-7009-4C06-B119-B232081C1B09}" type="parTrans" cxnId="{E82553C0-4BC0-4920-A655-C3A6492E2C91}">
      <dgm:prSet/>
      <dgm:spPr/>
      <dgm:t>
        <a:bodyPr/>
        <a:lstStyle/>
        <a:p>
          <a:endParaRPr lang="en-IN"/>
        </a:p>
      </dgm:t>
    </dgm:pt>
    <dgm:pt modelId="{EE7120D5-1A2E-42A3-B08B-BC95D078DB13}" type="sibTrans" cxnId="{E82553C0-4BC0-4920-A655-C3A6492E2C91}">
      <dgm:prSet/>
      <dgm:spPr/>
      <dgm:t>
        <a:bodyPr/>
        <a:lstStyle/>
        <a:p>
          <a:endParaRPr lang="en-IN"/>
        </a:p>
      </dgm:t>
    </dgm:pt>
    <dgm:pt modelId="{FFADBB29-4BFC-4175-A267-51FD2D7BF305}">
      <dgm:prSet phldrT="[Text]"/>
      <dgm:spPr/>
      <dgm:t>
        <a:bodyPr/>
        <a:lstStyle/>
        <a:p>
          <a:r>
            <a:rPr lang="en-IN" b="1">
              <a:latin typeface="Times New Roman" panose="02020603050405020304" pitchFamily="18" charset="0"/>
              <a:cs typeface="Times New Roman" panose="02020603050405020304" pitchFamily="18" charset="0"/>
            </a:rPr>
            <a:t>Event</a:t>
          </a:r>
        </a:p>
        <a:p>
          <a:r>
            <a:rPr lang="en-IN" b="1">
              <a:latin typeface="Times New Roman" panose="02020603050405020304" pitchFamily="18" charset="0"/>
              <a:cs typeface="Times New Roman" panose="02020603050405020304" pitchFamily="18" charset="0"/>
            </a:rPr>
            <a:t>Delivery</a:t>
          </a:r>
        </a:p>
      </dgm:t>
    </dgm:pt>
    <dgm:pt modelId="{2FE89214-4988-4681-90F0-BE46A9DE5BBE}" type="parTrans" cxnId="{ECFE23C4-44D9-4AE5-9BA9-4D10AD372BCF}">
      <dgm:prSet/>
      <dgm:spPr/>
      <dgm:t>
        <a:bodyPr/>
        <a:lstStyle/>
        <a:p>
          <a:endParaRPr lang="en-IN"/>
        </a:p>
      </dgm:t>
    </dgm:pt>
    <dgm:pt modelId="{26CF4AE2-4F08-4AB0-8554-51DB54533396}" type="sibTrans" cxnId="{ECFE23C4-44D9-4AE5-9BA9-4D10AD372BCF}">
      <dgm:prSet/>
      <dgm:spPr/>
      <dgm:t>
        <a:bodyPr/>
        <a:lstStyle/>
        <a:p>
          <a:endParaRPr lang="en-IN"/>
        </a:p>
      </dgm:t>
    </dgm:pt>
    <dgm:pt modelId="{07489CD4-319D-4924-88CA-3ED5619A8E24}">
      <dgm:prSet phldrT="[Text]"/>
      <dgm:spPr/>
      <dgm:t>
        <a:bodyPr/>
        <a:lstStyle/>
        <a:p>
          <a:r>
            <a:rPr lang="en-IN" b="1">
              <a:latin typeface="Times New Roman" panose="02020603050405020304" pitchFamily="18" charset="0"/>
              <a:cs typeface="Times New Roman" panose="02020603050405020304" pitchFamily="18" charset="0"/>
            </a:rPr>
            <a:t>Evaluation and </a:t>
          </a:r>
        </a:p>
        <a:p>
          <a:r>
            <a:rPr lang="en-IN" b="1">
              <a:latin typeface="Times New Roman" panose="02020603050405020304" pitchFamily="18" charset="0"/>
              <a:cs typeface="Times New Roman" panose="02020603050405020304" pitchFamily="18" charset="0"/>
            </a:rPr>
            <a:t>closure</a:t>
          </a:r>
        </a:p>
      </dgm:t>
    </dgm:pt>
    <dgm:pt modelId="{F7A203CA-D3E5-4D20-B9CC-67DF0BB917DD}" type="parTrans" cxnId="{EE69CB6F-797D-46B2-8CBB-066092B4C4FC}">
      <dgm:prSet/>
      <dgm:spPr/>
      <dgm:t>
        <a:bodyPr/>
        <a:lstStyle/>
        <a:p>
          <a:endParaRPr lang="en-IN"/>
        </a:p>
      </dgm:t>
    </dgm:pt>
    <dgm:pt modelId="{BDE8CDA0-9EE8-4D6D-9894-344B7825EBA0}" type="sibTrans" cxnId="{EE69CB6F-797D-46B2-8CBB-066092B4C4FC}">
      <dgm:prSet/>
      <dgm:spPr/>
      <dgm:t>
        <a:bodyPr/>
        <a:lstStyle/>
        <a:p>
          <a:endParaRPr lang="en-IN"/>
        </a:p>
      </dgm:t>
    </dgm:pt>
    <dgm:pt modelId="{0709BA9E-A5BD-4E15-93E7-F582B0FC2BB9}" type="pres">
      <dgm:prSet presAssocID="{D6BB2423-D235-4974-9120-8AE9554D941C}" presName="cycle" presStyleCnt="0">
        <dgm:presLayoutVars>
          <dgm:dir/>
          <dgm:resizeHandles val="exact"/>
        </dgm:presLayoutVars>
      </dgm:prSet>
      <dgm:spPr/>
    </dgm:pt>
    <dgm:pt modelId="{6FDD0CCC-AF32-44B7-9218-3D6A81908858}" type="pres">
      <dgm:prSet presAssocID="{970BD3F2-2ED6-44D3-B40A-FE887BDCE5F8}" presName="dummy" presStyleCnt="0"/>
      <dgm:spPr/>
    </dgm:pt>
    <dgm:pt modelId="{F473ABEE-353C-4504-B0E4-8E30F47076A2}" type="pres">
      <dgm:prSet presAssocID="{970BD3F2-2ED6-44D3-B40A-FE887BDCE5F8}" presName="node" presStyleLbl="revTx" presStyleIdx="0" presStyleCnt="5" custScaleX="126256">
        <dgm:presLayoutVars>
          <dgm:bulletEnabled val="1"/>
        </dgm:presLayoutVars>
      </dgm:prSet>
      <dgm:spPr/>
    </dgm:pt>
    <dgm:pt modelId="{FF27D469-F0F8-461D-9D38-E4476C02665C}" type="pres">
      <dgm:prSet presAssocID="{D43BCD7F-635E-45DB-9A60-D840B6591B08}" presName="sibTrans" presStyleLbl="node1" presStyleIdx="0" presStyleCnt="5"/>
      <dgm:spPr/>
    </dgm:pt>
    <dgm:pt modelId="{195DC7C1-2024-430A-AEF8-46FC1659A258}" type="pres">
      <dgm:prSet presAssocID="{C8CC961D-9BF6-48C0-8574-994E7E2E1559}" presName="dummy" presStyleCnt="0"/>
      <dgm:spPr/>
    </dgm:pt>
    <dgm:pt modelId="{1761278E-E86E-446E-96BD-5A19E4E22CA6}" type="pres">
      <dgm:prSet presAssocID="{C8CC961D-9BF6-48C0-8574-994E7E2E1559}" presName="node" presStyleLbl="revTx" presStyleIdx="1" presStyleCnt="5" custScaleX="126256">
        <dgm:presLayoutVars>
          <dgm:bulletEnabled val="1"/>
        </dgm:presLayoutVars>
      </dgm:prSet>
      <dgm:spPr/>
    </dgm:pt>
    <dgm:pt modelId="{D74A768F-5783-4423-B8A2-EE4A04EC306C}" type="pres">
      <dgm:prSet presAssocID="{B6214ABB-25AB-4274-8180-514C684A5C4A}" presName="sibTrans" presStyleLbl="node1" presStyleIdx="1" presStyleCnt="5"/>
      <dgm:spPr/>
    </dgm:pt>
    <dgm:pt modelId="{80D6053F-F6B0-41E1-823B-20F94813B82C}" type="pres">
      <dgm:prSet presAssocID="{A27609B4-9286-4A22-A856-C10AEA2E06F9}" presName="dummy" presStyleCnt="0"/>
      <dgm:spPr/>
    </dgm:pt>
    <dgm:pt modelId="{66B16E9D-7431-4097-98E3-2E5DD687D5FD}" type="pres">
      <dgm:prSet presAssocID="{A27609B4-9286-4A22-A856-C10AEA2E06F9}" presName="node" presStyleLbl="revTx" presStyleIdx="2" presStyleCnt="5" custScaleX="126256">
        <dgm:presLayoutVars>
          <dgm:bulletEnabled val="1"/>
        </dgm:presLayoutVars>
      </dgm:prSet>
      <dgm:spPr/>
    </dgm:pt>
    <dgm:pt modelId="{B00FAFE0-B9CF-4B34-BE53-18D4014C4F36}" type="pres">
      <dgm:prSet presAssocID="{EE7120D5-1A2E-42A3-B08B-BC95D078DB13}" presName="sibTrans" presStyleLbl="node1" presStyleIdx="2" presStyleCnt="5"/>
      <dgm:spPr/>
    </dgm:pt>
    <dgm:pt modelId="{2B5A49C3-DE9F-474D-A3D5-CD1685AA2709}" type="pres">
      <dgm:prSet presAssocID="{FFADBB29-4BFC-4175-A267-51FD2D7BF305}" presName="dummy" presStyleCnt="0"/>
      <dgm:spPr/>
    </dgm:pt>
    <dgm:pt modelId="{E47536F8-C033-4425-B3C4-D8EEC2F163FD}" type="pres">
      <dgm:prSet presAssocID="{FFADBB29-4BFC-4175-A267-51FD2D7BF305}" presName="node" presStyleLbl="revTx" presStyleIdx="3" presStyleCnt="5" custScaleX="126256">
        <dgm:presLayoutVars>
          <dgm:bulletEnabled val="1"/>
        </dgm:presLayoutVars>
      </dgm:prSet>
      <dgm:spPr/>
    </dgm:pt>
    <dgm:pt modelId="{A78A5007-B2A1-4BAA-B7A2-2D2A16821569}" type="pres">
      <dgm:prSet presAssocID="{26CF4AE2-4F08-4AB0-8554-51DB54533396}" presName="sibTrans" presStyleLbl="node1" presStyleIdx="3" presStyleCnt="5"/>
      <dgm:spPr/>
    </dgm:pt>
    <dgm:pt modelId="{51284033-43D2-4AEE-99F3-ECCE596D5DF3}" type="pres">
      <dgm:prSet presAssocID="{07489CD4-319D-4924-88CA-3ED5619A8E24}" presName="dummy" presStyleCnt="0"/>
      <dgm:spPr/>
    </dgm:pt>
    <dgm:pt modelId="{CDA95B03-5186-4C85-B77D-460A620E1590}" type="pres">
      <dgm:prSet presAssocID="{07489CD4-319D-4924-88CA-3ED5619A8E24}" presName="node" presStyleLbl="revTx" presStyleIdx="4" presStyleCnt="5" custScaleX="126256">
        <dgm:presLayoutVars>
          <dgm:bulletEnabled val="1"/>
        </dgm:presLayoutVars>
      </dgm:prSet>
      <dgm:spPr/>
    </dgm:pt>
    <dgm:pt modelId="{6E9EE779-885A-4635-9D13-A6C8B0952F01}" type="pres">
      <dgm:prSet presAssocID="{BDE8CDA0-9EE8-4D6D-9894-344B7825EBA0}" presName="sibTrans" presStyleLbl="node1" presStyleIdx="4" presStyleCnt="5"/>
      <dgm:spPr/>
    </dgm:pt>
  </dgm:ptLst>
  <dgm:cxnLst>
    <dgm:cxn modelId="{77A6D402-86B2-4543-B439-00B2D0B8DE00}" srcId="{D6BB2423-D235-4974-9120-8AE9554D941C}" destId="{C8CC961D-9BF6-48C0-8574-994E7E2E1559}" srcOrd="1" destOrd="0" parTransId="{876AF246-AE1A-43F8-8A14-8DC2C6C99635}" sibTransId="{B6214ABB-25AB-4274-8180-514C684A5C4A}"/>
    <dgm:cxn modelId="{856F710A-804A-4AA6-9144-7DE0C64CD714}" type="presOf" srcId="{970BD3F2-2ED6-44D3-B40A-FE887BDCE5F8}" destId="{F473ABEE-353C-4504-B0E4-8E30F47076A2}" srcOrd="0" destOrd="0" presId="urn:microsoft.com/office/officeart/2005/8/layout/cycle1"/>
    <dgm:cxn modelId="{BFFF3166-B6F7-48F6-8C55-41ECAEAA4438}" type="presOf" srcId="{FFADBB29-4BFC-4175-A267-51FD2D7BF305}" destId="{E47536F8-C033-4425-B3C4-D8EEC2F163FD}" srcOrd="0" destOrd="0" presId="urn:microsoft.com/office/officeart/2005/8/layout/cycle1"/>
    <dgm:cxn modelId="{22290C49-6E64-4D45-A600-BC1B14E1CC03}" type="presOf" srcId="{A27609B4-9286-4A22-A856-C10AEA2E06F9}" destId="{66B16E9D-7431-4097-98E3-2E5DD687D5FD}" srcOrd="0" destOrd="0" presId="urn:microsoft.com/office/officeart/2005/8/layout/cycle1"/>
    <dgm:cxn modelId="{EE69CB6F-797D-46B2-8CBB-066092B4C4FC}" srcId="{D6BB2423-D235-4974-9120-8AE9554D941C}" destId="{07489CD4-319D-4924-88CA-3ED5619A8E24}" srcOrd="4" destOrd="0" parTransId="{F7A203CA-D3E5-4D20-B9CC-67DF0BB917DD}" sibTransId="{BDE8CDA0-9EE8-4D6D-9894-344B7825EBA0}"/>
    <dgm:cxn modelId="{4AADE950-3A19-4242-A7B5-07A99AB0D39F}" type="presOf" srcId="{D43BCD7F-635E-45DB-9A60-D840B6591B08}" destId="{FF27D469-F0F8-461D-9D38-E4476C02665C}" srcOrd="0" destOrd="0" presId="urn:microsoft.com/office/officeart/2005/8/layout/cycle1"/>
    <dgm:cxn modelId="{42C4D275-8C93-40B8-B1A5-68BA0FA8991C}" type="presOf" srcId="{B6214ABB-25AB-4274-8180-514C684A5C4A}" destId="{D74A768F-5783-4423-B8A2-EE4A04EC306C}" srcOrd="0" destOrd="0" presId="urn:microsoft.com/office/officeart/2005/8/layout/cycle1"/>
    <dgm:cxn modelId="{A0AC3F76-6719-43BC-A4E2-5570C856DE7F}" type="presOf" srcId="{EE7120D5-1A2E-42A3-B08B-BC95D078DB13}" destId="{B00FAFE0-B9CF-4B34-BE53-18D4014C4F36}" srcOrd="0" destOrd="0" presId="urn:microsoft.com/office/officeart/2005/8/layout/cycle1"/>
    <dgm:cxn modelId="{C6EEB076-F154-464A-85B6-11DB98DFCA9E}" type="presOf" srcId="{26CF4AE2-4F08-4AB0-8554-51DB54533396}" destId="{A78A5007-B2A1-4BAA-B7A2-2D2A16821569}" srcOrd="0" destOrd="0" presId="urn:microsoft.com/office/officeart/2005/8/layout/cycle1"/>
    <dgm:cxn modelId="{ABB6E08E-AAD6-41CD-AAB7-34762EA68D5A}" type="presOf" srcId="{D6BB2423-D235-4974-9120-8AE9554D941C}" destId="{0709BA9E-A5BD-4E15-93E7-F582B0FC2BB9}" srcOrd="0" destOrd="0" presId="urn:microsoft.com/office/officeart/2005/8/layout/cycle1"/>
    <dgm:cxn modelId="{E82553C0-4BC0-4920-A655-C3A6492E2C91}" srcId="{D6BB2423-D235-4974-9120-8AE9554D941C}" destId="{A27609B4-9286-4A22-A856-C10AEA2E06F9}" srcOrd="2" destOrd="0" parTransId="{278D6F7B-7009-4C06-B119-B232081C1B09}" sibTransId="{EE7120D5-1A2E-42A3-B08B-BC95D078DB13}"/>
    <dgm:cxn modelId="{ECFE23C4-44D9-4AE5-9BA9-4D10AD372BCF}" srcId="{D6BB2423-D235-4974-9120-8AE9554D941C}" destId="{FFADBB29-4BFC-4175-A267-51FD2D7BF305}" srcOrd="3" destOrd="0" parTransId="{2FE89214-4988-4681-90F0-BE46A9DE5BBE}" sibTransId="{26CF4AE2-4F08-4AB0-8554-51DB54533396}"/>
    <dgm:cxn modelId="{D22DB0CB-9D11-44E5-8796-00046707BFBD}" type="presOf" srcId="{07489CD4-319D-4924-88CA-3ED5619A8E24}" destId="{CDA95B03-5186-4C85-B77D-460A620E1590}" srcOrd="0" destOrd="0" presId="urn:microsoft.com/office/officeart/2005/8/layout/cycle1"/>
    <dgm:cxn modelId="{B18E4AD9-0E00-4825-A271-395300FCA25E}" srcId="{D6BB2423-D235-4974-9120-8AE9554D941C}" destId="{970BD3F2-2ED6-44D3-B40A-FE887BDCE5F8}" srcOrd="0" destOrd="0" parTransId="{5BEC7F6B-DBC9-458A-ADCA-4895BAC3D187}" sibTransId="{D43BCD7F-635E-45DB-9A60-D840B6591B08}"/>
    <dgm:cxn modelId="{7A2E0ADB-C9C9-46B9-AB90-0FED952612A4}" type="presOf" srcId="{BDE8CDA0-9EE8-4D6D-9894-344B7825EBA0}" destId="{6E9EE779-885A-4635-9D13-A6C8B0952F01}" srcOrd="0" destOrd="0" presId="urn:microsoft.com/office/officeart/2005/8/layout/cycle1"/>
    <dgm:cxn modelId="{634BB9EA-A581-4097-88EC-17669E855FA8}" type="presOf" srcId="{C8CC961D-9BF6-48C0-8574-994E7E2E1559}" destId="{1761278E-E86E-446E-96BD-5A19E4E22CA6}" srcOrd="0" destOrd="0" presId="urn:microsoft.com/office/officeart/2005/8/layout/cycle1"/>
    <dgm:cxn modelId="{9638625D-73DF-4003-88DA-5F58B69FD16C}" type="presParOf" srcId="{0709BA9E-A5BD-4E15-93E7-F582B0FC2BB9}" destId="{6FDD0CCC-AF32-44B7-9218-3D6A81908858}" srcOrd="0" destOrd="0" presId="urn:microsoft.com/office/officeart/2005/8/layout/cycle1"/>
    <dgm:cxn modelId="{5B19ECCF-7AC1-4CF5-8138-A88168DA597A}" type="presParOf" srcId="{0709BA9E-A5BD-4E15-93E7-F582B0FC2BB9}" destId="{F473ABEE-353C-4504-B0E4-8E30F47076A2}" srcOrd="1" destOrd="0" presId="urn:microsoft.com/office/officeart/2005/8/layout/cycle1"/>
    <dgm:cxn modelId="{1D1997E1-8A9D-480E-9BE7-FF153DBEE26D}" type="presParOf" srcId="{0709BA9E-A5BD-4E15-93E7-F582B0FC2BB9}" destId="{FF27D469-F0F8-461D-9D38-E4476C02665C}" srcOrd="2" destOrd="0" presId="urn:microsoft.com/office/officeart/2005/8/layout/cycle1"/>
    <dgm:cxn modelId="{D5CD640C-6739-4645-9943-3E5A76FA4229}" type="presParOf" srcId="{0709BA9E-A5BD-4E15-93E7-F582B0FC2BB9}" destId="{195DC7C1-2024-430A-AEF8-46FC1659A258}" srcOrd="3" destOrd="0" presId="urn:microsoft.com/office/officeart/2005/8/layout/cycle1"/>
    <dgm:cxn modelId="{32C34A5A-CC55-4585-8128-CCC481E8F221}" type="presParOf" srcId="{0709BA9E-A5BD-4E15-93E7-F582B0FC2BB9}" destId="{1761278E-E86E-446E-96BD-5A19E4E22CA6}" srcOrd="4" destOrd="0" presId="urn:microsoft.com/office/officeart/2005/8/layout/cycle1"/>
    <dgm:cxn modelId="{90553590-374A-4807-9E4D-AAF60849984B}" type="presParOf" srcId="{0709BA9E-A5BD-4E15-93E7-F582B0FC2BB9}" destId="{D74A768F-5783-4423-B8A2-EE4A04EC306C}" srcOrd="5" destOrd="0" presId="urn:microsoft.com/office/officeart/2005/8/layout/cycle1"/>
    <dgm:cxn modelId="{D2BECE48-2019-45C7-8ED5-C027A46BF09D}" type="presParOf" srcId="{0709BA9E-A5BD-4E15-93E7-F582B0FC2BB9}" destId="{80D6053F-F6B0-41E1-823B-20F94813B82C}" srcOrd="6" destOrd="0" presId="urn:microsoft.com/office/officeart/2005/8/layout/cycle1"/>
    <dgm:cxn modelId="{2082B9F5-2663-4CAB-BFA2-F8A2AD24BC22}" type="presParOf" srcId="{0709BA9E-A5BD-4E15-93E7-F582B0FC2BB9}" destId="{66B16E9D-7431-4097-98E3-2E5DD687D5FD}" srcOrd="7" destOrd="0" presId="urn:microsoft.com/office/officeart/2005/8/layout/cycle1"/>
    <dgm:cxn modelId="{A4FBD1F2-6629-4355-A0B3-B224A970CDCC}" type="presParOf" srcId="{0709BA9E-A5BD-4E15-93E7-F582B0FC2BB9}" destId="{B00FAFE0-B9CF-4B34-BE53-18D4014C4F36}" srcOrd="8" destOrd="0" presId="urn:microsoft.com/office/officeart/2005/8/layout/cycle1"/>
    <dgm:cxn modelId="{7790F218-6405-4BB1-A66D-0B1548E7E691}" type="presParOf" srcId="{0709BA9E-A5BD-4E15-93E7-F582B0FC2BB9}" destId="{2B5A49C3-DE9F-474D-A3D5-CD1685AA2709}" srcOrd="9" destOrd="0" presId="urn:microsoft.com/office/officeart/2005/8/layout/cycle1"/>
    <dgm:cxn modelId="{93AC370C-AD02-4493-BCBD-9E24AFB529AF}" type="presParOf" srcId="{0709BA9E-A5BD-4E15-93E7-F582B0FC2BB9}" destId="{E47536F8-C033-4425-B3C4-D8EEC2F163FD}" srcOrd="10" destOrd="0" presId="urn:microsoft.com/office/officeart/2005/8/layout/cycle1"/>
    <dgm:cxn modelId="{22ED1C4B-D242-4BCF-923E-3AB8DAAC7CC4}" type="presParOf" srcId="{0709BA9E-A5BD-4E15-93E7-F582B0FC2BB9}" destId="{A78A5007-B2A1-4BAA-B7A2-2D2A16821569}" srcOrd="11" destOrd="0" presId="urn:microsoft.com/office/officeart/2005/8/layout/cycle1"/>
    <dgm:cxn modelId="{C1368897-F011-4FF3-A474-8F1CFC7E2830}" type="presParOf" srcId="{0709BA9E-A5BD-4E15-93E7-F582B0FC2BB9}" destId="{51284033-43D2-4AEE-99F3-ECCE596D5DF3}" srcOrd="12" destOrd="0" presId="urn:microsoft.com/office/officeart/2005/8/layout/cycle1"/>
    <dgm:cxn modelId="{509047AF-6CDB-48FA-8335-25B2CA9A3E2A}" type="presParOf" srcId="{0709BA9E-A5BD-4E15-93E7-F582B0FC2BB9}" destId="{CDA95B03-5186-4C85-B77D-460A620E1590}" srcOrd="13" destOrd="0" presId="urn:microsoft.com/office/officeart/2005/8/layout/cycle1"/>
    <dgm:cxn modelId="{CCCBB999-33AC-47CE-9159-B9A099D1AA31}" type="presParOf" srcId="{0709BA9E-A5BD-4E15-93E7-F582B0FC2BB9}" destId="{6E9EE779-885A-4635-9D13-A6C8B0952F01}" srcOrd="14" destOrd="0" presId="urn:microsoft.com/office/officeart/2005/8/layout/cycle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C6C4670-C907-4BBC-93F0-76FD592B42D5}" type="doc">
      <dgm:prSet loTypeId="urn:microsoft.com/office/officeart/2005/8/layout/cycle2" loCatId="cycle" qsTypeId="urn:microsoft.com/office/officeart/2005/8/quickstyle/3d3" qsCatId="3D" csTypeId="urn:microsoft.com/office/officeart/2005/8/colors/colorful4" csCatId="colorful" phldr="1"/>
      <dgm:spPr/>
      <dgm:t>
        <a:bodyPr/>
        <a:lstStyle/>
        <a:p>
          <a:endParaRPr lang="en-IN"/>
        </a:p>
      </dgm:t>
    </dgm:pt>
    <dgm:pt modelId="{975E5AD3-9251-4CC7-B421-C04615436976}">
      <dgm:prSet phldrT="[Text]"/>
      <dgm:spPr/>
      <dgm:t>
        <a:bodyPr/>
        <a:lstStyle/>
        <a:p>
          <a:pPr>
            <a:buNone/>
          </a:pPr>
          <a:r>
            <a:rPr lang="en-IN" b="1">
              <a:solidFill>
                <a:sysClr val="windowText" lastClr="000000"/>
              </a:solidFill>
              <a:latin typeface="Times New Roman" panose="02020603050405020304" pitchFamily="18" charset="0"/>
              <a:cs typeface="Times New Roman" panose="02020603050405020304" pitchFamily="18" charset="0"/>
            </a:rPr>
            <a:t>Specific</a:t>
          </a:r>
        </a:p>
      </dgm:t>
    </dgm:pt>
    <dgm:pt modelId="{D19C98D4-4A0E-422B-9366-2CC468EA6FB8}" type="parTrans" cxnId="{B2EDD09F-6428-4B7F-8FEF-E9D55A58071F}">
      <dgm:prSet/>
      <dgm:spPr/>
      <dgm:t>
        <a:bodyPr/>
        <a:lstStyle/>
        <a:p>
          <a:endParaRPr lang="en-IN"/>
        </a:p>
      </dgm:t>
    </dgm:pt>
    <dgm:pt modelId="{34A966C0-958D-462C-A0FD-17C98EA49157}" type="sibTrans" cxnId="{B2EDD09F-6428-4B7F-8FEF-E9D55A58071F}">
      <dgm:prSet/>
      <dgm:spPr/>
      <dgm:t>
        <a:bodyPr/>
        <a:lstStyle/>
        <a:p>
          <a:endParaRPr lang="en-IN"/>
        </a:p>
      </dgm:t>
    </dgm:pt>
    <dgm:pt modelId="{77D99FB7-5CFB-4DDA-AE33-5A44E531564D}">
      <dgm:prSet phldrT="[Text]"/>
      <dgm:spPr/>
      <dgm:t>
        <a:bodyPr/>
        <a:lstStyle/>
        <a:p>
          <a:r>
            <a:rPr lang="en-IN" b="1">
              <a:solidFill>
                <a:sysClr val="windowText" lastClr="000000"/>
              </a:solidFill>
              <a:latin typeface="Times New Roman" panose="02020603050405020304" pitchFamily="18" charset="0"/>
              <a:cs typeface="Times New Roman" panose="02020603050405020304" pitchFamily="18" charset="0"/>
            </a:rPr>
            <a:t>Achievable</a:t>
          </a:r>
        </a:p>
      </dgm:t>
    </dgm:pt>
    <dgm:pt modelId="{64BB346F-C3EA-4ED1-89D4-DD4C36FA5B09}" type="parTrans" cxnId="{386AB87A-0131-4C42-BF62-548C01FEFAF2}">
      <dgm:prSet/>
      <dgm:spPr/>
      <dgm:t>
        <a:bodyPr/>
        <a:lstStyle/>
        <a:p>
          <a:endParaRPr lang="en-IN"/>
        </a:p>
      </dgm:t>
    </dgm:pt>
    <dgm:pt modelId="{81D5862E-80F2-4E26-B45F-B6FC2E82BD82}" type="sibTrans" cxnId="{386AB87A-0131-4C42-BF62-548C01FEFAF2}">
      <dgm:prSet/>
      <dgm:spPr/>
      <dgm:t>
        <a:bodyPr/>
        <a:lstStyle/>
        <a:p>
          <a:endParaRPr lang="en-IN"/>
        </a:p>
      </dgm:t>
    </dgm:pt>
    <dgm:pt modelId="{C171D539-C14B-4FED-B646-89AF65C415E6}">
      <dgm:prSet phldrT="[Text]"/>
      <dgm:spPr/>
      <dgm:t>
        <a:bodyPr/>
        <a:lstStyle/>
        <a:p>
          <a:r>
            <a:rPr lang="en-IN" b="1">
              <a:solidFill>
                <a:sysClr val="windowText" lastClr="000000"/>
              </a:solidFill>
              <a:latin typeface="Times New Roman" panose="02020603050405020304" pitchFamily="18" charset="0"/>
              <a:cs typeface="Times New Roman" panose="02020603050405020304" pitchFamily="18" charset="0"/>
            </a:rPr>
            <a:t>Relevant</a:t>
          </a:r>
        </a:p>
      </dgm:t>
    </dgm:pt>
    <dgm:pt modelId="{E4CD37BA-9D8B-4101-B180-F278EC63003C}" type="parTrans" cxnId="{320C817D-9C41-4ECF-88D5-6A8D4D7BE5DB}">
      <dgm:prSet/>
      <dgm:spPr/>
      <dgm:t>
        <a:bodyPr/>
        <a:lstStyle/>
        <a:p>
          <a:endParaRPr lang="en-IN"/>
        </a:p>
      </dgm:t>
    </dgm:pt>
    <dgm:pt modelId="{360C017A-E0B1-487D-80AE-98976A96B6D5}" type="sibTrans" cxnId="{320C817D-9C41-4ECF-88D5-6A8D4D7BE5DB}">
      <dgm:prSet/>
      <dgm:spPr/>
      <dgm:t>
        <a:bodyPr/>
        <a:lstStyle/>
        <a:p>
          <a:endParaRPr lang="en-IN"/>
        </a:p>
      </dgm:t>
    </dgm:pt>
    <dgm:pt modelId="{FEA13339-51A1-44B2-B39F-8E08923CF2C4}">
      <dgm:prSet phldrT="[Text]"/>
      <dgm:spPr/>
      <dgm:t>
        <a:bodyPr/>
        <a:lstStyle/>
        <a:p>
          <a:r>
            <a:rPr lang="en-IN" b="1">
              <a:solidFill>
                <a:sysClr val="windowText" lastClr="000000"/>
              </a:solidFill>
              <a:latin typeface="Times New Roman" panose="02020603050405020304" pitchFamily="18" charset="0"/>
              <a:cs typeface="Times New Roman" panose="02020603050405020304" pitchFamily="18" charset="0"/>
            </a:rPr>
            <a:t>Time-bound</a:t>
          </a:r>
        </a:p>
      </dgm:t>
    </dgm:pt>
    <dgm:pt modelId="{8BEBDA46-4CAB-40AF-9D1F-1C990C1A1EF6}" type="parTrans" cxnId="{3C98A5DA-2089-4FAE-B1AF-1FCADD0DDE2E}">
      <dgm:prSet/>
      <dgm:spPr/>
      <dgm:t>
        <a:bodyPr/>
        <a:lstStyle/>
        <a:p>
          <a:endParaRPr lang="en-IN"/>
        </a:p>
      </dgm:t>
    </dgm:pt>
    <dgm:pt modelId="{27107529-E7A8-4D25-94B8-746B6540F64C}" type="sibTrans" cxnId="{3C98A5DA-2089-4FAE-B1AF-1FCADD0DDE2E}">
      <dgm:prSet/>
      <dgm:spPr/>
      <dgm:t>
        <a:bodyPr/>
        <a:lstStyle/>
        <a:p>
          <a:endParaRPr lang="en-IN"/>
        </a:p>
      </dgm:t>
    </dgm:pt>
    <dgm:pt modelId="{BD0D0AB5-6FEB-4CB2-AB0E-8D9453F656B9}">
      <dgm:prSet phldrT="[Text]"/>
      <dgm:spPr/>
      <dgm:t>
        <a:bodyPr/>
        <a:lstStyle/>
        <a:p>
          <a:pPr>
            <a:buNone/>
          </a:pPr>
          <a:r>
            <a:rPr lang="en-IN" b="1">
              <a:solidFill>
                <a:sysClr val="windowText" lastClr="000000"/>
              </a:solidFill>
              <a:latin typeface="Times New Roman" panose="02020603050405020304" pitchFamily="18" charset="0"/>
              <a:cs typeface="Times New Roman" panose="02020603050405020304" pitchFamily="18" charset="0"/>
            </a:rPr>
            <a:t>measurable</a:t>
          </a:r>
        </a:p>
      </dgm:t>
    </dgm:pt>
    <dgm:pt modelId="{0C92A910-7BB8-4694-8CD4-593937880419}" type="parTrans" cxnId="{8C487494-6785-4C70-ADC3-42467EA72197}">
      <dgm:prSet/>
      <dgm:spPr/>
    </dgm:pt>
    <dgm:pt modelId="{FCC84580-C763-49B0-B206-328FC8C67632}" type="sibTrans" cxnId="{8C487494-6785-4C70-ADC3-42467EA72197}">
      <dgm:prSet/>
      <dgm:spPr/>
      <dgm:t>
        <a:bodyPr/>
        <a:lstStyle/>
        <a:p>
          <a:endParaRPr lang="en-IN"/>
        </a:p>
      </dgm:t>
    </dgm:pt>
    <dgm:pt modelId="{E248A5AD-7585-410B-A1FB-C2FC1709FFC3}" type="pres">
      <dgm:prSet presAssocID="{FC6C4670-C907-4BBC-93F0-76FD592B42D5}" presName="cycle" presStyleCnt="0">
        <dgm:presLayoutVars>
          <dgm:dir/>
          <dgm:resizeHandles val="exact"/>
        </dgm:presLayoutVars>
      </dgm:prSet>
      <dgm:spPr/>
    </dgm:pt>
    <dgm:pt modelId="{EE3E6A21-C4A3-4B24-B37E-EE8AF791FF36}" type="pres">
      <dgm:prSet presAssocID="{975E5AD3-9251-4CC7-B421-C04615436976}" presName="node" presStyleLbl="node1" presStyleIdx="0" presStyleCnt="5" custScaleX="113488">
        <dgm:presLayoutVars>
          <dgm:bulletEnabled val="1"/>
        </dgm:presLayoutVars>
      </dgm:prSet>
      <dgm:spPr/>
    </dgm:pt>
    <dgm:pt modelId="{187708CA-5C1D-4B5D-BA9B-4117E93C4485}" type="pres">
      <dgm:prSet presAssocID="{34A966C0-958D-462C-A0FD-17C98EA49157}" presName="sibTrans" presStyleLbl="sibTrans2D1" presStyleIdx="0" presStyleCnt="5"/>
      <dgm:spPr/>
    </dgm:pt>
    <dgm:pt modelId="{84E0163F-EB2C-4150-AFC3-1B592CC9421C}" type="pres">
      <dgm:prSet presAssocID="{34A966C0-958D-462C-A0FD-17C98EA49157}" presName="connectorText" presStyleLbl="sibTrans2D1" presStyleIdx="0" presStyleCnt="5"/>
      <dgm:spPr/>
    </dgm:pt>
    <dgm:pt modelId="{66599FE3-E132-494A-B3E1-576B1E283749}" type="pres">
      <dgm:prSet presAssocID="{BD0D0AB5-6FEB-4CB2-AB0E-8D9453F656B9}" presName="node" presStyleLbl="node1" presStyleIdx="1" presStyleCnt="5" custScaleX="113488">
        <dgm:presLayoutVars>
          <dgm:bulletEnabled val="1"/>
        </dgm:presLayoutVars>
      </dgm:prSet>
      <dgm:spPr/>
    </dgm:pt>
    <dgm:pt modelId="{47CDA147-5DD8-47E4-BDC6-08BC455052BD}" type="pres">
      <dgm:prSet presAssocID="{FCC84580-C763-49B0-B206-328FC8C67632}" presName="sibTrans" presStyleLbl="sibTrans2D1" presStyleIdx="1" presStyleCnt="5"/>
      <dgm:spPr/>
    </dgm:pt>
    <dgm:pt modelId="{099350A9-BE43-4EDA-A4AB-91B8E94122D1}" type="pres">
      <dgm:prSet presAssocID="{FCC84580-C763-49B0-B206-328FC8C67632}" presName="connectorText" presStyleLbl="sibTrans2D1" presStyleIdx="1" presStyleCnt="5"/>
      <dgm:spPr/>
    </dgm:pt>
    <dgm:pt modelId="{7BA5BC58-A3F1-4BD1-A878-0137BC6A2314}" type="pres">
      <dgm:prSet presAssocID="{77D99FB7-5CFB-4DDA-AE33-5A44E531564D}" presName="node" presStyleLbl="node1" presStyleIdx="2" presStyleCnt="5" custScaleX="113488">
        <dgm:presLayoutVars>
          <dgm:bulletEnabled val="1"/>
        </dgm:presLayoutVars>
      </dgm:prSet>
      <dgm:spPr/>
    </dgm:pt>
    <dgm:pt modelId="{A7BDE799-2102-42E1-8292-B8AADD018D81}" type="pres">
      <dgm:prSet presAssocID="{81D5862E-80F2-4E26-B45F-B6FC2E82BD82}" presName="sibTrans" presStyleLbl="sibTrans2D1" presStyleIdx="2" presStyleCnt="5"/>
      <dgm:spPr/>
    </dgm:pt>
    <dgm:pt modelId="{8DB27F2D-9390-4492-82ED-92B864EF5802}" type="pres">
      <dgm:prSet presAssocID="{81D5862E-80F2-4E26-B45F-B6FC2E82BD82}" presName="connectorText" presStyleLbl="sibTrans2D1" presStyleIdx="2" presStyleCnt="5"/>
      <dgm:spPr/>
    </dgm:pt>
    <dgm:pt modelId="{B1DFAFBA-7C7E-4B84-81F3-4E45D1A8ED5B}" type="pres">
      <dgm:prSet presAssocID="{C171D539-C14B-4FED-B646-89AF65C415E6}" presName="node" presStyleLbl="node1" presStyleIdx="3" presStyleCnt="5" custScaleX="113488">
        <dgm:presLayoutVars>
          <dgm:bulletEnabled val="1"/>
        </dgm:presLayoutVars>
      </dgm:prSet>
      <dgm:spPr/>
    </dgm:pt>
    <dgm:pt modelId="{2E100885-FE0C-4225-88A6-53699C1E2260}" type="pres">
      <dgm:prSet presAssocID="{360C017A-E0B1-487D-80AE-98976A96B6D5}" presName="sibTrans" presStyleLbl="sibTrans2D1" presStyleIdx="3" presStyleCnt="5"/>
      <dgm:spPr/>
    </dgm:pt>
    <dgm:pt modelId="{C683789C-13F6-4B10-8AFA-E046F27564CB}" type="pres">
      <dgm:prSet presAssocID="{360C017A-E0B1-487D-80AE-98976A96B6D5}" presName="connectorText" presStyleLbl="sibTrans2D1" presStyleIdx="3" presStyleCnt="5"/>
      <dgm:spPr/>
    </dgm:pt>
    <dgm:pt modelId="{A564A97B-EEB1-4669-AC57-6F7B8BC50745}" type="pres">
      <dgm:prSet presAssocID="{FEA13339-51A1-44B2-B39F-8E08923CF2C4}" presName="node" presStyleLbl="node1" presStyleIdx="4" presStyleCnt="5" custScaleX="113488">
        <dgm:presLayoutVars>
          <dgm:bulletEnabled val="1"/>
        </dgm:presLayoutVars>
      </dgm:prSet>
      <dgm:spPr/>
    </dgm:pt>
    <dgm:pt modelId="{C9E370D4-83DD-4BD8-851F-0477C2D64F51}" type="pres">
      <dgm:prSet presAssocID="{27107529-E7A8-4D25-94B8-746B6540F64C}" presName="sibTrans" presStyleLbl="sibTrans2D1" presStyleIdx="4" presStyleCnt="5"/>
      <dgm:spPr/>
    </dgm:pt>
    <dgm:pt modelId="{9C90A663-102E-4029-BDCC-580E8F9D083A}" type="pres">
      <dgm:prSet presAssocID="{27107529-E7A8-4D25-94B8-746B6540F64C}" presName="connectorText" presStyleLbl="sibTrans2D1" presStyleIdx="4" presStyleCnt="5"/>
      <dgm:spPr/>
    </dgm:pt>
  </dgm:ptLst>
  <dgm:cxnLst>
    <dgm:cxn modelId="{8F12F103-65E2-4C1C-9325-34DB62402E4B}" type="presOf" srcId="{975E5AD3-9251-4CC7-B421-C04615436976}" destId="{EE3E6A21-C4A3-4B24-B37E-EE8AF791FF36}" srcOrd="0" destOrd="0" presId="urn:microsoft.com/office/officeart/2005/8/layout/cycle2"/>
    <dgm:cxn modelId="{EFC58A25-BF5C-4C04-8996-BC557C612A48}" type="presOf" srcId="{FC6C4670-C907-4BBC-93F0-76FD592B42D5}" destId="{E248A5AD-7585-410B-A1FB-C2FC1709FFC3}" srcOrd="0" destOrd="0" presId="urn:microsoft.com/office/officeart/2005/8/layout/cycle2"/>
    <dgm:cxn modelId="{FCDD0526-F271-4EA5-876E-B4681B444435}" type="presOf" srcId="{FEA13339-51A1-44B2-B39F-8E08923CF2C4}" destId="{A564A97B-EEB1-4669-AC57-6F7B8BC50745}" srcOrd="0" destOrd="0" presId="urn:microsoft.com/office/officeart/2005/8/layout/cycle2"/>
    <dgm:cxn modelId="{D9C5182D-FDA0-4615-9231-AF7309D3895E}" type="presOf" srcId="{360C017A-E0B1-487D-80AE-98976A96B6D5}" destId="{2E100885-FE0C-4225-88A6-53699C1E2260}" srcOrd="0" destOrd="0" presId="urn:microsoft.com/office/officeart/2005/8/layout/cycle2"/>
    <dgm:cxn modelId="{90D5155C-BF69-4811-875D-0B73212DB739}" type="presOf" srcId="{81D5862E-80F2-4E26-B45F-B6FC2E82BD82}" destId="{8DB27F2D-9390-4492-82ED-92B864EF5802}" srcOrd="1" destOrd="0" presId="urn:microsoft.com/office/officeart/2005/8/layout/cycle2"/>
    <dgm:cxn modelId="{8551DB5E-C4DD-4957-A5EE-B45A5053826E}" type="presOf" srcId="{FCC84580-C763-49B0-B206-328FC8C67632}" destId="{47CDA147-5DD8-47E4-BDC6-08BC455052BD}" srcOrd="0" destOrd="0" presId="urn:microsoft.com/office/officeart/2005/8/layout/cycle2"/>
    <dgm:cxn modelId="{4ACCDF5F-CA0A-4C1F-A62A-8DA059AED9A7}" type="presOf" srcId="{34A966C0-958D-462C-A0FD-17C98EA49157}" destId="{187708CA-5C1D-4B5D-BA9B-4117E93C4485}" srcOrd="0" destOrd="0" presId="urn:microsoft.com/office/officeart/2005/8/layout/cycle2"/>
    <dgm:cxn modelId="{63478252-56B6-4A36-A18B-F133D05062EE}" type="presOf" srcId="{77D99FB7-5CFB-4DDA-AE33-5A44E531564D}" destId="{7BA5BC58-A3F1-4BD1-A878-0137BC6A2314}" srcOrd="0" destOrd="0" presId="urn:microsoft.com/office/officeart/2005/8/layout/cycle2"/>
    <dgm:cxn modelId="{7A5E2656-9DCA-4E37-86BB-5FA28DBB0CA2}" type="presOf" srcId="{C171D539-C14B-4FED-B646-89AF65C415E6}" destId="{B1DFAFBA-7C7E-4B84-81F3-4E45D1A8ED5B}" srcOrd="0" destOrd="0" presId="urn:microsoft.com/office/officeart/2005/8/layout/cycle2"/>
    <dgm:cxn modelId="{386AB87A-0131-4C42-BF62-548C01FEFAF2}" srcId="{FC6C4670-C907-4BBC-93F0-76FD592B42D5}" destId="{77D99FB7-5CFB-4DDA-AE33-5A44E531564D}" srcOrd="2" destOrd="0" parTransId="{64BB346F-C3EA-4ED1-89D4-DD4C36FA5B09}" sibTransId="{81D5862E-80F2-4E26-B45F-B6FC2E82BD82}"/>
    <dgm:cxn modelId="{320C817D-9C41-4ECF-88D5-6A8D4D7BE5DB}" srcId="{FC6C4670-C907-4BBC-93F0-76FD592B42D5}" destId="{C171D539-C14B-4FED-B646-89AF65C415E6}" srcOrd="3" destOrd="0" parTransId="{E4CD37BA-9D8B-4101-B180-F278EC63003C}" sibTransId="{360C017A-E0B1-487D-80AE-98976A96B6D5}"/>
    <dgm:cxn modelId="{580A4084-79B5-4B04-B62B-066C133B64E9}" type="presOf" srcId="{81D5862E-80F2-4E26-B45F-B6FC2E82BD82}" destId="{A7BDE799-2102-42E1-8292-B8AADD018D81}" srcOrd="0" destOrd="0" presId="urn:microsoft.com/office/officeart/2005/8/layout/cycle2"/>
    <dgm:cxn modelId="{81072F89-0EC4-4840-B642-5585E84ECF1A}" type="presOf" srcId="{34A966C0-958D-462C-A0FD-17C98EA49157}" destId="{84E0163F-EB2C-4150-AFC3-1B592CC9421C}" srcOrd="1" destOrd="0" presId="urn:microsoft.com/office/officeart/2005/8/layout/cycle2"/>
    <dgm:cxn modelId="{8C487494-6785-4C70-ADC3-42467EA72197}" srcId="{FC6C4670-C907-4BBC-93F0-76FD592B42D5}" destId="{BD0D0AB5-6FEB-4CB2-AB0E-8D9453F656B9}" srcOrd="1" destOrd="0" parTransId="{0C92A910-7BB8-4694-8CD4-593937880419}" sibTransId="{FCC84580-C763-49B0-B206-328FC8C67632}"/>
    <dgm:cxn modelId="{757CAE94-7C2B-430E-B840-8940A71AB305}" type="presOf" srcId="{27107529-E7A8-4D25-94B8-746B6540F64C}" destId="{9C90A663-102E-4029-BDCC-580E8F9D083A}" srcOrd="1" destOrd="0" presId="urn:microsoft.com/office/officeart/2005/8/layout/cycle2"/>
    <dgm:cxn modelId="{0D30879A-900C-489E-87D1-E021EA91D412}" type="presOf" srcId="{27107529-E7A8-4D25-94B8-746B6540F64C}" destId="{C9E370D4-83DD-4BD8-851F-0477C2D64F51}" srcOrd="0" destOrd="0" presId="urn:microsoft.com/office/officeart/2005/8/layout/cycle2"/>
    <dgm:cxn modelId="{B2EDD09F-6428-4B7F-8FEF-E9D55A58071F}" srcId="{FC6C4670-C907-4BBC-93F0-76FD592B42D5}" destId="{975E5AD3-9251-4CC7-B421-C04615436976}" srcOrd="0" destOrd="0" parTransId="{D19C98D4-4A0E-422B-9366-2CC468EA6FB8}" sibTransId="{34A966C0-958D-462C-A0FD-17C98EA49157}"/>
    <dgm:cxn modelId="{2E8B8CA9-F4FD-4C3D-BD20-D75016DF3C34}" type="presOf" srcId="{BD0D0AB5-6FEB-4CB2-AB0E-8D9453F656B9}" destId="{66599FE3-E132-494A-B3E1-576B1E283749}" srcOrd="0" destOrd="0" presId="urn:microsoft.com/office/officeart/2005/8/layout/cycle2"/>
    <dgm:cxn modelId="{1CF2FAD7-BD6C-4851-934A-5BF17393EB18}" type="presOf" srcId="{360C017A-E0B1-487D-80AE-98976A96B6D5}" destId="{C683789C-13F6-4B10-8AFA-E046F27564CB}" srcOrd="1" destOrd="0" presId="urn:microsoft.com/office/officeart/2005/8/layout/cycle2"/>
    <dgm:cxn modelId="{3C98A5DA-2089-4FAE-B1AF-1FCADD0DDE2E}" srcId="{FC6C4670-C907-4BBC-93F0-76FD592B42D5}" destId="{FEA13339-51A1-44B2-B39F-8E08923CF2C4}" srcOrd="4" destOrd="0" parTransId="{8BEBDA46-4CAB-40AF-9D1F-1C990C1A1EF6}" sibTransId="{27107529-E7A8-4D25-94B8-746B6540F64C}"/>
    <dgm:cxn modelId="{AD2032DC-92EF-4D18-8128-015882857125}" type="presOf" srcId="{FCC84580-C763-49B0-B206-328FC8C67632}" destId="{099350A9-BE43-4EDA-A4AB-91B8E94122D1}" srcOrd="1" destOrd="0" presId="urn:microsoft.com/office/officeart/2005/8/layout/cycle2"/>
    <dgm:cxn modelId="{4D93EDF1-91EB-4D96-8215-DD1319CC032F}" type="presParOf" srcId="{E248A5AD-7585-410B-A1FB-C2FC1709FFC3}" destId="{EE3E6A21-C4A3-4B24-B37E-EE8AF791FF36}" srcOrd="0" destOrd="0" presId="urn:microsoft.com/office/officeart/2005/8/layout/cycle2"/>
    <dgm:cxn modelId="{FFFEF5DF-4B5D-4537-B1FB-5B9F29C80923}" type="presParOf" srcId="{E248A5AD-7585-410B-A1FB-C2FC1709FFC3}" destId="{187708CA-5C1D-4B5D-BA9B-4117E93C4485}" srcOrd="1" destOrd="0" presId="urn:microsoft.com/office/officeart/2005/8/layout/cycle2"/>
    <dgm:cxn modelId="{53708239-CBF8-412E-8466-8D8C1BCADC1F}" type="presParOf" srcId="{187708CA-5C1D-4B5D-BA9B-4117E93C4485}" destId="{84E0163F-EB2C-4150-AFC3-1B592CC9421C}" srcOrd="0" destOrd="0" presId="urn:microsoft.com/office/officeart/2005/8/layout/cycle2"/>
    <dgm:cxn modelId="{C012F914-8A35-44F6-B721-FB13D51A0282}" type="presParOf" srcId="{E248A5AD-7585-410B-A1FB-C2FC1709FFC3}" destId="{66599FE3-E132-494A-B3E1-576B1E283749}" srcOrd="2" destOrd="0" presId="urn:microsoft.com/office/officeart/2005/8/layout/cycle2"/>
    <dgm:cxn modelId="{72E1582F-A615-49DE-B3CC-94534AC7DDC0}" type="presParOf" srcId="{E248A5AD-7585-410B-A1FB-C2FC1709FFC3}" destId="{47CDA147-5DD8-47E4-BDC6-08BC455052BD}" srcOrd="3" destOrd="0" presId="urn:microsoft.com/office/officeart/2005/8/layout/cycle2"/>
    <dgm:cxn modelId="{1C06807D-724F-46B8-97E1-7C4D56C425AF}" type="presParOf" srcId="{47CDA147-5DD8-47E4-BDC6-08BC455052BD}" destId="{099350A9-BE43-4EDA-A4AB-91B8E94122D1}" srcOrd="0" destOrd="0" presId="urn:microsoft.com/office/officeart/2005/8/layout/cycle2"/>
    <dgm:cxn modelId="{248C179C-AAA4-495C-8206-2C87B9D4E157}" type="presParOf" srcId="{E248A5AD-7585-410B-A1FB-C2FC1709FFC3}" destId="{7BA5BC58-A3F1-4BD1-A878-0137BC6A2314}" srcOrd="4" destOrd="0" presId="urn:microsoft.com/office/officeart/2005/8/layout/cycle2"/>
    <dgm:cxn modelId="{533D8F49-8047-4B98-902C-E3168B21BCE4}" type="presParOf" srcId="{E248A5AD-7585-410B-A1FB-C2FC1709FFC3}" destId="{A7BDE799-2102-42E1-8292-B8AADD018D81}" srcOrd="5" destOrd="0" presId="urn:microsoft.com/office/officeart/2005/8/layout/cycle2"/>
    <dgm:cxn modelId="{82078837-B339-44C4-AFBE-2BA75BDB7386}" type="presParOf" srcId="{A7BDE799-2102-42E1-8292-B8AADD018D81}" destId="{8DB27F2D-9390-4492-82ED-92B864EF5802}" srcOrd="0" destOrd="0" presId="urn:microsoft.com/office/officeart/2005/8/layout/cycle2"/>
    <dgm:cxn modelId="{E88F69B6-E353-4FB4-AC1C-772D1DE18EBE}" type="presParOf" srcId="{E248A5AD-7585-410B-A1FB-C2FC1709FFC3}" destId="{B1DFAFBA-7C7E-4B84-81F3-4E45D1A8ED5B}" srcOrd="6" destOrd="0" presId="urn:microsoft.com/office/officeart/2005/8/layout/cycle2"/>
    <dgm:cxn modelId="{094D8C49-BE2B-474E-8008-C617AC6802BD}" type="presParOf" srcId="{E248A5AD-7585-410B-A1FB-C2FC1709FFC3}" destId="{2E100885-FE0C-4225-88A6-53699C1E2260}" srcOrd="7" destOrd="0" presId="urn:microsoft.com/office/officeart/2005/8/layout/cycle2"/>
    <dgm:cxn modelId="{CCAFCD15-6377-47B3-823E-F266C3E3BBEE}" type="presParOf" srcId="{2E100885-FE0C-4225-88A6-53699C1E2260}" destId="{C683789C-13F6-4B10-8AFA-E046F27564CB}" srcOrd="0" destOrd="0" presId="urn:microsoft.com/office/officeart/2005/8/layout/cycle2"/>
    <dgm:cxn modelId="{32C2A677-9305-4BE5-9FD7-959A5D1BDBCE}" type="presParOf" srcId="{E248A5AD-7585-410B-A1FB-C2FC1709FFC3}" destId="{A564A97B-EEB1-4669-AC57-6F7B8BC50745}" srcOrd="8" destOrd="0" presId="urn:microsoft.com/office/officeart/2005/8/layout/cycle2"/>
    <dgm:cxn modelId="{DD2676AF-F542-46B1-907D-22A336852FE7}" type="presParOf" srcId="{E248A5AD-7585-410B-A1FB-C2FC1709FFC3}" destId="{C9E370D4-83DD-4BD8-851F-0477C2D64F51}" srcOrd="9" destOrd="0" presId="urn:microsoft.com/office/officeart/2005/8/layout/cycle2"/>
    <dgm:cxn modelId="{D3131094-1904-49B8-B649-3E8E0FD1B72D}" type="presParOf" srcId="{C9E370D4-83DD-4BD8-851F-0477C2D64F51}" destId="{9C90A663-102E-4029-BDCC-580E8F9D083A}" srcOrd="0" destOrd="0" presId="urn:microsoft.com/office/officeart/2005/8/layout/cycle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9BF2F97-4E61-4468-98C1-9EF66E8B8F4F}" type="doc">
      <dgm:prSet loTypeId="urn:microsoft.com/office/officeart/2005/8/layout/list1" loCatId="list" qsTypeId="urn:microsoft.com/office/officeart/2005/8/quickstyle/3d3" qsCatId="3D" csTypeId="urn:microsoft.com/office/officeart/2005/8/colors/colorful5" csCatId="colorful" phldr="1"/>
      <dgm:spPr/>
      <dgm:t>
        <a:bodyPr/>
        <a:lstStyle/>
        <a:p>
          <a:endParaRPr lang="en-IN"/>
        </a:p>
      </dgm:t>
    </dgm:pt>
    <dgm:pt modelId="{D6E117B8-7222-4011-A6A0-0EF4CF223605}">
      <dgm:prSet phldrT="[Text]" custT="1"/>
      <dgm:spPr/>
      <dgm:t>
        <a:bodyPr/>
        <a:lstStyle/>
        <a:p>
          <a:pPr>
            <a:buNone/>
          </a:pPr>
          <a:r>
            <a:rPr lang="en-IN" sz="1400" b="1">
              <a:solidFill>
                <a:sysClr val="windowText" lastClr="000000"/>
              </a:solidFill>
              <a:latin typeface="Times New Roman" panose="02020603050405020304" pitchFamily="18" charset="0"/>
              <a:cs typeface="Times New Roman" panose="02020603050405020304" pitchFamily="18" charset="0"/>
            </a:rPr>
            <a:t>Social media marketing</a:t>
          </a:r>
        </a:p>
      </dgm:t>
    </dgm:pt>
    <dgm:pt modelId="{5BD72F27-25E7-4EAA-A61C-CFEF6AFC52E4}" type="parTrans" cxnId="{35530D95-1EBE-4FCE-8A56-FFCB700DB4B1}">
      <dgm:prSet/>
      <dgm:spPr/>
      <dgm:t>
        <a:bodyPr/>
        <a:lstStyle/>
        <a:p>
          <a:endParaRPr lang="en-IN"/>
        </a:p>
      </dgm:t>
    </dgm:pt>
    <dgm:pt modelId="{52D6EAA7-3C4A-43C2-81E9-C1BEEDD6DA0D}" type="sibTrans" cxnId="{35530D95-1EBE-4FCE-8A56-FFCB700DB4B1}">
      <dgm:prSet/>
      <dgm:spPr/>
      <dgm:t>
        <a:bodyPr/>
        <a:lstStyle/>
        <a:p>
          <a:endParaRPr lang="en-IN"/>
        </a:p>
      </dgm:t>
    </dgm:pt>
    <dgm:pt modelId="{1F9C545A-23E3-489B-96C2-CA274DA04D3E}">
      <dgm:prSet phldrT="[Text]" custT="1"/>
      <dgm:spPr/>
      <dgm:t>
        <a:bodyPr/>
        <a:lstStyle/>
        <a:p>
          <a:pPr>
            <a:buNone/>
          </a:pPr>
          <a:r>
            <a:rPr lang="en-IN" sz="1400" b="1">
              <a:solidFill>
                <a:sysClr val="windowText" lastClr="000000"/>
              </a:solidFill>
              <a:latin typeface="Times New Roman" panose="02020603050405020304" pitchFamily="18" charset="0"/>
              <a:cs typeface="Times New Roman" panose="02020603050405020304" pitchFamily="18" charset="0"/>
            </a:rPr>
            <a:t>Event listing processes </a:t>
          </a:r>
        </a:p>
      </dgm:t>
    </dgm:pt>
    <dgm:pt modelId="{90D4D0D2-2950-4665-BAE0-136B1DD3E747}" type="parTrans" cxnId="{CC149BA0-6443-4CAF-8C72-C4E2037AE7C5}">
      <dgm:prSet/>
      <dgm:spPr/>
      <dgm:t>
        <a:bodyPr/>
        <a:lstStyle/>
        <a:p>
          <a:endParaRPr lang="en-IN"/>
        </a:p>
      </dgm:t>
    </dgm:pt>
    <dgm:pt modelId="{052A6991-CDC3-498D-8EEF-06A5CEDFBFC4}" type="sibTrans" cxnId="{CC149BA0-6443-4CAF-8C72-C4E2037AE7C5}">
      <dgm:prSet/>
      <dgm:spPr/>
      <dgm:t>
        <a:bodyPr/>
        <a:lstStyle/>
        <a:p>
          <a:endParaRPr lang="en-IN"/>
        </a:p>
      </dgm:t>
    </dgm:pt>
    <dgm:pt modelId="{1F4A3439-AA7A-49CB-8B8D-E6A1A33E0DFF}">
      <dgm:prSet phldrT="[Text]" custT="1"/>
      <dgm:spPr/>
      <dgm:t>
        <a:bodyPr/>
        <a:lstStyle/>
        <a:p>
          <a:r>
            <a:rPr lang="en-IN" sz="1400" b="1">
              <a:solidFill>
                <a:sysClr val="windowText" lastClr="000000"/>
              </a:solidFill>
              <a:latin typeface="Times New Roman" panose="02020603050405020304" pitchFamily="18" charset="0"/>
              <a:cs typeface="Times New Roman" panose="02020603050405020304" pitchFamily="18" charset="0"/>
            </a:rPr>
            <a:t>Influencer marketing </a:t>
          </a:r>
        </a:p>
      </dgm:t>
    </dgm:pt>
    <dgm:pt modelId="{4982202E-5203-4173-BA5C-67554E05DFDA}" type="parTrans" cxnId="{D9CFB437-8280-421D-B676-AB95AD17E312}">
      <dgm:prSet/>
      <dgm:spPr/>
      <dgm:t>
        <a:bodyPr/>
        <a:lstStyle/>
        <a:p>
          <a:endParaRPr lang="en-IN"/>
        </a:p>
      </dgm:t>
    </dgm:pt>
    <dgm:pt modelId="{15BFD0E6-1635-4832-8C94-463ACA41FF84}" type="sibTrans" cxnId="{D9CFB437-8280-421D-B676-AB95AD17E312}">
      <dgm:prSet/>
      <dgm:spPr/>
      <dgm:t>
        <a:bodyPr/>
        <a:lstStyle/>
        <a:p>
          <a:endParaRPr lang="en-IN"/>
        </a:p>
      </dgm:t>
    </dgm:pt>
    <dgm:pt modelId="{AEB93D06-1F8F-4135-885F-DA5B0A3FEEDD}">
      <dgm:prSet phldrT="[Text]" custT="1"/>
      <dgm:spPr/>
      <dgm:t>
        <a:bodyPr/>
        <a:lstStyle/>
        <a:p>
          <a:r>
            <a:rPr lang="en-IN" sz="1400" b="1">
              <a:solidFill>
                <a:sysClr val="windowText" lastClr="000000"/>
              </a:solidFill>
              <a:latin typeface="Times New Roman" panose="02020603050405020304" pitchFamily="18" charset="0"/>
              <a:cs typeface="Times New Roman" panose="02020603050405020304" pitchFamily="18" charset="0"/>
            </a:rPr>
            <a:t>Printed and e-mail marketing</a:t>
          </a:r>
        </a:p>
      </dgm:t>
    </dgm:pt>
    <dgm:pt modelId="{339D2EAB-61B9-44F5-8E50-588AFD85830C}" type="parTrans" cxnId="{25FECFE2-0766-477A-8306-9D159EEFC4B9}">
      <dgm:prSet/>
      <dgm:spPr/>
      <dgm:t>
        <a:bodyPr/>
        <a:lstStyle/>
        <a:p>
          <a:endParaRPr lang="en-IN"/>
        </a:p>
      </dgm:t>
    </dgm:pt>
    <dgm:pt modelId="{F4BBD319-7F59-4C69-9AC8-65E6E4C25323}" type="sibTrans" cxnId="{25FECFE2-0766-477A-8306-9D159EEFC4B9}">
      <dgm:prSet/>
      <dgm:spPr/>
      <dgm:t>
        <a:bodyPr/>
        <a:lstStyle/>
        <a:p>
          <a:endParaRPr lang="en-IN"/>
        </a:p>
      </dgm:t>
    </dgm:pt>
    <dgm:pt modelId="{74CEAA9F-3D1A-4C0B-BC65-9A734D8C67B7}" type="pres">
      <dgm:prSet presAssocID="{E9BF2F97-4E61-4468-98C1-9EF66E8B8F4F}" presName="linear" presStyleCnt="0">
        <dgm:presLayoutVars>
          <dgm:dir/>
          <dgm:animLvl val="lvl"/>
          <dgm:resizeHandles val="exact"/>
        </dgm:presLayoutVars>
      </dgm:prSet>
      <dgm:spPr/>
    </dgm:pt>
    <dgm:pt modelId="{FE31C406-0535-498D-9D64-92390A9CCF20}" type="pres">
      <dgm:prSet presAssocID="{D6E117B8-7222-4011-A6A0-0EF4CF223605}" presName="parentLin" presStyleCnt="0"/>
      <dgm:spPr/>
    </dgm:pt>
    <dgm:pt modelId="{DEA891C0-51A5-4577-809D-934019D45B5B}" type="pres">
      <dgm:prSet presAssocID="{D6E117B8-7222-4011-A6A0-0EF4CF223605}" presName="parentLeftMargin" presStyleLbl="node1" presStyleIdx="0" presStyleCnt="4"/>
      <dgm:spPr/>
    </dgm:pt>
    <dgm:pt modelId="{17660682-FC0E-44E3-94DA-353F32BB0A5A}" type="pres">
      <dgm:prSet presAssocID="{D6E117B8-7222-4011-A6A0-0EF4CF223605}" presName="parentText" presStyleLbl="node1" presStyleIdx="0" presStyleCnt="4">
        <dgm:presLayoutVars>
          <dgm:chMax val="0"/>
          <dgm:bulletEnabled val="1"/>
        </dgm:presLayoutVars>
      </dgm:prSet>
      <dgm:spPr/>
    </dgm:pt>
    <dgm:pt modelId="{7D834F3F-B625-4F90-904C-2926C0648CA9}" type="pres">
      <dgm:prSet presAssocID="{D6E117B8-7222-4011-A6A0-0EF4CF223605}" presName="negativeSpace" presStyleCnt="0"/>
      <dgm:spPr/>
    </dgm:pt>
    <dgm:pt modelId="{FA6A4F9C-E54A-4CB2-B846-CE19ADCB8770}" type="pres">
      <dgm:prSet presAssocID="{D6E117B8-7222-4011-A6A0-0EF4CF223605}" presName="childText" presStyleLbl="conFgAcc1" presStyleIdx="0" presStyleCnt="4">
        <dgm:presLayoutVars>
          <dgm:bulletEnabled val="1"/>
        </dgm:presLayoutVars>
      </dgm:prSet>
      <dgm:spPr/>
    </dgm:pt>
    <dgm:pt modelId="{EDB8631F-32D8-4DA3-884F-9E3BF3F550FE}" type="pres">
      <dgm:prSet presAssocID="{52D6EAA7-3C4A-43C2-81E9-C1BEEDD6DA0D}" presName="spaceBetweenRectangles" presStyleCnt="0"/>
      <dgm:spPr/>
    </dgm:pt>
    <dgm:pt modelId="{BCB2B44B-E23E-4CE6-99A2-5E8DFD506135}" type="pres">
      <dgm:prSet presAssocID="{1F9C545A-23E3-489B-96C2-CA274DA04D3E}" presName="parentLin" presStyleCnt="0"/>
      <dgm:spPr/>
    </dgm:pt>
    <dgm:pt modelId="{609905B7-B720-462E-9A22-F48361ECCD70}" type="pres">
      <dgm:prSet presAssocID="{1F9C545A-23E3-489B-96C2-CA274DA04D3E}" presName="parentLeftMargin" presStyleLbl="node1" presStyleIdx="0" presStyleCnt="4"/>
      <dgm:spPr/>
    </dgm:pt>
    <dgm:pt modelId="{C90104E6-85DD-4915-9256-BD0726E5CF3F}" type="pres">
      <dgm:prSet presAssocID="{1F9C545A-23E3-489B-96C2-CA274DA04D3E}" presName="parentText" presStyleLbl="node1" presStyleIdx="1" presStyleCnt="4">
        <dgm:presLayoutVars>
          <dgm:chMax val="0"/>
          <dgm:bulletEnabled val="1"/>
        </dgm:presLayoutVars>
      </dgm:prSet>
      <dgm:spPr/>
    </dgm:pt>
    <dgm:pt modelId="{03B0214E-A99D-49E7-94A6-273DD74CDF57}" type="pres">
      <dgm:prSet presAssocID="{1F9C545A-23E3-489B-96C2-CA274DA04D3E}" presName="negativeSpace" presStyleCnt="0"/>
      <dgm:spPr/>
    </dgm:pt>
    <dgm:pt modelId="{8093AA35-8162-459A-8146-FBFD4F4AF455}" type="pres">
      <dgm:prSet presAssocID="{1F9C545A-23E3-489B-96C2-CA274DA04D3E}" presName="childText" presStyleLbl="conFgAcc1" presStyleIdx="1" presStyleCnt="4">
        <dgm:presLayoutVars>
          <dgm:bulletEnabled val="1"/>
        </dgm:presLayoutVars>
      </dgm:prSet>
      <dgm:spPr/>
    </dgm:pt>
    <dgm:pt modelId="{BB02C76C-8AAB-4D8C-B4F7-D96FE28054ED}" type="pres">
      <dgm:prSet presAssocID="{052A6991-CDC3-498D-8EEF-06A5CEDFBFC4}" presName="spaceBetweenRectangles" presStyleCnt="0"/>
      <dgm:spPr/>
    </dgm:pt>
    <dgm:pt modelId="{7ACF7BB2-75B9-4140-9379-37EA1B850707}" type="pres">
      <dgm:prSet presAssocID="{1F4A3439-AA7A-49CB-8B8D-E6A1A33E0DFF}" presName="parentLin" presStyleCnt="0"/>
      <dgm:spPr/>
    </dgm:pt>
    <dgm:pt modelId="{44C99724-315D-4E58-87C3-213F5F40F4E7}" type="pres">
      <dgm:prSet presAssocID="{1F4A3439-AA7A-49CB-8B8D-E6A1A33E0DFF}" presName="parentLeftMargin" presStyleLbl="node1" presStyleIdx="1" presStyleCnt="4"/>
      <dgm:spPr/>
    </dgm:pt>
    <dgm:pt modelId="{DD6B8534-899D-46EF-81E3-B2F237A04A70}" type="pres">
      <dgm:prSet presAssocID="{1F4A3439-AA7A-49CB-8B8D-E6A1A33E0DFF}" presName="parentText" presStyleLbl="node1" presStyleIdx="2" presStyleCnt="4">
        <dgm:presLayoutVars>
          <dgm:chMax val="0"/>
          <dgm:bulletEnabled val="1"/>
        </dgm:presLayoutVars>
      </dgm:prSet>
      <dgm:spPr/>
    </dgm:pt>
    <dgm:pt modelId="{1C2DDD59-4440-4608-9E5D-2673CCBD1D9E}" type="pres">
      <dgm:prSet presAssocID="{1F4A3439-AA7A-49CB-8B8D-E6A1A33E0DFF}" presName="negativeSpace" presStyleCnt="0"/>
      <dgm:spPr/>
    </dgm:pt>
    <dgm:pt modelId="{CA743CB7-1605-4540-A0F0-D4C70F988C64}" type="pres">
      <dgm:prSet presAssocID="{1F4A3439-AA7A-49CB-8B8D-E6A1A33E0DFF}" presName="childText" presStyleLbl="conFgAcc1" presStyleIdx="2" presStyleCnt="4">
        <dgm:presLayoutVars>
          <dgm:bulletEnabled val="1"/>
        </dgm:presLayoutVars>
      </dgm:prSet>
      <dgm:spPr/>
    </dgm:pt>
    <dgm:pt modelId="{2B71ED01-9251-4F8D-90B7-9F7B8E5F72BB}" type="pres">
      <dgm:prSet presAssocID="{15BFD0E6-1635-4832-8C94-463ACA41FF84}" presName="spaceBetweenRectangles" presStyleCnt="0"/>
      <dgm:spPr/>
    </dgm:pt>
    <dgm:pt modelId="{EE720C82-32C4-4C00-B97E-A9BB1FFC3AF7}" type="pres">
      <dgm:prSet presAssocID="{AEB93D06-1F8F-4135-885F-DA5B0A3FEEDD}" presName="parentLin" presStyleCnt="0"/>
      <dgm:spPr/>
    </dgm:pt>
    <dgm:pt modelId="{09E61676-1228-4DAA-92DB-E8D17FE10F5B}" type="pres">
      <dgm:prSet presAssocID="{AEB93D06-1F8F-4135-885F-DA5B0A3FEEDD}" presName="parentLeftMargin" presStyleLbl="node1" presStyleIdx="2" presStyleCnt="4"/>
      <dgm:spPr/>
    </dgm:pt>
    <dgm:pt modelId="{2CB86E66-8990-4B07-908D-027E7CFAF237}" type="pres">
      <dgm:prSet presAssocID="{AEB93D06-1F8F-4135-885F-DA5B0A3FEEDD}" presName="parentText" presStyleLbl="node1" presStyleIdx="3" presStyleCnt="4">
        <dgm:presLayoutVars>
          <dgm:chMax val="0"/>
          <dgm:bulletEnabled val="1"/>
        </dgm:presLayoutVars>
      </dgm:prSet>
      <dgm:spPr/>
    </dgm:pt>
    <dgm:pt modelId="{CCFB8E4D-F2AA-40EA-851B-8CDDDF65FA9E}" type="pres">
      <dgm:prSet presAssocID="{AEB93D06-1F8F-4135-885F-DA5B0A3FEEDD}" presName="negativeSpace" presStyleCnt="0"/>
      <dgm:spPr/>
    </dgm:pt>
    <dgm:pt modelId="{20CFAE98-6966-4DAA-8ECE-0E4FB018BE34}" type="pres">
      <dgm:prSet presAssocID="{AEB93D06-1F8F-4135-885F-DA5B0A3FEEDD}" presName="childText" presStyleLbl="conFgAcc1" presStyleIdx="3" presStyleCnt="4">
        <dgm:presLayoutVars>
          <dgm:bulletEnabled val="1"/>
        </dgm:presLayoutVars>
      </dgm:prSet>
      <dgm:spPr/>
    </dgm:pt>
  </dgm:ptLst>
  <dgm:cxnLst>
    <dgm:cxn modelId="{7B5F6F04-F545-4597-99EF-09E177F9C21C}" type="presOf" srcId="{1F9C545A-23E3-489B-96C2-CA274DA04D3E}" destId="{609905B7-B720-462E-9A22-F48361ECCD70}" srcOrd="0" destOrd="0" presId="urn:microsoft.com/office/officeart/2005/8/layout/list1"/>
    <dgm:cxn modelId="{1FCA0707-FDF4-4ECB-AB81-2A2E70E24CF2}" type="presOf" srcId="{1F4A3439-AA7A-49CB-8B8D-E6A1A33E0DFF}" destId="{44C99724-315D-4E58-87C3-213F5F40F4E7}" srcOrd="0" destOrd="0" presId="urn:microsoft.com/office/officeart/2005/8/layout/list1"/>
    <dgm:cxn modelId="{F9DE612B-368E-4115-AA56-1BC0F15CD6FD}" type="presOf" srcId="{D6E117B8-7222-4011-A6A0-0EF4CF223605}" destId="{DEA891C0-51A5-4577-809D-934019D45B5B}" srcOrd="0" destOrd="0" presId="urn:microsoft.com/office/officeart/2005/8/layout/list1"/>
    <dgm:cxn modelId="{D9CFB437-8280-421D-B676-AB95AD17E312}" srcId="{E9BF2F97-4E61-4468-98C1-9EF66E8B8F4F}" destId="{1F4A3439-AA7A-49CB-8B8D-E6A1A33E0DFF}" srcOrd="2" destOrd="0" parTransId="{4982202E-5203-4173-BA5C-67554E05DFDA}" sibTransId="{15BFD0E6-1635-4832-8C94-463ACA41FF84}"/>
    <dgm:cxn modelId="{C3180361-6614-4A39-8B40-D489908813DD}" type="presOf" srcId="{D6E117B8-7222-4011-A6A0-0EF4CF223605}" destId="{17660682-FC0E-44E3-94DA-353F32BB0A5A}" srcOrd="1" destOrd="0" presId="urn:microsoft.com/office/officeart/2005/8/layout/list1"/>
    <dgm:cxn modelId="{88451455-B739-4E3B-9D3F-2491EECB3E9D}" type="presOf" srcId="{E9BF2F97-4E61-4468-98C1-9EF66E8B8F4F}" destId="{74CEAA9F-3D1A-4C0B-BC65-9A734D8C67B7}" srcOrd="0" destOrd="0" presId="urn:microsoft.com/office/officeart/2005/8/layout/list1"/>
    <dgm:cxn modelId="{59A26D92-C429-40A2-BF12-A6F7ED783E44}" type="presOf" srcId="{AEB93D06-1F8F-4135-885F-DA5B0A3FEEDD}" destId="{09E61676-1228-4DAA-92DB-E8D17FE10F5B}" srcOrd="0" destOrd="0" presId="urn:microsoft.com/office/officeart/2005/8/layout/list1"/>
    <dgm:cxn modelId="{35530D95-1EBE-4FCE-8A56-FFCB700DB4B1}" srcId="{E9BF2F97-4E61-4468-98C1-9EF66E8B8F4F}" destId="{D6E117B8-7222-4011-A6A0-0EF4CF223605}" srcOrd="0" destOrd="0" parTransId="{5BD72F27-25E7-4EAA-A61C-CFEF6AFC52E4}" sibTransId="{52D6EAA7-3C4A-43C2-81E9-C1BEEDD6DA0D}"/>
    <dgm:cxn modelId="{A313CF96-DC8F-4AE1-876A-92C7A5181540}" type="presOf" srcId="{1F9C545A-23E3-489B-96C2-CA274DA04D3E}" destId="{C90104E6-85DD-4915-9256-BD0726E5CF3F}" srcOrd="1" destOrd="0" presId="urn:microsoft.com/office/officeart/2005/8/layout/list1"/>
    <dgm:cxn modelId="{D7C0D498-8736-4F15-B080-C22DCD2BA548}" type="presOf" srcId="{1F4A3439-AA7A-49CB-8B8D-E6A1A33E0DFF}" destId="{DD6B8534-899D-46EF-81E3-B2F237A04A70}" srcOrd="1" destOrd="0" presId="urn:microsoft.com/office/officeart/2005/8/layout/list1"/>
    <dgm:cxn modelId="{CC149BA0-6443-4CAF-8C72-C4E2037AE7C5}" srcId="{E9BF2F97-4E61-4468-98C1-9EF66E8B8F4F}" destId="{1F9C545A-23E3-489B-96C2-CA274DA04D3E}" srcOrd="1" destOrd="0" parTransId="{90D4D0D2-2950-4665-BAE0-136B1DD3E747}" sibTransId="{052A6991-CDC3-498D-8EEF-06A5CEDFBFC4}"/>
    <dgm:cxn modelId="{E8B862DE-FA65-4978-8CB6-90312AC8F5CB}" type="presOf" srcId="{AEB93D06-1F8F-4135-885F-DA5B0A3FEEDD}" destId="{2CB86E66-8990-4B07-908D-027E7CFAF237}" srcOrd="1" destOrd="0" presId="urn:microsoft.com/office/officeart/2005/8/layout/list1"/>
    <dgm:cxn modelId="{25FECFE2-0766-477A-8306-9D159EEFC4B9}" srcId="{E9BF2F97-4E61-4468-98C1-9EF66E8B8F4F}" destId="{AEB93D06-1F8F-4135-885F-DA5B0A3FEEDD}" srcOrd="3" destOrd="0" parTransId="{339D2EAB-61B9-44F5-8E50-588AFD85830C}" sibTransId="{F4BBD319-7F59-4C69-9AC8-65E6E4C25323}"/>
    <dgm:cxn modelId="{23CCBEFB-C7CB-49EF-9967-63567F680B2A}" type="presParOf" srcId="{74CEAA9F-3D1A-4C0B-BC65-9A734D8C67B7}" destId="{FE31C406-0535-498D-9D64-92390A9CCF20}" srcOrd="0" destOrd="0" presId="urn:microsoft.com/office/officeart/2005/8/layout/list1"/>
    <dgm:cxn modelId="{5415DD67-7807-4C31-8DF8-262B7CB83854}" type="presParOf" srcId="{FE31C406-0535-498D-9D64-92390A9CCF20}" destId="{DEA891C0-51A5-4577-809D-934019D45B5B}" srcOrd="0" destOrd="0" presId="urn:microsoft.com/office/officeart/2005/8/layout/list1"/>
    <dgm:cxn modelId="{988FDEFB-72DB-4BAC-AC22-CAE5AC9DCB28}" type="presParOf" srcId="{FE31C406-0535-498D-9D64-92390A9CCF20}" destId="{17660682-FC0E-44E3-94DA-353F32BB0A5A}" srcOrd="1" destOrd="0" presId="urn:microsoft.com/office/officeart/2005/8/layout/list1"/>
    <dgm:cxn modelId="{EE8F4756-979F-481C-BD50-1490E2AC4124}" type="presParOf" srcId="{74CEAA9F-3D1A-4C0B-BC65-9A734D8C67B7}" destId="{7D834F3F-B625-4F90-904C-2926C0648CA9}" srcOrd="1" destOrd="0" presId="urn:microsoft.com/office/officeart/2005/8/layout/list1"/>
    <dgm:cxn modelId="{6185F041-67AE-4515-9374-067C6EBFB4EC}" type="presParOf" srcId="{74CEAA9F-3D1A-4C0B-BC65-9A734D8C67B7}" destId="{FA6A4F9C-E54A-4CB2-B846-CE19ADCB8770}" srcOrd="2" destOrd="0" presId="urn:microsoft.com/office/officeart/2005/8/layout/list1"/>
    <dgm:cxn modelId="{638737DF-89CE-429B-89C2-D761C6E443D4}" type="presParOf" srcId="{74CEAA9F-3D1A-4C0B-BC65-9A734D8C67B7}" destId="{EDB8631F-32D8-4DA3-884F-9E3BF3F550FE}" srcOrd="3" destOrd="0" presId="urn:microsoft.com/office/officeart/2005/8/layout/list1"/>
    <dgm:cxn modelId="{4B559F19-BB85-499E-829B-B55E47D76FAB}" type="presParOf" srcId="{74CEAA9F-3D1A-4C0B-BC65-9A734D8C67B7}" destId="{BCB2B44B-E23E-4CE6-99A2-5E8DFD506135}" srcOrd="4" destOrd="0" presId="urn:microsoft.com/office/officeart/2005/8/layout/list1"/>
    <dgm:cxn modelId="{3545A067-FF6A-4A84-A22F-5CD098F3BE37}" type="presParOf" srcId="{BCB2B44B-E23E-4CE6-99A2-5E8DFD506135}" destId="{609905B7-B720-462E-9A22-F48361ECCD70}" srcOrd="0" destOrd="0" presId="urn:microsoft.com/office/officeart/2005/8/layout/list1"/>
    <dgm:cxn modelId="{9F3D7A90-A8F5-4E62-B846-B2CF1C52D66C}" type="presParOf" srcId="{BCB2B44B-E23E-4CE6-99A2-5E8DFD506135}" destId="{C90104E6-85DD-4915-9256-BD0726E5CF3F}" srcOrd="1" destOrd="0" presId="urn:microsoft.com/office/officeart/2005/8/layout/list1"/>
    <dgm:cxn modelId="{2716C959-EF51-4D5C-8B0C-6EFEA745B7A6}" type="presParOf" srcId="{74CEAA9F-3D1A-4C0B-BC65-9A734D8C67B7}" destId="{03B0214E-A99D-49E7-94A6-273DD74CDF57}" srcOrd="5" destOrd="0" presId="urn:microsoft.com/office/officeart/2005/8/layout/list1"/>
    <dgm:cxn modelId="{7340C8FB-BBEC-4E25-B8A7-CAF332CCB0D5}" type="presParOf" srcId="{74CEAA9F-3D1A-4C0B-BC65-9A734D8C67B7}" destId="{8093AA35-8162-459A-8146-FBFD4F4AF455}" srcOrd="6" destOrd="0" presId="urn:microsoft.com/office/officeart/2005/8/layout/list1"/>
    <dgm:cxn modelId="{99996757-2531-476B-AE6A-FC744796D277}" type="presParOf" srcId="{74CEAA9F-3D1A-4C0B-BC65-9A734D8C67B7}" destId="{BB02C76C-8AAB-4D8C-B4F7-D96FE28054ED}" srcOrd="7" destOrd="0" presId="urn:microsoft.com/office/officeart/2005/8/layout/list1"/>
    <dgm:cxn modelId="{A0F51ECD-3A08-4931-99A1-7E995A1AA64B}" type="presParOf" srcId="{74CEAA9F-3D1A-4C0B-BC65-9A734D8C67B7}" destId="{7ACF7BB2-75B9-4140-9379-37EA1B850707}" srcOrd="8" destOrd="0" presId="urn:microsoft.com/office/officeart/2005/8/layout/list1"/>
    <dgm:cxn modelId="{17AF57E2-9AF3-4C85-89AD-AAA08B2ADE7F}" type="presParOf" srcId="{7ACF7BB2-75B9-4140-9379-37EA1B850707}" destId="{44C99724-315D-4E58-87C3-213F5F40F4E7}" srcOrd="0" destOrd="0" presId="urn:microsoft.com/office/officeart/2005/8/layout/list1"/>
    <dgm:cxn modelId="{F110B81C-6A7E-4D2F-AFB2-B661089AC4DC}" type="presParOf" srcId="{7ACF7BB2-75B9-4140-9379-37EA1B850707}" destId="{DD6B8534-899D-46EF-81E3-B2F237A04A70}" srcOrd="1" destOrd="0" presId="urn:microsoft.com/office/officeart/2005/8/layout/list1"/>
    <dgm:cxn modelId="{718B0A69-DEDF-4058-918B-08F8B6F1CE77}" type="presParOf" srcId="{74CEAA9F-3D1A-4C0B-BC65-9A734D8C67B7}" destId="{1C2DDD59-4440-4608-9E5D-2673CCBD1D9E}" srcOrd="9" destOrd="0" presId="urn:microsoft.com/office/officeart/2005/8/layout/list1"/>
    <dgm:cxn modelId="{63BAAFAA-035E-44D1-994A-4CA4544377B6}" type="presParOf" srcId="{74CEAA9F-3D1A-4C0B-BC65-9A734D8C67B7}" destId="{CA743CB7-1605-4540-A0F0-D4C70F988C64}" srcOrd="10" destOrd="0" presId="urn:microsoft.com/office/officeart/2005/8/layout/list1"/>
    <dgm:cxn modelId="{DDA00A5F-18AF-43FF-AAB5-E07FED2BC208}" type="presParOf" srcId="{74CEAA9F-3D1A-4C0B-BC65-9A734D8C67B7}" destId="{2B71ED01-9251-4F8D-90B7-9F7B8E5F72BB}" srcOrd="11" destOrd="0" presId="urn:microsoft.com/office/officeart/2005/8/layout/list1"/>
    <dgm:cxn modelId="{49AF767A-0747-403E-8DC8-89E783EDBABC}" type="presParOf" srcId="{74CEAA9F-3D1A-4C0B-BC65-9A734D8C67B7}" destId="{EE720C82-32C4-4C00-B97E-A9BB1FFC3AF7}" srcOrd="12" destOrd="0" presId="urn:microsoft.com/office/officeart/2005/8/layout/list1"/>
    <dgm:cxn modelId="{CA8DA1BA-47BE-46E9-8E3C-255E87CE8189}" type="presParOf" srcId="{EE720C82-32C4-4C00-B97E-A9BB1FFC3AF7}" destId="{09E61676-1228-4DAA-92DB-E8D17FE10F5B}" srcOrd="0" destOrd="0" presId="urn:microsoft.com/office/officeart/2005/8/layout/list1"/>
    <dgm:cxn modelId="{ECC62FD4-7962-4D64-9EFF-3723BEA60510}" type="presParOf" srcId="{EE720C82-32C4-4C00-B97E-A9BB1FFC3AF7}" destId="{2CB86E66-8990-4B07-908D-027E7CFAF237}" srcOrd="1" destOrd="0" presId="urn:microsoft.com/office/officeart/2005/8/layout/list1"/>
    <dgm:cxn modelId="{75708ACE-2D54-44AA-A090-4A01910537EA}" type="presParOf" srcId="{74CEAA9F-3D1A-4C0B-BC65-9A734D8C67B7}" destId="{CCFB8E4D-F2AA-40EA-851B-8CDDDF65FA9E}" srcOrd="13" destOrd="0" presId="urn:microsoft.com/office/officeart/2005/8/layout/list1"/>
    <dgm:cxn modelId="{4C4ECBA9-F130-4EA9-B367-AF85040AE0C1}" type="presParOf" srcId="{74CEAA9F-3D1A-4C0B-BC65-9A734D8C67B7}" destId="{20CFAE98-6966-4DAA-8ECE-0E4FB018BE34}" srcOrd="14" destOrd="0" presId="urn:microsoft.com/office/officeart/2005/8/layout/lis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7949530-C74E-498A-B760-F7413B3A897E}" type="doc">
      <dgm:prSet loTypeId="urn:microsoft.com/office/officeart/2005/8/layout/target3" loCatId="list" qsTypeId="urn:microsoft.com/office/officeart/2005/8/quickstyle/simple5" qsCatId="simple" csTypeId="urn:microsoft.com/office/officeart/2005/8/colors/colorful4" csCatId="colorful" phldr="1"/>
      <dgm:spPr/>
      <dgm:t>
        <a:bodyPr/>
        <a:lstStyle/>
        <a:p>
          <a:endParaRPr lang="en-IN"/>
        </a:p>
      </dgm:t>
    </dgm:pt>
    <dgm:pt modelId="{0C215194-A17A-4D32-89C2-7C4CB196D88C}">
      <dgm:prSet phldrT="[Text]"/>
      <dgm:spPr/>
      <dgm:t>
        <a:bodyPr/>
        <a:lstStyle/>
        <a:p>
          <a:r>
            <a:rPr lang="en-IN">
              <a:latin typeface="Times New Roman" panose="02020603050405020304" pitchFamily="18" charset="0"/>
              <a:cs typeface="Times New Roman" panose="02020603050405020304" pitchFamily="18" charset="0"/>
            </a:rPr>
            <a:t>After effect of COVID-19 pandemic</a:t>
          </a:r>
        </a:p>
      </dgm:t>
    </dgm:pt>
    <dgm:pt modelId="{A86E90E0-7794-4853-BAB4-1964B37F58A1}" type="parTrans" cxnId="{CB9994EF-1766-4714-B86D-991AFD7E0DB5}">
      <dgm:prSet/>
      <dgm:spPr/>
      <dgm:t>
        <a:bodyPr/>
        <a:lstStyle/>
        <a:p>
          <a:endParaRPr lang="en-IN"/>
        </a:p>
      </dgm:t>
    </dgm:pt>
    <dgm:pt modelId="{020B9579-034C-4497-86FB-4E730AE95F71}" type="sibTrans" cxnId="{CB9994EF-1766-4714-B86D-991AFD7E0DB5}">
      <dgm:prSet/>
      <dgm:spPr/>
      <dgm:t>
        <a:bodyPr/>
        <a:lstStyle/>
        <a:p>
          <a:endParaRPr lang="en-IN"/>
        </a:p>
      </dgm:t>
    </dgm:pt>
    <dgm:pt modelId="{9183CB35-1ED7-458D-BD4F-3633F20C4490}">
      <dgm:prSet phldrT="[Text]"/>
      <dgm:spPr/>
      <dgm:t>
        <a:bodyPr/>
        <a:lstStyle/>
        <a:p>
          <a:r>
            <a:rPr lang="en-IN">
              <a:latin typeface="Times New Roman" panose="02020603050405020304" pitchFamily="18" charset="0"/>
              <a:cs typeface="Times New Roman" panose="02020603050405020304" pitchFamily="18" charset="0"/>
            </a:rPr>
            <a:t>Cultural interconnectedness</a:t>
          </a:r>
        </a:p>
      </dgm:t>
    </dgm:pt>
    <dgm:pt modelId="{1F1B785A-7190-4617-94DC-8576E39EE024}" type="parTrans" cxnId="{6EBAACD9-0000-4691-8A87-EE0CCF3465DC}">
      <dgm:prSet/>
      <dgm:spPr/>
      <dgm:t>
        <a:bodyPr/>
        <a:lstStyle/>
        <a:p>
          <a:endParaRPr lang="en-IN"/>
        </a:p>
      </dgm:t>
    </dgm:pt>
    <dgm:pt modelId="{19AC6331-0139-41EC-A37E-0A55C8B90E97}" type="sibTrans" cxnId="{6EBAACD9-0000-4691-8A87-EE0CCF3465DC}">
      <dgm:prSet/>
      <dgm:spPr/>
      <dgm:t>
        <a:bodyPr/>
        <a:lstStyle/>
        <a:p>
          <a:endParaRPr lang="en-IN"/>
        </a:p>
      </dgm:t>
    </dgm:pt>
    <dgm:pt modelId="{63BBF62D-1727-4555-B4C9-9E0734948DC8}">
      <dgm:prSet phldrT="[Text]"/>
      <dgm:spPr/>
      <dgm:t>
        <a:bodyPr/>
        <a:lstStyle/>
        <a:p>
          <a:r>
            <a:rPr lang="en-IN">
              <a:latin typeface="Times New Roman" panose="02020603050405020304" pitchFamily="18" charset="0"/>
              <a:cs typeface="Times New Roman" panose="02020603050405020304" pitchFamily="18" charset="0"/>
            </a:rPr>
            <a:t>Sustainability management </a:t>
          </a:r>
        </a:p>
      </dgm:t>
    </dgm:pt>
    <dgm:pt modelId="{195A7D70-444A-4C77-906F-51DEBFF5CB66}" type="parTrans" cxnId="{B39216E9-2B4C-4E56-8AE0-5B0A0256D311}">
      <dgm:prSet/>
      <dgm:spPr/>
      <dgm:t>
        <a:bodyPr/>
        <a:lstStyle/>
        <a:p>
          <a:endParaRPr lang="en-IN"/>
        </a:p>
      </dgm:t>
    </dgm:pt>
    <dgm:pt modelId="{A54F0829-DF68-4154-AE2A-73209ED55DA1}" type="sibTrans" cxnId="{B39216E9-2B4C-4E56-8AE0-5B0A0256D311}">
      <dgm:prSet/>
      <dgm:spPr/>
      <dgm:t>
        <a:bodyPr/>
        <a:lstStyle/>
        <a:p>
          <a:endParaRPr lang="en-IN"/>
        </a:p>
      </dgm:t>
    </dgm:pt>
    <dgm:pt modelId="{D7BF37A2-F9FF-4F75-941E-E09B9E626E83}">
      <dgm:prSet phldrT="[Text]"/>
      <dgm:spPr/>
      <dgm:t>
        <a:bodyPr/>
        <a:lstStyle/>
        <a:p>
          <a:r>
            <a:rPr lang="en-IN">
              <a:latin typeface="Times New Roman" panose="02020603050405020304" pitchFamily="18" charset="0"/>
              <a:cs typeface="Times New Roman" panose="02020603050405020304" pitchFamily="18" charset="0"/>
            </a:rPr>
            <a:t>Cultural diversity and inclusivity</a:t>
          </a:r>
        </a:p>
      </dgm:t>
    </dgm:pt>
    <dgm:pt modelId="{F22CAFAA-E70B-4B9C-8FF3-5821210C98E2}" type="parTrans" cxnId="{EF1D0425-7594-43EC-B3DC-44E97987BAD9}">
      <dgm:prSet/>
      <dgm:spPr/>
      <dgm:t>
        <a:bodyPr/>
        <a:lstStyle/>
        <a:p>
          <a:endParaRPr lang="en-IN"/>
        </a:p>
      </dgm:t>
    </dgm:pt>
    <dgm:pt modelId="{7C56780A-3F2C-498A-A841-AB8084053633}" type="sibTrans" cxnId="{EF1D0425-7594-43EC-B3DC-44E97987BAD9}">
      <dgm:prSet/>
      <dgm:spPr/>
      <dgm:t>
        <a:bodyPr/>
        <a:lstStyle/>
        <a:p>
          <a:endParaRPr lang="en-IN"/>
        </a:p>
      </dgm:t>
    </dgm:pt>
    <dgm:pt modelId="{CD78027E-FB15-498F-8D0E-124A63C8DAE0}" type="pres">
      <dgm:prSet presAssocID="{47949530-C74E-498A-B760-F7413B3A897E}" presName="Name0" presStyleCnt="0">
        <dgm:presLayoutVars>
          <dgm:chMax val="7"/>
          <dgm:dir/>
          <dgm:animLvl val="lvl"/>
          <dgm:resizeHandles val="exact"/>
        </dgm:presLayoutVars>
      </dgm:prSet>
      <dgm:spPr/>
    </dgm:pt>
    <dgm:pt modelId="{B3264D1C-56A4-43A4-A19C-1CCB1F38AEB0}" type="pres">
      <dgm:prSet presAssocID="{0C215194-A17A-4D32-89C2-7C4CB196D88C}" presName="circle1" presStyleLbl="node1" presStyleIdx="0" presStyleCnt="4"/>
      <dgm:spPr/>
    </dgm:pt>
    <dgm:pt modelId="{98A62990-B3AB-46AF-B434-399D9A893B21}" type="pres">
      <dgm:prSet presAssocID="{0C215194-A17A-4D32-89C2-7C4CB196D88C}" presName="space" presStyleCnt="0"/>
      <dgm:spPr/>
    </dgm:pt>
    <dgm:pt modelId="{FAA169A1-C1AA-4285-ADF6-C46311D46089}" type="pres">
      <dgm:prSet presAssocID="{0C215194-A17A-4D32-89C2-7C4CB196D88C}" presName="rect1" presStyleLbl="alignAcc1" presStyleIdx="0" presStyleCnt="4"/>
      <dgm:spPr/>
    </dgm:pt>
    <dgm:pt modelId="{374DE644-0650-46F1-8588-DE335C2397FE}" type="pres">
      <dgm:prSet presAssocID="{9183CB35-1ED7-458D-BD4F-3633F20C4490}" presName="vertSpace2" presStyleLbl="node1" presStyleIdx="0" presStyleCnt="4"/>
      <dgm:spPr/>
    </dgm:pt>
    <dgm:pt modelId="{7EB3E8DC-1F8E-4A0D-971C-9F334900523F}" type="pres">
      <dgm:prSet presAssocID="{9183CB35-1ED7-458D-BD4F-3633F20C4490}" presName="circle2" presStyleLbl="node1" presStyleIdx="1" presStyleCnt="4"/>
      <dgm:spPr/>
    </dgm:pt>
    <dgm:pt modelId="{97A4B5E1-973A-4911-99C8-B3D3E3BABF5E}" type="pres">
      <dgm:prSet presAssocID="{9183CB35-1ED7-458D-BD4F-3633F20C4490}" presName="rect2" presStyleLbl="alignAcc1" presStyleIdx="1" presStyleCnt="4"/>
      <dgm:spPr/>
    </dgm:pt>
    <dgm:pt modelId="{0D3B77CE-03AE-4188-A461-E3ADC389A5E8}" type="pres">
      <dgm:prSet presAssocID="{63BBF62D-1727-4555-B4C9-9E0734948DC8}" presName="vertSpace3" presStyleLbl="node1" presStyleIdx="1" presStyleCnt="4"/>
      <dgm:spPr/>
    </dgm:pt>
    <dgm:pt modelId="{76F0B9A1-220D-4A80-9170-AD471CB12F5E}" type="pres">
      <dgm:prSet presAssocID="{63BBF62D-1727-4555-B4C9-9E0734948DC8}" presName="circle3" presStyleLbl="node1" presStyleIdx="2" presStyleCnt="4"/>
      <dgm:spPr/>
    </dgm:pt>
    <dgm:pt modelId="{B074C487-9CD9-4F58-868F-4040534260D3}" type="pres">
      <dgm:prSet presAssocID="{63BBF62D-1727-4555-B4C9-9E0734948DC8}" presName="rect3" presStyleLbl="alignAcc1" presStyleIdx="2" presStyleCnt="4"/>
      <dgm:spPr/>
    </dgm:pt>
    <dgm:pt modelId="{9CC70114-1E5F-4DAC-81F9-5E5B63CED57C}" type="pres">
      <dgm:prSet presAssocID="{D7BF37A2-F9FF-4F75-941E-E09B9E626E83}" presName="vertSpace4" presStyleLbl="node1" presStyleIdx="2" presStyleCnt="4"/>
      <dgm:spPr/>
    </dgm:pt>
    <dgm:pt modelId="{7B05F533-B1CC-41FE-B6C8-13FF679EC968}" type="pres">
      <dgm:prSet presAssocID="{D7BF37A2-F9FF-4F75-941E-E09B9E626E83}" presName="circle4" presStyleLbl="node1" presStyleIdx="3" presStyleCnt="4"/>
      <dgm:spPr/>
    </dgm:pt>
    <dgm:pt modelId="{218770F2-94D5-44BF-9403-83C62D3F0B91}" type="pres">
      <dgm:prSet presAssocID="{D7BF37A2-F9FF-4F75-941E-E09B9E626E83}" presName="rect4" presStyleLbl="alignAcc1" presStyleIdx="3" presStyleCnt="4"/>
      <dgm:spPr/>
    </dgm:pt>
    <dgm:pt modelId="{0DDE0078-7B6D-444A-AEBA-51C865A42838}" type="pres">
      <dgm:prSet presAssocID="{0C215194-A17A-4D32-89C2-7C4CB196D88C}" presName="rect1ParTxNoCh" presStyleLbl="alignAcc1" presStyleIdx="3" presStyleCnt="4">
        <dgm:presLayoutVars>
          <dgm:chMax val="1"/>
          <dgm:bulletEnabled val="1"/>
        </dgm:presLayoutVars>
      </dgm:prSet>
      <dgm:spPr/>
    </dgm:pt>
    <dgm:pt modelId="{C9E90033-BBBE-4220-A5FE-13CCAA7E3283}" type="pres">
      <dgm:prSet presAssocID="{9183CB35-1ED7-458D-BD4F-3633F20C4490}" presName="rect2ParTxNoCh" presStyleLbl="alignAcc1" presStyleIdx="3" presStyleCnt="4">
        <dgm:presLayoutVars>
          <dgm:chMax val="1"/>
          <dgm:bulletEnabled val="1"/>
        </dgm:presLayoutVars>
      </dgm:prSet>
      <dgm:spPr/>
    </dgm:pt>
    <dgm:pt modelId="{63B20900-8A04-4370-8A0C-19A4202CDFC4}" type="pres">
      <dgm:prSet presAssocID="{63BBF62D-1727-4555-B4C9-9E0734948DC8}" presName="rect3ParTxNoCh" presStyleLbl="alignAcc1" presStyleIdx="3" presStyleCnt="4">
        <dgm:presLayoutVars>
          <dgm:chMax val="1"/>
          <dgm:bulletEnabled val="1"/>
        </dgm:presLayoutVars>
      </dgm:prSet>
      <dgm:spPr/>
    </dgm:pt>
    <dgm:pt modelId="{CC57F144-9CE6-4416-9796-C26E649E7FD8}" type="pres">
      <dgm:prSet presAssocID="{D7BF37A2-F9FF-4F75-941E-E09B9E626E83}" presName="rect4ParTxNoCh" presStyleLbl="alignAcc1" presStyleIdx="3" presStyleCnt="4">
        <dgm:presLayoutVars>
          <dgm:chMax val="1"/>
          <dgm:bulletEnabled val="1"/>
        </dgm:presLayoutVars>
      </dgm:prSet>
      <dgm:spPr/>
    </dgm:pt>
  </dgm:ptLst>
  <dgm:cxnLst>
    <dgm:cxn modelId="{21F3940F-8C5E-4BAF-819B-B6F30CAD28B0}" type="presOf" srcId="{0C215194-A17A-4D32-89C2-7C4CB196D88C}" destId="{0DDE0078-7B6D-444A-AEBA-51C865A42838}" srcOrd="1" destOrd="0" presId="urn:microsoft.com/office/officeart/2005/8/layout/target3"/>
    <dgm:cxn modelId="{EF1D0425-7594-43EC-B3DC-44E97987BAD9}" srcId="{47949530-C74E-498A-B760-F7413B3A897E}" destId="{D7BF37A2-F9FF-4F75-941E-E09B9E626E83}" srcOrd="3" destOrd="0" parTransId="{F22CAFAA-E70B-4B9C-8FF3-5821210C98E2}" sibTransId="{7C56780A-3F2C-498A-A841-AB8084053633}"/>
    <dgm:cxn modelId="{CB7A3C33-329B-497C-AB4F-A90B1DDB9828}" type="presOf" srcId="{9183CB35-1ED7-458D-BD4F-3633F20C4490}" destId="{97A4B5E1-973A-4911-99C8-B3D3E3BABF5E}" srcOrd="0" destOrd="0" presId="urn:microsoft.com/office/officeart/2005/8/layout/target3"/>
    <dgm:cxn modelId="{0FC3CAA0-386F-46C8-96E3-A97A2CBB5026}" type="presOf" srcId="{63BBF62D-1727-4555-B4C9-9E0734948DC8}" destId="{63B20900-8A04-4370-8A0C-19A4202CDFC4}" srcOrd="1" destOrd="0" presId="urn:microsoft.com/office/officeart/2005/8/layout/target3"/>
    <dgm:cxn modelId="{68C76AA4-04C5-4EA0-A332-F14131C69949}" type="presOf" srcId="{D7BF37A2-F9FF-4F75-941E-E09B9E626E83}" destId="{218770F2-94D5-44BF-9403-83C62D3F0B91}" srcOrd="0" destOrd="0" presId="urn:microsoft.com/office/officeart/2005/8/layout/target3"/>
    <dgm:cxn modelId="{681D22AC-7DE6-48A2-88B5-1CFEC2F78FA6}" type="presOf" srcId="{0C215194-A17A-4D32-89C2-7C4CB196D88C}" destId="{FAA169A1-C1AA-4285-ADF6-C46311D46089}" srcOrd="0" destOrd="0" presId="urn:microsoft.com/office/officeart/2005/8/layout/target3"/>
    <dgm:cxn modelId="{2EF28ABE-AE0E-4F27-848B-3E17BC16CA3B}" type="presOf" srcId="{63BBF62D-1727-4555-B4C9-9E0734948DC8}" destId="{B074C487-9CD9-4F58-868F-4040534260D3}" srcOrd="0" destOrd="0" presId="urn:microsoft.com/office/officeart/2005/8/layout/target3"/>
    <dgm:cxn modelId="{73D35CD4-779C-4627-8089-92CFBD416650}" type="presOf" srcId="{47949530-C74E-498A-B760-F7413B3A897E}" destId="{CD78027E-FB15-498F-8D0E-124A63C8DAE0}" srcOrd="0" destOrd="0" presId="urn:microsoft.com/office/officeart/2005/8/layout/target3"/>
    <dgm:cxn modelId="{6EBAACD9-0000-4691-8A87-EE0CCF3465DC}" srcId="{47949530-C74E-498A-B760-F7413B3A897E}" destId="{9183CB35-1ED7-458D-BD4F-3633F20C4490}" srcOrd="1" destOrd="0" parTransId="{1F1B785A-7190-4617-94DC-8576E39EE024}" sibTransId="{19AC6331-0139-41EC-A37E-0A55C8B90E97}"/>
    <dgm:cxn modelId="{04216BE5-1E68-4381-B906-2A190D8898DF}" type="presOf" srcId="{9183CB35-1ED7-458D-BD4F-3633F20C4490}" destId="{C9E90033-BBBE-4220-A5FE-13CCAA7E3283}" srcOrd="1" destOrd="0" presId="urn:microsoft.com/office/officeart/2005/8/layout/target3"/>
    <dgm:cxn modelId="{B39216E9-2B4C-4E56-8AE0-5B0A0256D311}" srcId="{47949530-C74E-498A-B760-F7413B3A897E}" destId="{63BBF62D-1727-4555-B4C9-9E0734948DC8}" srcOrd="2" destOrd="0" parTransId="{195A7D70-444A-4C77-906F-51DEBFF5CB66}" sibTransId="{A54F0829-DF68-4154-AE2A-73209ED55DA1}"/>
    <dgm:cxn modelId="{11D901EF-54BA-47EF-9319-32C2E5BF9CC1}" type="presOf" srcId="{D7BF37A2-F9FF-4F75-941E-E09B9E626E83}" destId="{CC57F144-9CE6-4416-9796-C26E649E7FD8}" srcOrd="1" destOrd="0" presId="urn:microsoft.com/office/officeart/2005/8/layout/target3"/>
    <dgm:cxn modelId="{CB9994EF-1766-4714-B86D-991AFD7E0DB5}" srcId="{47949530-C74E-498A-B760-F7413B3A897E}" destId="{0C215194-A17A-4D32-89C2-7C4CB196D88C}" srcOrd="0" destOrd="0" parTransId="{A86E90E0-7794-4853-BAB4-1964B37F58A1}" sibTransId="{020B9579-034C-4497-86FB-4E730AE95F71}"/>
    <dgm:cxn modelId="{F36B6DFF-3098-48C7-9BAC-ACE941226F88}" type="presParOf" srcId="{CD78027E-FB15-498F-8D0E-124A63C8DAE0}" destId="{B3264D1C-56A4-43A4-A19C-1CCB1F38AEB0}" srcOrd="0" destOrd="0" presId="urn:microsoft.com/office/officeart/2005/8/layout/target3"/>
    <dgm:cxn modelId="{5EC0EE80-E3F6-4AEB-B5E0-6AEF58A2842C}" type="presParOf" srcId="{CD78027E-FB15-498F-8D0E-124A63C8DAE0}" destId="{98A62990-B3AB-46AF-B434-399D9A893B21}" srcOrd="1" destOrd="0" presId="urn:microsoft.com/office/officeart/2005/8/layout/target3"/>
    <dgm:cxn modelId="{BA0ADE56-9F56-475B-8AC7-45675043AB31}" type="presParOf" srcId="{CD78027E-FB15-498F-8D0E-124A63C8DAE0}" destId="{FAA169A1-C1AA-4285-ADF6-C46311D46089}" srcOrd="2" destOrd="0" presId="urn:microsoft.com/office/officeart/2005/8/layout/target3"/>
    <dgm:cxn modelId="{D90D6C66-3C8B-4D35-BCAF-F0659902CED4}" type="presParOf" srcId="{CD78027E-FB15-498F-8D0E-124A63C8DAE0}" destId="{374DE644-0650-46F1-8588-DE335C2397FE}" srcOrd="3" destOrd="0" presId="urn:microsoft.com/office/officeart/2005/8/layout/target3"/>
    <dgm:cxn modelId="{A1FDF67B-404E-428F-B41D-E30B44911C23}" type="presParOf" srcId="{CD78027E-FB15-498F-8D0E-124A63C8DAE0}" destId="{7EB3E8DC-1F8E-4A0D-971C-9F334900523F}" srcOrd="4" destOrd="0" presId="urn:microsoft.com/office/officeart/2005/8/layout/target3"/>
    <dgm:cxn modelId="{B1BE0E01-FEE4-4F32-AA7E-EC56281CB2C8}" type="presParOf" srcId="{CD78027E-FB15-498F-8D0E-124A63C8DAE0}" destId="{97A4B5E1-973A-4911-99C8-B3D3E3BABF5E}" srcOrd="5" destOrd="0" presId="urn:microsoft.com/office/officeart/2005/8/layout/target3"/>
    <dgm:cxn modelId="{6162594B-BA6A-466F-B54C-79E6573B7491}" type="presParOf" srcId="{CD78027E-FB15-498F-8D0E-124A63C8DAE0}" destId="{0D3B77CE-03AE-4188-A461-E3ADC389A5E8}" srcOrd="6" destOrd="0" presId="urn:microsoft.com/office/officeart/2005/8/layout/target3"/>
    <dgm:cxn modelId="{8054C9CC-436A-452B-AF83-A1DEBA491C2A}" type="presParOf" srcId="{CD78027E-FB15-498F-8D0E-124A63C8DAE0}" destId="{76F0B9A1-220D-4A80-9170-AD471CB12F5E}" srcOrd="7" destOrd="0" presId="urn:microsoft.com/office/officeart/2005/8/layout/target3"/>
    <dgm:cxn modelId="{D7D513D7-22E3-4174-A71E-0B5682359E06}" type="presParOf" srcId="{CD78027E-FB15-498F-8D0E-124A63C8DAE0}" destId="{B074C487-9CD9-4F58-868F-4040534260D3}" srcOrd="8" destOrd="0" presId="urn:microsoft.com/office/officeart/2005/8/layout/target3"/>
    <dgm:cxn modelId="{79353CA8-23C3-4726-A64C-46DCCCB0C7D5}" type="presParOf" srcId="{CD78027E-FB15-498F-8D0E-124A63C8DAE0}" destId="{9CC70114-1E5F-4DAC-81F9-5E5B63CED57C}" srcOrd="9" destOrd="0" presId="urn:microsoft.com/office/officeart/2005/8/layout/target3"/>
    <dgm:cxn modelId="{81CE2796-387D-4DF0-82B2-A6F512AA446B}" type="presParOf" srcId="{CD78027E-FB15-498F-8D0E-124A63C8DAE0}" destId="{7B05F533-B1CC-41FE-B6C8-13FF679EC968}" srcOrd="10" destOrd="0" presId="urn:microsoft.com/office/officeart/2005/8/layout/target3"/>
    <dgm:cxn modelId="{ECC49D8A-36D6-4FD4-AE6A-75C0ED027642}" type="presParOf" srcId="{CD78027E-FB15-498F-8D0E-124A63C8DAE0}" destId="{218770F2-94D5-44BF-9403-83C62D3F0B91}" srcOrd="11" destOrd="0" presId="urn:microsoft.com/office/officeart/2005/8/layout/target3"/>
    <dgm:cxn modelId="{AEA522F4-A6C2-43C4-9C7A-A0CBAF4B233D}" type="presParOf" srcId="{CD78027E-FB15-498F-8D0E-124A63C8DAE0}" destId="{0DDE0078-7B6D-444A-AEBA-51C865A42838}" srcOrd="12" destOrd="0" presId="urn:microsoft.com/office/officeart/2005/8/layout/target3"/>
    <dgm:cxn modelId="{6D11270D-5830-4E64-B65F-DFDDFBEF1060}" type="presParOf" srcId="{CD78027E-FB15-498F-8D0E-124A63C8DAE0}" destId="{C9E90033-BBBE-4220-A5FE-13CCAA7E3283}" srcOrd="13" destOrd="0" presId="urn:microsoft.com/office/officeart/2005/8/layout/target3"/>
    <dgm:cxn modelId="{3A689563-CA6A-4884-BED7-ACA19EC1B1CD}" type="presParOf" srcId="{CD78027E-FB15-498F-8D0E-124A63C8DAE0}" destId="{63B20900-8A04-4370-8A0C-19A4202CDFC4}" srcOrd="14" destOrd="0" presId="urn:microsoft.com/office/officeart/2005/8/layout/target3"/>
    <dgm:cxn modelId="{2E882BC7-ED20-4299-90AC-BBC12257CCF9}" type="presParOf" srcId="{CD78027E-FB15-498F-8D0E-124A63C8DAE0}" destId="{CC57F144-9CE6-4416-9796-C26E649E7FD8}" srcOrd="15" destOrd="0" presId="urn:microsoft.com/office/officeart/2005/8/layout/target3"/>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73ABEE-353C-4504-B0E4-8E30F47076A2}">
      <dsp:nvSpPr>
        <dsp:cNvPr id="0" name=""/>
        <dsp:cNvSpPr/>
      </dsp:nvSpPr>
      <dsp:spPr>
        <a:xfrm>
          <a:off x="3018895" y="23029"/>
          <a:ext cx="1002845" cy="7942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Initiation</a:t>
          </a:r>
        </a:p>
      </dsp:txBody>
      <dsp:txXfrm>
        <a:off x="3018895" y="23029"/>
        <a:ext cx="1002845" cy="794295"/>
      </dsp:txXfrm>
    </dsp:sp>
    <dsp:sp modelId="{FF27D469-F0F8-461D-9D38-E4476C02665C}">
      <dsp:nvSpPr>
        <dsp:cNvPr id="0" name=""/>
        <dsp:cNvSpPr/>
      </dsp:nvSpPr>
      <dsp:spPr>
        <a:xfrm>
          <a:off x="1253291" y="-118"/>
          <a:ext cx="2979816" cy="2979816"/>
        </a:xfrm>
        <a:prstGeom prst="circularArrow">
          <a:avLst>
            <a:gd name="adj1" fmla="val 5198"/>
            <a:gd name="adj2" fmla="val 335748"/>
            <a:gd name="adj3" fmla="val 21293914"/>
            <a:gd name="adj4" fmla="val 19765650"/>
            <a:gd name="adj5" fmla="val 6064"/>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1761278E-E86E-446E-96BD-5A19E4E22CA6}">
      <dsp:nvSpPr>
        <dsp:cNvPr id="0" name=""/>
        <dsp:cNvSpPr/>
      </dsp:nvSpPr>
      <dsp:spPr>
        <a:xfrm>
          <a:off x="3499181" y="1501197"/>
          <a:ext cx="1002845" cy="7942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planning</a:t>
          </a:r>
        </a:p>
      </dsp:txBody>
      <dsp:txXfrm>
        <a:off x="3499181" y="1501197"/>
        <a:ext cx="1002845" cy="794295"/>
      </dsp:txXfrm>
    </dsp:sp>
    <dsp:sp modelId="{D74A768F-5783-4423-B8A2-EE4A04EC306C}">
      <dsp:nvSpPr>
        <dsp:cNvPr id="0" name=""/>
        <dsp:cNvSpPr/>
      </dsp:nvSpPr>
      <dsp:spPr>
        <a:xfrm>
          <a:off x="1253291" y="-118"/>
          <a:ext cx="2979816" cy="2979816"/>
        </a:xfrm>
        <a:prstGeom prst="circularArrow">
          <a:avLst>
            <a:gd name="adj1" fmla="val 5198"/>
            <a:gd name="adj2" fmla="val 335748"/>
            <a:gd name="adj3" fmla="val 3726986"/>
            <a:gd name="adj4" fmla="val 2252792"/>
            <a:gd name="adj5" fmla="val 6064"/>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66B16E9D-7431-4097-98E3-2E5DD687D5FD}">
      <dsp:nvSpPr>
        <dsp:cNvPr id="0" name=""/>
        <dsp:cNvSpPr/>
      </dsp:nvSpPr>
      <dsp:spPr>
        <a:xfrm>
          <a:off x="2241777" y="2414755"/>
          <a:ext cx="1002845" cy="7942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Implimentation</a:t>
          </a:r>
        </a:p>
      </dsp:txBody>
      <dsp:txXfrm>
        <a:off x="2241777" y="2414755"/>
        <a:ext cx="1002845" cy="794295"/>
      </dsp:txXfrm>
    </dsp:sp>
    <dsp:sp modelId="{B00FAFE0-B9CF-4B34-BE53-18D4014C4F36}">
      <dsp:nvSpPr>
        <dsp:cNvPr id="0" name=""/>
        <dsp:cNvSpPr/>
      </dsp:nvSpPr>
      <dsp:spPr>
        <a:xfrm>
          <a:off x="1253291" y="-118"/>
          <a:ext cx="2979816" cy="2979816"/>
        </a:xfrm>
        <a:prstGeom prst="circularArrow">
          <a:avLst>
            <a:gd name="adj1" fmla="val 5198"/>
            <a:gd name="adj2" fmla="val 335748"/>
            <a:gd name="adj3" fmla="val 8211460"/>
            <a:gd name="adj4" fmla="val 6737266"/>
            <a:gd name="adj5" fmla="val 6064"/>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E47536F8-C033-4425-B3C4-D8EEC2F163FD}">
      <dsp:nvSpPr>
        <dsp:cNvPr id="0" name=""/>
        <dsp:cNvSpPr/>
      </dsp:nvSpPr>
      <dsp:spPr>
        <a:xfrm>
          <a:off x="984372" y="1501197"/>
          <a:ext cx="1002845" cy="7942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Event</a:t>
          </a:r>
        </a:p>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Delivery</a:t>
          </a:r>
        </a:p>
      </dsp:txBody>
      <dsp:txXfrm>
        <a:off x="984372" y="1501197"/>
        <a:ext cx="1002845" cy="794295"/>
      </dsp:txXfrm>
    </dsp:sp>
    <dsp:sp modelId="{A78A5007-B2A1-4BAA-B7A2-2D2A16821569}">
      <dsp:nvSpPr>
        <dsp:cNvPr id="0" name=""/>
        <dsp:cNvSpPr/>
      </dsp:nvSpPr>
      <dsp:spPr>
        <a:xfrm>
          <a:off x="1253291" y="-118"/>
          <a:ext cx="2979816" cy="2979816"/>
        </a:xfrm>
        <a:prstGeom prst="circularArrow">
          <a:avLst>
            <a:gd name="adj1" fmla="val 5198"/>
            <a:gd name="adj2" fmla="val 335748"/>
            <a:gd name="adj3" fmla="val 12298602"/>
            <a:gd name="adj4" fmla="val 10770338"/>
            <a:gd name="adj5" fmla="val 6064"/>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CDA95B03-5186-4C85-B77D-460A620E1590}">
      <dsp:nvSpPr>
        <dsp:cNvPr id="0" name=""/>
        <dsp:cNvSpPr/>
      </dsp:nvSpPr>
      <dsp:spPr>
        <a:xfrm>
          <a:off x="1464658" y="23029"/>
          <a:ext cx="1002845" cy="7942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Evaluation and </a:t>
          </a:r>
        </a:p>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closure</a:t>
          </a:r>
        </a:p>
      </dsp:txBody>
      <dsp:txXfrm>
        <a:off x="1464658" y="23029"/>
        <a:ext cx="1002845" cy="794295"/>
      </dsp:txXfrm>
    </dsp:sp>
    <dsp:sp modelId="{6E9EE779-885A-4635-9D13-A6C8B0952F01}">
      <dsp:nvSpPr>
        <dsp:cNvPr id="0" name=""/>
        <dsp:cNvSpPr/>
      </dsp:nvSpPr>
      <dsp:spPr>
        <a:xfrm>
          <a:off x="1253291" y="-118"/>
          <a:ext cx="2979816" cy="2979816"/>
        </a:xfrm>
        <a:prstGeom prst="circularArrow">
          <a:avLst>
            <a:gd name="adj1" fmla="val 5198"/>
            <a:gd name="adj2" fmla="val 335748"/>
            <a:gd name="adj3" fmla="val 16586413"/>
            <a:gd name="adj4" fmla="val 15477839"/>
            <a:gd name="adj5" fmla="val 6064"/>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3E6A21-C4A3-4B24-B37E-EE8AF791FF36}">
      <dsp:nvSpPr>
        <dsp:cNvPr id="0" name=""/>
        <dsp:cNvSpPr/>
      </dsp:nvSpPr>
      <dsp:spPr>
        <a:xfrm>
          <a:off x="2186836" y="158"/>
          <a:ext cx="1112726" cy="980479"/>
        </a:xfrm>
        <a:prstGeom prst="ellipse">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kern="1200">
              <a:solidFill>
                <a:sysClr val="windowText" lastClr="000000"/>
              </a:solidFill>
              <a:latin typeface="Times New Roman" panose="02020603050405020304" pitchFamily="18" charset="0"/>
              <a:cs typeface="Times New Roman" panose="02020603050405020304" pitchFamily="18" charset="0"/>
            </a:rPr>
            <a:t>Specific</a:t>
          </a:r>
        </a:p>
      </dsp:txBody>
      <dsp:txXfrm>
        <a:off x="2349791" y="143746"/>
        <a:ext cx="786816" cy="693303"/>
      </dsp:txXfrm>
    </dsp:sp>
    <dsp:sp modelId="{187708CA-5C1D-4B5D-BA9B-4117E93C4485}">
      <dsp:nvSpPr>
        <dsp:cNvPr id="0" name=""/>
        <dsp:cNvSpPr/>
      </dsp:nvSpPr>
      <dsp:spPr>
        <a:xfrm rot="2160000">
          <a:off x="3224957" y="754310"/>
          <a:ext cx="218435" cy="330911"/>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kern="1200"/>
        </a:p>
      </dsp:txBody>
      <dsp:txXfrm>
        <a:off x="3231215" y="801233"/>
        <a:ext cx="152905" cy="198547"/>
      </dsp:txXfrm>
    </dsp:sp>
    <dsp:sp modelId="{66599FE3-E132-494A-B3E1-576B1E283749}">
      <dsp:nvSpPr>
        <dsp:cNvPr id="0" name=""/>
        <dsp:cNvSpPr/>
      </dsp:nvSpPr>
      <dsp:spPr>
        <a:xfrm>
          <a:off x="3378789" y="866162"/>
          <a:ext cx="1112726" cy="980479"/>
        </a:xfrm>
        <a:prstGeom prst="ellipse">
          <a:avLst/>
        </a:prstGeom>
        <a:solidFill>
          <a:schemeClr val="accent4">
            <a:hueOff val="2450223"/>
            <a:satOff val="-10194"/>
            <a:lumOff val="240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kern="1200">
              <a:solidFill>
                <a:sysClr val="windowText" lastClr="000000"/>
              </a:solidFill>
              <a:latin typeface="Times New Roman" panose="02020603050405020304" pitchFamily="18" charset="0"/>
              <a:cs typeface="Times New Roman" panose="02020603050405020304" pitchFamily="18" charset="0"/>
            </a:rPr>
            <a:t>measurable</a:t>
          </a:r>
        </a:p>
      </dsp:txBody>
      <dsp:txXfrm>
        <a:off x="3541744" y="1009750"/>
        <a:ext cx="786816" cy="693303"/>
      </dsp:txXfrm>
    </dsp:sp>
    <dsp:sp modelId="{47CDA147-5DD8-47E4-BDC6-08BC455052BD}">
      <dsp:nvSpPr>
        <dsp:cNvPr id="0" name=""/>
        <dsp:cNvSpPr/>
      </dsp:nvSpPr>
      <dsp:spPr>
        <a:xfrm rot="6480000">
          <a:off x="3581957" y="1884679"/>
          <a:ext cx="255575" cy="330911"/>
        </a:xfrm>
        <a:prstGeom prst="rightArrow">
          <a:avLst>
            <a:gd name="adj1" fmla="val 60000"/>
            <a:gd name="adj2" fmla="val 50000"/>
          </a:avLst>
        </a:prstGeom>
        <a:solidFill>
          <a:schemeClr val="accent4">
            <a:hueOff val="2450223"/>
            <a:satOff val="-10194"/>
            <a:lumOff val="2402"/>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kern="1200"/>
        </a:p>
      </dsp:txBody>
      <dsp:txXfrm rot="10800000">
        <a:off x="3632139" y="1914401"/>
        <a:ext cx="178903" cy="198547"/>
      </dsp:txXfrm>
    </dsp:sp>
    <dsp:sp modelId="{7BA5BC58-A3F1-4BD1-A878-0137BC6A2314}">
      <dsp:nvSpPr>
        <dsp:cNvPr id="0" name=""/>
        <dsp:cNvSpPr/>
      </dsp:nvSpPr>
      <dsp:spPr>
        <a:xfrm>
          <a:off x="2923503" y="2267387"/>
          <a:ext cx="1112726" cy="980479"/>
        </a:xfrm>
        <a:prstGeom prst="ellipse">
          <a:avLst/>
        </a:prstGeom>
        <a:solidFill>
          <a:schemeClr val="accent4">
            <a:hueOff val="4900445"/>
            <a:satOff val="-20388"/>
            <a:lumOff val="480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kern="1200">
              <a:solidFill>
                <a:sysClr val="windowText" lastClr="000000"/>
              </a:solidFill>
              <a:latin typeface="Times New Roman" panose="02020603050405020304" pitchFamily="18" charset="0"/>
              <a:cs typeface="Times New Roman" panose="02020603050405020304" pitchFamily="18" charset="0"/>
            </a:rPr>
            <a:t>Achievable</a:t>
          </a:r>
        </a:p>
      </dsp:txBody>
      <dsp:txXfrm>
        <a:off x="3086458" y="2410975"/>
        <a:ext cx="786816" cy="693303"/>
      </dsp:txXfrm>
    </dsp:sp>
    <dsp:sp modelId="{A7BDE799-2102-42E1-8292-B8AADD018D81}">
      <dsp:nvSpPr>
        <dsp:cNvPr id="0" name=""/>
        <dsp:cNvSpPr/>
      </dsp:nvSpPr>
      <dsp:spPr>
        <a:xfrm rot="10800000">
          <a:off x="2653048" y="2592171"/>
          <a:ext cx="191122" cy="330911"/>
        </a:xfrm>
        <a:prstGeom prst="rightArrow">
          <a:avLst>
            <a:gd name="adj1" fmla="val 60000"/>
            <a:gd name="adj2" fmla="val 50000"/>
          </a:avLst>
        </a:prstGeom>
        <a:solidFill>
          <a:schemeClr val="accent4">
            <a:hueOff val="4900445"/>
            <a:satOff val="-20388"/>
            <a:lumOff val="4804"/>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kern="1200"/>
        </a:p>
      </dsp:txBody>
      <dsp:txXfrm rot="10800000">
        <a:off x="2710385" y="2658353"/>
        <a:ext cx="133785" cy="198547"/>
      </dsp:txXfrm>
    </dsp:sp>
    <dsp:sp modelId="{B1DFAFBA-7C7E-4B84-81F3-4E45D1A8ED5B}">
      <dsp:nvSpPr>
        <dsp:cNvPr id="0" name=""/>
        <dsp:cNvSpPr/>
      </dsp:nvSpPr>
      <dsp:spPr>
        <a:xfrm>
          <a:off x="1450169" y="2267387"/>
          <a:ext cx="1112726" cy="980479"/>
        </a:xfrm>
        <a:prstGeom prst="ellipse">
          <a:avLst/>
        </a:prstGeom>
        <a:solidFill>
          <a:schemeClr val="accent4">
            <a:hueOff val="7350668"/>
            <a:satOff val="-30583"/>
            <a:lumOff val="7206"/>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kern="1200">
              <a:solidFill>
                <a:sysClr val="windowText" lastClr="000000"/>
              </a:solidFill>
              <a:latin typeface="Times New Roman" panose="02020603050405020304" pitchFamily="18" charset="0"/>
              <a:cs typeface="Times New Roman" panose="02020603050405020304" pitchFamily="18" charset="0"/>
            </a:rPr>
            <a:t>Relevant</a:t>
          </a:r>
        </a:p>
      </dsp:txBody>
      <dsp:txXfrm>
        <a:off x="1613124" y="2410975"/>
        <a:ext cx="786816" cy="693303"/>
      </dsp:txXfrm>
    </dsp:sp>
    <dsp:sp modelId="{2E100885-FE0C-4225-88A6-53699C1E2260}">
      <dsp:nvSpPr>
        <dsp:cNvPr id="0" name=""/>
        <dsp:cNvSpPr/>
      </dsp:nvSpPr>
      <dsp:spPr>
        <a:xfrm rot="15120000">
          <a:off x="1653337" y="1898438"/>
          <a:ext cx="255575" cy="330911"/>
        </a:xfrm>
        <a:prstGeom prst="rightArrow">
          <a:avLst>
            <a:gd name="adj1" fmla="val 60000"/>
            <a:gd name="adj2" fmla="val 50000"/>
          </a:avLst>
        </a:prstGeom>
        <a:solidFill>
          <a:schemeClr val="accent4">
            <a:hueOff val="7350668"/>
            <a:satOff val="-30583"/>
            <a:lumOff val="7206"/>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kern="1200"/>
        </a:p>
      </dsp:txBody>
      <dsp:txXfrm rot="10800000">
        <a:off x="1703519" y="2001080"/>
        <a:ext cx="178903" cy="198547"/>
      </dsp:txXfrm>
    </dsp:sp>
    <dsp:sp modelId="{A564A97B-EEB1-4669-AC57-6F7B8BC50745}">
      <dsp:nvSpPr>
        <dsp:cNvPr id="0" name=""/>
        <dsp:cNvSpPr/>
      </dsp:nvSpPr>
      <dsp:spPr>
        <a:xfrm>
          <a:off x="994883" y="866162"/>
          <a:ext cx="1112726" cy="980479"/>
        </a:xfrm>
        <a:prstGeom prst="ellipse">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kern="1200">
              <a:solidFill>
                <a:sysClr val="windowText" lastClr="000000"/>
              </a:solidFill>
              <a:latin typeface="Times New Roman" panose="02020603050405020304" pitchFamily="18" charset="0"/>
              <a:cs typeface="Times New Roman" panose="02020603050405020304" pitchFamily="18" charset="0"/>
            </a:rPr>
            <a:t>Time-bound</a:t>
          </a:r>
        </a:p>
      </dsp:txBody>
      <dsp:txXfrm>
        <a:off x="1157838" y="1009750"/>
        <a:ext cx="786816" cy="693303"/>
      </dsp:txXfrm>
    </dsp:sp>
    <dsp:sp modelId="{C9E370D4-83DD-4BD8-851F-0477C2D64F51}">
      <dsp:nvSpPr>
        <dsp:cNvPr id="0" name=""/>
        <dsp:cNvSpPr/>
      </dsp:nvSpPr>
      <dsp:spPr>
        <a:xfrm rot="19440000">
          <a:off x="2033004" y="761578"/>
          <a:ext cx="218435" cy="330911"/>
        </a:xfrm>
        <a:prstGeom prst="rightArrow">
          <a:avLst>
            <a:gd name="adj1" fmla="val 60000"/>
            <a:gd name="adj2" fmla="val 50000"/>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kern="1200"/>
        </a:p>
      </dsp:txBody>
      <dsp:txXfrm>
        <a:off x="2039262" y="847019"/>
        <a:ext cx="152905" cy="19854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6A4F9C-E54A-4CB2-B846-CE19ADCB8770}">
      <dsp:nvSpPr>
        <dsp:cNvPr id="0" name=""/>
        <dsp:cNvSpPr/>
      </dsp:nvSpPr>
      <dsp:spPr>
        <a:xfrm>
          <a:off x="0" y="241184"/>
          <a:ext cx="4848225"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17660682-FC0E-44E3-94DA-353F32BB0A5A}">
      <dsp:nvSpPr>
        <dsp:cNvPr id="0" name=""/>
        <dsp:cNvSpPr/>
      </dsp:nvSpPr>
      <dsp:spPr>
        <a:xfrm>
          <a:off x="242411" y="34544"/>
          <a:ext cx="3393757" cy="413280"/>
        </a:xfrm>
        <a:prstGeom prst="roundRect">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8276" tIns="0" rIns="128276" bIns="0" numCol="1" spcCol="1270" anchor="ctr" anchorCtr="0">
          <a:noAutofit/>
        </a:bodyPr>
        <a:lstStyle/>
        <a:p>
          <a:pPr marL="0" lvl="0" indent="0" algn="l" defTabSz="622300">
            <a:lnSpc>
              <a:spcPct val="90000"/>
            </a:lnSpc>
            <a:spcBef>
              <a:spcPct val="0"/>
            </a:spcBef>
            <a:spcAft>
              <a:spcPct val="35000"/>
            </a:spcAft>
            <a:buNone/>
          </a:pPr>
          <a:r>
            <a:rPr lang="en-IN" sz="1400" b="1" kern="1200">
              <a:solidFill>
                <a:sysClr val="windowText" lastClr="000000"/>
              </a:solidFill>
              <a:latin typeface="Times New Roman" panose="02020603050405020304" pitchFamily="18" charset="0"/>
              <a:cs typeface="Times New Roman" panose="02020603050405020304" pitchFamily="18" charset="0"/>
            </a:rPr>
            <a:t>Social media marketing</a:t>
          </a:r>
        </a:p>
      </dsp:txBody>
      <dsp:txXfrm>
        <a:off x="262586" y="54719"/>
        <a:ext cx="3353407" cy="372930"/>
      </dsp:txXfrm>
    </dsp:sp>
    <dsp:sp modelId="{8093AA35-8162-459A-8146-FBFD4F4AF455}">
      <dsp:nvSpPr>
        <dsp:cNvPr id="0" name=""/>
        <dsp:cNvSpPr/>
      </dsp:nvSpPr>
      <dsp:spPr>
        <a:xfrm>
          <a:off x="0" y="876224"/>
          <a:ext cx="4848225"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C90104E6-85DD-4915-9256-BD0726E5CF3F}">
      <dsp:nvSpPr>
        <dsp:cNvPr id="0" name=""/>
        <dsp:cNvSpPr/>
      </dsp:nvSpPr>
      <dsp:spPr>
        <a:xfrm>
          <a:off x="242411" y="669584"/>
          <a:ext cx="3393757" cy="413280"/>
        </a:xfrm>
        <a:prstGeom prst="roundRect">
          <a:avLst/>
        </a:prstGeom>
        <a:solidFill>
          <a:schemeClr val="accent5">
            <a:hueOff val="-2252848"/>
            <a:satOff val="-5806"/>
            <a:lumOff val="-392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8276" tIns="0" rIns="128276" bIns="0" numCol="1" spcCol="1270" anchor="ctr" anchorCtr="0">
          <a:noAutofit/>
        </a:bodyPr>
        <a:lstStyle/>
        <a:p>
          <a:pPr marL="0" lvl="0" indent="0" algn="l" defTabSz="622300">
            <a:lnSpc>
              <a:spcPct val="90000"/>
            </a:lnSpc>
            <a:spcBef>
              <a:spcPct val="0"/>
            </a:spcBef>
            <a:spcAft>
              <a:spcPct val="35000"/>
            </a:spcAft>
            <a:buNone/>
          </a:pPr>
          <a:r>
            <a:rPr lang="en-IN" sz="1400" b="1" kern="1200">
              <a:solidFill>
                <a:sysClr val="windowText" lastClr="000000"/>
              </a:solidFill>
              <a:latin typeface="Times New Roman" panose="02020603050405020304" pitchFamily="18" charset="0"/>
              <a:cs typeface="Times New Roman" panose="02020603050405020304" pitchFamily="18" charset="0"/>
            </a:rPr>
            <a:t>Event listing processes </a:t>
          </a:r>
        </a:p>
      </dsp:txBody>
      <dsp:txXfrm>
        <a:off x="262586" y="689759"/>
        <a:ext cx="3353407" cy="372930"/>
      </dsp:txXfrm>
    </dsp:sp>
    <dsp:sp modelId="{CA743CB7-1605-4540-A0F0-D4C70F988C64}">
      <dsp:nvSpPr>
        <dsp:cNvPr id="0" name=""/>
        <dsp:cNvSpPr/>
      </dsp:nvSpPr>
      <dsp:spPr>
        <a:xfrm>
          <a:off x="0" y="1511264"/>
          <a:ext cx="4848225"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DD6B8534-899D-46EF-81E3-B2F237A04A70}">
      <dsp:nvSpPr>
        <dsp:cNvPr id="0" name=""/>
        <dsp:cNvSpPr/>
      </dsp:nvSpPr>
      <dsp:spPr>
        <a:xfrm>
          <a:off x="242411" y="1304625"/>
          <a:ext cx="3393757" cy="413280"/>
        </a:xfrm>
        <a:prstGeom prst="roundRect">
          <a:avLst/>
        </a:prstGeom>
        <a:solidFill>
          <a:schemeClr val="accent5">
            <a:hueOff val="-4505695"/>
            <a:satOff val="-11613"/>
            <a:lumOff val="-784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8276" tIns="0" rIns="128276" bIns="0" numCol="1" spcCol="1270" anchor="ctr" anchorCtr="0">
          <a:noAutofit/>
        </a:bodyPr>
        <a:lstStyle/>
        <a:p>
          <a:pPr marL="0" lvl="0" indent="0" algn="l" defTabSz="622300">
            <a:lnSpc>
              <a:spcPct val="90000"/>
            </a:lnSpc>
            <a:spcBef>
              <a:spcPct val="0"/>
            </a:spcBef>
            <a:spcAft>
              <a:spcPct val="35000"/>
            </a:spcAft>
            <a:buNone/>
          </a:pPr>
          <a:r>
            <a:rPr lang="en-IN" sz="1400" b="1" kern="1200">
              <a:solidFill>
                <a:sysClr val="windowText" lastClr="000000"/>
              </a:solidFill>
              <a:latin typeface="Times New Roman" panose="02020603050405020304" pitchFamily="18" charset="0"/>
              <a:cs typeface="Times New Roman" panose="02020603050405020304" pitchFamily="18" charset="0"/>
            </a:rPr>
            <a:t>Influencer marketing </a:t>
          </a:r>
        </a:p>
      </dsp:txBody>
      <dsp:txXfrm>
        <a:off x="262586" y="1324800"/>
        <a:ext cx="3353407" cy="372930"/>
      </dsp:txXfrm>
    </dsp:sp>
    <dsp:sp modelId="{20CFAE98-6966-4DAA-8ECE-0E4FB018BE34}">
      <dsp:nvSpPr>
        <dsp:cNvPr id="0" name=""/>
        <dsp:cNvSpPr/>
      </dsp:nvSpPr>
      <dsp:spPr>
        <a:xfrm>
          <a:off x="0" y="2146305"/>
          <a:ext cx="4848225"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2CB86E66-8990-4B07-908D-027E7CFAF237}">
      <dsp:nvSpPr>
        <dsp:cNvPr id="0" name=""/>
        <dsp:cNvSpPr/>
      </dsp:nvSpPr>
      <dsp:spPr>
        <a:xfrm>
          <a:off x="242411" y="1939665"/>
          <a:ext cx="3393757" cy="413280"/>
        </a:xfrm>
        <a:prstGeom prst="roundRect">
          <a:avLst/>
        </a:prstGeom>
        <a:solidFill>
          <a:schemeClr val="accent5">
            <a:hueOff val="-6758543"/>
            <a:satOff val="-17419"/>
            <a:lumOff val="-11765"/>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8276" tIns="0" rIns="128276" bIns="0" numCol="1" spcCol="1270" anchor="ctr" anchorCtr="0">
          <a:noAutofit/>
        </a:bodyPr>
        <a:lstStyle/>
        <a:p>
          <a:pPr marL="0" lvl="0" indent="0" algn="l" defTabSz="622300">
            <a:lnSpc>
              <a:spcPct val="90000"/>
            </a:lnSpc>
            <a:spcBef>
              <a:spcPct val="0"/>
            </a:spcBef>
            <a:spcAft>
              <a:spcPct val="35000"/>
            </a:spcAft>
            <a:buNone/>
          </a:pPr>
          <a:r>
            <a:rPr lang="en-IN" sz="1400" b="1" kern="1200">
              <a:solidFill>
                <a:sysClr val="windowText" lastClr="000000"/>
              </a:solidFill>
              <a:latin typeface="Times New Roman" panose="02020603050405020304" pitchFamily="18" charset="0"/>
              <a:cs typeface="Times New Roman" panose="02020603050405020304" pitchFamily="18" charset="0"/>
            </a:rPr>
            <a:t>Printed and e-mail marketing</a:t>
          </a:r>
        </a:p>
      </dsp:txBody>
      <dsp:txXfrm>
        <a:off x="262586" y="1959840"/>
        <a:ext cx="3353407" cy="37293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264D1C-56A4-43A4-A19C-1CCB1F38AEB0}">
      <dsp:nvSpPr>
        <dsp:cNvPr id="0" name=""/>
        <dsp:cNvSpPr/>
      </dsp:nvSpPr>
      <dsp:spPr>
        <a:xfrm>
          <a:off x="0" y="0"/>
          <a:ext cx="1857374" cy="1857374"/>
        </a:xfrm>
        <a:prstGeom prst="pie">
          <a:avLst>
            <a:gd name="adj1" fmla="val 5400000"/>
            <a:gd name="adj2" fmla="val 1620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FAA169A1-C1AA-4285-ADF6-C46311D46089}">
      <dsp:nvSpPr>
        <dsp:cNvPr id="0" name=""/>
        <dsp:cNvSpPr/>
      </dsp:nvSpPr>
      <dsp:spPr>
        <a:xfrm>
          <a:off x="928687" y="0"/>
          <a:ext cx="3328987" cy="1857374"/>
        </a:xfrm>
        <a:prstGeom prst="rect">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kern="1200">
              <a:latin typeface="Times New Roman" panose="02020603050405020304" pitchFamily="18" charset="0"/>
              <a:cs typeface="Times New Roman" panose="02020603050405020304" pitchFamily="18" charset="0"/>
            </a:rPr>
            <a:t>After effect of COVID-19 pandemic</a:t>
          </a:r>
        </a:p>
      </dsp:txBody>
      <dsp:txXfrm>
        <a:off x="928687" y="0"/>
        <a:ext cx="3328987" cy="394692"/>
      </dsp:txXfrm>
    </dsp:sp>
    <dsp:sp modelId="{7EB3E8DC-1F8E-4A0D-971C-9F334900523F}">
      <dsp:nvSpPr>
        <dsp:cNvPr id="0" name=""/>
        <dsp:cNvSpPr/>
      </dsp:nvSpPr>
      <dsp:spPr>
        <a:xfrm>
          <a:off x="243780" y="394692"/>
          <a:ext cx="1369814" cy="1369814"/>
        </a:xfrm>
        <a:prstGeom prst="pie">
          <a:avLst>
            <a:gd name="adj1" fmla="val 5400000"/>
            <a:gd name="adj2" fmla="val 16200000"/>
          </a:avLst>
        </a:prstGeom>
        <a:gradFill rotWithShape="0">
          <a:gsLst>
            <a:gs pos="0">
              <a:schemeClr val="accent4">
                <a:hueOff val="3266964"/>
                <a:satOff val="-13592"/>
                <a:lumOff val="3203"/>
                <a:alphaOff val="0"/>
                <a:satMod val="103000"/>
                <a:lumMod val="102000"/>
                <a:tint val="94000"/>
              </a:schemeClr>
            </a:gs>
            <a:gs pos="50000">
              <a:schemeClr val="accent4">
                <a:hueOff val="3266964"/>
                <a:satOff val="-13592"/>
                <a:lumOff val="3203"/>
                <a:alphaOff val="0"/>
                <a:satMod val="110000"/>
                <a:lumMod val="100000"/>
                <a:shade val="100000"/>
              </a:schemeClr>
            </a:gs>
            <a:gs pos="100000">
              <a:schemeClr val="accent4">
                <a:hueOff val="3266964"/>
                <a:satOff val="-13592"/>
                <a:lumOff val="320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97A4B5E1-973A-4911-99C8-B3D3E3BABF5E}">
      <dsp:nvSpPr>
        <dsp:cNvPr id="0" name=""/>
        <dsp:cNvSpPr/>
      </dsp:nvSpPr>
      <dsp:spPr>
        <a:xfrm>
          <a:off x="928687" y="394692"/>
          <a:ext cx="3328987" cy="1369814"/>
        </a:xfrm>
        <a:prstGeom prst="rect">
          <a:avLst/>
        </a:prstGeom>
        <a:solidFill>
          <a:schemeClr val="lt1">
            <a:alpha val="90000"/>
            <a:hueOff val="0"/>
            <a:satOff val="0"/>
            <a:lumOff val="0"/>
            <a:alphaOff val="0"/>
          </a:schemeClr>
        </a:solidFill>
        <a:ln w="6350" cap="flat" cmpd="sng" algn="ctr">
          <a:solidFill>
            <a:schemeClr val="accent4">
              <a:hueOff val="3266964"/>
              <a:satOff val="-13592"/>
              <a:lumOff val="3203"/>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kern="1200">
              <a:latin typeface="Times New Roman" panose="02020603050405020304" pitchFamily="18" charset="0"/>
              <a:cs typeface="Times New Roman" panose="02020603050405020304" pitchFamily="18" charset="0"/>
            </a:rPr>
            <a:t>Cultural interconnectedness</a:t>
          </a:r>
        </a:p>
      </dsp:txBody>
      <dsp:txXfrm>
        <a:off x="928687" y="394692"/>
        <a:ext cx="3328987" cy="394692"/>
      </dsp:txXfrm>
    </dsp:sp>
    <dsp:sp modelId="{76F0B9A1-220D-4A80-9170-AD471CB12F5E}">
      <dsp:nvSpPr>
        <dsp:cNvPr id="0" name=""/>
        <dsp:cNvSpPr/>
      </dsp:nvSpPr>
      <dsp:spPr>
        <a:xfrm>
          <a:off x="487560" y="789384"/>
          <a:ext cx="882253" cy="882253"/>
        </a:xfrm>
        <a:prstGeom prst="pie">
          <a:avLst>
            <a:gd name="adj1" fmla="val 5400000"/>
            <a:gd name="adj2" fmla="val 16200000"/>
          </a:avLst>
        </a:prstGeom>
        <a:gradFill rotWithShape="0">
          <a:gsLst>
            <a:gs pos="0">
              <a:schemeClr val="accent4">
                <a:hueOff val="6533927"/>
                <a:satOff val="-27185"/>
                <a:lumOff val="6405"/>
                <a:alphaOff val="0"/>
                <a:satMod val="103000"/>
                <a:lumMod val="102000"/>
                <a:tint val="94000"/>
              </a:schemeClr>
            </a:gs>
            <a:gs pos="50000">
              <a:schemeClr val="accent4">
                <a:hueOff val="6533927"/>
                <a:satOff val="-27185"/>
                <a:lumOff val="6405"/>
                <a:alphaOff val="0"/>
                <a:satMod val="110000"/>
                <a:lumMod val="100000"/>
                <a:shade val="100000"/>
              </a:schemeClr>
            </a:gs>
            <a:gs pos="100000">
              <a:schemeClr val="accent4">
                <a:hueOff val="6533927"/>
                <a:satOff val="-27185"/>
                <a:lumOff val="640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074C487-9CD9-4F58-868F-4040534260D3}">
      <dsp:nvSpPr>
        <dsp:cNvPr id="0" name=""/>
        <dsp:cNvSpPr/>
      </dsp:nvSpPr>
      <dsp:spPr>
        <a:xfrm>
          <a:off x="928687" y="789384"/>
          <a:ext cx="3328987" cy="882253"/>
        </a:xfrm>
        <a:prstGeom prst="rect">
          <a:avLst/>
        </a:prstGeom>
        <a:solidFill>
          <a:schemeClr val="lt1">
            <a:alpha val="90000"/>
            <a:hueOff val="0"/>
            <a:satOff val="0"/>
            <a:lumOff val="0"/>
            <a:alphaOff val="0"/>
          </a:schemeClr>
        </a:solidFill>
        <a:ln w="6350" cap="flat" cmpd="sng" algn="ctr">
          <a:solidFill>
            <a:schemeClr val="accent4">
              <a:hueOff val="6533927"/>
              <a:satOff val="-27185"/>
              <a:lumOff val="6405"/>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kern="1200">
              <a:latin typeface="Times New Roman" panose="02020603050405020304" pitchFamily="18" charset="0"/>
              <a:cs typeface="Times New Roman" panose="02020603050405020304" pitchFamily="18" charset="0"/>
            </a:rPr>
            <a:t>Sustainability management </a:t>
          </a:r>
        </a:p>
      </dsp:txBody>
      <dsp:txXfrm>
        <a:off x="928687" y="789384"/>
        <a:ext cx="3328987" cy="394692"/>
      </dsp:txXfrm>
    </dsp:sp>
    <dsp:sp modelId="{7B05F533-B1CC-41FE-B6C8-13FF679EC968}">
      <dsp:nvSpPr>
        <dsp:cNvPr id="0" name=""/>
        <dsp:cNvSpPr/>
      </dsp:nvSpPr>
      <dsp:spPr>
        <a:xfrm>
          <a:off x="731341" y="1184076"/>
          <a:ext cx="394692" cy="394692"/>
        </a:xfrm>
        <a:prstGeom prst="pie">
          <a:avLst>
            <a:gd name="adj1" fmla="val 5400000"/>
            <a:gd name="adj2" fmla="val 16200000"/>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218770F2-94D5-44BF-9403-83C62D3F0B91}">
      <dsp:nvSpPr>
        <dsp:cNvPr id="0" name=""/>
        <dsp:cNvSpPr/>
      </dsp:nvSpPr>
      <dsp:spPr>
        <a:xfrm>
          <a:off x="928687" y="1184076"/>
          <a:ext cx="3328987" cy="394692"/>
        </a:xfrm>
        <a:prstGeom prst="rect">
          <a:avLst/>
        </a:prstGeom>
        <a:solidFill>
          <a:schemeClr val="lt1">
            <a:alpha val="90000"/>
            <a:hueOff val="0"/>
            <a:satOff val="0"/>
            <a:lumOff val="0"/>
            <a:alphaOff val="0"/>
          </a:schemeClr>
        </a:solidFill>
        <a:ln w="6350" cap="flat" cmpd="sng" algn="ctr">
          <a:solidFill>
            <a:schemeClr val="accent4">
              <a:hueOff val="9800891"/>
              <a:satOff val="-40777"/>
              <a:lumOff val="9608"/>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kern="1200">
              <a:latin typeface="Times New Roman" panose="02020603050405020304" pitchFamily="18" charset="0"/>
              <a:cs typeface="Times New Roman" panose="02020603050405020304" pitchFamily="18" charset="0"/>
            </a:rPr>
            <a:t>Cultural diversity and inclusivity</a:t>
          </a:r>
        </a:p>
      </dsp:txBody>
      <dsp:txXfrm>
        <a:off x="928687" y="1184076"/>
        <a:ext cx="3328987" cy="394692"/>
      </dsp:txXfrm>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85FA4-9704-4C3F-AF12-6BDD0D3D6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3812</Words>
  <Characters>21733</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Madalina Cananau (2243593)</cp:lastModifiedBy>
  <cp:revision>2</cp:revision>
  <dcterms:created xsi:type="dcterms:W3CDTF">2025-11-05T19:41:00Z</dcterms:created>
  <dcterms:modified xsi:type="dcterms:W3CDTF">2025-11-05T19:41:00Z</dcterms:modified>
</cp:coreProperties>
</file>