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48E9" w14:textId="71917328" w:rsidR="00DE67C2" w:rsidRDefault="00DE67C2">
      <w:pPr>
        <w:pStyle w:val="NormalWeb"/>
        <w:rPr>
          <w:rFonts w:ascii="Arial" w:hAnsi="Arial" w:cs="Arial"/>
          <w:color w:val="303B44"/>
          <w:sz w:val="22"/>
          <w:szCs w:val="22"/>
        </w:rPr>
      </w:pPr>
    </w:p>
    <w:p w14:paraId="0967E9AB" w14:textId="77777777" w:rsidR="008B1369" w:rsidRPr="008B1369" w:rsidRDefault="008B1369" w:rsidP="00D36301">
      <w:pPr>
        <w:pStyle w:val="NormalWeb"/>
        <w:ind w:left="720" w:firstLine="720"/>
        <w:rPr>
          <w:rFonts w:ascii="Arial" w:hAnsi="Arial" w:cs="Arial"/>
          <w:color w:val="303B44"/>
          <w:sz w:val="22"/>
          <w:szCs w:val="22"/>
        </w:rPr>
      </w:pPr>
      <w:r w:rsidRPr="008B1369">
        <w:rPr>
          <w:rFonts w:ascii="Arial" w:hAnsi="Arial" w:cs="Arial"/>
          <w:color w:val="303B44"/>
          <w:sz w:val="22"/>
          <w:szCs w:val="22"/>
        </w:rPr>
        <w:t xml:space="preserve">  Student: Petruta Buliga</w:t>
      </w:r>
    </w:p>
    <w:p w14:paraId="727BFA51" w14:textId="77777777" w:rsidR="008B1369" w:rsidRPr="008B1369" w:rsidRDefault="008B1369" w:rsidP="008B1369">
      <w:pPr>
        <w:pStyle w:val="NormalWeb"/>
        <w:rPr>
          <w:rFonts w:ascii="Arial" w:hAnsi="Arial" w:cs="Arial"/>
          <w:color w:val="303B44"/>
          <w:sz w:val="22"/>
          <w:szCs w:val="22"/>
        </w:rPr>
      </w:pPr>
    </w:p>
    <w:p w14:paraId="193EF448" w14:textId="77777777" w:rsidR="008B1369" w:rsidRPr="008B1369" w:rsidRDefault="008B1369" w:rsidP="008B1369">
      <w:pPr>
        <w:pStyle w:val="NormalWeb"/>
        <w:rPr>
          <w:rFonts w:ascii="Arial" w:hAnsi="Arial" w:cs="Arial"/>
          <w:color w:val="303B44"/>
          <w:sz w:val="22"/>
          <w:szCs w:val="22"/>
        </w:rPr>
      </w:pPr>
    </w:p>
    <w:p w14:paraId="1F2E3591" w14:textId="77777777" w:rsidR="008B1369" w:rsidRPr="008B1369" w:rsidRDefault="008B1369" w:rsidP="008B1369">
      <w:pPr>
        <w:pStyle w:val="NormalWeb"/>
        <w:rPr>
          <w:rFonts w:ascii="Arial" w:hAnsi="Arial" w:cs="Arial"/>
          <w:color w:val="303B44"/>
          <w:sz w:val="22"/>
          <w:szCs w:val="22"/>
        </w:rPr>
      </w:pPr>
    </w:p>
    <w:p w14:paraId="4AC9B31F" w14:textId="77777777" w:rsidR="008B1369" w:rsidRPr="008B1369" w:rsidRDefault="008B1369" w:rsidP="008B1369">
      <w:pPr>
        <w:pStyle w:val="NormalWeb"/>
        <w:rPr>
          <w:rFonts w:ascii="Arial" w:hAnsi="Arial" w:cs="Arial"/>
          <w:color w:val="303B44"/>
          <w:sz w:val="22"/>
          <w:szCs w:val="22"/>
        </w:rPr>
      </w:pPr>
    </w:p>
    <w:p w14:paraId="36E995FD" w14:textId="77777777" w:rsidR="008B1369" w:rsidRPr="008B1369" w:rsidRDefault="008B1369" w:rsidP="001E298A">
      <w:pPr>
        <w:pStyle w:val="NormalWeb"/>
        <w:ind w:firstLine="720"/>
        <w:rPr>
          <w:rFonts w:ascii="Arial" w:hAnsi="Arial" w:cs="Arial"/>
          <w:color w:val="303B44"/>
          <w:sz w:val="22"/>
          <w:szCs w:val="22"/>
        </w:rPr>
      </w:pPr>
      <w:r w:rsidRPr="008B1369">
        <w:rPr>
          <w:rFonts w:ascii="Arial" w:hAnsi="Arial" w:cs="Arial"/>
          <w:color w:val="303B44"/>
          <w:sz w:val="22"/>
          <w:szCs w:val="22"/>
        </w:rPr>
        <w:t>Student number: 2238985</w:t>
      </w:r>
    </w:p>
    <w:p w14:paraId="3A2BC9B3" w14:textId="77777777" w:rsidR="008B1369" w:rsidRPr="008B1369" w:rsidRDefault="008B1369" w:rsidP="008B1369">
      <w:pPr>
        <w:pStyle w:val="NormalWeb"/>
        <w:rPr>
          <w:rFonts w:ascii="Arial" w:hAnsi="Arial" w:cs="Arial"/>
          <w:color w:val="303B44"/>
          <w:sz w:val="22"/>
          <w:szCs w:val="22"/>
        </w:rPr>
      </w:pPr>
    </w:p>
    <w:p w14:paraId="3CE5BA1C" w14:textId="77777777" w:rsidR="008B1369" w:rsidRPr="008B1369" w:rsidRDefault="008B1369" w:rsidP="008B1369">
      <w:pPr>
        <w:pStyle w:val="NormalWeb"/>
        <w:rPr>
          <w:rFonts w:ascii="Arial" w:hAnsi="Arial" w:cs="Arial"/>
          <w:color w:val="303B44"/>
          <w:sz w:val="22"/>
          <w:szCs w:val="22"/>
        </w:rPr>
      </w:pPr>
    </w:p>
    <w:p w14:paraId="54219518" w14:textId="77777777" w:rsidR="008B1369" w:rsidRPr="008B1369" w:rsidRDefault="008B1369" w:rsidP="008B1369">
      <w:pPr>
        <w:pStyle w:val="NormalWeb"/>
        <w:rPr>
          <w:rFonts w:ascii="Arial" w:hAnsi="Arial" w:cs="Arial"/>
          <w:color w:val="303B44"/>
          <w:sz w:val="22"/>
          <w:szCs w:val="22"/>
        </w:rPr>
      </w:pPr>
    </w:p>
    <w:p w14:paraId="27619A27" w14:textId="43E79744" w:rsidR="008B1369" w:rsidRPr="008B1369" w:rsidRDefault="008B1369" w:rsidP="0027779D">
      <w:pPr>
        <w:pStyle w:val="NormalWeb"/>
        <w:ind w:left="720" w:firstLine="720"/>
        <w:rPr>
          <w:rFonts w:ascii="Arial" w:hAnsi="Arial" w:cs="Arial"/>
          <w:color w:val="303B44"/>
          <w:sz w:val="22"/>
          <w:szCs w:val="22"/>
        </w:rPr>
      </w:pPr>
      <w:r w:rsidRPr="008B1369">
        <w:rPr>
          <w:rFonts w:ascii="Arial" w:hAnsi="Arial" w:cs="Arial"/>
          <w:color w:val="303B44"/>
          <w:sz w:val="22"/>
          <w:szCs w:val="22"/>
        </w:rPr>
        <w:t xml:space="preserve">Programme: </w:t>
      </w:r>
      <w:r w:rsidR="00760C88" w:rsidRPr="00760C88">
        <w:rPr>
          <w:rFonts w:ascii="Arial" w:hAnsi="Arial" w:cs="Arial"/>
          <w:color w:val="303B44"/>
          <w:sz w:val="22"/>
          <w:szCs w:val="22"/>
        </w:rPr>
        <w:t>BSc (Hon) Professional Policing</w:t>
      </w:r>
    </w:p>
    <w:p w14:paraId="66639B3D" w14:textId="77777777" w:rsidR="008B1369" w:rsidRPr="008B1369" w:rsidRDefault="008B1369" w:rsidP="008B1369">
      <w:pPr>
        <w:pStyle w:val="NormalWeb"/>
        <w:rPr>
          <w:rFonts w:ascii="Arial" w:hAnsi="Arial" w:cs="Arial"/>
          <w:color w:val="303B44"/>
          <w:sz w:val="22"/>
          <w:szCs w:val="22"/>
        </w:rPr>
      </w:pPr>
    </w:p>
    <w:p w14:paraId="16476188" w14:textId="77777777" w:rsidR="008B1369" w:rsidRPr="008B1369" w:rsidRDefault="008B1369" w:rsidP="008B1369">
      <w:pPr>
        <w:pStyle w:val="NormalWeb"/>
        <w:rPr>
          <w:rFonts w:ascii="Arial" w:hAnsi="Arial" w:cs="Arial"/>
          <w:color w:val="303B44"/>
          <w:sz w:val="22"/>
          <w:szCs w:val="22"/>
        </w:rPr>
      </w:pPr>
    </w:p>
    <w:p w14:paraId="4B75673C" w14:textId="77777777" w:rsidR="008B1369" w:rsidRPr="008B1369" w:rsidRDefault="008B1369" w:rsidP="008B1369">
      <w:pPr>
        <w:pStyle w:val="NormalWeb"/>
        <w:rPr>
          <w:rFonts w:ascii="Arial" w:hAnsi="Arial" w:cs="Arial"/>
          <w:color w:val="303B44"/>
          <w:sz w:val="22"/>
          <w:szCs w:val="22"/>
        </w:rPr>
      </w:pPr>
    </w:p>
    <w:p w14:paraId="720657EA" w14:textId="77777777" w:rsidR="008B1369" w:rsidRPr="008B1369" w:rsidRDefault="008B1369" w:rsidP="008B1369">
      <w:pPr>
        <w:pStyle w:val="NormalWeb"/>
        <w:rPr>
          <w:rFonts w:ascii="Arial" w:hAnsi="Arial" w:cs="Arial"/>
          <w:color w:val="303B44"/>
          <w:sz w:val="22"/>
          <w:szCs w:val="22"/>
        </w:rPr>
      </w:pPr>
    </w:p>
    <w:p w14:paraId="38ABAEF4" w14:textId="0EC3E51B" w:rsidR="008B1369" w:rsidRPr="008B1369" w:rsidRDefault="008B1369" w:rsidP="003C4AD4">
      <w:pPr>
        <w:pStyle w:val="NormalWeb"/>
        <w:ind w:firstLine="720"/>
        <w:rPr>
          <w:rFonts w:ascii="Arial" w:hAnsi="Arial" w:cs="Arial"/>
          <w:color w:val="303B44"/>
          <w:sz w:val="22"/>
          <w:szCs w:val="22"/>
        </w:rPr>
      </w:pPr>
      <w:r w:rsidRPr="008B1369">
        <w:rPr>
          <w:rFonts w:ascii="Arial" w:hAnsi="Arial" w:cs="Arial"/>
          <w:color w:val="303B44"/>
          <w:sz w:val="22"/>
          <w:szCs w:val="22"/>
        </w:rPr>
        <w:t xml:space="preserve">Module: </w:t>
      </w:r>
      <w:r w:rsidR="003C4AD4" w:rsidRPr="003C4AD4">
        <w:rPr>
          <w:rFonts w:ascii="Arial" w:hAnsi="Arial" w:cs="Arial"/>
          <w:color w:val="303B44"/>
          <w:sz w:val="22"/>
          <w:szCs w:val="22"/>
        </w:rPr>
        <w:t>BMPL 4002</w:t>
      </w:r>
      <w:r w:rsidR="00914FE9">
        <w:rPr>
          <w:rFonts w:ascii="Arial" w:hAnsi="Arial" w:cs="Arial"/>
          <w:color w:val="303B44"/>
          <w:sz w:val="22"/>
          <w:szCs w:val="22"/>
        </w:rPr>
        <w:t xml:space="preserve">, </w:t>
      </w:r>
      <w:r w:rsidR="00914FE9" w:rsidRPr="00914FE9">
        <w:rPr>
          <w:rFonts w:ascii="Arial" w:hAnsi="Arial" w:cs="Arial"/>
          <w:color w:val="303B44"/>
          <w:sz w:val="22"/>
          <w:szCs w:val="22"/>
        </w:rPr>
        <w:t>Preparing for Professional Police Practice</w:t>
      </w:r>
    </w:p>
    <w:p w14:paraId="2D639A30" w14:textId="77777777" w:rsidR="008B1369" w:rsidRPr="008B1369" w:rsidRDefault="008B1369" w:rsidP="008B1369">
      <w:pPr>
        <w:pStyle w:val="NormalWeb"/>
        <w:rPr>
          <w:rFonts w:ascii="Arial" w:hAnsi="Arial" w:cs="Arial"/>
          <w:color w:val="303B44"/>
          <w:sz w:val="22"/>
          <w:szCs w:val="22"/>
        </w:rPr>
      </w:pPr>
    </w:p>
    <w:p w14:paraId="611EEB38" w14:textId="77777777" w:rsidR="008B1369" w:rsidRPr="008B1369" w:rsidRDefault="008B1369" w:rsidP="008B1369">
      <w:pPr>
        <w:pStyle w:val="NormalWeb"/>
        <w:rPr>
          <w:rFonts w:ascii="Arial" w:hAnsi="Arial" w:cs="Arial"/>
          <w:color w:val="303B44"/>
          <w:sz w:val="22"/>
          <w:szCs w:val="22"/>
        </w:rPr>
      </w:pPr>
    </w:p>
    <w:p w14:paraId="7A329DA1" w14:textId="77777777" w:rsidR="008B1369" w:rsidRPr="008B1369" w:rsidRDefault="008B1369" w:rsidP="008B1369">
      <w:pPr>
        <w:pStyle w:val="NormalWeb"/>
        <w:rPr>
          <w:rFonts w:ascii="Arial" w:hAnsi="Arial" w:cs="Arial"/>
          <w:color w:val="303B44"/>
          <w:sz w:val="22"/>
          <w:szCs w:val="22"/>
        </w:rPr>
      </w:pPr>
    </w:p>
    <w:p w14:paraId="02D624F9" w14:textId="44BC7CD9" w:rsidR="008B1369" w:rsidRPr="008B1369" w:rsidRDefault="008B1369" w:rsidP="001E298A">
      <w:pPr>
        <w:pStyle w:val="NormalWeb"/>
        <w:ind w:left="720" w:firstLine="720"/>
        <w:rPr>
          <w:rFonts w:ascii="Arial" w:hAnsi="Arial" w:cs="Arial"/>
          <w:color w:val="303B44"/>
          <w:sz w:val="22"/>
          <w:szCs w:val="22"/>
        </w:rPr>
      </w:pPr>
      <w:r w:rsidRPr="008B1369">
        <w:rPr>
          <w:rFonts w:ascii="Arial" w:hAnsi="Arial" w:cs="Arial"/>
          <w:color w:val="303B44"/>
          <w:sz w:val="22"/>
          <w:szCs w:val="22"/>
        </w:rPr>
        <w:t xml:space="preserve">Lecturer: </w:t>
      </w:r>
      <w:r w:rsidR="00E36DAA" w:rsidRPr="00E36DAA">
        <w:rPr>
          <w:rFonts w:ascii="Arial" w:hAnsi="Arial" w:cs="Arial"/>
          <w:color w:val="303B44"/>
          <w:sz w:val="22"/>
          <w:szCs w:val="22"/>
        </w:rPr>
        <w:t>Kelly Andrews</w:t>
      </w:r>
    </w:p>
    <w:p w14:paraId="6C55251E" w14:textId="77777777" w:rsidR="008B1369" w:rsidRPr="008B1369" w:rsidRDefault="008B1369" w:rsidP="008B1369">
      <w:pPr>
        <w:pStyle w:val="NormalWeb"/>
        <w:rPr>
          <w:rFonts w:ascii="Arial" w:hAnsi="Arial" w:cs="Arial"/>
          <w:color w:val="303B44"/>
          <w:sz w:val="22"/>
          <w:szCs w:val="22"/>
        </w:rPr>
      </w:pPr>
    </w:p>
    <w:p w14:paraId="197DE6BD" w14:textId="77777777" w:rsidR="008B1369" w:rsidRPr="008B1369" w:rsidRDefault="008B1369" w:rsidP="008B1369">
      <w:pPr>
        <w:pStyle w:val="NormalWeb"/>
        <w:rPr>
          <w:rFonts w:ascii="Arial" w:hAnsi="Arial" w:cs="Arial"/>
          <w:color w:val="303B44"/>
          <w:sz w:val="22"/>
          <w:szCs w:val="22"/>
        </w:rPr>
      </w:pPr>
    </w:p>
    <w:p w14:paraId="0E09AE5D" w14:textId="77777777" w:rsidR="008B1369" w:rsidRPr="008B1369" w:rsidRDefault="008B1369" w:rsidP="008B1369">
      <w:pPr>
        <w:pStyle w:val="NormalWeb"/>
        <w:rPr>
          <w:rFonts w:ascii="Arial" w:hAnsi="Arial" w:cs="Arial"/>
          <w:color w:val="303B44"/>
          <w:sz w:val="22"/>
          <w:szCs w:val="22"/>
        </w:rPr>
      </w:pPr>
    </w:p>
    <w:p w14:paraId="2472E720" w14:textId="77777777" w:rsidR="008B1369" w:rsidRPr="008B1369" w:rsidRDefault="008B1369" w:rsidP="008B1369">
      <w:pPr>
        <w:pStyle w:val="NormalWeb"/>
        <w:rPr>
          <w:rFonts w:ascii="Arial" w:hAnsi="Arial" w:cs="Arial"/>
          <w:color w:val="303B44"/>
          <w:sz w:val="22"/>
          <w:szCs w:val="22"/>
        </w:rPr>
      </w:pPr>
    </w:p>
    <w:p w14:paraId="3C0395D3" w14:textId="53504783" w:rsidR="00DE67C2" w:rsidRDefault="008B1369" w:rsidP="00E402F8">
      <w:pPr>
        <w:pStyle w:val="NormalWeb"/>
        <w:ind w:firstLine="720"/>
        <w:rPr>
          <w:rFonts w:ascii="Arial" w:hAnsi="Arial" w:cs="Arial"/>
          <w:color w:val="303B44"/>
          <w:sz w:val="22"/>
          <w:szCs w:val="22"/>
        </w:rPr>
      </w:pPr>
      <w:r w:rsidRPr="008B1369">
        <w:rPr>
          <w:rFonts w:ascii="Arial" w:hAnsi="Arial" w:cs="Arial"/>
          <w:color w:val="303B44"/>
          <w:sz w:val="22"/>
          <w:szCs w:val="22"/>
        </w:rPr>
        <w:t xml:space="preserve">Assignment Title: </w:t>
      </w:r>
      <w:r w:rsidR="00E402F8" w:rsidRPr="00E402F8">
        <w:rPr>
          <w:rFonts w:ascii="Arial" w:hAnsi="Arial" w:cs="Arial"/>
          <w:color w:val="303B44"/>
          <w:sz w:val="22"/>
          <w:szCs w:val="22"/>
        </w:rPr>
        <w:t>Examine the concept of “policing by consent”, why is it important and how does it impact society.</w:t>
      </w: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75785E2C" w14:textId="77777777" w:rsidR="005953C0" w:rsidRDefault="005953C0">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5E93FC8D" w14:textId="7410B0D6" w:rsidR="00E83CB7" w:rsidRDefault="00E83CB7" w:rsidP="008C3AAE">
      <w:pPr>
        <w:pStyle w:val="NormalWeb"/>
        <w:ind w:firstLine="720"/>
        <w:rPr>
          <w:rFonts w:ascii="Arial" w:hAnsi="Arial" w:cs="Arial"/>
          <w:color w:val="303B44"/>
          <w:sz w:val="22"/>
          <w:szCs w:val="22"/>
        </w:rPr>
      </w:pPr>
      <w:r w:rsidRPr="00E83CB7">
        <w:rPr>
          <w:rFonts w:ascii="Arial" w:hAnsi="Arial" w:cs="Arial"/>
          <w:color w:val="303B44"/>
          <w:sz w:val="22"/>
          <w:szCs w:val="22"/>
        </w:rPr>
        <w:t>The act of policing is an essential component of every societal structure, as it ensures the well-being, protection, and establishment of a structured environment for the individuals within that society. The concept of 'police by consent' is widely recognised as a fundamental pillar in numerous democratic countries, amidst the diverse range of models and methods to policing. This essay aims to examine the concept of policing by consent, emphasising its significance and its influence on societal structures.</w:t>
      </w:r>
      <w:r w:rsidR="008C3AAE">
        <w:rPr>
          <w:rFonts w:ascii="Arial" w:hAnsi="Arial" w:cs="Arial"/>
          <w:color w:val="303B44"/>
          <w:sz w:val="22"/>
          <w:szCs w:val="22"/>
        </w:rPr>
        <w:t xml:space="preserve"> </w:t>
      </w:r>
      <w:r w:rsidR="0084060D" w:rsidRPr="0084060D">
        <w:rPr>
          <w:rFonts w:ascii="Arial" w:hAnsi="Arial" w:cs="Arial"/>
          <w:color w:val="303B44"/>
          <w:sz w:val="22"/>
          <w:szCs w:val="22"/>
        </w:rPr>
        <w:t>The concept of policing by consent does not pertain to the mere acquiescence towards a police force, but rather revolves around the notion that the legitimacy of the police is derived from the consent granted by the community they are tasked with serving (Reiner, 2010). In contrast to authoritarian frameworks that rely on fear or intimidation to maintain order, the police by consent approach places emphasis on community engagement, transparency, and mutual respect. The genesis of this paradigm can be attributed to the concepts delineated by Sir Robert Peel during the 19th century, which underscored the significance of public collaboration in the policing endeavour (Rowe, 2017).</w:t>
      </w:r>
    </w:p>
    <w:p w14:paraId="2797ABF7" w14:textId="2AF2B4E3" w:rsidR="000F4BC6" w:rsidRDefault="0048408D" w:rsidP="00DE31CB">
      <w:pPr>
        <w:pStyle w:val="NormalWeb"/>
        <w:ind w:firstLine="720"/>
        <w:rPr>
          <w:rFonts w:ascii="Arial" w:hAnsi="Arial" w:cs="Arial"/>
          <w:color w:val="303B44"/>
          <w:sz w:val="22"/>
          <w:szCs w:val="22"/>
        </w:rPr>
      </w:pPr>
      <w:r w:rsidRPr="0048408D">
        <w:rPr>
          <w:rFonts w:ascii="Arial" w:hAnsi="Arial" w:cs="Arial"/>
          <w:color w:val="303B44"/>
          <w:sz w:val="22"/>
          <w:szCs w:val="22"/>
        </w:rPr>
        <w:t>The practise of policing maintains a strong connection to the collective identity of a society and has the potential to evoke intense emotional attachment among its members. Police institutions possess the capacity to elicit, validate, strengthen, or potentially weaken the social connections and ideological frameworks of political societies. They notably function as a means by which individuals seek, receive, or are deprived of acknowledgment within these societies. According to Loader and Mulcahy (2003)</w:t>
      </w:r>
      <w:r w:rsidR="00DE31CB">
        <w:rPr>
          <w:rFonts w:ascii="Arial" w:hAnsi="Arial" w:cs="Arial"/>
          <w:color w:val="303B44"/>
          <w:sz w:val="22"/>
          <w:szCs w:val="22"/>
        </w:rPr>
        <w:t xml:space="preserve"> in</w:t>
      </w:r>
      <w:r w:rsidRPr="0048408D">
        <w:rPr>
          <w:rFonts w:ascii="Arial" w:hAnsi="Arial" w:cs="Arial"/>
          <w:color w:val="303B44"/>
          <w:sz w:val="22"/>
          <w:szCs w:val="22"/>
        </w:rPr>
        <w:t xml:space="preserve"> their work titled "</w:t>
      </w:r>
      <w:r w:rsidR="0061438D">
        <w:rPr>
          <w:rFonts w:ascii="Arial" w:hAnsi="Arial" w:cs="Arial"/>
          <w:color w:val="303B44"/>
          <w:sz w:val="22"/>
          <w:szCs w:val="22"/>
        </w:rPr>
        <w:t>P</w:t>
      </w:r>
      <w:r w:rsidRPr="0048408D">
        <w:rPr>
          <w:rFonts w:ascii="Arial" w:hAnsi="Arial" w:cs="Arial"/>
          <w:color w:val="303B44"/>
          <w:sz w:val="22"/>
          <w:szCs w:val="22"/>
        </w:rPr>
        <w:t xml:space="preserve">olice and the Condition of England," Loader and Mulcahy put up a compelling argument that supports the ongoing significance of a symbolic interpretation of police in Britain. This viewpoint is further supported by Loader's previous research in 2006. Acknowledging the argument put forth by Reiner (2010) regarding the desacralization of the police in contemporary society, as well as the perspective presented by Newburn (2003) that portrays the police as a conventional instrument of governance, it is evident that there remains a steadfast belief among scholars that the social construction and perception of policing still distinguishes it from other societal institutions. The object in question possesses a significant capacity for symbolism, particularly in relation to social identity, collective affiliation, and the potential for exclusion. Loader and Mulcahy (year) believe that policing serves as a mechanism through which individuals derive meaning from their own history and </w:t>
      </w:r>
      <w:r w:rsidR="00330790" w:rsidRPr="0048408D">
        <w:rPr>
          <w:rFonts w:ascii="Arial" w:hAnsi="Arial" w:cs="Arial"/>
          <w:color w:val="303B44"/>
          <w:sz w:val="22"/>
          <w:szCs w:val="22"/>
        </w:rPr>
        <w:t>prospects</w:t>
      </w:r>
      <w:r w:rsidRPr="0048408D">
        <w:rPr>
          <w:rFonts w:ascii="Arial" w:hAnsi="Arial" w:cs="Arial"/>
          <w:color w:val="303B44"/>
          <w:sz w:val="22"/>
          <w:szCs w:val="22"/>
        </w:rPr>
        <w:t xml:space="preserve">, while also facilitating the expression of communal identities. They further suggest that policing can be seen as a condensation symbol, as conceptualised by Turner (1974), representing and encapsulating these processes. The </w:t>
      </w:r>
      <w:r>
        <w:rPr>
          <w:rFonts w:ascii="Arial" w:hAnsi="Arial" w:cs="Arial"/>
          <w:color w:val="303B44"/>
          <w:sz w:val="22"/>
          <w:szCs w:val="22"/>
        </w:rPr>
        <w:t>mentioned</w:t>
      </w:r>
      <w:r w:rsidRPr="0048408D">
        <w:rPr>
          <w:rFonts w:ascii="Arial" w:hAnsi="Arial" w:cs="Arial"/>
          <w:color w:val="303B44"/>
          <w:sz w:val="22"/>
          <w:szCs w:val="22"/>
        </w:rPr>
        <w:t xml:space="preserve"> identities seem to converge in relation to a perception of local community that is, nevertheless, situated within the broader national framework (Girling et al., 2000).</w:t>
      </w:r>
    </w:p>
    <w:p w14:paraId="7920BFEA" w14:textId="77777777" w:rsidR="00D96A0E" w:rsidRPr="00D96A0E" w:rsidRDefault="00D96A0E" w:rsidP="00D96A0E">
      <w:pPr>
        <w:pStyle w:val="NormalWeb"/>
        <w:ind w:firstLine="720"/>
        <w:rPr>
          <w:rFonts w:ascii="Arial" w:hAnsi="Arial" w:cs="Arial"/>
          <w:color w:val="303B44"/>
          <w:sz w:val="22"/>
          <w:szCs w:val="22"/>
        </w:rPr>
      </w:pPr>
      <w:r w:rsidRPr="00D96A0E">
        <w:rPr>
          <w:rFonts w:ascii="Arial" w:hAnsi="Arial" w:cs="Arial"/>
          <w:color w:val="303B44"/>
          <w:sz w:val="22"/>
          <w:szCs w:val="22"/>
        </w:rPr>
        <w:t>The concept of "The Principles of Policing by Consent" refers to the fundamental tenets that underpin the relationship between law enforcement agencies and the communities they serve.</w:t>
      </w:r>
    </w:p>
    <w:p w14:paraId="4EF7BC9C" w14:textId="1E5973E6" w:rsidR="00D96A0E" w:rsidRPr="00D96A0E" w:rsidRDefault="00D96A0E" w:rsidP="002B748D">
      <w:pPr>
        <w:pStyle w:val="NormalWeb"/>
        <w:rPr>
          <w:rFonts w:ascii="Arial" w:hAnsi="Arial" w:cs="Arial"/>
          <w:color w:val="303B44"/>
          <w:sz w:val="22"/>
          <w:szCs w:val="22"/>
        </w:rPr>
      </w:pPr>
      <w:r w:rsidRPr="00D96A0E">
        <w:rPr>
          <w:rFonts w:ascii="Arial" w:hAnsi="Arial" w:cs="Arial"/>
          <w:color w:val="303B44"/>
          <w:sz w:val="22"/>
          <w:szCs w:val="22"/>
        </w:rPr>
        <w:t xml:space="preserve">The nine 'Peelian Principles' established by Sir Robert Peel offer a conceptual foundation for comprehending the concept of policing by agreement. Several fundamental principles can be identified, which </w:t>
      </w:r>
      <w:r w:rsidR="00F17BCE" w:rsidRPr="00D96A0E">
        <w:rPr>
          <w:rFonts w:ascii="Arial" w:hAnsi="Arial" w:cs="Arial"/>
          <w:color w:val="303B44"/>
          <w:sz w:val="22"/>
          <w:szCs w:val="22"/>
        </w:rPr>
        <w:t>are significant</w:t>
      </w:r>
      <w:r w:rsidRPr="00D96A0E">
        <w:rPr>
          <w:rFonts w:ascii="Arial" w:hAnsi="Arial" w:cs="Arial"/>
          <w:color w:val="303B44"/>
          <w:sz w:val="22"/>
          <w:szCs w:val="22"/>
        </w:rPr>
        <w:t>.</w:t>
      </w:r>
      <w:r w:rsidR="00DF5E1E">
        <w:rPr>
          <w:rFonts w:ascii="Arial" w:hAnsi="Arial" w:cs="Arial"/>
          <w:color w:val="303B44"/>
          <w:sz w:val="22"/>
          <w:szCs w:val="22"/>
        </w:rPr>
        <w:t xml:space="preserve"> </w:t>
      </w:r>
      <w:r w:rsidRPr="00D96A0E">
        <w:rPr>
          <w:rFonts w:ascii="Arial" w:hAnsi="Arial" w:cs="Arial"/>
          <w:color w:val="303B44"/>
          <w:sz w:val="22"/>
          <w:szCs w:val="22"/>
        </w:rPr>
        <w:t>The primary function of law enforcement agencies is to proactively deter criminal activities and maintain public order.</w:t>
      </w:r>
      <w:r w:rsidR="000E7503">
        <w:rPr>
          <w:rFonts w:ascii="Arial" w:hAnsi="Arial" w:cs="Arial"/>
          <w:color w:val="303B44"/>
          <w:sz w:val="22"/>
          <w:szCs w:val="22"/>
        </w:rPr>
        <w:t xml:space="preserve"> </w:t>
      </w:r>
      <w:r w:rsidRPr="00D96A0E">
        <w:rPr>
          <w:rFonts w:ascii="Arial" w:hAnsi="Arial" w:cs="Arial"/>
          <w:color w:val="303B44"/>
          <w:sz w:val="22"/>
          <w:szCs w:val="22"/>
        </w:rPr>
        <w:t>The efficacy of law enforcement in fulfilling its responsibilities is contingent upon the endorsement of the general people.</w:t>
      </w:r>
      <w:r w:rsidR="007F26A9">
        <w:rPr>
          <w:rFonts w:ascii="Arial" w:hAnsi="Arial" w:cs="Arial"/>
          <w:color w:val="303B44"/>
          <w:sz w:val="22"/>
          <w:szCs w:val="22"/>
        </w:rPr>
        <w:t xml:space="preserve"> </w:t>
      </w:r>
      <w:r w:rsidRPr="00D96A0E">
        <w:rPr>
          <w:rFonts w:ascii="Arial" w:hAnsi="Arial" w:cs="Arial"/>
          <w:color w:val="303B44"/>
          <w:sz w:val="22"/>
          <w:szCs w:val="22"/>
        </w:rPr>
        <w:t>Acco</w:t>
      </w:r>
      <w:r w:rsidR="007F26A9">
        <w:rPr>
          <w:rFonts w:ascii="Arial" w:hAnsi="Arial" w:cs="Arial"/>
          <w:color w:val="303B44"/>
          <w:sz w:val="22"/>
          <w:szCs w:val="22"/>
        </w:rPr>
        <w:t>r</w:t>
      </w:r>
      <w:r w:rsidRPr="00D96A0E">
        <w:rPr>
          <w:rFonts w:ascii="Arial" w:hAnsi="Arial" w:cs="Arial"/>
          <w:color w:val="303B44"/>
          <w:sz w:val="22"/>
          <w:szCs w:val="22"/>
        </w:rPr>
        <w:t>ding to Rowe (2017), it is imperative for law enforcement agencies to establish and preserve a rapport with the community that exhibits unwavering neutrality, abstaining from the utilisation of force and physical restraint unless deemed essential.</w:t>
      </w:r>
    </w:p>
    <w:p w14:paraId="6C0981D0" w14:textId="6D960526" w:rsidR="00E72CA5" w:rsidRDefault="003E3622" w:rsidP="00DA452D">
      <w:pPr>
        <w:pStyle w:val="NormalWeb"/>
        <w:ind w:firstLine="720"/>
        <w:rPr>
          <w:rFonts w:ascii="Arial" w:hAnsi="Arial" w:cs="Arial"/>
          <w:color w:val="303B44"/>
          <w:sz w:val="22"/>
          <w:szCs w:val="22"/>
        </w:rPr>
      </w:pPr>
      <w:r>
        <w:rPr>
          <w:rFonts w:ascii="Arial" w:hAnsi="Arial" w:cs="Arial"/>
          <w:color w:val="303B44"/>
          <w:sz w:val="22"/>
          <w:szCs w:val="22"/>
        </w:rPr>
        <w:t>Some i</w:t>
      </w:r>
      <w:r w:rsidR="009021D9" w:rsidRPr="009021D9">
        <w:rPr>
          <w:rFonts w:ascii="Arial" w:hAnsi="Arial" w:cs="Arial"/>
          <w:color w:val="303B44"/>
          <w:sz w:val="22"/>
          <w:szCs w:val="22"/>
        </w:rPr>
        <w:t xml:space="preserve">deas highlight the concept that the police department is not an independent organisation that exists in isolation from the community, but rather that its members are vital to the community and are committed to improving its well-being. </w:t>
      </w:r>
      <w:r w:rsidR="005C361F">
        <w:rPr>
          <w:rFonts w:ascii="Arial" w:hAnsi="Arial" w:cs="Arial"/>
          <w:color w:val="303B44"/>
          <w:sz w:val="22"/>
          <w:szCs w:val="22"/>
        </w:rPr>
        <w:t xml:space="preserve">When it comes to </w:t>
      </w:r>
      <w:r w:rsidR="00D96A0E" w:rsidRPr="00D96A0E">
        <w:rPr>
          <w:rFonts w:ascii="Arial" w:hAnsi="Arial" w:cs="Arial"/>
          <w:color w:val="303B44"/>
          <w:sz w:val="22"/>
          <w:szCs w:val="22"/>
        </w:rPr>
        <w:t>The Significance of Policing via Consent</w:t>
      </w:r>
      <w:r w:rsidR="005C361F">
        <w:rPr>
          <w:rFonts w:ascii="Arial" w:hAnsi="Arial" w:cs="Arial"/>
          <w:color w:val="303B44"/>
          <w:sz w:val="22"/>
          <w:szCs w:val="22"/>
        </w:rPr>
        <w:t>,</w:t>
      </w:r>
      <w:r w:rsidR="00D96A0E" w:rsidRPr="00D96A0E">
        <w:rPr>
          <w:rFonts w:ascii="Arial" w:hAnsi="Arial" w:cs="Arial"/>
          <w:color w:val="303B44"/>
          <w:sz w:val="22"/>
          <w:szCs w:val="22"/>
        </w:rPr>
        <w:t xml:space="preserve"> Trust and Legitimacy </w:t>
      </w:r>
      <w:r w:rsidR="005C361F">
        <w:rPr>
          <w:rFonts w:ascii="Arial" w:hAnsi="Arial" w:cs="Arial"/>
          <w:color w:val="303B44"/>
          <w:sz w:val="22"/>
          <w:szCs w:val="22"/>
        </w:rPr>
        <w:t>t</w:t>
      </w:r>
      <w:r w:rsidR="00D96A0E" w:rsidRPr="00D96A0E">
        <w:rPr>
          <w:rFonts w:ascii="Arial" w:hAnsi="Arial" w:cs="Arial"/>
          <w:color w:val="303B44"/>
          <w:sz w:val="22"/>
          <w:szCs w:val="22"/>
        </w:rPr>
        <w:t xml:space="preserve">he efficacy of a police force is contingent upon the establishment and maintenance of a robust level of </w:t>
      </w:r>
      <w:r w:rsidR="00FA1168" w:rsidRPr="00D96A0E">
        <w:rPr>
          <w:rFonts w:ascii="Arial" w:hAnsi="Arial" w:cs="Arial"/>
          <w:color w:val="303B44"/>
          <w:sz w:val="22"/>
          <w:szCs w:val="22"/>
        </w:rPr>
        <w:t xml:space="preserve">confidence </w:t>
      </w:r>
      <w:r w:rsidR="00FA1168">
        <w:rPr>
          <w:rFonts w:ascii="Arial" w:hAnsi="Arial" w:cs="Arial"/>
          <w:color w:val="303B44"/>
          <w:sz w:val="22"/>
          <w:szCs w:val="22"/>
        </w:rPr>
        <w:t>as</w:t>
      </w:r>
      <w:r w:rsidR="00D96A0E" w:rsidRPr="00D96A0E">
        <w:rPr>
          <w:rFonts w:ascii="Arial" w:hAnsi="Arial" w:cs="Arial"/>
          <w:color w:val="303B44"/>
          <w:sz w:val="22"/>
          <w:szCs w:val="22"/>
        </w:rPr>
        <w:t xml:space="preserve"> legitimate and their belief that the police act in their best interests is positively associated with higher levels of cooperation, information sharing, and adherence to laws.</w:t>
      </w:r>
      <w:r w:rsidR="00FA1168">
        <w:rPr>
          <w:rFonts w:ascii="Arial" w:hAnsi="Arial" w:cs="Arial"/>
          <w:color w:val="303B44"/>
          <w:sz w:val="22"/>
          <w:szCs w:val="22"/>
        </w:rPr>
        <w:t xml:space="preserve"> </w:t>
      </w:r>
      <w:r w:rsidR="00C1420A" w:rsidRPr="00C1420A">
        <w:rPr>
          <w:rFonts w:ascii="Arial" w:hAnsi="Arial" w:cs="Arial"/>
          <w:color w:val="303B44"/>
          <w:sz w:val="22"/>
          <w:szCs w:val="22"/>
        </w:rPr>
        <w:t xml:space="preserve">The legitimacy of the police force is bolstered whenever they carry out their duties with the support of the community they serve. According to Jackson et al. (2012), having this level of public trust is essential for efficient police since it increases collaboration and decreases resistance. </w:t>
      </w:r>
      <w:r w:rsidR="00D96A0E" w:rsidRPr="00D96A0E">
        <w:rPr>
          <w:rFonts w:ascii="Arial" w:hAnsi="Arial" w:cs="Arial"/>
          <w:color w:val="303B44"/>
          <w:sz w:val="22"/>
          <w:szCs w:val="22"/>
        </w:rPr>
        <w:t xml:space="preserve">The utilisation of force by a police force is less probable when it functions with the approval of the community. According to Bradford (2014), the use of this approach not only mitigates possible injury and conflict, but also cultivates a more secure atmosphere for both law enforcement officers and the </w:t>
      </w:r>
      <w:r w:rsidR="00FA1168" w:rsidRPr="00D96A0E">
        <w:rPr>
          <w:rFonts w:ascii="Arial" w:hAnsi="Arial" w:cs="Arial"/>
          <w:color w:val="303B44"/>
          <w:sz w:val="22"/>
          <w:szCs w:val="22"/>
        </w:rPr>
        <w:t>public</w:t>
      </w:r>
      <w:r w:rsidR="00D96A0E" w:rsidRPr="00D96A0E">
        <w:rPr>
          <w:rFonts w:ascii="Arial" w:hAnsi="Arial" w:cs="Arial"/>
          <w:color w:val="303B44"/>
          <w:sz w:val="22"/>
          <w:szCs w:val="22"/>
        </w:rPr>
        <w:t>.</w:t>
      </w:r>
      <w:r w:rsidR="00DA452D">
        <w:rPr>
          <w:rFonts w:ascii="Arial" w:hAnsi="Arial" w:cs="Arial"/>
          <w:color w:val="303B44"/>
          <w:sz w:val="22"/>
          <w:szCs w:val="22"/>
        </w:rPr>
        <w:t xml:space="preserve"> </w:t>
      </w:r>
    </w:p>
    <w:p w14:paraId="3EECF89B" w14:textId="6221CFA1" w:rsidR="0001352E" w:rsidRDefault="00D96A0E" w:rsidP="00DA452D">
      <w:pPr>
        <w:pStyle w:val="NormalWeb"/>
        <w:ind w:firstLine="720"/>
        <w:rPr>
          <w:rFonts w:ascii="Arial" w:hAnsi="Arial" w:cs="Arial"/>
          <w:color w:val="303B44"/>
          <w:sz w:val="22"/>
          <w:szCs w:val="22"/>
        </w:rPr>
      </w:pPr>
      <w:r w:rsidRPr="00D96A0E">
        <w:rPr>
          <w:rFonts w:ascii="Arial" w:hAnsi="Arial" w:cs="Arial"/>
          <w:color w:val="303B44"/>
          <w:sz w:val="22"/>
          <w:szCs w:val="22"/>
        </w:rPr>
        <w:lastRenderedPageBreak/>
        <w:t xml:space="preserve">Community engagement is a fundamental aspect of policing by consent, as it promotes the active participation of community members. </w:t>
      </w:r>
      <w:r w:rsidR="00F729D3" w:rsidRPr="00F729D3">
        <w:rPr>
          <w:rFonts w:ascii="Arial" w:hAnsi="Arial" w:cs="Arial"/>
          <w:color w:val="303B44"/>
          <w:sz w:val="22"/>
          <w:szCs w:val="22"/>
        </w:rPr>
        <w:t>When there is a high level of trust between communities and law enforcement agencies, it tends to result in increased rates of crime reporting and more willingness to cooperate with investigations. According to Hough et al. (2010), the establishment of a community-police collaboration has the potential to serve as an effective deterrent against criminal activities.</w:t>
      </w:r>
      <w:r w:rsidR="00F729D3">
        <w:rPr>
          <w:rFonts w:ascii="Arial" w:hAnsi="Arial" w:cs="Arial"/>
          <w:color w:val="303B44"/>
          <w:sz w:val="22"/>
          <w:szCs w:val="22"/>
        </w:rPr>
        <w:t xml:space="preserve"> </w:t>
      </w:r>
      <w:r w:rsidRPr="00D96A0E">
        <w:rPr>
          <w:rFonts w:ascii="Arial" w:hAnsi="Arial" w:cs="Arial"/>
          <w:color w:val="303B44"/>
          <w:sz w:val="22"/>
          <w:szCs w:val="22"/>
        </w:rPr>
        <w:t>This phenomenon can give rise to community policing initiatives, in which residents actively engage in crime prevention and resolution efforts (Skogan, 2015).</w:t>
      </w:r>
      <w:r w:rsidR="009A12E9" w:rsidRPr="009A12E9">
        <w:t xml:space="preserve"> </w:t>
      </w:r>
      <w:r w:rsidR="009A12E9" w:rsidRPr="009A12E9">
        <w:rPr>
          <w:rFonts w:ascii="Arial" w:hAnsi="Arial" w:cs="Arial"/>
          <w:color w:val="303B44"/>
          <w:sz w:val="22"/>
          <w:szCs w:val="22"/>
        </w:rPr>
        <w:t>The concept of empowering vulnerable groups is exemplified by the principle of policing by consent, which guarantees that individuals who are most susceptible to marginalisation and oppression in society are afforded the opportunity to express their perspectives and concerns. According to Myhill and Quinton (2011), there is a promotion of reporting crimes that are frequently underreported, such as instances of domestic abuse or hate crimes.</w:t>
      </w:r>
      <w:r w:rsidR="009A12E9">
        <w:rPr>
          <w:rFonts w:ascii="Arial" w:hAnsi="Arial" w:cs="Arial"/>
          <w:color w:val="303B44"/>
          <w:sz w:val="22"/>
          <w:szCs w:val="22"/>
        </w:rPr>
        <w:t xml:space="preserve"> </w:t>
      </w:r>
    </w:p>
    <w:p w14:paraId="1A6D7A6B" w14:textId="657B7DB9" w:rsidR="00AA3BF1" w:rsidRDefault="00D96A0E" w:rsidP="00DA452D">
      <w:pPr>
        <w:pStyle w:val="NormalWeb"/>
        <w:ind w:firstLine="720"/>
        <w:rPr>
          <w:rFonts w:ascii="Arial" w:hAnsi="Arial" w:cs="Arial"/>
          <w:color w:val="303B44"/>
          <w:sz w:val="22"/>
          <w:szCs w:val="22"/>
        </w:rPr>
      </w:pPr>
      <w:r w:rsidRPr="00D96A0E">
        <w:rPr>
          <w:rFonts w:ascii="Arial" w:hAnsi="Arial" w:cs="Arial"/>
          <w:color w:val="303B44"/>
          <w:sz w:val="22"/>
          <w:szCs w:val="22"/>
        </w:rPr>
        <w:t>Societal Influence Enhancement of Social Cohesion: The implementation of policing practises based on consent has the potential to foster a collective sentiment of solidarity and cooperation between law enforcement agencies and the community. According to Skogan (2015), the establishment of a positive perception among residents towards the police, where they are seen as allies rather than adversaries, has the potential to foster stronger relationships within the community.</w:t>
      </w:r>
      <w:r w:rsidR="00DA452D">
        <w:rPr>
          <w:rFonts w:ascii="Arial" w:hAnsi="Arial" w:cs="Arial"/>
          <w:color w:val="303B44"/>
          <w:sz w:val="22"/>
          <w:szCs w:val="22"/>
        </w:rPr>
        <w:t xml:space="preserve"> </w:t>
      </w:r>
      <w:r w:rsidRPr="00D96A0E">
        <w:rPr>
          <w:rFonts w:ascii="Arial" w:hAnsi="Arial" w:cs="Arial"/>
          <w:color w:val="303B44"/>
          <w:sz w:val="22"/>
          <w:szCs w:val="22"/>
        </w:rPr>
        <w:t xml:space="preserve">Crime prevention is enhanced when the police </w:t>
      </w:r>
      <w:r w:rsidR="00CF4430" w:rsidRPr="00D96A0E">
        <w:rPr>
          <w:rFonts w:ascii="Arial" w:hAnsi="Arial" w:cs="Arial"/>
          <w:color w:val="303B44"/>
          <w:sz w:val="22"/>
          <w:szCs w:val="22"/>
        </w:rPr>
        <w:t>can</w:t>
      </w:r>
      <w:r w:rsidRPr="00D96A0E">
        <w:rPr>
          <w:rFonts w:ascii="Arial" w:hAnsi="Arial" w:cs="Arial"/>
          <w:color w:val="303B44"/>
          <w:sz w:val="22"/>
          <w:szCs w:val="22"/>
        </w:rPr>
        <w:t xml:space="preserve"> establish a strong rapport with the community, as this facilitates the gathering of valuable information and intelligence. Consequently, the police's effectiveness in preventing and resolving crimes is significantly improved (Bradford, 2014).</w:t>
      </w:r>
      <w:r w:rsidR="00DA452D">
        <w:rPr>
          <w:rFonts w:ascii="Arial" w:hAnsi="Arial" w:cs="Arial"/>
          <w:color w:val="303B44"/>
          <w:sz w:val="22"/>
          <w:szCs w:val="22"/>
        </w:rPr>
        <w:t xml:space="preserve"> </w:t>
      </w:r>
      <w:r w:rsidR="006452F3" w:rsidRPr="006452F3">
        <w:rPr>
          <w:rFonts w:ascii="Arial" w:hAnsi="Arial" w:cs="Arial"/>
          <w:color w:val="303B44"/>
          <w:sz w:val="22"/>
          <w:szCs w:val="22"/>
        </w:rPr>
        <w:t>The promotion of social cohesion is heightened by the implementation of a police force that functions based on consent, since it cultivates a sense of solidarity and diminishes societal divisions. According to Murphy et al. (2008), it serves as a means of connecting disparate communities and ensuring that all individuals feel adequately represented and safeguarded.</w:t>
      </w:r>
    </w:p>
    <w:p w14:paraId="06663CB4" w14:textId="77777777" w:rsidR="007B29EE" w:rsidRDefault="00D96A0E" w:rsidP="00182D64">
      <w:pPr>
        <w:pStyle w:val="NormalWeb"/>
        <w:ind w:firstLine="720"/>
      </w:pPr>
      <w:r w:rsidRPr="00D96A0E">
        <w:rPr>
          <w:rFonts w:ascii="Arial" w:hAnsi="Arial" w:cs="Arial"/>
          <w:color w:val="303B44"/>
          <w:sz w:val="22"/>
          <w:szCs w:val="22"/>
        </w:rPr>
        <w:t>The safeguarding of individual rights: The concept of policing by permission is in accordance with the fundamental tenets of democracy. According to Reiner (2010), the primary objective of this measure is to safeguard the rights of persons and to guarantee that any exercise of police authority is both justified and appropriate, while also promoting transparency.</w:t>
      </w:r>
      <w:r w:rsidR="000503B1" w:rsidRPr="000503B1">
        <w:t xml:space="preserve"> </w:t>
      </w:r>
      <w:r w:rsidR="000503B1" w:rsidRPr="000503B1">
        <w:rPr>
          <w:rFonts w:ascii="Arial" w:hAnsi="Arial" w:cs="Arial"/>
          <w:color w:val="303B44"/>
          <w:sz w:val="22"/>
          <w:szCs w:val="22"/>
        </w:rPr>
        <w:t>Although the notion of policing through permission is considered an ideal approach, it is not devoid of its inherent issues. Establishing trust is a considerable obstacle in numerous communities, particularly those characterised by a historical backdrop of police brutality or prejudice (Brunson, 2007). Furthermore, the concept of policing by agreement has occasionally been misinterpreted as a form of lenient policing, resulting in critiques that question its efficacy in addressing severe criminal offences or organised criminal syndicates (Rawlings, 2002).</w:t>
      </w:r>
      <w:r w:rsidR="009B5715" w:rsidRPr="009B5715">
        <w:t xml:space="preserve"> </w:t>
      </w:r>
    </w:p>
    <w:p w14:paraId="52F73066" w14:textId="309E25BF" w:rsidR="00DD280C" w:rsidRDefault="009B5715" w:rsidP="00182D64">
      <w:pPr>
        <w:pStyle w:val="NormalWeb"/>
        <w:ind w:firstLine="720"/>
        <w:rPr>
          <w:rFonts w:ascii="Arial" w:hAnsi="Arial" w:cs="Arial"/>
          <w:color w:val="303B44"/>
          <w:sz w:val="22"/>
          <w:szCs w:val="22"/>
        </w:rPr>
      </w:pPr>
      <w:r w:rsidRPr="009B5715">
        <w:rPr>
          <w:rFonts w:ascii="Arial" w:hAnsi="Arial" w:cs="Arial"/>
          <w:color w:val="303B44"/>
          <w:sz w:val="22"/>
          <w:szCs w:val="22"/>
        </w:rPr>
        <w:t xml:space="preserve">The field of policing exhibits a political nature akin to other governmental functions, without necessarily carrying a negative connotation. The term "political" can be succinctly defined as "relating to or associated with the execution of the responsibilities entrusted to individuals responsible for governing" (Black 1990, 1158). While the term "political" is frequently associated with dysfunction, favouritism, and influence, it can also be perceived as a fundamental component of governance. The development of the initial official department and subsequent evolution of law enforcement in the United States have been significantly impacted by and have exerted influence upon the political environment of the nation. One of the most straightforward illustrations is to its placement under the executive branch. Policing can be considered political due to its role in implementing legislation passed by legislative bodies and interpreted by judicial entities. Policing can be considered a political endeavour, not alone because to its association with the government, but also because of the performative nature of police actions and their interaction with the population they serve (Manning, 2001).The promotion and maintenance of an image are crucial </w:t>
      </w:r>
      <w:r w:rsidR="00B67549" w:rsidRPr="009B5715">
        <w:rPr>
          <w:rFonts w:ascii="Arial" w:hAnsi="Arial" w:cs="Arial"/>
          <w:color w:val="303B44"/>
          <w:sz w:val="22"/>
          <w:szCs w:val="22"/>
        </w:rPr>
        <w:t>to</w:t>
      </w:r>
      <w:r w:rsidRPr="009B5715">
        <w:rPr>
          <w:rFonts w:ascii="Arial" w:hAnsi="Arial" w:cs="Arial"/>
          <w:color w:val="303B44"/>
          <w:sz w:val="22"/>
          <w:szCs w:val="22"/>
        </w:rPr>
        <w:t xml:space="preserve"> garner public support, project an impression of effectiveness, and ensure self-preservation.</w:t>
      </w:r>
    </w:p>
    <w:p w14:paraId="2430E8EE" w14:textId="7AE96516" w:rsidR="0084060D" w:rsidRDefault="00C5047A" w:rsidP="00D54E6B">
      <w:pPr>
        <w:pStyle w:val="NormalWeb"/>
        <w:ind w:firstLine="720"/>
        <w:rPr>
          <w:rFonts w:ascii="Arial" w:hAnsi="Arial" w:cs="Arial"/>
          <w:color w:val="303B44"/>
          <w:sz w:val="22"/>
          <w:szCs w:val="22"/>
        </w:rPr>
      </w:pPr>
      <w:r w:rsidRPr="00C5047A">
        <w:rPr>
          <w:rFonts w:ascii="Arial" w:hAnsi="Arial" w:cs="Arial"/>
          <w:color w:val="303B44"/>
          <w:sz w:val="22"/>
          <w:szCs w:val="22"/>
        </w:rPr>
        <w:t>In summary, the concept of policing by agreement is not merely a theoretical concept, but rather a practical and essential foundation for democratic societies. This assertion highlights the need of cultivating a sense of mutual respect, trust, and collaboration between law enforcement authorities and the broader populace. The objective of this strategy is to promote the prioritisation of community interests within law enforcement agencies, so facilitating the creation of a society that is both safer and more peaceful. In the face of societal changes and new challenges, the fundamental principles of consent-based policing continue to endure, offering valuable guidance in striking a delicate balance between maintaining social order and upholding democratic values.</w:t>
      </w:r>
      <w:r>
        <w:rPr>
          <w:rFonts w:ascii="Arial" w:hAnsi="Arial" w:cs="Arial"/>
          <w:color w:val="303B44"/>
          <w:sz w:val="22"/>
          <w:szCs w:val="22"/>
        </w:rPr>
        <w:t xml:space="preserve"> </w:t>
      </w:r>
      <w:r w:rsidRPr="00C5047A">
        <w:rPr>
          <w:rFonts w:ascii="Arial" w:hAnsi="Arial" w:cs="Arial"/>
          <w:color w:val="303B44"/>
          <w:sz w:val="22"/>
          <w:szCs w:val="22"/>
        </w:rPr>
        <w:t xml:space="preserve">The concept of policing by agreement extends beyond a mere philosophical notion, as it serves as a fundamental principle for the successful implementation of law enforcement in democratic countries. The significance of this phenomenon is emphasised by its multiple societal advantages, </w:t>
      </w:r>
      <w:r w:rsidRPr="00C5047A">
        <w:rPr>
          <w:rFonts w:ascii="Arial" w:hAnsi="Arial" w:cs="Arial"/>
          <w:color w:val="303B44"/>
          <w:sz w:val="22"/>
          <w:szCs w:val="22"/>
        </w:rPr>
        <w:lastRenderedPageBreak/>
        <w:t xml:space="preserve">which encompass the reduction of crime rates and the promotion of community trust. Nevertheless, </w:t>
      </w:r>
      <w:r w:rsidR="00AF7797" w:rsidRPr="00C5047A">
        <w:rPr>
          <w:rFonts w:ascii="Arial" w:hAnsi="Arial" w:cs="Arial"/>
          <w:color w:val="303B44"/>
          <w:sz w:val="22"/>
          <w:szCs w:val="22"/>
        </w:rPr>
        <w:t>like</w:t>
      </w:r>
      <w:r w:rsidRPr="00C5047A">
        <w:rPr>
          <w:rFonts w:ascii="Arial" w:hAnsi="Arial" w:cs="Arial"/>
          <w:color w:val="303B44"/>
          <w:sz w:val="22"/>
          <w:szCs w:val="22"/>
        </w:rPr>
        <w:t xml:space="preserve"> other abstract notions, it is not devoid of its own set of difficulties. To effectively tackle these difficulties, it is imperative that both the law enforcement agencies and the community demonstrate a shared dedication to collaborate harmoniously, fostering an environment of reciprocal respect and comprehension.</w:t>
      </w:r>
    </w:p>
    <w:p w14:paraId="4C018306" w14:textId="77777777" w:rsidR="0084060D" w:rsidRDefault="0084060D" w:rsidP="00D54E6B">
      <w:pPr>
        <w:pStyle w:val="NormalWeb"/>
        <w:ind w:firstLine="720"/>
        <w:rPr>
          <w:rFonts w:ascii="Arial" w:hAnsi="Arial" w:cs="Arial"/>
          <w:color w:val="303B44"/>
          <w:sz w:val="22"/>
          <w:szCs w:val="22"/>
        </w:rPr>
      </w:pPr>
    </w:p>
    <w:p w14:paraId="03FCCF44" w14:textId="77777777" w:rsidR="0084060D" w:rsidRDefault="0084060D" w:rsidP="00D54E6B">
      <w:pPr>
        <w:pStyle w:val="NormalWeb"/>
        <w:ind w:firstLine="720"/>
        <w:rPr>
          <w:rFonts w:ascii="Arial" w:hAnsi="Arial" w:cs="Arial"/>
          <w:color w:val="303B44"/>
          <w:sz w:val="22"/>
          <w:szCs w:val="22"/>
        </w:rPr>
      </w:pPr>
    </w:p>
    <w:p w14:paraId="0DE4A487" w14:textId="77777777" w:rsidR="0084060D" w:rsidRDefault="0084060D" w:rsidP="00D54E6B">
      <w:pPr>
        <w:pStyle w:val="NormalWeb"/>
        <w:ind w:firstLine="720"/>
        <w:rPr>
          <w:rFonts w:ascii="Arial" w:hAnsi="Arial" w:cs="Arial"/>
          <w:color w:val="303B44"/>
          <w:sz w:val="22"/>
          <w:szCs w:val="22"/>
        </w:rPr>
      </w:pPr>
    </w:p>
    <w:p w14:paraId="6A5D417D" w14:textId="77777777" w:rsidR="0084060D" w:rsidRDefault="0084060D" w:rsidP="00D54E6B">
      <w:pPr>
        <w:pStyle w:val="NormalWeb"/>
        <w:ind w:firstLine="720"/>
        <w:rPr>
          <w:rFonts w:ascii="Arial" w:hAnsi="Arial" w:cs="Arial"/>
          <w:color w:val="303B44"/>
          <w:sz w:val="22"/>
          <w:szCs w:val="22"/>
        </w:rPr>
      </w:pPr>
    </w:p>
    <w:p w14:paraId="02248471" w14:textId="77777777" w:rsidR="0084060D" w:rsidRDefault="0084060D" w:rsidP="00D54E6B">
      <w:pPr>
        <w:pStyle w:val="NormalWeb"/>
        <w:ind w:firstLine="720"/>
        <w:rPr>
          <w:rFonts w:ascii="Arial" w:hAnsi="Arial" w:cs="Arial"/>
          <w:color w:val="303B44"/>
          <w:sz w:val="22"/>
          <w:szCs w:val="22"/>
        </w:rPr>
      </w:pPr>
    </w:p>
    <w:p w14:paraId="7AD14D8F" w14:textId="77777777" w:rsidR="0084060D" w:rsidRDefault="0084060D" w:rsidP="00D54E6B">
      <w:pPr>
        <w:pStyle w:val="NormalWeb"/>
        <w:ind w:firstLine="720"/>
        <w:rPr>
          <w:rFonts w:ascii="Arial" w:hAnsi="Arial" w:cs="Arial"/>
          <w:color w:val="303B44"/>
          <w:sz w:val="22"/>
          <w:szCs w:val="22"/>
        </w:rPr>
      </w:pPr>
    </w:p>
    <w:p w14:paraId="79CF3838" w14:textId="77777777" w:rsidR="0084060D" w:rsidRDefault="0084060D" w:rsidP="00D54E6B">
      <w:pPr>
        <w:pStyle w:val="NormalWeb"/>
        <w:ind w:firstLine="720"/>
        <w:rPr>
          <w:rFonts w:ascii="Arial" w:hAnsi="Arial" w:cs="Arial"/>
          <w:color w:val="303B44"/>
          <w:sz w:val="22"/>
          <w:szCs w:val="22"/>
        </w:rPr>
      </w:pPr>
    </w:p>
    <w:p w14:paraId="0700B63A" w14:textId="77777777" w:rsidR="0084060D" w:rsidRDefault="0084060D" w:rsidP="00D54E6B">
      <w:pPr>
        <w:pStyle w:val="NormalWeb"/>
        <w:ind w:firstLine="720"/>
        <w:rPr>
          <w:rFonts w:ascii="Arial" w:hAnsi="Arial" w:cs="Arial"/>
          <w:color w:val="303B44"/>
          <w:sz w:val="22"/>
          <w:szCs w:val="22"/>
        </w:rPr>
      </w:pPr>
    </w:p>
    <w:p w14:paraId="707511F7" w14:textId="77777777" w:rsidR="0084060D" w:rsidRDefault="0084060D" w:rsidP="00D54E6B">
      <w:pPr>
        <w:pStyle w:val="NormalWeb"/>
        <w:ind w:firstLine="720"/>
        <w:rPr>
          <w:rFonts w:ascii="Arial" w:hAnsi="Arial" w:cs="Arial"/>
          <w:color w:val="303B44"/>
          <w:sz w:val="22"/>
          <w:szCs w:val="22"/>
        </w:rPr>
      </w:pPr>
    </w:p>
    <w:p w14:paraId="107D7720" w14:textId="77777777" w:rsidR="0084060D" w:rsidRDefault="0084060D" w:rsidP="006D5BAA">
      <w:pPr>
        <w:pStyle w:val="NormalWeb"/>
        <w:rPr>
          <w:rFonts w:ascii="Arial" w:hAnsi="Arial" w:cs="Arial"/>
          <w:color w:val="303B44"/>
          <w:sz w:val="22"/>
          <w:szCs w:val="22"/>
        </w:rPr>
      </w:pPr>
    </w:p>
    <w:p w14:paraId="68B6E5AE" w14:textId="77777777" w:rsidR="0084060D" w:rsidRDefault="0084060D" w:rsidP="00D54E6B">
      <w:pPr>
        <w:pStyle w:val="NormalWeb"/>
        <w:ind w:firstLine="720"/>
        <w:rPr>
          <w:rFonts w:ascii="Arial" w:hAnsi="Arial" w:cs="Arial"/>
          <w:color w:val="303B44"/>
          <w:sz w:val="22"/>
          <w:szCs w:val="22"/>
        </w:rPr>
      </w:pPr>
    </w:p>
    <w:p w14:paraId="5F1E6DB6" w14:textId="77777777" w:rsidR="005A6A94" w:rsidRDefault="005A6A94" w:rsidP="005A6A94">
      <w:pPr>
        <w:pStyle w:val="NormalWeb"/>
        <w:ind w:firstLine="720"/>
        <w:rPr>
          <w:rFonts w:ascii="Arial" w:hAnsi="Arial" w:cs="Arial"/>
          <w:color w:val="303B44"/>
          <w:sz w:val="22"/>
          <w:szCs w:val="22"/>
        </w:rPr>
      </w:pPr>
      <w:r w:rsidRPr="005A6A94">
        <w:rPr>
          <w:rFonts w:ascii="Arial" w:hAnsi="Arial" w:cs="Arial"/>
          <w:color w:val="303B44"/>
          <w:sz w:val="22"/>
          <w:szCs w:val="22"/>
        </w:rPr>
        <w:t>References</w:t>
      </w:r>
    </w:p>
    <w:p w14:paraId="2D6289FD" w14:textId="77777777" w:rsidR="00250C9E" w:rsidRPr="005A6A94" w:rsidRDefault="00250C9E" w:rsidP="005A6A94">
      <w:pPr>
        <w:pStyle w:val="NormalWeb"/>
        <w:ind w:firstLine="720"/>
        <w:rPr>
          <w:rFonts w:ascii="Arial" w:hAnsi="Arial" w:cs="Arial"/>
          <w:color w:val="303B44"/>
          <w:sz w:val="22"/>
          <w:szCs w:val="22"/>
        </w:rPr>
      </w:pPr>
    </w:p>
    <w:p w14:paraId="2D63CDA3" w14:textId="3D0AE8F6" w:rsidR="005A6A94" w:rsidRPr="005A6A94" w:rsidRDefault="00250C9E" w:rsidP="005A6A94">
      <w:pPr>
        <w:pStyle w:val="NormalWeb"/>
        <w:ind w:firstLine="720"/>
        <w:rPr>
          <w:rFonts w:ascii="Arial" w:hAnsi="Arial" w:cs="Arial"/>
          <w:color w:val="303B44"/>
          <w:sz w:val="22"/>
          <w:szCs w:val="22"/>
        </w:rPr>
      </w:pPr>
      <w:r w:rsidRPr="00250C9E">
        <w:rPr>
          <w:rFonts w:ascii="Arial" w:hAnsi="Arial" w:cs="Arial"/>
          <w:color w:val="303B44"/>
          <w:sz w:val="22"/>
          <w:szCs w:val="22"/>
        </w:rPr>
        <w:t xml:space="preserve">Black, Henry Campbell. </w:t>
      </w:r>
      <w:r w:rsidR="0042728A">
        <w:rPr>
          <w:rFonts w:ascii="Arial" w:hAnsi="Arial" w:cs="Arial"/>
          <w:color w:val="303B44"/>
          <w:sz w:val="22"/>
          <w:szCs w:val="22"/>
        </w:rPr>
        <w:t>(</w:t>
      </w:r>
      <w:r w:rsidRPr="00250C9E">
        <w:rPr>
          <w:rFonts w:ascii="Arial" w:hAnsi="Arial" w:cs="Arial"/>
          <w:color w:val="303B44"/>
          <w:sz w:val="22"/>
          <w:szCs w:val="22"/>
        </w:rPr>
        <w:t>1990</w:t>
      </w:r>
      <w:r w:rsidR="0042728A">
        <w:rPr>
          <w:rFonts w:ascii="Arial" w:hAnsi="Arial" w:cs="Arial"/>
          <w:color w:val="303B44"/>
          <w:sz w:val="22"/>
          <w:szCs w:val="22"/>
        </w:rPr>
        <w:t>)</w:t>
      </w:r>
      <w:r w:rsidRPr="00250C9E">
        <w:rPr>
          <w:rFonts w:ascii="Arial" w:hAnsi="Arial" w:cs="Arial"/>
          <w:color w:val="303B44"/>
          <w:sz w:val="22"/>
          <w:szCs w:val="22"/>
        </w:rPr>
        <w:t>. Black’s Law Dictionary, 6th ed. St. Paul, MN: West.</w:t>
      </w:r>
    </w:p>
    <w:p w14:paraId="68D4BCFB" w14:textId="09B6A7FB" w:rsidR="005A6A94" w:rsidRDefault="005A6A94" w:rsidP="005A6A94">
      <w:pPr>
        <w:pStyle w:val="NormalWeb"/>
        <w:ind w:firstLine="720"/>
        <w:rPr>
          <w:rFonts w:ascii="Arial" w:hAnsi="Arial" w:cs="Arial"/>
          <w:color w:val="303B44"/>
          <w:sz w:val="22"/>
          <w:szCs w:val="22"/>
        </w:rPr>
      </w:pPr>
      <w:r w:rsidRPr="005A6A94">
        <w:rPr>
          <w:rFonts w:ascii="Arial" w:hAnsi="Arial" w:cs="Arial"/>
          <w:color w:val="303B44"/>
          <w:sz w:val="22"/>
          <w:szCs w:val="22"/>
        </w:rPr>
        <w:t xml:space="preserve">Bradford, B. (2014). </w:t>
      </w:r>
      <w:r w:rsidR="003845AE">
        <w:rPr>
          <w:rFonts w:ascii="Arial" w:hAnsi="Arial" w:cs="Arial"/>
          <w:color w:val="303B44"/>
          <w:sz w:val="22"/>
          <w:szCs w:val="22"/>
        </w:rPr>
        <w:t>‘</w:t>
      </w:r>
      <w:r w:rsidRPr="005A6A94">
        <w:rPr>
          <w:rFonts w:ascii="Arial" w:hAnsi="Arial" w:cs="Arial"/>
          <w:color w:val="303B44"/>
          <w:sz w:val="22"/>
          <w:szCs w:val="22"/>
        </w:rPr>
        <w:t>Policing and Social Identity: Procedural Justice, Inclusion and Cooperation between Police and Public</w:t>
      </w:r>
      <w:r w:rsidR="006F55CB">
        <w:rPr>
          <w:rFonts w:ascii="Arial" w:hAnsi="Arial" w:cs="Arial"/>
          <w:color w:val="303B44"/>
          <w:sz w:val="22"/>
          <w:szCs w:val="22"/>
        </w:rPr>
        <w:t>’</w:t>
      </w:r>
      <w:r w:rsidRPr="005A6A94">
        <w:rPr>
          <w:rFonts w:ascii="Arial" w:hAnsi="Arial" w:cs="Arial"/>
          <w:color w:val="303B44"/>
          <w:sz w:val="22"/>
          <w:szCs w:val="22"/>
        </w:rPr>
        <w:t>. Policing and Society, 24(1),</w:t>
      </w:r>
      <w:r w:rsidR="00617A6D">
        <w:rPr>
          <w:rFonts w:ascii="Arial" w:hAnsi="Arial" w:cs="Arial"/>
          <w:color w:val="303B44"/>
          <w:sz w:val="22"/>
          <w:szCs w:val="22"/>
        </w:rPr>
        <w:t xml:space="preserve"> pp</w:t>
      </w:r>
      <w:r w:rsidRPr="005A6A94">
        <w:rPr>
          <w:rFonts w:ascii="Arial" w:hAnsi="Arial" w:cs="Arial"/>
          <w:color w:val="303B44"/>
          <w:sz w:val="22"/>
          <w:szCs w:val="22"/>
        </w:rPr>
        <w:t xml:space="preserve"> 22-43.</w:t>
      </w:r>
    </w:p>
    <w:p w14:paraId="6803FDE0" w14:textId="481798F5" w:rsidR="007739B3" w:rsidRDefault="007739B3" w:rsidP="005A6A94">
      <w:pPr>
        <w:pStyle w:val="NormalWeb"/>
        <w:ind w:firstLine="720"/>
        <w:rPr>
          <w:rFonts w:ascii="Arial" w:hAnsi="Arial" w:cs="Arial"/>
          <w:color w:val="303B44"/>
          <w:sz w:val="22"/>
          <w:szCs w:val="22"/>
        </w:rPr>
      </w:pPr>
      <w:r w:rsidRPr="007739B3">
        <w:rPr>
          <w:rFonts w:ascii="Arial" w:hAnsi="Arial" w:cs="Arial"/>
          <w:color w:val="303B44"/>
          <w:sz w:val="22"/>
          <w:szCs w:val="22"/>
        </w:rPr>
        <w:t xml:space="preserve">Brunson, R. (2007). </w:t>
      </w:r>
      <w:r>
        <w:rPr>
          <w:rFonts w:ascii="Arial" w:hAnsi="Arial" w:cs="Arial"/>
          <w:color w:val="303B44"/>
          <w:sz w:val="22"/>
          <w:szCs w:val="22"/>
        </w:rPr>
        <w:t>‘</w:t>
      </w:r>
      <w:r w:rsidRPr="007739B3">
        <w:rPr>
          <w:rFonts w:ascii="Arial" w:hAnsi="Arial" w:cs="Arial"/>
          <w:color w:val="303B44"/>
          <w:sz w:val="22"/>
          <w:szCs w:val="22"/>
        </w:rPr>
        <w:t xml:space="preserve">Police don’t like black people: </w:t>
      </w:r>
      <w:r w:rsidR="00124F1A" w:rsidRPr="007739B3">
        <w:rPr>
          <w:rFonts w:ascii="Arial" w:hAnsi="Arial" w:cs="Arial"/>
          <w:color w:val="303B44"/>
          <w:sz w:val="22"/>
          <w:szCs w:val="22"/>
        </w:rPr>
        <w:t>African American</w:t>
      </w:r>
      <w:r w:rsidRPr="007739B3">
        <w:rPr>
          <w:rFonts w:ascii="Arial" w:hAnsi="Arial" w:cs="Arial"/>
          <w:color w:val="303B44"/>
          <w:sz w:val="22"/>
          <w:szCs w:val="22"/>
        </w:rPr>
        <w:t xml:space="preserve"> young men’s accumulated police experiences. Criminology &amp; Public Policy</w:t>
      </w:r>
      <w:r w:rsidR="007D179E">
        <w:rPr>
          <w:rFonts w:ascii="Arial" w:hAnsi="Arial" w:cs="Arial"/>
          <w:color w:val="303B44"/>
          <w:sz w:val="22"/>
          <w:szCs w:val="22"/>
        </w:rPr>
        <w:t>’</w:t>
      </w:r>
      <w:r w:rsidRPr="007739B3">
        <w:rPr>
          <w:rFonts w:ascii="Arial" w:hAnsi="Arial" w:cs="Arial"/>
          <w:color w:val="303B44"/>
          <w:sz w:val="22"/>
          <w:szCs w:val="22"/>
        </w:rPr>
        <w:t xml:space="preserve">, 6(1), </w:t>
      </w:r>
      <w:r w:rsidR="007D179E">
        <w:rPr>
          <w:rFonts w:ascii="Arial" w:hAnsi="Arial" w:cs="Arial"/>
          <w:color w:val="303B44"/>
          <w:sz w:val="22"/>
          <w:szCs w:val="22"/>
        </w:rPr>
        <w:t xml:space="preserve">pp </w:t>
      </w:r>
      <w:r w:rsidRPr="007739B3">
        <w:rPr>
          <w:rFonts w:ascii="Arial" w:hAnsi="Arial" w:cs="Arial"/>
          <w:color w:val="303B44"/>
          <w:sz w:val="22"/>
          <w:szCs w:val="22"/>
        </w:rPr>
        <w:t>71-101.</w:t>
      </w:r>
    </w:p>
    <w:p w14:paraId="6A3D3382" w14:textId="125CA94F" w:rsidR="00A71031" w:rsidRDefault="00A71031" w:rsidP="005A6A94">
      <w:pPr>
        <w:pStyle w:val="NormalWeb"/>
        <w:ind w:firstLine="720"/>
        <w:rPr>
          <w:rFonts w:ascii="Arial" w:hAnsi="Arial" w:cs="Arial"/>
          <w:color w:val="303B44"/>
          <w:sz w:val="22"/>
          <w:szCs w:val="22"/>
        </w:rPr>
      </w:pPr>
      <w:r w:rsidRPr="00A71031">
        <w:rPr>
          <w:rFonts w:ascii="Arial" w:hAnsi="Arial" w:cs="Arial"/>
          <w:color w:val="303B44"/>
          <w:sz w:val="22"/>
          <w:szCs w:val="22"/>
        </w:rPr>
        <w:t xml:space="preserve">Girling, E., Loader, I., and Sparks, R., </w:t>
      </w:r>
      <w:r>
        <w:rPr>
          <w:rFonts w:ascii="Arial" w:hAnsi="Arial" w:cs="Arial"/>
          <w:color w:val="303B44"/>
          <w:sz w:val="22"/>
          <w:szCs w:val="22"/>
        </w:rPr>
        <w:t>(</w:t>
      </w:r>
      <w:r w:rsidRPr="00A71031">
        <w:rPr>
          <w:rFonts w:ascii="Arial" w:hAnsi="Arial" w:cs="Arial"/>
          <w:color w:val="303B44"/>
          <w:sz w:val="22"/>
          <w:szCs w:val="22"/>
        </w:rPr>
        <w:t>2000</w:t>
      </w:r>
      <w:r>
        <w:rPr>
          <w:rFonts w:ascii="Arial" w:hAnsi="Arial" w:cs="Arial"/>
          <w:color w:val="303B44"/>
          <w:sz w:val="22"/>
          <w:szCs w:val="22"/>
        </w:rPr>
        <w:t>)</w:t>
      </w:r>
      <w:r w:rsidRPr="00A71031">
        <w:rPr>
          <w:rFonts w:ascii="Arial" w:hAnsi="Arial" w:cs="Arial"/>
          <w:color w:val="303B44"/>
          <w:sz w:val="22"/>
          <w:szCs w:val="22"/>
        </w:rPr>
        <w:t xml:space="preserve">. </w:t>
      </w:r>
      <w:r>
        <w:rPr>
          <w:rFonts w:ascii="Arial" w:hAnsi="Arial" w:cs="Arial"/>
          <w:color w:val="303B44"/>
          <w:sz w:val="22"/>
          <w:szCs w:val="22"/>
        </w:rPr>
        <w:t>‘</w:t>
      </w:r>
      <w:r w:rsidRPr="00A71031">
        <w:rPr>
          <w:rFonts w:ascii="Arial" w:hAnsi="Arial" w:cs="Arial"/>
          <w:color w:val="303B44"/>
          <w:sz w:val="22"/>
          <w:szCs w:val="22"/>
        </w:rPr>
        <w:t>Crime and social control in middle England</w:t>
      </w:r>
      <w:r>
        <w:rPr>
          <w:rFonts w:ascii="Arial" w:hAnsi="Arial" w:cs="Arial"/>
          <w:color w:val="303B44"/>
          <w:sz w:val="22"/>
          <w:szCs w:val="22"/>
        </w:rPr>
        <w:t>’</w:t>
      </w:r>
      <w:r w:rsidRPr="00A71031">
        <w:rPr>
          <w:rFonts w:ascii="Arial" w:hAnsi="Arial" w:cs="Arial"/>
          <w:color w:val="303B44"/>
          <w:sz w:val="22"/>
          <w:szCs w:val="22"/>
        </w:rPr>
        <w:t>: questions of order in an English town. London: Routledge</w:t>
      </w:r>
    </w:p>
    <w:p w14:paraId="15C91219" w14:textId="1951D4CD" w:rsidR="00DF754B" w:rsidRPr="005A6A94" w:rsidRDefault="00DF754B" w:rsidP="005A6A94">
      <w:pPr>
        <w:pStyle w:val="NormalWeb"/>
        <w:ind w:firstLine="720"/>
        <w:rPr>
          <w:rFonts w:ascii="Arial" w:hAnsi="Arial" w:cs="Arial"/>
          <w:color w:val="303B44"/>
          <w:sz w:val="22"/>
          <w:szCs w:val="22"/>
        </w:rPr>
      </w:pPr>
      <w:r w:rsidRPr="00DF754B">
        <w:rPr>
          <w:rFonts w:ascii="Arial" w:hAnsi="Arial" w:cs="Arial"/>
          <w:color w:val="303B44"/>
          <w:sz w:val="22"/>
          <w:szCs w:val="22"/>
        </w:rPr>
        <w:t>Hough, M., Jackson, J., &amp; Bradford, B. (2010). Trust in justice: Topline results from round 5 of the European Social Survey. European Social Survey.</w:t>
      </w:r>
    </w:p>
    <w:p w14:paraId="4462D00F" w14:textId="24C548CD" w:rsidR="005A6A94" w:rsidRDefault="005A6A94" w:rsidP="005A6A94">
      <w:pPr>
        <w:pStyle w:val="NormalWeb"/>
        <w:ind w:firstLine="720"/>
        <w:rPr>
          <w:rFonts w:ascii="Arial" w:hAnsi="Arial" w:cs="Arial"/>
          <w:color w:val="303B44"/>
          <w:sz w:val="22"/>
          <w:szCs w:val="22"/>
        </w:rPr>
      </w:pPr>
      <w:r w:rsidRPr="005A6A94">
        <w:rPr>
          <w:rFonts w:ascii="Arial" w:hAnsi="Arial" w:cs="Arial"/>
          <w:color w:val="303B44"/>
          <w:sz w:val="22"/>
          <w:szCs w:val="22"/>
        </w:rPr>
        <w:t xml:space="preserve">Jackson, J., Bradford, B., Hough, M., &amp; Murray, K. (2012). </w:t>
      </w:r>
      <w:r w:rsidR="0085044E">
        <w:rPr>
          <w:rFonts w:ascii="Arial" w:hAnsi="Arial" w:cs="Arial"/>
          <w:color w:val="303B44"/>
          <w:sz w:val="22"/>
          <w:szCs w:val="22"/>
        </w:rPr>
        <w:t>‘</w:t>
      </w:r>
      <w:r w:rsidRPr="005A6A94">
        <w:rPr>
          <w:rFonts w:ascii="Arial" w:hAnsi="Arial" w:cs="Arial"/>
          <w:color w:val="303B44"/>
          <w:sz w:val="22"/>
          <w:szCs w:val="22"/>
        </w:rPr>
        <w:t>Compliance with the Law and Policing by Consent: Notes on Police and Legal Legitimacy. Oxford Journals</w:t>
      </w:r>
      <w:r w:rsidR="0085044E">
        <w:rPr>
          <w:rFonts w:ascii="Arial" w:hAnsi="Arial" w:cs="Arial"/>
          <w:color w:val="303B44"/>
          <w:sz w:val="22"/>
          <w:szCs w:val="22"/>
        </w:rPr>
        <w:t>’</w:t>
      </w:r>
      <w:r w:rsidRPr="005A6A94">
        <w:rPr>
          <w:rFonts w:ascii="Arial" w:hAnsi="Arial" w:cs="Arial"/>
          <w:color w:val="303B44"/>
          <w:sz w:val="22"/>
          <w:szCs w:val="22"/>
        </w:rPr>
        <w:t xml:space="preserve">, 11(3), </w:t>
      </w:r>
      <w:r w:rsidR="00990359">
        <w:rPr>
          <w:rFonts w:ascii="Arial" w:hAnsi="Arial" w:cs="Arial"/>
          <w:color w:val="303B44"/>
          <w:sz w:val="22"/>
          <w:szCs w:val="22"/>
        </w:rPr>
        <w:t>pp</w:t>
      </w:r>
      <w:r w:rsidR="008F4FD8">
        <w:rPr>
          <w:rFonts w:ascii="Arial" w:hAnsi="Arial" w:cs="Arial"/>
          <w:color w:val="303B44"/>
          <w:sz w:val="22"/>
          <w:szCs w:val="22"/>
        </w:rPr>
        <w:t xml:space="preserve"> </w:t>
      </w:r>
      <w:r w:rsidRPr="005A6A94">
        <w:rPr>
          <w:rFonts w:ascii="Arial" w:hAnsi="Arial" w:cs="Arial"/>
          <w:color w:val="303B44"/>
          <w:sz w:val="22"/>
          <w:szCs w:val="22"/>
        </w:rPr>
        <w:t>12-22.</w:t>
      </w:r>
    </w:p>
    <w:p w14:paraId="4AA16395" w14:textId="5B6F5C49" w:rsidR="00F80768" w:rsidRDefault="00F80768" w:rsidP="005A6A94">
      <w:pPr>
        <w:pStyle w:val="NormalWeb"/>
        <w:ind w:firstLine="720"/>
        <w:rPr>
          <w:rFonts w:ascii="Arial" w:hAnsi="Arial" w:cs="Arial"/>
          <w:color w:val="303B44"/>
          <w:sz w:val="22"/>
          <w:szCs w:val="22"/>
        </w:rPr>
      </w:pPr>
      <w:r w:rsidRPr="00F80768">
        <w:rPr>
          <w:rFonts w:ascii="Arial" w:hAnsi="Arial" w:cs="Arial"/>
          <w:color w:val="303B44"/>
          <w:sz w:val="22"/>
          <w:szCs w:val="22"/>
        </w:rPr>
        <w:t xml:space="preserve">Loader, I. and Mulcahy, A., </w:t>
      </w:r>
      <w:r w:rsidR="009E2BA0">
        <w:rPr>
          <w:rFonts w:ascii="Arial" w:hAnsi="Arial" w:cs="Arial"/>
          <w:color w:val="303B44"/>
          <w:sz w:val="22"/>
          <w:szCs w:val="22"/>
        </w:rPr>
        <w:t>(</w:t>
      </w:r>
      <w:r w:rsidRPr="00F80768">
        <w:rPr>
          <w:rFonts w:ascii="Arial" w:hAnsi="Arial" w:cs="Arial"/>
          <w:color w:val="303B44"/>
          <w:sz w:val="22"/>
          <w:szCs w:val="22"/>
        </w:rPr>
        <w:t>2003</w:t>
      </w:r>
      <w:r w:rsidR="009E2BA0">
        <w:rPr>
          <w:rFonts w:ascii="Arial" w:hAnsi="Arial" w:cs="Arial"/>
          <w:color w:val="303B44"/>
          <w:sz w:val="22"/>
          <w:szCs w:val="22"/>
        </w:rPr>
        <w:t>)</w:t>
      </w:r>
      <w:r w:rsidRPr="00F80768">
        <w:rPr>
          <w:rFonts w:ascii="Arial" w:hAnsi="Arial" w:cs="Arial"/>
          <w:color w:val="303B44"/>
          <w:sz w:val="22"/>
          <w:szCs w:val="22"/>
        </w:rPr>
        <w:t xml:space="preserve">. </w:t>
      </w:r>
      <w:r w:rsidR="009E2BA0">
        <w:rPr>
          <w:rFonts w:ascii="Arial" w:hAnsi="Arial" w:cs="Arial"/>
          <w:color w:val="303B44"/>
          <w:sz w:val="22"/>
          <w:szCs w:val="22"/>
        </w:rPr>
        <w:t>‘</w:t>
      </w:r>
      <w:r w:rsidRPr="00F80768">
        <w:rPr>
          <w:rFonts w:ascii="Arial" w:hAnsi="Arial" w:cs="Arial"/>
          <w:color w:val="303B44"/>
          <w:sz w:val="22"/>
          <w:szCs w:val="22"/>
        </w:rPr>
        <w:t xml:space="preserve">Policing and the condition of England: memory, </w:t>
      </w:r>
      <w:r w:rsidR="000351B1" w:rsidRPr="00F80768">
        <w:rPr>
          <w:rFonts w:ascii="Arial" w:hAnsi="Arial" w:cs="Arial"/>
          <w:color w:val="303B44"/>
          <w:sz w:val="22"/>
          <w:szCs w:val="22"/>
        </w:rPr>
        <w:t>politics,</w:t>
      </w:r>
      <w:r w:rsidRPr="00F80768">
        <w:rPr>
          <w:rFonts w:ascii="Arial" w:hAnsi="Arial" w:cs="Arial"/>
          <w:color w:val="303B44"/>
          <w:sz w:val="22"/>
          <w:szCs w:val="22"/>
        </w:rPr>
        <w:t xml:space="preserve"> and culture. Oxford: Oxford University Press.</w:t>
      </w:r>
    </w:p>
    <w:p w14:paraId="112C81CF" w14:textId="7238308D" w:rsidR="00955186" w:rsidRDefault="00955186" w:rsidP="005A6A94">
      <w:pPr>
        <w:pStyle w:val="NormalWeb"/>
        <w:ind w:firstLine="720"/>
        <w:rPr>
          <w:rFonts w:ascii="Arial" w:hAnsi="Arial" w:cs="Arial"/>
          <w:color w:val="303B44"/>
          <w:sz w:val="22"/>
          <w:szCs w:val="22"/>
        </w:rPr>
      </w:pPr>
      <w:r w:rsidRPr="00955186">
        <w:rPr>
          <w:rFonts w:ascii="Arial" w:hAnsi="Arial" w:cs="Arial"/>
          <w:color w:val="303B44"/>
          <w:sz w:val="22"/>
          <w:szCs w:val="22"/>
        </w:rPr>
        <w:t xml:space="preserve">Loader, I., </w:t>
      </w:r>
      <w:r>
        <w:rPr>
          <w:rFonts w:ascii="Arial" w:hAnsi="Arial" w:cs="Arial"/>
          <w:color w:val="303B44"/>
          <w:sz w:val="22"/>
          <w:szCs w:val="22"/>
        </w:rPr>
        <w:t>(</w:t>
      </w:r>
      <w:r w:rsidRPr="00955186">
        <w:rPr>
          <w:rFonts w:ascii="Arial" w:hAnsi="Arial" w:cs="Arial"/>
          <w:color w:val="303B44"/>
          <w:sz w:val="22"/>
          <w:szCs w:val="22"/>
        </w:rPr>
        <w:t>2006</w:t>
      </w:r>
      <w:r>
        <w:rPr>
          <w:rFonts w:ascii="Arial" w:hAnsi="Arial" w:cs="Arial"/>
          <w:color w:val="303B44"/>
          <w:sz w:val="22"/>
          <w:szCs w:val="22"/>
        </w:rPr>
        <w:t>)</w:t>
      </w:r>
      <w:r w:rsidRPr="00955186">
        <w:rPr>
          <w:rFonts w:ascii="Arial" w:hAnsi="Arial" w:cs="Arial"/>
          <w:color w:val="303B44"/>
          <w:sz w:val="22"/>
          <w:szCs w:val="22"/>
        </w:rPr>
        <w:t xml:space="preserve">. </w:t>
      </w:r>
      <w:r>
        <w:rPr>
          <w:rFonts w:ascii="Arial" w:hAnsi="Arial" w:cs="Arial"/>
          <w:color w:val="303B44"/>
          <w:sz w:val="22"/>
          <w:szCs w:val="22"/>
        </w:rPr>
        <w:t>‘</w:t>
      </w:r>
      <w:r w:rsidRPr="00955186">
        <w:rPr>
          <w:rFonts w:ascii="Arial" w:hAnsi="Arial" w:cs="Arial"/>
          <w:color w:val="303B44"/>
          <w:sz w:val="22"/>
          <w:szCs w:val="22"/>
        </w:rPr>
        <w:t>Policing, recognition and belonging. The annals of the American academy</w:t>
      </w:r>
      <w:r>
        <w:rPr>
          <w:rFonts w:ascii="Arial" w:hAnsi="Arial" w:cs="Arial"/>
          <w:color w:val="303B44"/>
          <w:sz w:val="22"/>
          <w:szCs w:val="22"/>
        </w:rPr>
        <w:t>’</w:t>
      </w:r>
      <w:r w:rsidRPr="00955186">
        <w:rPr>
          <w:rFonts w:ascii="Arial" w:hAnsi="Arial" w:cs="Arial"/>
          <w:color w:val="303B44"/>
          <w:sz w:val="22"/>
          <w:szCs w:val="22"/>
        </w:rPr>
        <w:t xml:space="preserve">, 605, </w:t>
      </w:r>
      <w:r w:rsidR="0084667D">
        <w:rPr>
          <w:rFonts w:ascii="Arial" w:hAnsi="Arial" w:cs="Arial"/>
          <w:color w:val="303B44"/>
          <w:sz w:val="22"/>
          <w:szCs w:val="22"/>
        </w:rPr>
        <w:t>pp 201</w:t>
      </w:r>
      <w:r w:rsidRPr="00955186">
        <w:rPr>
          <w:rFonts w:ascii="Arial" w:hAnsi="Arial" w:cs="Arial"/>
          <w:color w:val="303B44"/>
          <w:sz w:val="22"/>
          <w:szCs w:val="22"/>
        </w:rPr>
        <w:t>–221</w:t>
      </w:r>
      <w:r w:rsidR="00BD21A7">
        <w:rPr>
          <w:rFonts w:ascii="Arial" w:hAnsi="Arial" w:cs="Arial"/>
          <w:color w:val="303B44"/>
          <w:sz w:val="22"/>
          <w:szCs w:val="22"/>
        </w:rPr>
        <w:t>.</w:t>
      </w:r>
    </w:p>
    <w:p w14:paraId="43EB1C94" w14:textId="214047BD" w:rsidR="006C2BCD" w:rsidRDefault="006C2BCD" w:rsidP="005A6A94">
      <w:pPr>
        <w:pStyle w:val="NormalWeb"/>
        <w:ind w:firstLine="720"/>
        <w:rPr>
          <w:rFonts w:ascii="Arial" w:hAnsi="Arial" w:cs="Arial"/>
          <w:color w:val="303B44"/>
          <w:sz w:val="22"/>
          <w:szCs w:val="22"/>
        </w:rPr>
      </w:pPr>
      <w:r w:rsidRPr="006C2BCD">
        <w:rPr>
          <w:rFonts w:ascii="Arial" w:hAnsi="Arial" w:cs="Arial"/>
          <w:color w:val="303B44"/>
          <w:sz w:val="22"/>
          <w:szCs w:val="22"/>
        </w:rPr>
        <w:t xml:space="preserve">Manning, Peter K.  </w:t>
      </w:r>
      <w:r w:rsidR="000B756A">
        <w:rPr>
          <w:rFonts w:ascii="Arial" w:hAnsi="Arial" w:cs="Arial"/>
          <w:color w:val="303B44"/>
          <w:sz w:val="22"/>
          <w:szCs w:val="22"/>
        </w:rPr>
        <w:t>(</w:t>
      </w:r>
      <w:r w:rsidR="000B756A" w:rsidRPr="000B756A">
        <w:rPr>
          <w:rFonts w:ascii="Arial" w:hAnsi="Arial" w:cs="Arial"/>
          <w:color w:val="303B44"/>
          <w:sz w:val="22"/>
          <w:szCs w:val="22"/>
        </w:rPr>
        <w:t>2001</w:t>
      </w:r>
      <w:r w:rsidR="000B756A">
        <w:rPr>
          <w:rFonts w:ascii="Arial" w:hAnsi="Arial" w:cs="Arial"/>
          <w:color w:val="303B44"/>
          <w:sz w:val="22"/>
          <w:szCs w:val="22"/>
        </w:rPr>
        <w:t>)</w:t>
      </w:r>
      <w:r w:rsidR="000B756A" w:rsidRPr="000B756A">
        <w:rPr>
          <w:rFonts w:ascii="Arial" w:hAnsi="Arial" w:cs="Arial"/>
          <w:color w:val="303B44"/>
          <w:sz w:val="22"/>
          <w:szCs w:val="22"/>
        </w:rPr>
        <w:t>. “Theorizing Policing: The Drama and Myth of Crime Control in the NYPD.” Theoretical Criminology 5:315–44</w:t>
      </w:r>
      <w:r w:rsidRPr="006C2BCD">
        <w:rPr>
          <w:rFonts w:ascii="Arial" w:hAnsi="Arial" w:cs="Arial"/>
          <w:color w:val="303B44"/>
          <w:sz w:val="22"/>
          <w:szCs w:val="22"/>
        </w:rPr>
        <w:t>.</w:t>
      </w:r>
    </w:p>
    <w:p w14:paraId="217EF916" w14:textId="42BEBDDB" w:rsidR="00A16EDD" w:rsidRDefault="00A16EDD" w:rsidP="00A16EDD">
      <w:pPr>
        <w:pStyle w:val="NormalWeb"/>
        <w:ind w:firstLine="720"/>
        <w:rPr>
          <w:rFonts w:ascii="Arial" w:hAnsi="Arial" w:cs="Arial"/>
          <w:color w:val="303B44"/>
          <w:sz w:val="22"/>
          <w:szCs w:val="22"/>
        </w:rPr>
      </w:pPr>
      <w:r w:rsidRPr="00A16EDD">
        <w:rPr>
          <w:rFonts w:ascii="Arial" w:hAnsi="Arial" w:cs="Arial"/>
          <w:color w:val="303B44"/>
          <w:sz w:val="22"/>
          <w:szCs w:val="22"/>
        </w:rPr>
        <w:t>Myhill, A., &amp; Quinton, P. (2011). It’s a fair cop? Police legitimacy, public cooperation, and crime reduction. National Policing Improvement Agency.</w:t>
      </w:r>
    </w:p>
    <w:p w14:paraId="5C572024" w14:textId="0A7CCCD2" w:rsidR="00620F36" w:rsidRDefault="00620F36" w:rsidP="00A16EDD">
      <w:pPr>
        <w:pStyle w:val="NormalWeb"/>
        <w:ind w:firstLine="720"/>
        <w:rPr>
          <w:rFonts w:ascii="Arial" w:hAnsi="Arial" w:cs="Arial"/>
          <w:color w:val="303B44"/>
          <w:sz w:val="22"/>
          <w:szCs w:val="22"/>
        </w:rPr>
      </w:pPr>
      <w:r w:rsidRPr="00620F36">
        <w:rPr>
          <w:rFonts w:ascii="Arial" w:hAnsi="Arial" w:cs="Arial"/>
          <w:color w:val="303B44"/>
          <w:sz w:val="22"/>
          <w:szCs w:val="22"/>
        </w:rPr>
        <w:t xml:space="preserve">Murphy, K., Hinds, L., &amp; Fleming, J. (2008). </w:t>
      </w:r>
      <w:r w:rsidR="0085044E">
        <w:rPr>
          <w:rFonts w:ascii="Arial" w:hAnsi="Arial" w:cs="Arial"/>
          <w:color w:val="303B44"/>
          <w:sz w:val="22"/>
          <w:szCs w:val="22"/>
        </w:rPr>
        <w:t>‘</w:t>
      </w:r>
      <w:r w:rsidRPr="00620F36">
        <w:rPr>
          <w:rFonts w:ascii="Arial" w:hAnsi="Arial" w:cs="Arial"/>
          <w:color w:val="303B44"/>
          <w:sz w:val="22"/>
          <w:szCs w:val="22"/>
        </w:rPr>
        <w:t>Encouraging public cooperation and support for police. Policing and Society</w:t>
      </w:r>
      <w:r w:rsidR="0085044E">
        <w:rPr>
          <w:rFonts w:ascii="Arial" w:hAnsi="Arial" w:cs="Arial"/>
          <w:color w:val="303B44"/>
          <w:sz w:val="22"/>
          <w:szCs w:val="22"/>
        </w:rPr>
        <w:t>’</w:t>
      </w:r>
      <w:r w:rsidRPr="00620F36">
        <w:rPr>
          <w:rFonts w:ascii="Arial" w:hAnsi="Arial" w:cs="Arial"/>
          <w:color w:val="303B44"/>
          <w:sz w:val="22"/>
          <w:szCs w:val="22"/>
        </w:rPr>
        <w:t xml:space="preserve">, 18(2), </w:t>
      </w:r>
      <w:r>
        <w:rPr>
          <w:rFonts w:ascii="Arial" w:hAnsi="Arial" w:cs="Arial"/>
          <w:color w:val="303B44"/>
          <w:sz w:val="22"/>
          <w:szCs w:val="22"/>
        </w:rPr>
        <w:t xml:space="preserve">pp </w:t>
      </w:r>
      <w:r w:rsidRPr="00620F36">
        <w:rPr>
          <w:rFonts w:ascii="Arial" w:hAnsi="Arial" w:cs="Arial"/>
          <w:color w:val="303B44"/>
          <w:sz w:val="22"/>
          <w:szCs w:val="22"/>
        </w:rPr>
        <w:t>136-155</w:t>
      </w:r>
      <w:r w:rsidR="0085044E">
        <w:rPr>
          <w:rFonts w:ascii="Arial" w:hAnsi="Arial" w:cs="Arial"/>
          <w:color w:val="303B44"/>
          <w:sz w:val="22"/>
          <w:szCs w:val="22"/>
        </w:rPr>
        <w:t>.</w:t>
      </w:r>
    </w:p>
    <w:p w14:paraId="526E9F8A" w14:textId="5626BCB3" w:rsidR="000E633B" w:rsidRDefault="000E633B" w:rsidP="00A16EDD">
      <w:pPr>
        <w:pStyle w:val="NormalWeb"/>
        <w:ind w:firstLine="720"/>
        <w:rPr>
          <w:rFonts w:ascii="Arial" w:hAnsi="Arial" w:cs="Arial"/>
          <w:color w:val="303B44"/>
          <w:sz w:val="22"/>
          <w:szCs w:val="22"/>
        </w:rPr>
      </w:pPr>
      <w:r w:rsidRPr="000E633B">
        <w:rPr>
          <w:rFonts w:ascii="Arial" w:hAnsi="Arial" w:cs="Arial"/>
          <w:color w:val="303B44"/>
          <w:sz w:val="22"/>
          <w:szCs w:val="22"/>
        </w:rPr>
        <w:t xml:space="preserve">Newburn, T., </w:t>
      </w:r>
      <w:r>
        <w:rPr>
          <w:rFonts w:ascii="Arial" w:hAnsi="Arial" w:cs="Arial"/>
          <w:color w:val="303B44"/>
          <w:sz w:val="22"/>
          <w:szCs w:val="22"/>
        </w:rPr>
        <w:t>(</w:t>
      </w:r>
      <w:r w:rsidRPr="000E633B">
        <w:rPr>
          <w:rFonts w:ascii="Arial" w:hAnsi="Arial" w:cs="Arial"/>
          <w:color w:val="303B44"/>
          <w:sz w:val="22"/>
          <w:szCs w:val="22"/>
        </w:rPr>
        <w:t>2003</w:t>
      </w:r>
      <w:r>
        <w:rPr>
          <w:rFonts w:ascii="Arial" w:hAnsi="Arial" w:cs="Arial"/>
          <w:color w:val="303B44"/>
          <w:sz w:val="22"/>
          <w:szCs w:val="22"/>
        </w:rPr>
        <w:t>)</w:t>
      </w:r>
      <w:r w:rsidRPr="000E633B">
        <w:rPr>
          <w:rFonts w:ascii="Arial" w:hAnsi="Arial" w:cs="Arial"/>
          <w:color w:val="303B44"/>
          <w:sz w:val="22"/>
          <w:szCs w:val="22"/>
        </w:rPr>
        <w:t xml:space="preserve">. </w:t>
      </w:r>
      <w:r>
        <w:rPr>
          <w:rFonts w:ascii="Arial" w:hAnsi="Arial" w:cs="Arial"/>
          <w:color w:val="303B44"/>
          <w:sz w:val="22"/>
          <w:szCs w:val="22"/>
        </w:rPr>
        <w:t>‘</w:t>
      </w:r>
      <w:r w:rsidRPr="000E633B">
        <w:rPr>
          <w:rFonts w:ascii="Arial" w:hAnsi="Arial" w:cs="Arial"/>
          <w:color w:val="303B44"/>
          <w:sz w:val="22"/>
          <w:szCs w:val="22"/>
        </w:rPr>
        <w:t xml:space="preserve">Policing since 1945. In: T. Newburn, ed. Policing: key readings. Cullompton: Willan Publishing, </w:t>
      </w:r>
      <w:r w:rsidR="00605D1F">
        <w:rPr>
          <w:rFonts w:ascii="Arial" w:hAnsi="Arial" w:cs="Arial"/>
          <w:color w:val="303B44"/>
          <w:sz w:val="22"/>
          <w:szCs w:val="22"/>
        </w:rPr>
        <w:t xml:space="preserve">pp </w:t>
      </w:r>
      <w:r w:rsidRPr="000E633B">
        <w:rPr>
          <w:rFonts w:ascii="Arial" w:hAnsi="Arial" w:cs="Arial"/>
          <w:color w:val="303B44"/>
          <w:sz w:val="22"/>
          <w:szCs w:val="22"/>
        </w:rPr>
        <w:t>84–105</w:t>
      </w:r>
      <w:r w:rsidR="00CD50F7">
        <w:rPr>
          <w:rFonts w:ascii="Arial" w:hAnsi="Arial" w:cs="Arial"/>
          <w:color w:val="303B44"/>
          <w:sz w:val="22"/>
          <w:szCs w:val="22"/>
        </w:rPr>
        <w:t>.</w:t>
      </w:r>
    </w:p>
    <w:p w14:paraId="5EC7FDA3" w14:textId="78DD88E8" w:rsidR="00CD50F7" w:rsidRPr="005A6A94" w:rsidRDefault="00CD50F7" w:rsidP="00A16EDD">
      <w:pPr>
        <w:pStyle w:val="NormalWeb"/>
        <w:ind w:firstLine="720"/>
        <w:rPr>
          <w:rFonts w:ascii="Arial" w:hAnsi="Arial" w:cs="Arial"/>
          <w:color w:val="303B44"/>
          <w:sz w:val="22"/>
          <w:szCs w:val="22"/>
        </w:rPr>
      </w:pPr>
      <w:r w:rsidRPr="00CD50F7">
        <w:rPr>
          <w:rFonts w:ascii="Arial" w:hAnsi="Arial" w:cs="Arial"/>
          <w:color w:val="303B44"/>
          <w:sz w:val="22"/>
          <w:szCs w:val="22"/>
        </w:rPr>
        <w:t xml:space="preserve">Turner, V., </w:t>
      </w:r>
      <w:r>
        <w:rPr>
          <w:rFonts w:ascii="Arial" w:hAnsi="Arial" w:cs="Arial"/>
          <w:color w:val="303B44"/>
          <w:sz w:val="22"/>
          <w:szCs w:val="22"/>
        </w:rPr>
        <w:t>(</w:t>
      </w:r>
      <w:r w:rsidRPr="00CD50F7">
        <w:rPr>
          <w:rFonts w:ascii="Arial" w:hAnsi="Arial" w:cs="Arial"/>
          <w:color w:val="303B44"/>
          <w:sz w:val="22"/>
          <w:szCs w:val="22"/>
        </w:rPr>
        <w:t>1974</w:t>
      </w:r>
      <w:r>
        <w:rPr>
          <w:rFonts w:ascii="Arial" w:hAnsi="Arial" w:cs="Arial"/>
          <w:color w:val="303B44"/>
          <w:sz w:val="22"/>
          <w:szCs w:val="22"/>
        </w:rPr>
        <w:t>)</w:t>
      </w:r>
      <w:r w:rsidRPr="00CD50F7">
        <w:rPr>
          <w:rFonts w:ascii="Arial" w:hAnsi="Arial" w:cs="Arial"/>
          <w:color w:val="303B44"/>
          <w:sz w:val="22"/>
          <w:szCs w:val="22"/>
        </w:rPr>
        <w:t xml:space="preserve">. </w:t>
      </w:r>
      <w:r>
        <w:rPr>
          <w:rFonts w:ascii="Arial" w:hAnsi="Arial" w:cs="Arial"/>
          <w:color w:val="303B44"/>
          <w:sz w:val="22"/>
          <w:szCs w:val="22"/>
        </w:rPr>
        <w:t>‘’</w:t>
      </w:r>
      <w:r w:rsidRPr="00CD50F7">
        <w:rPr>
          <w:rFonts w:ascii="Arial" w:hAnsi="Arial" w:cs="Arial"/>
          <w:color w:val="303B44"/>
          <w:sz w:val="22"/>
          <w:szCs w:val="22"/>
        </w:rPr>
        <w:t>Dramas, fields, and metaphors: symbolic action in human society</w:t>
      </w:r>
      <w:r>
        <w:rPr>
          <w:rFonts w:ascii="Arial" w:hAnsi="Arial" w:cs="Arial"/>
          <w:color w:val="303B44"/>
          <w:sz w:val="22"/>
          <w:szCs w:val="22"/>
        </w:rPr>
        <w:t>’</w:t>
      </w:r>
      <w:r w:rsidRPr="00CD50F7">
        <w:rPr>
          <w:rFonts w:ascii="Arial" w:hAnsi="Arial" w:cs="Arial"/>
          <w:color w:val="303B44"/>
          <w:sz w:val="22"/>
          <w:szCs w:val="22"/>
        </w:rPr>
        <w:t>. Ithaca, NY: Cornell University Press.</w:t>
      </w:r>
    </w:p>
    <w:p w14:paraId="1DD4B85A" w14:textId="77777777" w:rsidR="005A6A94" w:rsidRPr="005A6A94" w:rsidRDefault="005A6A94" w:rsidP="005A6A94">
      <w:pPr>
        <w:pStyle w:val="NormalWeb"/>
        <w:ind w:firstLine="720"/>
        <w:rPr>
          <w:rFonts w:ascii="Arial" w:hAnsi="Arial" w:cs="Arial"/>
          <w:color w:val="303B44"/>
          <w:sz w:val="22"/>
          <w:szCs w:val="22"/>
        </w:rPr>
      </w:pPr>
      <w:r w:rsidRPr="005A6A94">
        <w:rPr>
          <w:rFonts w:ascii="Arial" w:hAnsi="Arial" w:cs="Arial"/>
          <w:color w:val="303B44"/>
          <w:sz w:val="22"/>
          <w:szCs w:val="22"/>
        </w:rPr>
        <w:t>Reiner, R. (2010). The Politics of the Police. Oxford: Oxford University Press.</w:t>
      </w:r>
    </w:p>
    <w:p w14:paraId="04B11390" w14:textId="77777777" w:rsidR="005A6A94" w:rsidRDefault="005A6A94" w:rsidP="005A6A94">
      <w:pPr>
        <w:pStyle w:val="NormalWeb"/>
        <w:ind w:firstLine="720"/>
        <w:rPr>
          <w:rFonts w:ascii="Arial" w:hAnsi="Arial" w:cs="Arial"/>
          <w:color w:val="303B44"/>
          <w:sz w:val="22"/>
          <w:szCs w:val="22"/>
        </w:rPr>
      </w:pPr>
      <w:r w:rsidRPr="005A6A94">
        <w:rPr>
          <w:rFonts w:ascii="Arial" w:hAnsi="Arial" w:cs="Arial"/>
          <w:color w:val="303B44"/>
          <w:sz w:val="22"/>
          <w:szCs w:val="22"/>
        </w:rPr>
        <w:t>Rowe, M. (2017). Introduction to Policing. London: Sage Publications.</w:t>
      </w:r>
    </w:p>
    <w:p w14:paraId="6B353246" w14:textId="64DCBC0E" w:rsidR="00FA45B1" w:rsidRDefault="00FA45B1" w:rsidP="005A6A94">
      <w:pPr>
        <w:pStyle w:val="NormalWeb"/>
        <w:ind w:firstLine="720"/>
        <w:rPr>
          <w:rFonts w:ascii="Segoe UI" w:hAnsi="Segoe UI" w:cs="Segoe UI"/>
          <w:color w:val="374151"/>
          <w:shd w:val="clear" w:color="auto" w:fill="F7F7F8"/>
        </w:rPr>
      </w:pPr>
      <w:r w:rsidRPr="00FA45B1">
        <w:rPr>
          <w:rFonts w:ascii="Segoe UI" w:hAnsi="Segoe UI" w:cs="Segoe UI"/>
          <w:color w:val="374151"/>
          <w:shd w:val="clear" w:color="auto" w:fill="F7F7F8"/>
        </w:rPr>
        <w:lastRenderedPageBreak/>
        <w:t>Rawlings, P. (2002). Policing: A short history. Willan.</w:t>
      </w:r>
    </w:p>
    <w:p w14:paraId="5C3C05AA" w14:textId="3E4153B6" w:rsidR="0084060D" w:rsidRDefault="005A6A94" w:rsidP="005A6A94">
      <w:pPr>
        <w:pStyle w:val="NormalWeb"/>
        <w:ind w:firstLine="720"/>
        <w:rPr>
          <w:rFonts w:ascii="Arial" w:hAnsi="Arial" w:cs="Arial"/>
          <w:color w:val="303B44"/>
          <w:sz w:val="22"/>
          <w:szCs w:val="22"/>
        </w:rPr>
      </w:pPr>
      <w:r w:rsidRPr="005A6A94">
        <w:rPr>
          <w:rFonts w:ascii="Arial" w:hAnsi="Arial" w:cs="Arial"/>
          <w:color w:val="303B44"/>
          <w:sz w:val="22"/>
          <w:szCs w:val="22"/>
        </w:rPr>
        <w:t>Skogan, W. (2015). Community Policing: Can it Work? Wadsworth Cengage Learning.</w:t>
      </w:r>
    </w:p>
    <w:p w14:paraId="66C9D0B8" w14:textId="77777777" w:rsidR="00C554DD" w:rsidRDefault="00C554DD" w:rsidP="00D54E6B">
      <w:pPr>
        <w:pStyle w:val="NormalWeb"/>
        <w:ind w:firstLine="720"/>
        <w:rPr>
          <w:rFonts w:ascii="Arial" w:hAnsi="Arial" w:cs="Arial"/>
          <w:color w:val="303B44"/>
          <w:sz w:val="22"/>
          <w:szCs w:val="22"/>
        </w:rPr>
      </w:pPr>
    </w:p>
    <w:p w14:paraId="651679A9" w14:textId="77777777" w:rsidR="00137E21" w:rsidRDefault="00137E21" w:rsidP="00D54E6B">
      <w:pPr>
        <w:pStyle w:val="NormalWeb"/>
        <w:ind w:firstLine="720"/>
        <w:rPr>
          <w:rFonts w:ascii="Arial" w:hAnsi="Arial" w:cs="Arial"/>
          <w:color w:val="303B44"/>
          <w:sz w:val="22"/>
          <w:szCs w:val="22"/>
        </w:rPr>
      </w:pPr>
    </w:p>
    <w:p w14:paraId="63AF9A86" w14:textId="77777777" w:rsidR="00137E21" w:rsidRDefault="00137E21" w:rsidP="00D54E6B">
      <w:pPr>
        <w:pStyle w:val="NormalWeb"/>
        <w:ind w:firstLine="720"/>
        <w:rPr>
          <w:rFonts w:ascii="Arial" w:hAnsi="Arial" w:cs="Arial"/>
          <w:color w:val="303B44"/>
          <w:sz w:val="22"/>
          <w:szCs w:val="22"/>
        </w:rPr>
      </w:pPr>
    </w:p>
    <w:p w14:paraId="64537142" w14:textId="77777777" w:rsidR="005A6A94" w:rsidRDefault="005A6A94" w:rsidP="00D54E6B">
      <w:pPr>
        <w:pStyle w:val="NormalWeb"/>
        <w:ind w:firstLine="720"/>
        <w:rPr>
          <w:rFonts w:ascii="Arial" w:hAnsi="Arial" w:cs="Arial"/>
          <w:color w:val="303B44"/>
          <w:sz w:val="22"/>
          <w:szCs w:val="22"/>
        </w:rPr>
      </w:pPr>
    </w:p>
    <w:p w14:paraId="050DFBD4" w14:textId="77777777" w:rsidR="005A6A94" w:rsidRDefault="005A6A94" w:rsidP="00D54E6B">
      <w:pPr>
        <w:pStyle w:val="NormalWeb"/>
        <w:ind w:firstLine="720"/>
        <w:rPr>
          <w:rFonts w:ascii="Arial" w:hAnsi="Arial" w:cs="Arial"/>
          <w:color w:val="303B44"/>
          <w:sz w:val="22"/>
          <w:szCs w:val="22"/>
        </w:rPr>
      </w:pPr>
    </w:p>
    <w:p w14:paraId="250F8B0C" w14:textId="77777777" w:rsidR="005A6A94" w:rsidRDefault="005A6A94" w:rsidP="00D54E6B">
      <w:pPr>
        <w:pStyle w:val="NormalWeb"/>
        <w:ind w:firstLine="720"/>
        <w:rPr>
          <w:rFonts w:ascii="Arial" w:hAnsi="Arial" w:cs="Arial"/>
          <w:color w:val="303B44"/>
          <w:sz w:val="22"/>
          <w:szCs w:val="22"/>
        </w:rPr>
      </w:pPr>
    </w:p>
    <w:p w14:paraId="6325EF79" w14:textId="77777777" w:rsidR="005A6A94" w:rsidRDefault="005A6A94" w:rsidP="00D54E6B">
      <w:pPr>
        <w:pStyle w:val="NormalWeb"/>
        <w:ind w:firstLine="720"/>
        <w:rPr>
          <w:rFonts w:ascii="Arial" w:hAnsi="Arial" w:cs="Arial"/>
          <w:color w:val="303B44"/>
          <w:sz w:val="22"/>
          <w:szCs w:val="22"/>
        </w:rPr>
      </w:pPr>
    </w:p>
    <w:p w14:paraId="3EE0C09F" w14:textId="77777777" w:rsidR="005A6A94" w:rsidRDefault="005A6A94" w:rsidP="00D54E6B">
      <w:pPr>
        <w:pStyle w:val="NormalWeb"/>
        <w:ind w:firstLine="720"/>
        <w:rPr>
          <w:rFonts w:ascii="Arial" w:hAnsi="Arial" w:cs="Arial"/>
          <w:color w:val="303B44"/>
          <w:sz w:val="22"/>
          <w:szCs w:val="22"/>
        </w:rPr>
      </w:pPr>
    </w:p>
    <w:p w14:paraId="72871F34" w14:textId="77777777" w:rsidR="005A6A94" w:rsidRDefault="005A6A94" w:rsidP="00D54E6B">
      <w:pPr>
        <w:pStyle w:val="NormalWeb"/>
        <w:ind w:firstLine="720"/>
        <w:rPr>
          <w:rFonts w:ascii="Arial" w:hAnsi="Arial" w:cs="Arial"/>
          <w:color w:val="303B44"/>
          <w:sz w:val="22"/>
          <w:szCs w:val="22"/>
        </w:rPr>
      </w:pPr>
    </w:p>
    <w:p w14:paraId="5710BC96" w14:textId="77777777" w:rsidR="005A6A94" w:rsidRDefault="005A6A94" w:rsidP="00D54E6B">
      <w:pPr>
        <w:pStyle w:val="NormalWeb"/>
        <w:ind w:firstLine="720"/>
        <w:rPr>
          <w:rFonts w:ascii="Arial" w:hAnsi="Arial" w:cs="Arial"/>
          <w:color w:val="303B44"/>
          <w:sz w:val="22"/>
          <w:szCs w:val="22"/>
        </w:rPr>
      </w:pPr>
    </w:p>
    <w:p w14:paraId="3009120B" w14:textId="77777777" w:rsidR="005A6A94" w:rsidRDefault="005A6A94" w:rsidP="00D54E6B">
      <w:pPr>
        <w:pStyle w:val="NormalWeb"/>
        <w:ind w:firstLine="720"/>
        <w:rPr>
          <w:rFonts w:ascii="Arial" w:hAnsi="Arial" w:cs="Arial"/>
          <w:color w:val="303B44"/>
          <w:sz w:val="22"/>
          <w:szCs w:val="22"/>
        </w:rPr>
      </w:pPr>
    </w:p>
    <w:p w14:paraId="6D104FC8" w14:textId="77777777" w:rsidR="005A6A94" w:rsidRDefault="005A6A94" w:rsidP="00D54E6B">
      <w:pPr>
        <w:pStyle w:val="NormalWeb"/>
        <w:ind w:firstLine="720"/>
        <w:rPr>
          <w:rFonts w:ascii="Arial" w:hAnsi="Arial" w:cs="Arial"/>
          <w:color w:val="303B44"/>
          <w:sz w:val="22"/>
          <w:szCs w:val="22"/>
        </w:rPr>
      </w:pPr>
    </w:p>
    <w:p w14:paraId="785EC138" w14:textId="77777777" w:rsidR="005A6A94" w:rsidRDefault="005A6A94" w:rsidP="00D54E6B">
      <w:pPr>
        <w:pStyle w:val="NormalWeb"/>
        <w:ind w:firstLine="720"/>
        <w:rPr>
          <w:rFonts w:ascii="Arial" w:hAnsi="Arial" w:cs="Arial"/>
          <w:color w:val="303B44"/>
          <w:sz w:val="22"/>
          <w:szCs w:val="22"/>
        </w:rPr>
      </w:pPr>
    </w:p>
    <w:p w14:paraId="13DB529C" w14:textId="77777777" w:rsidR="005A6A94" w:rsidRDefault="005A6A94" w:rsidP="00D54E6B">
      <w:pPr>
        <w:pStyle w:val="NormalWeb"/>
        <w:ind w:firstLine="720"/>
        <w:rPr>
          <w:rFonts w:ascii="Arial" w:hAnsi="Arial" w:cs="Arial"/>
          <w:color w:val="303B44"/>
          <w:sz w:val="22"/>
          <w:szCs w:val="22"/>
        </w:rPr>
      </w:pPr>
    </w:p>
    <w:p w14:paraId="01875921" w14:textId="77777777" w:rsidR="005A6A94" w:rsidRDefault="005A6A94" w:rsidP="00D54E6B">
      <w:pPr>
        <w:pStyle w:val="NormalWeb"/>
        <w:ind w:firstLine="720"/>
        <w:rPr>
          <w:rFonts w:ascii="Arial" w:hAnsi="Arial" w:cs="Arial"/>
          <w:color w:val="303B44"/>
          <w:sz w:val="22"/>
          <w:szCs w:val="22"/>
        </w:rPr>
      </w:pPr>
    </w:p>
    <w:p w14:paraId="15EB59D0" w14:textId="77777777" w:rsidR="005A6A94" w:rsidRDefault="005A6A94" w:rsidP="00D54E6B">
      <w:pPr>
        <w:pStyle w:val="NormalWeb"/>
        <w:ind w:firstLine="720"/>
        <w:rPr>
          <w:rFonts w:ascii="Arial" w:hAnsi="Arial" w:cs="Arial"/>
          <w:color w:val="303B44"/>
          <w:sz w:val="22"/>
          <w:szCs w:val="22"/>
        </w:rPr>
      </w:pPr>
    </w:p>
    <w:p w14:paraId="5ACFB2B8" w14:textId="77777777" w:rsidR="005A6A94" w:rsidRDefault="005A6A94" w:rsidP="00D54E6B">
      <w:pPr>
        <w:pStyle w:val="NormalWeb"/>
        <w:ind w:firstLine="720"/>
        <w:rPr>
          <w:rFonts w:ascii="Arial" w:hAnsi="Arial" w:cs="Arial"/>
          <w:color w:val="303B44"/>
          <w:sz w:val="22"/>
          <w:szCs w:val="22"/>
        </w:rPr>
      </w:pPr>
    </w:p>
    <w:p w14:paraId="696F5F50" w14:textId="77777777" w:rsidR="005A6A94" w:rsidRDefault="005A6A94" w:rsidP="00D54E6B">
      <w:pPr>
        <w:pStyle w:val="NormalWeb"/>
        <w:ind w:firstLine="720"/>
        <w:rPr>
          <w:rFonts w:ascii="Arial" w:hAnsi="Arial" w:cs="Arial"/>
          <w:color w:val="303B44"/>
          <w:sz w:val="22"/>
          <w:szCs w:val="22"/>
        </w:rPr>
      </w:pPr>
    </w:p>
    <w:p w14:paraId="08F1DD89" w14:textId="77777777" w:rsidR="005A6A94" w:rsidRDefault="005A6A94" w:rsidP="00D54E6B">
      <w:pPr>
        <w:pStyle w:val="NormalWeb"/>
        <w:ind w:firstLine="720"/>
        <w:rPr>
          <w:rFonts w:ascii="Arial" w:hAnsi="Arial" w:cs="Arial"/>
          <w:color w:val="303B44"/>
          <w:sz w:val="22"/>
          <w:szCs w:val="22"/>
        </w:rPr>
      </w:pPr>
    </w:p>
    <w:p w14:paraId="611F1258" w14:textId="77777777" w:rsidR="005A6A94" w:rsidRDefault="005A6A94" w:rsidP="00D54E6B">
      <w:pPr>
        <w:pStyle w:val="NormalWeb"/>
        <w:ind w:firstLine="720"/>
        <w:rPr>
          <w:rFonts w:ascii="Arial" w:hAnsi="Arial" w:cs="Arial"/>
          <w:color w:val="303B44"/>
          <w:sz w:val="22"/>
          <w:szCs w:val="22"/>
        </w:rPr>
      </w:pPr>
    </w:p>
    <w:p w14:paraId="75E1C19A" w14:textId="77777777" w:rsidR="005A6A94" w:rsidRDefault="005A6A94" w:rsidP="00D54E6B">
      <w:pPr>
        <w:pStyle w:val="NormalWeb"/>
        <w:ind w:firstLine="720"/>
        <w:rPr>
          <w:rFonts w:ascii="Arial" w:hAnsi="Arial" w:cs="Arial"/>
          <w:color w:val="303B44"/>
          <w:sz w:val="22"/>
          <w:szCs w:val="22"/>
        </w:rPr>
      </w:pPr>
    </w:p>
    <w:p w14:paraId="0A7BE2D9" w14:textId="77777777" w:rsidR="005A6A94" w:rsidRDefault="005A6A94" w:rsidP="00D54E6B">
      <w:pPr>
        <w:pStyle w:val="NormalWeb"/>
        <w:ind w:firstLine="720"/>
        <w:rPr>
          <w:rFonts w:ascii="Arial" w:hAnsi="Arial" w:cs="Arial"/>
          <w:color w:val="303B44"/>
          <w:sz w:val="22"/>
          <w:szCs w:val="22"/>
        </w:rPr>
      </w:pPr>
    </w:p>
    <w:p w14:paraId="00842BE9" w14:textId="77777777" w:rsidR="005A6A94" w:rsidRDefault="005A6A94" w:rsidP="00D54E6B">
      <w:pPr>
        <w:pStyle w:val="NormalWeb"/>
        <w:ind w:firstLine="720"/>
        <w:rPr>
          <w:rFonts w:ascii="Arial" w:hAnsi="Arial" w:cs="Arial"/>
          <w:color w:val="303B44"/>
          <w:sz w:val="22"/>
          <w:szCs w:val="22"/>
        </w:rPr>
      </w:pPr>
    </w:p>
    <w:p w14:paraId="1B233949" w14:textId="77777777" w:rsidR="005A6A94" w:rsidRDefault="005A6A94" w:rsidP="00D54E6B">
      <w:pPr>
        <w:pStyle w:val="NormalWeb"/>
        <w:ind w:firstLine="720"/>
        <w:rPr>
          <w:rFonts w:ascii="Arial" w:hAnsi="Arial" w:cs="Arial"/>
          <w:color w:val="303B44"/>
          <w:sz w:val="22"/>
          <w:szCs w:val="22"/>
        </w:rPr>
      </w:pPr>
    </w:p>
    <w:p w14:paraId="4DAF09AD" w14:textId="77777777" w:rsidR="005A6A94" w:rsidRDefault="005A6A94" w:rsidP="00D54E6B">
      <w:pPr>
        <w:pStyle w:val="NormalWeb"/>
        <w:ind w:firstLine="720"/>
        <w:rPr>
          <w:rFonts w:ascii="Arial" w:hAnsi="Arial" w:cs="Arial"/>
          <w:color w:val="303B44"/>
          <w:sz w:val="22"/>
          <w:szCs w:val="22"/>
        </w:rPr>
      </w:pPr>
    </w:p>
    <w:p w14:paraId="29CB0411" w14:textId="77777777" w:rsidR="005A6A94" w:rsidRDefault="005A6A94" w:rsidP="00D54E6B">
      <w:pPr>
        <w:pStyle w:val="NormalWeb"/>
        <w:ind w:firstLine="720"/>
        <w:rPr>
          <w:rFonts w:ascii="Arial" w:hAnsi="Arial" w:cs="Arial"/>
          <w:color w:val="303B44"/>
          <w:sz w:val="22"/>
          <w:szCs w:val="22"/>
        </w:rPr>
      </w:pPr>
    </w:p>
    <w:p w14:paraId="64A859B4" w14:textId="77777777" w:rsidR="005A6A94" w:rsidRDefault="005A6A94" w:rsidP="00D54E6B">
      <w:pPr>
        <w:pStyle w:val="NormalWeb"/>
        <w:ind w:firstLine="720"/>
        <w:rPr>
          <w:rFonts w:ascii="Arial" w:hAnsi="Arial" w:cs="Arial"/>
          <w:color w:val="303B44"/>
          <w:sz w:val="22"/>
          <w:szCs w:val="22"/>
        </w:rPr>
      </w:pPr>
    </w:p>
    <w:p w14:paraId="1EF540BD" w14:textId="77777777" w:rsidR="005A6A94" w:rsidRDefault="005A6A94" w:rsidP="00D54E6B">
      <w:pPr>
        <w:pStyle w:val="NormalWeb"/>
        <w:ind w:firstLine="720"/>
        <w:rPr>
          <w:rFonts w:ascii="Arial" w:hAnsi="Arial" w:cs="Arial"/>
          <w:color w:val="303B44"/>
          <w:sz w:val="22"/>
          <w:szCs w:val="22"/>
        </w:rPr>
      </w:pPr>
    </w:p>
    <w:p w14:paraId="33584897" w14:textId="77777777" w:rsidR="005A6A94" w:rsidRDefault="005A6A94" w:rsidP="00D54E6B">
      <w:pPr>
        <w:pStyle w:val="NormalWeb"/>
        <w:ind w:firstLine="720"/>
        <w:rPr>
          <w:rFonts w:ascii="Arial" w:hAnsi="Arial" w:cs="Arial"/>
          <w:color w:val="303B44"/>
          <w:sz w:val="22"/>
          <w:szCs w:val="22"/>
        </w:rPr>
      </w:pPr>
    </w:p>
    <w:p w14:paraId="6C9A46A2" w14:textId="77777777" w:rsidR="005A6A94" w:rsidRDefault="005A6A94" w:rsidP="00D54E6B">
      <w:pPr>
        <w:pStyle w:val="NormalWeb"/>
        <w:ind w:firstLine="720"/>
        <w:rPr>
          <w:rFonts w:ascii="Arial" w:hAnsi="Arial" w:cs="Arial"/>
          <w:color w:val="303B44"/>
          <w:sz w:val="22"/>
          <w:szCs w:val="22"/>
        </w:rPr>
      </w:pPr>
    </w:p>
    <w:p w14:paraId="61C2508F" w14:textId="77777777" w:rsidR="005A6A94" w:rsidRDefault="005A6A94" w:rsidP="00D54E6B">
      <w:pPr>
        <w:pStyle w:val="NormalWeb"/>
        <w:ind w:firstLine="720"/>
        <w:rPr>
          <w:rFonts w:ascii="Arial" w:hAnsi="Arial" w:cs="Arial"/>
          <w:color w:val="303B44"/>
          <w:sz w:val="22"/>
          <w:szCs w:val="22"/>
        </w:rPr>
      </w:pPr>
    </w:p>
    <w:p w14:paraId="77B2050C" w14:textId="77777777" w:rsidR="005A6A94" w:rsidRDefault="005A6A94" w:rsidP="00D54E6B">
      <w:pPr>
        <w:pStyle w:val="NormalWeb"/>
        <w:ind w:firstLine="720"/>
        <w:rPr>
          <w:rFonts w:ascii="Arial" w:hAnsi="Arial" w:cs="Arial"/>
          <w:color w:val="303B44"/>
          <w:sz w:val="22"/>
          <w:szCs w:val="22"/>
        </w:rPr>
      </w:pPr>
    </w:p>
    <w:p w14:paraId="430288ED" w14:textId="77777777" w:rsidR="005A6A94" w:rsidRDefault="005A6A94" w:rsidP="00D54E6B">
      <w:pPr>
        <w:pStyle w:val="NormalWeb"/>
        <w:ind w:firstLine="720"/>
        <w:rPr>
          <w:rFonts w:ascii="Arial" w:hAnsi="Arial" w:cs="Arial"/>
          <w:color w:val="303B44"/>
          <w:sz w:val="22"/>
          <w:szCs w:val="22"/>
        </w:rPr>
      </w:pPr>
    </w:p>
    <w:p w14:paraId="1AF890C1" w14:textId="77777777" w:rsidR="005A6A94" w:rsidRDefault="005A6A94" w:rsidP="00D54E6B">
      <w:pPr>
        <w:pStyle w:val="NormalWeb"/>
        <w:ind w:firstLine="720"/>
        <w:rPr>
          <w:rFonts w:ascii="Arial" w:hAnsi="Arial" w:cs="Arial"/>
          <w:color w:val="303B44"/>
          <w:sz w:val="22"/>
          <w:szCs w:val="22"/>
        </w:rPr>
      </w:pPr>
    </w:p>
    <w:p w14:paraId="46582566" w14:textId="77777777" w:rsidR="005A6A94" w:rsidRDefault="005A6A94" w:rsidP="00D54E6B">
      <w:pPr>
        <w:pStyle w:val="NormalWeb"/>
        <w:ind w:firstLine="720"/>
        <w:rPr>
          <w:rFonts w:ascii="Arial" w:hAnsi="Arial" w:cs="Arial"/>
          <w:color w:val="303B44"/>
          <w:sz w:val="22"/>
          <w:szCs w:val="22"/>
        </w:rPr>
      </w:pPr>
    </w:p>
    <w:p w14:paraId="0A4A31C1" w14:textId="77777777" w:rsidR="005A6A94" w:rsidRDefault="005A6A94" w:rsidP="00D54E6B">
      <w:pPr>
        <w:pStyle w:val="NormalWeb"/>
        <w:ind w:firstLine="720"/>
        <w:rPr>
          <w:rFonts w:ascii="Arial" w:hAnsi="Arial" w:cs="Arial"/>
          <w:color w:val="303B44"/>
          <w:sz w:val="22"/>
          <w:szCs w:val="22"/>
        </w:rPr>
      </w:pPr>
    </w:p>
    <w:p w14:paraId="1365EAB5" w14:textId="77777777" w:rsidR="005A6A94" w:rsidRDefault="005A6A94" w:rsidP="00D54E6B">
      <w:pPr>
        <w:pStyle w:val="NormalWeb"/>
        <w:ind w:firstLine="720"/>
        <w:rPr>
          <w:rFonts w:ascii="Arial" w:hAnsi="Arial" w:cs="Arial"/>
          <w:color w:val="303B44"/>
          <w:sz w:val="22"/>
          <w:szCs w:val="22"/>
        </w:rPr>
      </w:pPr>
    </w:p>
    <w:p w14:paraId="71FC1AB7" w14:textId="77777777" w:rsidR="005A6A94" w:rsidRDefault="005A6A94" w:rsidP="00D54E6B">
      <w:pPr>
        <w:pStyle w:val="NormalWeb"/>
        <w:ind w:firstLine="720"/>
        <w:rPr>
          <w:rFonts w:ascii="Arial" w:hAnsi="Arial" w:cs="Arial"/>
          <w:color w:val="303B44"/>
          <w:sz w:val="22"/>
          <w:szCs w:val="22"/>
        </w:rPr>
      </w:pPr>
    </w:p>
    <w:p w14:paraId="786EC5E1" w14:textId="77777777" w:rsidR="005A6A94" w:rsidRDefault="005A6A94" w:rsidP="00D54E6B">
      <w:pPr>
        <w:pStyle w:val="NormalWeb"/>
        <w:ind w:firstLine="720"/>
        <w:rPr>
          <w:rFonts w:ascii="Arial" w:hAnsi="Arial" w:cs="Arial"/>
          <w:color w:val="303B44"/>
          <w:sz w:val="22"/>
          <w:szCs w:val="22"/>
        </w:rPr>
      </w:pPr>
    </w:p>
    <w:p w14:paraId="3A13AA70" w14:textId="77777777" w:rsidR="005A6A94" w:rsidRDefault="005A6A94" w:rsidP="00D54E6B">
      <w:pPr>
        <w:pStyle w:val="NormalWeb"/>
        <w:ind w:firstLine="720"/>
        <w:rPr>
          <w:rFonts w:ascii="Arial" w:hAnsi="Arial" w:cs="Arial"/>
          <w:color w:val="303B44"/>
          <w:sz w:val="22"/>
          <w:szCs w:val="22"/>
        </w:rPr>
      </w:pPr>
    </w:p>
    <w:p w14:paraId="4F47FC30" w14:textId="77777777" w:rsidR="005A6A94" w:rsidRDefault="005A6A94" w:rsidP="00D54E6B">
      <w:pPr>
        <w:pStyle w:val="NormalWeb"/>
        <w:ind w:firstLine="720"/>
        <w:rPr>
          <w:rFonts w:ascii="Arial" w:hAnsi="Arial" w:cs="Arial"/>
          <w:color w:val="303B44"/>
          <w:sz w:val="22"/>
          <w:szCs w:val="22"/>
        </w:rPr>
      </w:pPr>
    </w:p>
    <w:p w14:paraId="54E2A155" w14:textId="77777777" w:rsidR="005A6A94" w:rsidRDefault="005A6A94" w:rsidP="00D54E6B">
      <w:pPr>
        <w:pStyle w:val="NormalWeb"/>
        <w:ind w:firstLine="720"/>
        <w:rPr>
          <w:rFonts w:ascii="Arial" w:hAnsi="Arial" w:cs="Arial"/>
          <w:color w:val="303B44"/>
          <w:sz w:val="22"/>
          <w:szCs w:val="22"/>
        </w:rPr>
      </w:pPr>
    </w:p>
    <w:p w14:paraId="57EF4FB6" w14:textId="77777777" w:rsidR="005A6A94" w:rsidRDefault="005A6A94" w:rsidP="00D54E6B">
      <w:pPr>
        <w:pStyle w:val="NormalWeb"/>
        <w:ind w:firstLine="720"/>
        <w:rPr>
          <w:rFonts w:ascii="Arial" w:hAnsi="Arial" w:cs="Arial"/>
          <w:color w:val="303B44"/>
          <w:sz w:val="22"/>
          <w:szCs w:val="22"/>
        </w:rPr>
      </w:pPr>
    </w:p>
    <w:p w14:paraId="15F8B9CB" w14:textId="77777777" w:rsidR="005A6A94" w:rsidRDefault="005A6A94" w:rsidP="00D54E6B">
      <w:pPr>
        <w:pStyle w:val="NormalWeb"/>
        <w:ind w:firstLine="720"/>
        <w:rPr>
          <w:rFonts w:ascii="Arial" w:hAnsi="Arial" w:cs="Arial"/>
          <w:color w:val="303B44"/>
          <w:sz w:val="22"/>
          <w:szCs w:val="22"/>
        </w:rPr>
      </w:pPr>
    </w:p>
    <w:p w14:paraId="479F873C" w14:textId="77777777" w:rsidR="005A6A94" w:rsidRDefault="005A6A94" w:rsidP="00D54E6B">
      <w:pPr>
        <w:pStyle w:val="NormalWeb"/>
        <w:ind w:firstLine="720"/>
        <w:rPr>
          <w:rFonts w:ascii="Arial" w:hAnsi="Arial" w:cs="Arial"/>
          <w:color w:val="303B44"/>
          <w:sz w:val="22"/>
          <w:szCs w:val="22"/>
        </w:rPr>
      </w:pPr>
    </w:p>
    <w:p w14:paraId="6A15E4F8" w14:textId="77777777" w:rsidR="005A6A94" w:rsidRDefault="005A6A94" w:rsidP="00D54E6B">
      <w:pPr>
        <w:pStyle w:val="NormalWeb"/>
        <w:ind w:firstLine="720"/>
        <w:rPr>
          <w:rFonts w:ascii="Arial" w:hAnsi="Arial" w:cs="Arial"/>
          <w:color w:val="303B44"/>
          <w:sz w:val="22"/>
          <w:szCs w:val="22"/>
        </w:rPr>
      </w:pPr>
    </w:p>
    <w:p w14:paraId="7AD2EC2A" w14:textId="77777777" w:rsidR="005A6A94" w:rsidRDefault="005A6A94" w:rsidP="00D54E6B">
      <w:pPr>
        <w:pStyle w:val="NormalWeb"/>
        <w:ind w:firstLine="720"/>
        <w:rPr>
          <w:rFonts w:ascii="Arial" w:hAnsi="Arial" w:cs="Arial"/>
          <w:color w:val="303B44"/>
          <w:sz w:val="22"/>
          <w:szCs w:val="22"/>
        </w:rPr>
      </w:pPr>
    </w:p>
    <w:p w14:paraId="07C42684" w14:textId="77777777" w:rsidR="005A6A94" w:rsidRDefault="005A6A94" w:rsidP="00D54E6B">
      <w:pPr>
        <w:pStyle w:val="NormalWeb"/>
        <w:ind w:firstLine="720"/>
        <w:rPr>
          <w:rFonts w:ascii="Arial" w:hAnsi="Arial" w:cs="Arial"/>
          <w:color w:val="303B44"/>
          <w:sz w:val="22"/>
          <w:szCs w:val="22"/>
        </w:rPr>
      </w:pPr>
    </w:p>
    <w:p w14:paraId="0E2FD0A0" w14:textId="77777777" w:rsidR="005A6A94" w:rsidRDefault="005A6A94" w:rsidP="00D54E6B">
      <w:pPr>
        <w:pStyle w:val="NormalWeb"/>
        <w:ind w:firstLine="720"/>
        <w:rPr>
          <w:rFonts w:ascii="Arial" w:hAnsi="Arial" w:cs="Arial"/>
          <w:color w:val="303B44"/>
          <w:sz w:val="22"/>
          <w:szCs w:val="22"/>
        </w:rPr>
      </w:pPr>
    </w:p>
    <w:p w14:paraId="07BB0014" w14:textId="77777777" w:rsidR="005A6A94" w:rsidRDefault="005A6A94" w:rsidP="00D54E6B">
      <w:pPr>
        <w:pStyle w:val="NormalWeb"/>
        <w:ind w:firstLine="720"/>
        <w:rPr>
          <w:rFonts w:ascii="Arial" w:hAnsi="Arial" w:cs="Arial"/>
          <w:color w:val="303B44"/>
          <w:sz w:val="22"/>
          <w:szCs w:val="22"/>
        </w:rPr>
      </w:pPr>
    </w:p>
    <w:p w14:paraId="67ED743B" w14:textId="77777777" w:rsidR="005A6A94" w:rsidRDefault="005A6A94" w:rsidP="00D54E6B">
      <w:pPr>
        <w:pStyle w:val="NormalWeb"/>
        <w:ind w:firstLine="720"/>
        <w:rPr>
          <w:rFonts w:ascii="Arial" w:hAnsi="Arial" w:cs="Arial"/>
          <w:color w:val="303B44"/>
          <w:sz w:val="22"/>
          <w:szCs w:val="22"/>
        </w:rPr>
      </w:pPr>
    </w:p>
    <w:p w14:paraId="1828530A" w14:textId="77777777" w:rsidR="00D2424A" w:rsidRDefault="00D2424A" w:rsidP="00C554DD">
      <w:pPr>
        <w:pStyle w:val="NormalWeb"/>
        <w:ind w:firstLine="720"/>
        <w:rPr>
          <w:rFonts w:ascii="Arial" w:hAnsi="Arial" w:cs="Arial"/>
          <w:color w:val="303B44"/>
          <w:sz w:val="22"/>
          <w:szCs w:val="22"/>
        </w:rPr>
      </w:pPr>
    </w:p>
    <w:p w14:paraId="2483AD16" w14:textId="77777777" w:rsidR="00C554DD" w:rsidRDefault="00C554DD" w:rsidP="00D54E6B">
      <w:pPr>
        <w:pStyle w:val="NormalWeb"/>
        <w:ind w:firstLine="720"/>
        <w:rPr>
          <w:rFonts w:ascii="Arial" w:hAnsi="Arial" w:cs="Arial"/>
          <w:color w:val="303B44"/>
          <w:sz w:val="22"/>
          <w:szCs w:val="22"/>
        </w:rPr>
      </w:pPr>
    </w:p>
    <w:sectPr w:rsidR="00C554DD" w:rsidSect="00D36301">
      <w:footerReference w:type="default" r:id="rId7"/>
      <w:pgSz w:w="12240" w:h="15840" w:code="1"/>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00950" w14:textId="77777777" w:rsidR="009F70D7" w:rsidRDefault="009F70D7">
      <w:r>
        <w:separator/>
      </w:r>
    </w:p>
  </w:endnote>
  <w:endnote w:type="continuationSeparator" w:id="0">
    <w:p w14:paraId="20E529C9" w14:textId="77777777" w:rsidR="009F70D7" w:rsidRDefault="009F7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5EDEC" w14:textId="77777777" w:rsidR="009F70D7" w:rsidRDefault="009F70D7">
      <w:r>
        <w:separator/>
      </w:r>
    </w:p>
  </w:footnote>
  <w:footnote w:type="continuationSeparator" w:id="0">
    <w:p w14:paraId="2F092744" w14:textId="77777777" w:rsidR="009F70D7" w:rsidRDefault="009F7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52E"/>
    <w:rsid w:val="00026B02"/>
    <w:rsid w:val="000351B1"/>
    <w:rsid w:val="00036962"/>
    <w:rsid w:val="00043AE4"/>
    <w:rsid w:val="000503B1"/>
    <w:rsid w:val="00065265"/>
    <w:rsid w:val="000822E5"/>
    <w:rsid w:val="000971FC"/>
    <w:rsid w:val="000A2A3A"/>
    <w:rsid w:val="000A492A"/>
    <w:rsid w:val="000B756A"/>
    <w:rsid w:val="000D2F80"/>
    <w:rsid w:val="000E413A"/>
    <w:rsid w:val="000E633B"/>
    <w:rsid w:val="000E7503"/>
    <w:rsid w:val="000F3D13"/>
    <w:rsid w:val="000F4BC6"/>
    <w:rsid w:val="000F5AA3"/>
    <w:rsid w:val="00100396"/>
    <w:rsid w:val="00100B5C"/>
    <w:rsid w:val="0010625F"/>
    <w:rsid w:val="001106E9"/>
    <w:rsid w:val="00124CA5"/>
    <w:rsid w:val="00124F1A"/>
    <w:rsid w:val="00134F77"/>
    <w:rsid w:val="001363A5"/>
    <w:rsid w:val="00137E21"/>
    <w:rsid w:val="00143070"/>
    <w:rsid w:val="00152E9D"/>
    <w:rsid w:val="00154487"/>
    <w:rsid w:val="00157644"/>
    <w:rsid w:val="0017512A"/>
    <w:rsid w:val="00182D64"/>
    <w:rsid w:val="00196958"/>
    <w:rsid w:val="001A1E39"/>
    <w:rsid w:val="001A24F3"/>
    <w:rsid w:val="001B405C"/>
    <w:rsid w:val="001B5F45"/>
    <w:rsid w:val="001E1050"/>
    <w:rsid w:val="001E1E1F"/>
    <w:rsid w:val="001E2007"/>
    <w:rsid w:val="001E298A"/>
    <w:rsid w:val="001E57C1"/>
    <w:rsid w:val="001F07EF"/>
    <w:rsid w:val="001F0C39"/>
    <w:rsid w:val="001F50B6"/>
    <w:rsid w:val="001F6D7A"/>
    <w:rsid w:val="00205D31"/>
    <w:rsid w:val="00224849"/>
    <w:rsid w:val="00226046"/>
    <w:rsid w:val="0022746E"/>
    <w:rsid w:val="00235F71"/>
    <w:rsid w:val="002444CA"/>
    <w:rsid w:val="00250C9E"/>
    <w:rsid w:val="00260DE6"/>
    <w:rsid w:val="002653EF"/>
    <w:rsid w:val="00273FEE"/>
    <w:rsid w:val="0027779D"/>
    <w:rsid w:val="0028204E"/>
    <w:rsid w:val="0028591B"/>
    <w:rsid w:val="002878BF"/>
    <w:rsid w:val="00291841"/>
    <w:rsid w:val="002B748D"/>
    <w:rsid w:val="002C449B"/>
    <w:rsid w:val="002C6040"/>
    <w:rsid w:val="002D5B3F"/>
    <w:rsid w:val="002E272E"/>
    <w:rsid w:val="002F5778"/>
    <w:rsid w:val="00316995"/>
    <w:rsid w:val="003223E0"/>
    <w:rsid w:val="0032291A"/>
    <w:rsid w:val="00330790"/>
    <w:rsid w:val="00352C4A"/>
    <w:rsid w:val="00362560"/>
    <w:rsid w:val="00362D7D"/>
    <w:rsid w:val="003732FD"/>
    <w:rsid w:val="003753B2"/>
    <w:rsid w:val="00376559"/>
    <w:rsid w:val="003819CB"/>
    <w:rsid w:val="00382BAA"/>
    <w:rsid w:val="003845AE"/>
    <w:rsid w:val="00384D73"/>
    <w:rsid w:val="00393EB6"/>
    <w:rsid w:val="003A3CE5"/>
    <w:rsid w:val="003B366F"/>
    <w:rsid w:val="003B3F9D"/>
    <w:rsid w:val="003B6C95"/>
    <w:rsid w:val="003C4AD4"/>
    <w:rsid w:val="003D285A"/>
    <w:rsid w:val="003D6ABE"/>
    <w:rsid w:val="003E346B"/>
    <w:rsid w:val="003E3622"/>
    <w:rsid w:val="003E5751"/>
    <w:rsid w:val="004046A9"/>
    <w:rsid w:val="00404C50"/>
    <w:rsid w:val="00413E97"/>
    <w:rsid w:val="00423934"/>
    <w:rsid w:val="00426244"/>
    <w:rsid w:val="0042728A"/>
    <w:rsid w:val="00427963"/>
    <w:rsid w:val="00451810"/>
    <w:rsid w:val="00470A38"/>
    <w:rsid w:val="00477880"/>
    <w:rsid w:val="00481ED7"/>
    <w:rsid w:val="0048408D"/>
    <w:rsid w:val="004874DE"/>
    <w:rsid w:val="004977DD"/>
    <w:rsid w:val="004B5334"/>
    <w:rsid w:val="004B6C14"/>
    <w:rsid w:val="004D5E9B"/>
    <w:rsid w:val="004D63D9"/>
    <w:rsid w:val="004E6585"/>
    <w:rsid w:val="004F2014"/>
    <w:rsid w:val="004F38B4"/>
    <w:rsid w:val="0050249F"/>
    <w:rsid w:val="00524566"/>
    <w:rsid w:val="00527E60"/>
    <w:rsid w:val="00530BEF"/>
    <w:rsid w:val="00552351"/>
    <w:rsid w:val="00561F00"/>
    <w:rsid w:val="00562C4E"/>
    <w:rsid w:val="00562DEC"/>
    <w:rsid w:val="00570A88"/>
    <w:rsid w:val="00576AB4"/>
    <w:rsid w:val="00577917"/>
    <w:rsid w:val="0058048A"/>
    <w:rsid w:val="00590667"/>
    <w:rsid w:val="005953C0"/>
    <w:rsid w:val="005969E2"/>
    <w:rsid w:val="005A1689"/>
    <w:rsid w:val="005A3C4F"/>
    <w:rsid w:val="005A6A94"/>
    <w:rsid w:val="005B3617"/>
    <w:rsid w:val="005B59EE"/>
    <w:rsid w:val="005B61CD"/>
    <w:rsid w:val="005C361F"/>
    <w:rsid w:val="005D1D58"/>
    <w:rsid w:val="005D432C"/>
    <w:rsid w:val="005E285E"/>
    <w:rsid w:val="005E53D2"/>
    <w:rsid w:val="005E72F8"/>
    <w:rsid w:val="005F0579"/>
    <w:rsid w:val="005F3A53"/>
    <w:rsid w:val="00600D2C"/>
    <w:rsid w:val="00605D1F"/>
    <w:rsid w:val="006062A3"/>
    <w:rsid w:val="00610E08"/>
    <w:rsid w:val="006140BF"/>
    <w:rsid w:val="0061438D"/>
    <w:rsid w:val="006161BE"/>
    <w:rsid w:val="00617A6D"/>
    <w:rsid w:val="00620787"/>
    <w:rsid w:val="00620F36"/>
    <w:rsid w:val="00632434"/>
    <w:rsid w:val="0063478F"/>
    <w:rsid w:val="00644256"/>
    <w:rsid w:val="006452F3"/>
    <w:rsid w:val="00654E66"/>
    <w:rsid w:val="00658F26"/>
    <w:rsid w:val="00661D6F"/>
    <w:rsid w:val="006628E9"/>
    <w:rsid w:val="0066371B"/>
    <w:rsid w:val="00663962"/>
    <w:rsid w:val="0066725E"/>
    <w:rsid w:val="006716C7"/>
    <w:rsid w:val="00681208"/>
    <w:rsid w:val="00681FA9"/>
    <w:rsid w:val="00691EA9"/>
    <w:rsid w:val="006934D4"/>
    <w:rsid w:val="006A4C44"/>
    <w:rsid w:val="006A6DC3"/>
    <w:rsid w:val="006B6BF5"/>
    <w:rsid w:val="006C2BCD"/>
    <w:rsid w:val="006D49ED"/>
    <w:rsid w:val="006D55CE"/>
    <w:rsid w:val="006D5BAA"/>
    <w:rsid w:val="006D637A"/>
    <w:rsid w:val="006D6F24"/>
    <w:rsid w:val="006F0F95"/>
    <w:rsid w:val="006F45BF"/>
    <w:rsid w:val="006F55CB"/>
    <w:rsid w:val="006F60E0"/>
    <w:rsid w:val="00702F71"/>
    <w:rsid w:val="007077C5"/>
    <w:rsid w:val="007366DF"/>
    <w:rsid w:val="00757839"/>
    <w:rsid w:val="00760C88"/>
    <w:rsid w:val="00770C81"/>
    <w:rsid w:val="007739B3"/>
    <w:rsid w:val="0078207B"/>
    <w:rsid w:val="00791024"/>
    <w:rsid w:val="00793F0A"/>
    <w:rsid w:val="007A2657"/>
    <w:rsid w:val="007A77E9"/>
    <w:rsid w:val="007B29EE"/>
    <w:rsid w:val="007C682C"/>
    <w:rsid w:val="007D179E"/>
    <w:rsid w:val="007D2385"/>
    <w:rsid w:val="007D41AF"/>
    <w:rsid w:val="007D5DE2"/>
    <w:rsid w:val="007F214F"/>
    <w:rsid w:val="007F26A9"/>
    <w:rsid w:val="00800069"/>
    <w:rsid w:val="008042F0"/>
    <w:rsid w:val="008310A0"/>
    <w:rsid w:val="00835D29"/>
    <w:rsid w:val="0084060D"/>
    <w:rsid w:val="00842E7F"/>
    <w:rsid w:val="0084667D"/>
    <w:rsid w:val="0085044E"/>
    <w:rsid w:val="00852933"/>
    <w:rsid w:val="008566E5"/>
    <w:rsid w:val="008566FE"/>
    <w:rsid w:val="00865B46"/>
    <w:rsid w:val="00896134"/>
    <w:rsid w:val="008A62BC"/>
    <w:rsid w:val="008B1369"/>
    <w:rsid w:val="008B43E7"/>
    <w:rsid w:val="008B766B"/>
    <w:rsid w:val="008C3AAE"/>
    <w:rsid w:val="008C6C64"/>
    <w:rsid w:val="008D763F"/>
    <w:rsid w:val="008F036F"/>
    <w:rsid w:val="008F1308"/>
    <w:rsid w:val="008F4FD8"/>
    <w:rsid w:val="008F78C2"/>
    <w:rsid w:val="009021D9"/>
    <w:rsid w:val="00904568"/>
    <w:rsid w:val="00911394"/>
    <w:rsid w:val="00914FE9"/>
    <w:rsid w:val="00923EF2"/>
    <w:rsid w:val="00926D25"/>
    <w:rsid w:val="00926E9D"/>
    <w:rsid w:val="009315A0"/>
    <w:rsid w:val="00932C6E"/>
    <w:rsid w:val="00933F10"/>
    <w:rsid w:val="009433C5"/>
    <w:rsid w:val="00955186"/>
    <w:rsid w:val="00957584"/>
    <w:rsid w:val="00965881"/>
    <w:rsid w:val="009871FF"/>
    <w:rsid w:val="00990359"/>
    <w:rsid w:val="00990799"/>
    <w:rsid w:val="00995D51"/>
    <w:rsid w:val="009A0631"/>
    <w:rsid w:val="009A12E9"/>
    <w:rsid w:val="009B10ED"/>
    <w:rsid w:val="009B5715"/>
    <w:rsid w:val="009D3EA4"/>
    <w:rsid w:val="009D649C"/>
    <w:rsid w:val="009E2BA0"/>
    <w:rsid w:val="009E4BC1"/>
    <w:rsid w:val="009F5CB2"/>
    <w:rsid w:val="009F70D7"/>
    <w:rsid w:val="00A03BB8"/>
    <w:rsid w:val="00A14C3C"/>
    <w:rsid w:val="00A16E98"/>
    <w:rsid w:val="00A16EDD"/>
    <w:rsid w:val="00A3505D"/>
    <w:rsid w:val="00A4036F"/>
    <w:rsid w:val="00A406E5"/>
    <w:rsid w:val="00A423D0"/>
    <w:rsid w:val="00A4641C"/>
    <w:rsid w:val="00A55876"/>
    <w:rsid w:val="00A67FB1"/>
    <w:rsid w:val="00A71031"/>
    <w:rsid w:val="00A854AF"/>
    <w:rsid w:val="00A85BFE"/>
    <w:rsid w:val="00AA3BF1"/>
    <w:rsid w:val="00AB2647"/>
    <w:rsid w:val="00AB6FE7"/>
    <w:rsid w:val="00AB7AD7"/>
    <w:rsid w:val="00AC27D5"/>
    <w:rsid w:val="00AC62EE"/>
    <w:rsid w:val="00AD2430"/>
    <w:rsid w:val="00AE41A6"/>
    <w:rsid w:val="00AF0E34"/>
    <w:rsid w:val="00AF271D"/>
    <w:rsid w:val="00AF56C2"/>
    <w:rsid w:val="00AF7797"/>
    <w:rsid w:val="00B004E6"/>
    <w:rsid w:val="00B05352"/>
    <w:rsid w:val="00B0744D"/>
    <w:rsid w:val="00B14D82"/>
    <w:rsid w:val="00B50EA8"/>
    <w:rsid w:val="00B64082"/>
    <w:rsid w:val="00B67549"/>
    <w:rsid w:val="00B72325"/>
    <w:rsid w:val="00B81AD3"/>
    <w:rsid w:val="00B829D8"/>
    <w:rsid w:val="00B84B5B"/>
    <w:rsid w:val="00B86446"/>
    <w:rsid w:val="00B94DB8"/>
    <w:rsid w:val="00BA1176"/>
    <w:rsid w:val="00BC5F1B"/>
    <w:rsid w:val="00BD21A7"/>
    <w:rsid w:val="00BD7E25"/>
    <w:rsid w:val="00BE0B01"/>
    <w:rsid w:val="00BE79C7"/>
    <w:rsid w:val="00BF3CB5"/>
    <w:rsid w:val="00C01A3F"/>
    <w:rsid w:val="00C073F1"/>
    <w:rsid w:val="00C12556"/>
    <w:rsid w:val="00C1285B"/>
    <w:rsid w:val="00C1361B"/>
    <w:rsid w:val="00C1420A"/>
    <w:rsid w:val="00C14E1F"/>
    <w:rsid w:val="00C315AF"/>
    <w:rsid w:val="00C36D9A"/>
    <w:rsid w:val="00C44A72"/>
    <w:rsid w:val="00C5047A"/>
    <w:rsid w:val="00C554DD"/>
    <w:rsid w:val="00C61FC2"/>
    <w:rsid w:val="00C705F9"/>
    <w:rsid w:val="00C80F0F"/>
    <w:rsid w:val="00C8667A"/>
    <w:rsid w:val="00C93BCB"/>
    <w:rsid w:val="00C97E06"/>
    <w:rsid w:val="00CC241A"/>
    <w:rsid w:val="00CD2C6C"/>
    <w:rsid w:val="00CD50F7"/>
    <w:rsid w:val="00CD5ED1"/>
    <w:rsid w:val="00CE4035"/>
    <w:rsid w:val="00CE65AB"/>
    <w:rsid w:val="00CF4266"/>
    <w:rsid w:val="00CF4430"/>
    <w:rsid w:val="00D22D9C"/>
    <w:rsid w:val="00D241F1"/>
    <w:rsid w:val="00D2424A"/>
    <w:rsid w:val="00D275CB"/>
    <w:rsid w:val="00D30DFA"/>
    <w:rsid w:val="00D36301"/>
    <w:rsid w:val="00D4063E"/>
    <w:rsid w:val="00D463A5"/>
    <w:rsid w:val="00D4710D"/>
    <w:rsid w:val="00D47D25"/>
    <w:rsid w:val="00D51349"/>
    <w:rsid w:val="00D54E6B"/>
    <w:rsid w:val="00D62ACD"/>
    <w:rsid w:val="00D95A45"/>
    <w:rsid w:val="00D96A0E"/>
    <w:rsid w:val="00DA36EE"/>
    <w:rsid w:val="00DA452D"/>
    <w:rsid w:val="00DA6B0C"/>
    <w:rsid w:val="00DB116D"/>
    <w:rsid w:val="00DC2B96"/>
    <w:rsid w:val="00DD17CC"/>
    <w:rsid w:val="00DD280C"/>
    <w:rsid w:val="00DD5565"/>
    <w:rsid w:val="00DD79B3"/>
    <w:rsid w:val="00DE217A"/>
    <w:rsid w:val="00DE31CB"/>
    <w:rsid w:val="00DE67C2"/>
    <w:rsid w:val="00DF321B"/>
    <w:rsid w:val="00DF5E1E"/>
    <w:rsid w:val="00DF754B"/>
    <w:rsid w:val="00E230E0"/>
    <w:rsid w:val="00E27F15"/>
    <w:rsid w:val="00E36DAA"/>
    <w:rsid w:val="00E402F8"/>
    <w:rsid w:val="00E51AAC"/>
    <w:rsid w:val="00E66CC0"/>
    <w:rsid w:val="00E728A9"/>
    <w:rsid w:val="00E72CA5"/>
    <w:rsid w:val="00E804CA"/>
    <w:rsid w:val="00E807D9"/>
    <w:rsid w:val="00E83CB7"/>
    <w:rsid w:val="00EA0F4E"/>
    <w:rsid w:val="00EA295B"/>
    <w:rsid w:val="00EA3B9B"/>
    <w:rsid w:val="00EA6801"/>
    <w:rsid w:val="00EB4F96"/>
    <w:rsid w:val="00ED6BC3"/>
    <w:rsid w:val="00ED7072"/>
    <w:rsid w:val="00EE3132"/>
    <w:rsid w:val="00EE3B2A"/>
    <w:rsid w:val="00EE3D9D"/>
    <w:rsid w:val="00EE6F25"/>
    <w:rsid w:val="00F02126"/>
    <w:rsid w:val="00F03D85"/>
    <w:rsid w:val="00F07C8C"/>
    <w:rsid w:val="00F17BCE"/>
    <w:rsid w:val="00F249F1"/>
    <w:rsid w:val="00F25B9D"/>
    <w:rsid w:val="00F2664E"/>
    <w:rsid w:val="00F31163"/>
    <w:rsid w:val="00F311D9"/>
    <w:rsid w:val="00F31C04"/>
    <w:rsid w:val="00F442A7"/>
    <w:rsid w:val="00F527B0"/>
    <w:rsid w:val="00F57A89"/>
    <w:rsid w:val="00F61A20"/>
    <w:rsid w:val="00F620B2"/>
    <w:rsid w:val="00F63DD9"/>
    <w:rsid w:val="00F67644"/>
    <w:rsid w:val="00F729D3"/>
    <w:rsid w:val="00F80768"/>
    <w:rsid w:val="00F8381F"/>
    <w:rsid w:val="00F847F3"/>
    <w:rsid w:val="00FA04CD"/>
    <w:rsid w:val="00FA1168"/>
    <w:rsid w:val="00FA25F5"/>
    <w:rsid w:val="00FA2810"/>
    <w:rsid w:val="00FA45B1"/>
    <w:rsid w:val="00FA68F8"/>
    <w:rsid w:val="00FB1DC0"/>
    <w:rsid w:val="00FB3B4E"/>
    <w:rsid w:val="00FB4521"/>
    <w:rsid w:val="00FB4F84"/>
    <w:rsid w:val="00FB5CF8"/>
    <w:rsid w:val="00FC2143"/>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276263">
      <w:bodyDiv w:val="1"/>
      <w:marLeft w:val="0"/>
      <w:marRight w:val="0"/>
      <w:marTop w:val="0"/>
      <w:marBottom w:val="0"/>
      <w:divBdr>
        <w:top w:val="none" w:sz="0" w:space="0" w:color="auto"/>
        <w:left w:val="none" w:sz="0" w:space="0" w:color="auto"/>
        <w:bottom w:val="none" w:sz="0" w:space="0" w:color="auto"/>
        <w:right w:val="none" w:sz="0" w:space="0" w:color="auto"/>
      </w:divBdr>
      <w:divsChild>
        <w:div w:id="144666088">
          <w:marLeft w:val="0"/>
          <w:marRight w:val="0"/>
          <w:marTop w:val="0"/>
          <w:marBottom w:val="0"/>
          <w:divBdr>
            <w:top w:val="none" w:sz="0" w:space="0" w:color="auto"/>
            <w:left w:val="none" w:sz="0" w:space="0" w:color="auto"/>
            <w:bottom w:val="none" w:sz="0" w:space="0" w:color="auto"/>
            <w:right w:val="none" w:sz="0" w:space="0" w:color="auto"/>
          </w:divBdr>
        </w:div>
        <w:div w:id="211624355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3006</TotalTime>
  <Pages>6</Pages>
  <Words>1996</Words>
  <Characters>11780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Petruta Buliga</cp:lastModifiedBy>
  <cp:revision>205</cp:revision>
  <cp:lastPrinted>2014-10-10T07:42:00Z</cp:lastPrinted>
  <dcterms:created xsi:type="dcterms:W3CDTF">2023-10-19T20:21:00Z</dcterms:created>
  <dcterms:modified xsi:type="dcterms:W3CDTF">2023-10-26T21:23:00Z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