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5001" w:rsidRDefault="00A35113" w:rsidP="00A35113">
      <w:pPr>
        <w:jc w:val="center"/>
        <w:rPr>
          <w:rStyle w:val="Emphasis"/>
          <w:rFonts w:cstheme="minorHAnsi"/>
          <w:b/>
          <w:i w:val="0"/>
          <w:sz w:val="24"/>
          <w:szCs w:val="21"/>
          <w:u w:val="single"/>
          <w:shd w:val="clear" w:color="auto" w:fill="FFFFFF"/>
        </w:rPr>
      </w:pPr>
      <w:r w:rsidRPr="00A35113">
        <w:rPr>
          <w:rStyle w:val="Emphasis"/>
          <w:rFonts w:cstheme="minorHAnsi"/>
          <w:b/>
          <w:i w:val="0"/>
          <w:sz w:val="24"/>
          <w:szCs w:val="21"/>
          <w:u w:val="single"/>
          <w:shd w:val="clear" w:color="auto" w:fill="FFFFFF"/>
        </w:rPr>
        <w:t>Critically discuss whether Boudicca was just a literary invention. Does a critical analysis of ancient literary and archaeological sources allow us to demonstrate her existence and her alleged activities without any doubt?</w:t>
      </w:r>
    </w:p>
    <w:p w:rsidR="00A35113" w:rsidRDefault="00A35113" w:rsidP="00A35113">
      <w:pPr>
        <w:jc w:val="center"/>
        <w:rPr>
          <w:rStyle w:val="Emphasis"/>
          <w:rFonts w:cstheme="minorHAnsi"/>
          <w:b/>
          <w:i w:val="0"/>
          <w:sz w:val="24"/>
          <w:szCs w:val="21"/>
          <w:u w:val="single"/>
          <w:shd w:val="clear" w:color="auto" w:fill="FFFFFF"/>
        </w:rPr>
      </w:pPr>
    </w:p>
    <w:p w:rsidR="00A35113" w:rsidRDefault="00A35113" w:rsidP="00D0640F">
      <w:pPr>
        <w:spacing w:line="360" w:lineRule="auto"/>
        <w:rPr>
          <w:rStyle w:val="Emphasis"/>
          <w:rFonts w:cstheme="minorHAnsi"/>
          <w:i w:val="0"/>
          <w:szCs w:val="21"/>
          <w:shd w:val="clear" w:color="auto" w:fill="FFFFFF"/>
        </w:rPr>
      </w:pPr>
      <w:r>
        <w:rPr>
          <w:rStyle w:val="Emphasis"/>
          <w:rFonts w:cstheme="minorHAnsi"/>
          <w:i w:val="0"/>
          <w:szCs w:val="21"/>
          <w:shd w:val="clear" w:color="auto" w:fill="FFFFFF"/>
        </w:rPr>
        <w:t xml:space="preserve">This essay will critically analyse the ancient literary sources and archaeological sources </w:t>
      </w:r>
      <w:r w:rsidR="00204AC0">
        <w:rPr>
          <w:rStyle w:val="Emphasis"/>
          <w:rFonts w:cstheme="minorHAnsi"/>
          <w:i w:val="0"/>
          <w:szCs w:val="21"/>
          <w:shd w:val="clear" w:color="auto" w:fill="FFFFFF"/>
        </w:rPr>
        <w:t xml:space="preserve">on the revolt </w:t>
      </w:r>
      <w:bookmarkStart w:id="0" w:name="_GoBack"/>
      <w:bookmarkEnd w:id="0"/>
      <w:r w:rsidR="00204AC0">
        <w:rPr>
          <w:rStyle w:val="Emphasis"/>
          <w:rFonts w:cstheme="minorHAnsi"/>
          <w:i w:val="0"/>
          <w:szCs w:val="21"/>
          <w:shd w:val="clear" w:color="auto" w:fill="FFFFFF"/>
        </w:rPr>
        <w:t xml:space="preserve">in Britain in A.D 60-61 and whether Boudicca (or Buduica, we are not able to determine the exact spelling of her name) did </w:t>
      </w:r>
      <w:r w:rsidR="001A55F5">
        <w:rPr>
          <w:rStyle w:val="Emphasis"/>
          <w:rFonts w:cstheme="minorHAnsi"/>
          <w:i w:val="0"/>
          <w:szCs w:val="21"/>
          <w:shd w:val="clear" w:color="auto" w:fill="FFFFFF"/>
        </w:rPr>
        <w:t>indeed exist</w:t>
      </w:r>
      <w:r w:rsidR="00204AC0">
        <w:rPr>
          <w:rStyle w:val="Emphasis"/>
          <w:rFonts w:cstheme="minorHAnsi"/>
          <w:i w:val="0"/>
          <w:szCs w:val="21"/>
          <w:shd w:val="clear" w:color="auto" w:fill="FFFFFF"/>
        </w:rPr>
        <w:t xml:space="preserve"> or was just created by Roman author’s as political propaganda or for entertainment purposes.</w:t>
      </w:r>
      <w:r w:rsidR="001A5695">
        <w:rPr>
          <w:rStyle w:val="Emphasis"/>
          <w:rFonts w:cstheme="minorHAnsi"/>
          <w:i w:val="0"/>
          <w:szCs w:val="21"/>
          <w:shd w:val="clear" w:color="auto" w:fill="FFFFFF"/>
        </w:rPr>
        <w:t xml:space="preserve"> I, believe the accounts of ancient historians may have been exaggerated in some areas but are true in the possible causes and events of the revolt ad the existence of Boudicca herself</w:t>
      </w:r>
      <w:r w:rsidR="00C41BFE">
        <w:rPr>
          <w:rStyle w:val="Emphasis"/>
          <w:rFonts w:cstheme="minorHAnsi"/>
          <w:i w:val="0"/>
          <w:szCs w:val="21"/>
          <w:shd w:val="clear" w:color="auto" w:fill="FFFFFF"/>
        </w:rPr>
        <w:t>, although these accounts are not first hand, they are reinforced by modern scholarship on the issue.</w:t>
      </w:r>
      <w:r w:rsidR="00204AC0">
        <w:rPr>
          <w:rStyle w:val="Emphasis"/>
          <w:rFonts w:cstheme="minorHAnsi"/>
          <w:i w:val="0"/>
          <w:szCs w:val="21"/>
          <w:shd w:val="clear" w:color="auto" w:fill="FFFFFF"/>
        </w:rPr>
        <w:t xml:space="preserve"> Ancient historians such as Tacitus and Cassius Dio </w:t>
      </w:r>
      <w:r w:rsidR="001A55F5">
        <w:rPr>
          <w:rStyle w:val="Emphasis"/>
          <w:rFonts w:cstheme="minorHAnsi"/>
          <w:i w:val="0"/>
          <w:szCs w:val="21"/>
          <w:shd w:val="clear" w:color="auto" w:fill="FFFFFF"/>
        </w:rPr>
        <w:t>have written accounts of the revolt and the queen of the Iceni</w:t>
      </w:r>
      <w:r w:rsidR="00BF2DBC">
        <w:rPr>
          <w:rStyle w:val="Emphasis"/>
          <w:rFonts w:cstheme="minorHAnsi"/>
          <w:i w:val="0"/>
          <w:szCs w:val="21"/>
          <w:shd w:val="clear" w:color="auto" w:fill="FFFFFF"/>
        </w:rPr>
        <w:t>-a tribe in the area of Norfolk</w:t>
      </w:r>
      <w:r w:rsidR="001A55F5">
        <w:rPr>
          <w:rStyle w:val="Emphasis"/>
          <w:rFonts w:cstheme="minorHAnsi"/>
          <w:i w:val="0"/>
          <w:szCs w:val="21"/>
          <w:shd w:val="clear" w:color="auto" w:fill="FFFFFF"/>
        </w:rPr>
        <w:t>, however they differ in several areas and contain speeches which are likely to be highly inaccurate and exaggerated as no accounts of anyone who was actually there has survived, were it to even exist.</w:t>
      </w:r>
      <w:r w:rsidR="00D63987">
        <w:rPr>
          <w:rStyle w:val="Emphasis"/>
          <w:rFonts w:cstheme="minorHAnsi"/>
          <w:i w:val="0"/>
          <w:szCs w:val="21"/>
          <w:shd w:val="clear" w:color="auto" w:fill="FFFFFF"/>
        </w:rPr>
        <w:t xml:space="preserve"> Suetonius mentions the revolt in his </w:t>
      </w:r>
      <w:r w:rsidR="005C2CD1">
        <w:rPr>
          <w:rStyle w:val="Emphasis"/>
          <w:rFonts w:cstheme="minorHAnsi"/>
          <w:i w:val="0"/>
          <w:szCs w:val="21"/>
          <w:shd w:val="clear" w:color="auto" w:fill="FFFFFF"/>
        </w:rPr>
        <w:t>chapter on Nero, however it is not placed in a chronological context and lacks most of the details.</w:t>
      </w:r>
      <w:r w:rsidR="001A55F5">
        <w:rPr>
          <w:rStyle w:val="Emphasis"/>
          <w:rFonts w:cstheme="minorHAnsi"/>
          <w:i w:val="0"/>
          <w:szCs w:val="21"/>
          <w:shd w:val="clear" w:color="auto" w:fill="FFFFFF"/>
        </w:rPr>
        <w:t xml:space="preserve"> </w:t>
      </w:r>
      <w:r w:rsidR="00146ABD">
        <w:rPr>
          <w:rStyle w:val="Emphasis"/>
          <w:rFonts w:cstheme="minorHAnsi"/>
          <w:i w:val="0"/>
          <w:szCs w:val="21"/>
          <w:shd w:val="clear" w:color="auto" w:fill="FFFFFF"/>
        </w:rPr>
        <w:t xml:space="preserve">Archaeological sources are </w:t>
      </w:r>
      <w:r w:rsidR="00863823">
        <w:rPr>
          <w:rStyle w:val="Emphasis"/>
          <w:rFonts w:cstheme="minorHAnsi"/>
          <w:i w:val="0"/>
          <w:szCs w:val="21"/>
          <w:shd w:val="clear" w:color="auto" w:fill="FFFFFF"/>
        </w:rPr>
        <w:t>less readily available and less in quantity compared to that of literary sources that cover Boudicca, and some unsubstantiated stories tell of her remains being somewhere near Kings Cross Station, however no trace of her remains have been found near there nor anywhere else</w:t>
      </w:r>
      <w:r w:rsidR="002B39D4">
        <w:rPr>
          <w:rStyle w:val="Emphasis"/>
          <w:rFonts w:cstheme="minorHAnsi"/>
          <w:i w:val="0"/>
          <w:szCs w:val="21"/>
          <w:shd w:val="clear" w:color="auto" w:fill="FFFFFF"/>
        </w:rPr>
        <w:t>, but even if her remains were to be found it would be hard to tell conclusively if it was her due to the lack of physical evidence, as if she had died in battle during the revolt her body would have most</w:t>
      </w:r>
      <w:r w:rsidR="00FB1333">
        <w:rPr>
          <w:rStyle w:val="Emphasis"/>
          <w:rFonts w:cstheme="minorHAnsi"/>
          <w:i w:val="0"/>
          <w:szCs w:val="21"/>
          <w:shd w:val="clear" w:color="auto" w:fill="FFFFFF"/>
        </w:rPr>
        <w:t xml:space="preserve"> likely been discarded along with other evidence of battle and archaeologist, Richard Hingley adds “It is unlikely Boudicca would have had a burial monument as most iron age people in this region were disposed of in ways that do not show up on the archaeological record.” (Hingley 2006)</w:t>
      </w:r>
      <w:r w:rsidR="00FB1333">
        <w:rPr>
          <w:rStyle w:val="FootnoteReference"/>
          <w:rFonts w:cstheme="minorHAnsi"/>
          <w:iCs/>
          <w:szCs w:val="21"/>
          <w:shd w:val="clear" w:color="auto" w:fill="FFFFFF"/>
        </w:rPr>
        <w:footnoteReference w:id="1"/>
      </w:r>
      <w:r w:rsidR="00863823">
        <w:rPr>
          <w:rStyle w:val="Emphasis"/>
          <w:rFonts w:cstheme="minorHAnsi"/>
          <w:i w:val="0"/>
          <w:szCs w:val="21"/>
          <w:shd w:val="clear" w:color="auto" w:fill="FFFFFF"/>
        </w:rPr>
        <w:t>.</w:t>
      </w:r>
      <w:r w:rsidR="00BF2DBC">
        <w:rPr>
          <w:rStyle w:val="Emphasis"/>
          <w:rFonts w:cstheme="minorHAnsi"/>
          <w:i w:val="0"/>
          <w:szCs w:val="21"/>
          <w:shd w:val="clear" w:color="auto" w:fill="FFFFFF"/>
        </w:rPr>
        <w:t xml:space="preserve"> </w:t>
      </w:r>
      <w:r w:rsidR="00FA20EB">
        <w:rPr>
          <w:rStyle w:val="Emphasis"/>
          <w:rFonts w:cstheme="minorHAnsi"/>
          <w:i w:val="0"/>
          <w:szCs w:val="21"/>
          <w:shd w:val="clear" w:color="auto" w:fill="FFFFFF"/>
        </w:rPr>
        <w:t>However, the story of Boudicca will always be clouded in varying accounts of modern and ancient scholarship and is put by Mary Beard “For Roman writers, she was a figure simultaneously of horror and of fasciation” (Beard 2015:514)</w:t>
      </w:r>
      <w:r w:rsidR="00FA20EB">
        <w:rPr>
          <w:rStyle w:val="FootnoteReference"/>
          <w:rFonts w:cstheme="minorHAnsi"/>
          <w:iCs/>
          <w:szCs w:val="21"/>
          <w:shd w:val="clear" w:color="auto" w:fill="FFFFFF"/>
        </w:rPr>
        <w:footnoteReference w:id="2"/>
      </w:r>
      <w:r w:rsidR="00FA20EB">
        <w:rPr>
          <w:rStyle w:val="Emphasis"/>
          <w:rFonts w:cstheme="minorHAnsi"/>
          <w:i w:val="0"/>
          <w:szCs w:val="21"/>
          <w:shd w:val="clear" w:color="auto" w:fill="FFFFFF"/>
        </w:rPr>
        <w:t>.</w:t>
      </w:r>
      <w:r w:rsidR="000D6467">
        <w:rPr>
          <w:rStyle w:val="Emphasis"/>
          <w:rFonts w:cstheme="minorHAnsi"/>
          <w:i w:val="0"/>
          <w:szCs w:val="21"/>
          <w:shd w:val="clear" w:color="auto" w:fill="FFFFFF"/>
        </w:rPr>
        <w:t xml:space="preserve"> </w:t>
      </w:r>
      <w:r w:rsidR="007F599D">
        <w:rPr>
          <w:rStyle w:val="Emphasis"/>
          <w:rFonts w:cstheme="minorHAnsi"/>
          <w:i w:val="0"/>
          <w:szCs w:val="21"/>
          <w:shd w:val="clear" w:color="auto" w:fill="FFFFFF"/>
        </w:rPr>
        <w:t>Therefore, although we can say that Boudicca was more than just a literary invention it will be impossible to demonstrate her existence and her alleged activities without any doubt with no first-hand accounts, or surviving first-hand accounts.</w:t>
      </w:r>
    </w:p>
    <w:p w:rsidR="00736579" w:rsidRDefault="00736579" w:rsidP="00D0640F">
      <w:pPr>
        <w:spacing w:line="360" w:lineRule="auto"/>
        <w:rPr>
          <w:rStyle w:val="Emphasis"/>
          <w:rFonts w:cstheme="minorHAnsi"/>
          <w:i w:val="0"/>
          <w:szCs w:val="21"/>
          <w:shd w:val="clear" w:color="auto" w:fill="FFFFFF"/>
        </w:rPr>
      </w:pPr>
      <w:r>
        <w:rPr>
          <w:rStyle w:val="Emphasis"/>
          <w:rFonts w:cstheme="minorHAnsi"/>
          <w:i w:val="0"/>
          <w:szCs w:val="21"/>
          <w:shd w:val="clear" w:color="auto" w:fill="FFFFFF"/>
        </w:rPr>
        <w:t xml:space="preserve">Boudicca, has forever been immortalised as a national heroine for Britain and an “ancestor of the British empire that one day outstripped </w:t>
      </w:r>
      <w:r w:rsidR="00A907E9">
        <w:rPr>
          <w:rStyle w:val="Emphasis"/>
          <w:rFonts w:cstheme="minorHAnsi"/>
          <w:i w:val="0"/>
          <w:szCs w:val="21"/>
          <w:shd w:val="clear" w:color="auto" w:fill="FFFFFF"/>
        </w:rPr>
        <w:t>ancient Rome” (Beard 2015:514)</w:t>
      </w:r>
      <w:r w:rsidR="00A907E9">
        <w:rPr>
          <w:rStyle w:val="FootnoteReference"/>
          <w:rFonts w:cstheme="minorHAnsi"/>
          <w:iCs/>
          <w:szCs w:val="21"/>
          <w:shd w:val="clear" w:color="auto" w:fill="FFFFFF"/>
        </w:rPr>
        <w:footnoteReference w:id="3"/>
      </w:r>
      <w:r w:rsidR="00A907E9">
        <w:rPr>
          <w:rStyle w:val="Emphasis"/>
          <w:rFonts w:cstheme="minorHAnsi"/>
          <w:i w:val="0"/>
          <w:szCs w:val="21"/>
          <w:shd w:val="clear" w:color="auto" w:fill="FFFFFF"/>
        </w:rPr>
        <w:t xml:space="preserve">. This can be seen by her </w:t>
      </w:r>
      <w:r w:rsidR="00A907E9">
        <w:rPr>
          <w:rStyle w:val="Emphasis"/>
          <w:rFonts w:cstheme="minorHAnsi"/>
          <w:i w:val="0"/>
          <w:szCs w:val="21"/>
          <w:shd w:val="clear" w:color="auto" w:fill="FFFFFF"/>
        </w:rPr>
        <w:lastRenderedPageBreak/>
        <w:t>Regal bronze statue outside the Houses of Parliament, however archaeologically inaccurate the statue may be due to the scythes on the chariot’s wheels.</w:t>
      </w:r>
    </w:p>
    <w:p w:rsidR="00E21DF3" w:rsidRDefault="00E21DF3" w:rsidP="00D0640F">
      <w:pPr>
        <w:spacing w:line="360" w:lineRule="auto"/>
        <w:rPr>
          <w:rStyle w:val="Emphasis"/>
          <w:rFonts w:cstheme="minorHAnsi"/>
          <w:i w:val="0"/>
          <w:szCs w:val="21"/>
          <w:shd w:val="clear" w:color="auto" w:fill="FFFFFF"/>
        </w:rPr>
      </w:pPr>
      <w:r>
        <w:rPr>
          <w:rStyle w:val="Emphasis"/>
          <w:rFonts w:cstheme="minorHAnsi"/>
          <w:i w:val="0"/>
          <w:szCs w:val="21"/>
          <w:shd w:val="clear" w:color="auto" w:fill="FFFFFF"/>
        </w:rPr>
        <w:t>Claudius conquered Britain in 43 CE after two failed attempts by Julius Caesar in 55 and 54BCE. The island had been primarily ignored during the reigns of Augustus and Tiberius as consolidation was preferred to expansion to include Britain.</w:t>
      </w:r>
      <w:r w:rsidR="004872DF">
        <w:rPr>
          <w:rStyle w:val="Emphasis"/>
          <w:rFonts w:cstheme="minorHAnsi"/>
          <w:i w:val="0"/>
          <w:szCs w:val="21"/>
          <w:shd w:val="clear" w:color="auto" w:fill="FFFFFF"/>
        </w:rPr>
        <w:t xml:space="preserve"> The province used client-kings to rule and three names of these such kings and queens are known: Queen Cartimandua of the Brigantes whom ruled what is now northern England; King Togidubnus’ territory was south of the river Thames; and King Pras</w:t>
      </w:r>
      <w:r w:rsidR="000709E8">
        <w:rPr>
          <w:rStyle w:val="Emphasis"/>
          <w:rFonts w:cstheme="minorHAnsi"/>
          <w:i w:val="0"/>
          <w:szCs w:val="21"/>
          <w:shd w:val="clear" w:color="auto" w:fill="FFFFFF"/>
        </w:rPr>
        <w:t>utagus and eastern England</w:t>
      </w:r>
      <w:r w:rsidR="004872DF">
        <w:rPr>
          <w:rStyle w:val="Emphasis"/>
          <w:rFonts w:cstheme="minorHAnsi"/>
          <w:i w:val="0"/>
          <w:szCs w:val="21"/>
          <w:shd w:val="clear" w:color="auto" w:fill="FFFFFF"/>
        </w:rPr>
        <w:t xml:space="preserve">. </w:t>
      </w:r>
      <w:r>
        <w:rPr>
          <w:rStyle w:val="Emphasis"/>
          <w:rFonts w:cstheme="minorHAnsi"/>
          <w:i w:val="0"/>
          <w:szCs w:val="21"/>
          <w:shd w:val="clear" w:color="auto" w:fill="FFFFFF"/>
        </w:rPr>
        <w:t xml:space="preserve">The senatorial province </w:t>
      </w:r>
      <w:r w:rsidR="008A499D">
        <w:rPr>
          <w:rStyle w:val="Emphasis"/>
          <w:rFonts w:cstheme="minorHAnsi"/>
          <w:i w:val="0"/>
          <w:szCs w:val="21"/>
          <w:shd w:val="clear" w:color="auto" w:fill="FFFFFF"/>
        </w:rPr>
        <w:t xml:space="preserve">gradually grew with numerous expeditions expanding the Roman territory to include most of England and Wales (Scotland </w:t>
      </w:r>
      <w:r w:rsidR="00006CFC">
        <w:rPr>
          <w:rStyle w:val="Emphasis"/>
          <w:rFonts w:cstheme="minorHAnsi"/>
          <w:i w:val="0"/>
          <w:szCs w:val="21"/>
          <w:shd w:val="clear" w:color="auto" w:fill="FFFFFF"/>
        </w:rPr>
        <w:t>was conquered under Vespasian), future emperors would govern the province as four legions were garrisoned there for much of Britain’s history after the conquering of lower Scotland.</w:t>
      </w:r>
    </w:p>
    <w:p w:rsidR="00B92B09" w:rsidRDefault="0095267C" w:rsidP="00D0640F">
      <w:pPr>
        <w:spacing w:line="360" w:lineRule="auto"/>
        <w:rPr>
          <w:rStyle w:val="Emphasis"/>
          <w:rFonts w:cstheme="minorHAnsi"/>
          <w:i w:val="0"/>
          <w:szCs w:val="21"/>
          <w:shd w:val="clear" w:color="auto" w:fill="FFFFFF"/>
        </w:rPr>
      </w:pPr>
      <w:r>
        <w:rPr>
          <w:rStyle w:val="Emphasis"/>
          <w:rFonts w:cstheme="minorHAnsi"/>
          <w:i w:val="0"/>
          <w:szCs w:val="21"/>
          <w:shd w:val="clear" w:color="auto" w:fill="FFFFFF"/>
        </w:rPr>
        <w:t>Tacitus writes that the rebellion happened in 61CE and implies that because of the numerous events it started early in that year and “before the crops were sown” (Tacitus, Ann.14.38.2)</w:t>
      </w:r>
      <w:r>
        <w:rPr>
          <w:rStyle w:val="FootnoteReference"/>
          <w:rFonts w:cstheme="minorHAnsi"/>
          <w:iCs/>
          <w:szCs w:val="21"/>
          <w:shd w:val="clear" w:color="auto" w:fill="FFFFFF"/>
        </w:rPr>
        <w:footnoteReference w:id="4"/>
      </w:r>
      <w:r>
        <w:rPr>
          <w:rStyle w:val="Emphasis"/>
          <w:rFonts w:cstheme="minorHAnsi"/>
          <w:i w:val="0"/>
          <w:szCs w:val="21"/>
          <w:shd w:val="clear" w:color="auto" w:fill="FFFFFF"/>
        </w:rPr>
        <w:t>, however, scholars have argued against this point as it seems that there were too many events in the revolt for it to have happened in one year. In the book ‘The emperor Nero’ it is stated that Ashbach (1878</w:t>
      </w:r>
      <w:r w:rsidR="00106BCA">
        <w:rPr>
          <w:rStyle w:val="Emphasis"/>
          <w:rFonts w:cstheme="minorHAnsi"/>
          <w:i w:val="0"/>
          <w:szCs w:val="21"/>
          <w:shd w:val="clear" w:color="auto" w:fill="FFFFFF"/>
        </w:rPr>
        <w:t>:8-16) was the first to argue that it must have started in the previous year because of the appointment of various Roman officials in Britain favour 60CE than 61CE to the year it broke out (A.</w:t>
      </w:r>
      <w:r w:rsidR="00184A1B">
        <w:rPr>
          <w:rStyle w:val="Emphasis"/>
          <w:rFonts w:cstheme="minorHAnsi"/>
          <w:i w:val="0"/>
          <w:szCs w:val="21"/>
          <w:shd w:val="clear" w:color="auto" w:fill="FFFFFF"/>
        </w:rPr>
        <w:t xml:space="preserve"> </w:t>
      </w:r>
      <w:r w:rsidR="00106BCA">
        <w:rPr>
          <w:rStyle w:val="Emphasis"/>
          <w:rFonts w:cstheme="minorHAnsi"/>
          <w:i w:val="0"/>
          <w:szCs w:val="21"/>
          <w:shd w:val="clear" w:color="auto" w:fill="FFFFFF"/>
        </w:rPr>
        <w:t>Barrett, E.</w:t>
      </w:r>
      <w:r w:rsidR="00184A1B">
        <w:rPr>
          <w:rStyle w:val="Emphasis"/>
          <w:rFonts w:cstheme="minorHAnsi"/>
          <w:i w:val="0"/>
          <w:szCs w:val="21"/>
          <w:shd w:val="clear" w:color="auto" w:fill="FFFFFF"/>
        </w:rPr>
        <w:t xml:space="preserve"> </w:t>
      </w:r>
      <w:r w:rsidR="00106BCA">
        <w:rPr>
          <w:rStyle w:val="Emphasis"/>
          <w:rFonts w:cstheme="minorHAnsi"/>
          <w:i w:val="0"/>
          <w:szCs w:val="21"/>
          <w:shd w:val="clear" w:color="auto" w:fill="FFFFFF"/>
        </w:rPr>
        <w:t>Fantham, &amp; J.</w:t>
      </w:r>
      <w:proofErr w:type="gramStart"/>
      <w:r w:rsidR="00106BCA">
        <w:rPr>
          <w:rStyle w:val="Emphasis"/>
          <w:rFonts w:cstheme="minorHAnsi"/>
          <w:i w:val="0"/>
          <w:szCs w:val="21"/>
          <w:shd w:val="clear" w:color="auto" w:fill="FFFFFF"/>
        </w:rPr>
        <w:t>C.Yardley</w:t>
      </w:r>
      <w:proofErr w:type="gramEnd"/>
      <w:r w:rsidR="00106BCA">
        <w:rPr>
          <w:rStyle w:val="Emphasis"/>
          <w:rFonts w:cstheme="minorHAnsi"/>
          <w:i w:val="0"/>
          <w:szCs w:val="21"/>
          <w:shd w:val="clear" w:color="auto" w:fill="FFFFFF"/>
        </w:rPr>
        <w:t xml:space="preserve"> 2016:124)</w:t>
      </w:r>
      <w:r w:rsidR="00106BCA">
        <w:rPr>
          <w:rStyle w:val="FootnoteReference"/>
          <w:rFonts w:cstheme="minorHAnsi"/>
          <w:iCs/>
          <w:szCs w:val="21"/>
          <w:shd w:val="clear" w:color="auto" w:fill="FFFFFF"/>
        </w:rPr>
        <w:footnoteReference w:id="5"/>
      </w:r>
      <w:r w:rsidR="00106BCA">
        <w:rPr>
          <w:rStyle w:val="Emphasis"/>
          <w:rFonts w:cstheme="minorHAnsi"/>
          <w:i w:val="0"/>
          <w:szCs w:val="21"/>
          <w:shd w:val="clear" w:color="auto" w:fill="FFFFFF"/>
        </w:rPr>
        <w:t>.</w:t>
      </w:r>
      <w:r w:rsidR="00527242">
        <w:rPr>
          <w:rStyle w:val="Emphasis"/>
          <w:rFonts w:cstheme="minorHAnsi"/>
          <w:i w:val="0"/>
          <w:szCs w:val="21"/>
          <w:shd w:val="clear" w:color="auto" w:fill="FFFFFF"/>
        </w:rPr>
        <w:t xml:space="preserve"> The Bou</w:t>
      </w:r>
      <w:r w:rsidR="006350D3">
        <w:rPr>
          <w:rStyle w:val="Emphasis"/>
          <w:rFonts w:cstheme="minorHAnsi"/>
          <w:i w:val="0"/>
          <w:szCs w:val="21"/>
          <w:shd w:val="clear" w:color="auto" w:fill="FFFFFF"/>
        </w:rPr>
        <w:t>diccan revolt can partly be argued</w:t>
      </w:r>
      <w:r w:rsidR="00527242">
        <w:rPr>
          <w:rStyle w:val="Emphasis"/>
          <w:rFonts w:cstheme="minorHAnsi"/>
          <w:i w:val="0"/>
          <w:szCs w:val="21"/>
          <w:shd w:val="clear" w:color="auto" w:fill="FFFFFF"/>
        </w:rPr>
        <w:t xml:space="preserve"> as </w:t>
      </w:r>
      <w:r w:rsidR="006350D3">
        <w:rPr>
          <w:rStyle w:val="Emphasis"/>
          <w:rFonts w:cstheme="minorHAnsi"/>
          <w:i w:val="0"/>
          <w:szCs w:val="21"/>
          <w:shd w:val="clear" w:color="auto" w:fill="FFFFFF"/>
        </w:rPr>
        <w:t>the inhabitant’s reaction to the threat of native aristocratic rule</w:t>
      </w:r>
      <w:r w:rsidR="00252F5E">
        <w:rPr>
          <w:rStyle w:val="Emphasis"/>
          <w:rFonts w:cstheme="minorHAnsi"/>
          <w:i w:val="0"/>
          <w:szCs w:val="21"/>
          <w:shd w:val="clear" w:color="auto" w:fill="FFFFFF"/>
        </w:rPr>
        <w:t xml:space="preserve"> as well </w:t>
      </w:r>
      <w:r w:rsidR="00E22465">
        <w:rPr>
          <w:rStyle w:val="Emphasis"/>
          <w:rFonts w:cstheme="minorHAnsi"/>
          <w:i w:val="0"/>
          <w:szCs w:val="21"/>
          <w:shd w:val="clear" w:color="auto" w:fill="FFFFFF"/>
        </w:rPr>
        <w:t>as the corruption of soldiers in Britain</w:t>
      </w:r>
      <w:r w:rsidR="006350D3">
        <w:rPr>
          <w:rStyle w:val="Emphasis"/>
          <w:rFonts w:cstheme="minorHAnsi"/>
          <w:i w:val="0"/>
          <w:szCs w:val="21"/>
          <w:shd w:val="clear" w:color="auto" w:fill="FFFFFF"/>
        </w:rPr>
        <w:t xml:space="preserve"> (Alston 1998:304)</w:t>
      </w:r>
      <w:r w:rsidR="00736579">
        <w:rPr>
          <w:rStyle w:val="FootnoteReference"/>
          <w:rFonts w:cstheme="minorHAnsi"/>
          <w:iCs/>
          <w:szCs w:val="21"/>
          <w:shd w:val="clear" w:color="auto" w:fill="FFFFFF"/>
        </w:rPr>
        <w:footnoteReference w:id="6"/>
      </w:r>
      <w:r w:rsidR="006350D3">
        <w:rPr>
          <w:rStyle w:val="Emphasis"/>
          <w:rFonts w:cstheme="minorHAnsi"/>
          <w:i w:val="0"/>
          <w:szCs w:val="21"/>
          <w:shd w:val="clear" w:color="auto" w:fill="FFFFFF"/>
        </w:rPr>
        <w:t xml:space="preserve">. Under Prasutagus, the area that the Iceni tribe inhabited maintained an element of independence despite it being what we know call a province and would have come under Roman ‘imperium’, therefore the outrage that came after his death is somewhat justified in response to change of how it was governed. </w:t>
      </w:r>
      <w:r w:rsidR="00B452F9">
        <w:rPr>
          <w:rStyle w:val="Emphasis"/>
          <w:rFonts w:cstheme="minorHAnsi"/>
          <w:i w:val="0"/>
          <w:szCs w:val="21"/>
          <w:shd w:val="clear" w:color="auto" w:fill="FFFFFF"/>
        </w:rPr>
        <w:t>Cassius Dio, a Greek historian of the 2</w:t>
      </w:r>
      <w:r w:rsidR="00B452F9" w:rsidRPr="00B452F9">
        <w:rPr>
          <w:rStyle w:val="Emphasis"/>
          <w:rFonts w:cstheme="minorHAnsi"/>
          <w:i w:val="0"/>
          <w:szCs w:val="21"/>
          <w:shd w:val="clear" w:color="auto" w:fill="FFFFFF"/>
          <w:vertAlign w:val="superscript"/>
        </w:rPr>
        <w:t>nd</w:t>
      </w:r>
      <w:r w:rsidR="00B452F9">
        <w:rPr>
          <w:rStyle w:val="Emphasis"/>
          <w:rFonts w:cstheme="minorHAnsi"/>
          <w:i w:val="0"/>
          <w:szCs w:val="21"/>
          <w:shd w:val="clear" w:color="auto" w:fill="FFFFFF"/>
        </w:rPr>
        <w:t xml:space="preserve"> century CE writes about the revolt led by Boudicca in his book ‘Roman history’, volume 8). He mentions that two cities were sacked in Britain</w:t>
      </w:r>
      <w:r w:rsidR="007E528C">
        <w:rPr>
          <w:rStyle w:val="Emphasis"/>
          <w:rFonts w:cstheme="minorHAnsi"/>
          <w:i w:val="0"/>
          <w:szCs w:val="21"/>
          <w:shd w:val="clear" w:color="auto" w:fill="FFFFFF"/>
        </w:rPr>
        <w:t xml:space="preserve">, no names given to which cities, however most other secondary sources agree that Boudicca and her militia sacked three cities (Londinium, Camulodonum, and </w:t>
      </w:r>
      <w:r w:rsidR="00F41EB2">
        <w:rPr>
          <w:rStyle w:val="Emphasis"/>
          <w:rFonts w:cstheme="minorHAnsi"/>
          <w:i w:val="0"/>
          <w:szCs w:val="21"/>
          <w:shd w:val="clear" w:color="auto" w:fill="FFFFFF"/>
        </w:rPr>
        <w:t>Verulamium) during</w:t>
      </w:r>
      <w:r w:rsidR="007E528C">
        <w:rPr>
          <w:rStyle w:val="Emphasis"/>
          <w:rFonts w:cstheme="minorHAnsi"/>
          <w:i w:val="0"/>
          <w:szCs w:val="21"/>
          <w:shd w:val="clear" w:color="auto" w:fill="FFFFFF"/>
        </w:rPr>
        <w:t xml:space="preserve"> the beginning of her revolt</w:t>
      </w:r>
      <w:r w:rsidR="00EE3BF6">
        <w:rPr>
          <w:rStyle w:val="Emphasis"/>
          <w:rFonts w:cstheme="minorHAnsi"/>
          <w:i w:val="0"/>
          <w:szCs w:val="21"/>
          <w:shd w:val="clear" w:color="auto" w:fill="FFFFFF"/>
        </w:rPr>
        <w:t>.</w:t>
      </w:r>
      <w:r w:rsidR="00F41EB2">
        <w:rPr>
          <w:rStyle w:val="Emphasis"/>
          <w:rFonts w:cstheme="minorHAnsi"/>
          <w:i w:val="0"/>
          <w:szCs w:val="21"/>
          <w:shd w:val="clear" w:color="auto" w:fill="FFFFFF"/>
        </w:rPr>
        <w:t xml:space="preserve"> Cassius Dio cites the cause of the revolt as being because of imperial donations being confiscated as well as Seneca the younger calling in loans he had forced upon the Britons (Dio Cassius 2001: LXII</w:t>
      </w:r>
      <w:r w:rsidR="00C2022A">
        <w:rPr>
          <w:rStyle w:val="Emphasis"/>
          <w:rFonts w:cstheme="minorHAnsi"/>
          <w:i w:val="0"/>
          <w:szCs w:val="21"/>
          <w:shd w:val="clear" w:color="auto" w:fill="FFFFFF"/>
        </w:rPr>
        <w:t>, 2)</w:t>
      </w:r>
      <w:r w:rsidR="006D56CC">
        <w:rPr>
          <w:rStyle w:val="Emphasis"/>
          <w:rFonts w:cstheme="minorHAnsi"/>
          <w:i w:val="0"/>
          <w:szCs w:val="21"/>
          <w:shd w:val="clear" w:color="auto" w:fill="FFFFFF"/>
        </w:rPr>
        <w:t>, this financial pressure would have likely been felt by all provincials and not just the aristocracy or those in the east of Britain</w:t>
      </w:r>
      <w:r w:rsidR="00FD2AE2">
        <w:rPr>
          <w:rStyle w:val="Emphasis"/>
          <w:rFonts w:cstheme="minorHAnsi"/>
          <w:i w:val="0"/>
          <w:szCs w:val="21"/>
          <w:shd w:val="clear" w:color="auto" w:fill="FFFFFF"/>
        </w:rPr>
        <w:t xml:space="preserve">, </w:t>
      </w:r>
      <w:r w:rsidR="00850454">
        <w:rPr>
          <w:rStyle w:val="Emphasis"/>
          <w:rFonts w:cstheme="minorHAnsi"/>
          <w:i w:val="0"/>
          <w:szCs w:val="21"/>
          <w:shd w:val="clear" w:color="auto" w:fill="FFFFFF"/>
        </w:rPr>
        <w:t xml:space="preserve">this act of ‘kindness’ has been seen </w:t>
      </w:r>
      <w:r w:rsidR="00850454">
        <w:rPr>
          <w:rStyle w:val="Emphasis"/>
          <w:rFonts w:cstheme="minorHAnsi"/>
          <w:i w:val="0"/>
          <w:szCs w:val="21"/>
          <w:shd w:val="clear" w:color="auto" w:fill="FFFFFF"/>
        </w:rPr>
        <w:lastRenderedPageBreak/>
        <w:t>elsewhere in this time period with: Nero giving 200,000 Sesterces to the Tiridates (Dio 63.6.5)</w:t>
      </w:r>
      <w:r w:rsidR="00F41EB2">
        <w:rPr>
          <w:rStyle w:val="Emphasis"/>
          <w:rFonts w:cstheme="minorHAnsi"/>
          <w:i w:val="0"/>
          <w:szCs w:val="21"/>
          <w:shd w:val="clear" w:color="auto" w:fill="FFFFFF"/>
        </w:rPr>
        <w:t>.</w:t>
      </w:r>
      <w:r w:rsidR="00C2022A">
        <w:rPr>
          <w:rStyle w:val="Emphasis"/>
          <w:rFonts w:cstheme="minorHAnsi"/>
          <w:i w:val="0"/>
          <w:szCs w:val="21"/>
          <w:shd w:val="clear" w:color="auto" w:fill="FFFFFF"/>
        </w:rPr>
        <w:t xml:space="preserve"> </w:t>
      </w:r>
      <w:r w:rsidR="00AB3280">
        <w:rPr>
          <w:rStyle w:val="Emphasis"/>
          <w:rFonts w:cstheme="minorHAnsi"/>
          <w:i w:val="0"/>
          <w:szCs w:val="21"/>
          <w:shd w:val="clear" w:color="auto" w:fill="FFFFFF"/>
        </w:rPr>
        <w:t xml:space="preserve">This is one of the possible reasons for the start of the revolt as other sources such </w:t>
      </w:r>
      <w:r w:rsidR="008F7F83">
        <w:rPr>
          <w:rStyle w:val="Emphasis"/>
          <w:rFonts w:cstheme="minorHAnsi"/>
          <w:i w:val="0"/>
          <w:szCs w:val="21"/>
          <w:shd w:val="clear" w:color="auto" w:fill="FFFFFF"/>
        </w:rPr>
        <w:t>as Tacitus state that the rape</w:t>
      </w:r>
      <w:r w:rsidR="00AB3280">
        <w:rPr>
          <w:rStyle w:val="Emphasis"/>
          <w:rFonts w:cstheme="minorHAnsi"/>
          <w:i w:val="0"/>
          <w:szCs w:val="21"/>
          <w:shd w:val="clear" w:color="auto" w:fill="FFFFFF"/>
        </w:rPr>
        <w:t xml:space="preserve"> of Boudicca’s daughters and the flogging of herself </w:t>
      </w:r>
      <w:r w:rsidR="00FE4F8E">
        <w:rPr>
          <w:rStyle w:val="Emphasis"/>
          <w:rFonts w:cstheme="minorHAnsi"/>
          <w:i w:val="0"/>
          <w:szCs w:val="21"/>
          <w:shd w:val="clear" w:color="auto" w:fill="FFFFFF"/>
        </w:rPr>
        <w:t>was to cause for Boudicca’s uprising.</w:t>
      </w:r>
      <w:r w:rsidR="001349E7">
        <w:rPr>
          <w:rStyle w:val="Emphasis"/>
          <w:rFonts w:cstheme="minorHAnsi"/>
          <w:i w:val="0"/>
          <w:szCs w:val="21"/>
          <w:shd w:val="clear" w:color="auto" w:fill="FFFFFF"/>
        </w:rPr>
        <w:t xml:space="preserve"> </w:t>
      </w:r>
      <w:r w:rsidR="00AF5E37">
        <w:rPr>
          <w:rStyle w:val="Emphasis"/>
          <w:rFonts w:cstheme="minorHAnsi"/>
          <w:i w:val="0"/>
          <w:szCs w:val="21"/>
          <w:shd w:val="clear" w:color="auto" w:fill="FFFFFF"/>
        </w:rPr>
        <w:t xml:space="preserve">These sources however, have forgotten to mention that the King’s own relatives were reduced to slaves as well as slaves pillaging private property as they were spoils of war. </w:t>
      </w:r>
      <w:r w:rsidR="001349E7">
        <w:rPr>
          <w:rStyle w:val="Emphasis"/>
          <w:rFonts w:cstheme="minorHAnsi"/>
          <w:i w:val="0"/>
          <w:szCs w:val="21"/>
          <w:shd w:val="clear" w:color="auto" w:fill="FFFFFF"/>
        </w:rPr>
        <w:t xml:space="preserve">However, in </w:t>
      </w:r>
      <w:r w:rsidR="00055050">
        <w:rPr>
          <w:rStyle w:val="Emphasis"/>
          <w:rFonts w:cstheme="minorHAnsi"/>
          <w:i w:val="0"/>
          <w:szCs w:val="21"/>
          <w:shd w:val="clear" w:color="auto" w:fill="FFFFFF"/>
        </w:rPr>
        <w:t>David Potter’s ‘</w:t>
      </w:r>
      <w:r w:rsidR="00055050" w:rsidRPr="00055050">
        <w:rPr>
          <w:rStyle w:val="Emphasis"/>
          <w:rFonts w:cstheme="minorHAnsi"/>
          <w:szCs w:val="21"/>
          <w:shd w:val="clear" w:color="auto" w:fill="FFFFFF"/>
        </w:rPr>
        <w:t>Rome in the ancient world’</w:t>
      </w:r>
      <w:r w:rsidR="00055050">
        <w:rPr>
          <w:rStyle w:val="Emphasis"/>
          <w:rFonts w:cstheme="minorHAnsi"/>
          <w:i w:val="0"/>
          <w:szCs w:val="21"/>
          <w:shd w:val="clear" w:color="auto" w:fill="FFFFFF"/>
        </w:rPr>
        <w:t xml:space="preserve"> he states that “</w:t>
      </w:r>
      <w:r w:rsidR="00055050" w:rsidRPr="00055050">
        <w:rPr>
          <w:rStyle w:val="Emphasis"/>
          <w:rFonts w:cstheme="minorHAnsi"/>
          <w:szCs w:val="21"/>
          <w:shd w:val="clear" w:color="auto" w:fill="FFFFFF"/>
        </w:rPr>
        <w:t>It is inconceivable, for instance, that in Britain in 60CE Boudicca would have been abused on the orders of the imperial procurator Decianus Catus, if he had felt  that a powerful senator at Rome might have close links with the Iceni</w:t>
      </w:r>
      <w:r w:rsidR="00055050">
        <w:rPr>
          <w:rStyle w:val="Emphasis"/>
          <w:rFonts w:cstheme="minorHAnsi"/>
          <w:i w:val="0"/>
          <w:szCs w:val="21"/>
          <w:shd w:val="clear" w:color="auto" w:fill="FFFFFF"/>
        </w:rPr>
        <w:t>.”</w:t>
      </w:r>
      <w:r w:rsidR="004A6A55">
        <w:rPr>
          <w:rStyle w:val="Emphasis"/>
          <w:rFonts w:cstheme="minorHAnsi"/>
          <w:i w:val="0"/>
          <w:szCs w:val="21"/>
          <w:shd w:val="clear" w:color="auto" w:fill="FFFFFF"/>
        </w:rPr>
        <w:t>(Potter 2009:201)</w:t>
      </w:r>
      <w:r w:rsidR="00055050">
        <w:rPr>
          <w:rStyle w:val="FootnoteReference"/>
          <w:rFonts w:cstheme="minorHAnsi"/>
          <w:iCs/>
          <w:szCs w:val="21"/>
          <w:shd w:val="clear" w:color="auto" w:fill="FFFFFF"/>
        </w:rPr>
        <w:footnoteReference w:id="7"/>
      </w:r>
      <w:r w:rsidR="008F7F83">
        <w:rPr>
          <w:rStyle w:val="Emphasis"/>
          <w:rFonts w:cstheme="minorHAnsi"/>
          <w:i w:val="0"/>
          <w:szCs w:val="21"/>
          <w:shd w:val="clear" w:color="auto" w:fill="FFFFFF"/>
        </w:rPr>
        <w:t xml:space="preserve"> Both of these ancient sources differ in their accounts to the </w:t>
      </w:r>
      <w:r w:rsidR="00D77FD0">
        <w:rPr>
          <w:rStyle w:val="Emphasis"/>
          <w:rFonts w:cstheme="minorHAnsi"/>
          <w:i w:val="0"/>
          <w:szCs w:val="21"/>
          <w:shd w:val="clear" w:color="auto" w:fill="FFFFFF"/>
        </w:rPr>
        <w:t xml:space="preserve">primary </w:t>
      </w:r>
      <w:r w:rsidR="008F7F83">
        <w:rPr>
          <w:rStyle w:val="Emphasis"/>
          <w:rFonts w:cstheme="minorHAnsi"/>
          <w:i w:val="0"/>
          <w:szCs w:val="21"/>
          <w:shd w:val="clear" w:color="auto" w:fill="FFFFFF"/>
        </w:rPr>
        <w:t>causes of the rebellion, however it is clear that in both sources that financial and political problems in the region after Prasutagus’ death</w:t>
      </w:r>
      <w:r w:rsidR="00407B9D">
        <w:rPr>
          <w:rStyle w:val="Emphasis"/>
          <w:rFonts w:cstheme="minorHAnsi"/>
          <w:i w:val="0"/>
          <w:szCs w:val="21"/>
          <w:shd w:val="clear" w:color="auto" w:fill="FFFFFF"/>
        </w:rPr>
        <w:t xml:space="preserve"> heavily contributed to the start of the revolt.</w:t>
      </w:r>
      <w:r w:rsidR="00BA35B0">
        <w:rPr>
          <w:rStyle w:val="Emphasis"/>
          <w:rFonts w:cstheme="minorHAnsi"/>
          <w:i w:val="0"/>
          <w:szCs w:val="21"/>
          <w:shd w:val="clear" w:color="auto" w:fill="FFFFFF"/>
        </w:rPr>
        <w:t xml:space="preserve"> </w:t>
      </w:r>
      <w:r w:rsidR="00162065">
        <w:rPr>
          <w:rStyle w:val="Emphasis"/>
          <w:rFonts w:cstheme="minorHAnsi"/>
          <w:i w:val="0"/>
          <w:szCs w:val="21"/>
          <w:shd w:val="clear" w:color="auto" w:fill="FFFFFF"/>
        </w:rPr>
        <w:t xml:space="preserve">The many viewpoints put forward by the numerous ancient and modern scholars </w:t>
      </w:r>
      <w:r w:rsidR="00896D60">
        <w:rPr>
          <w:rStyle w:val="Emphasis"/>
          <w:rFonts w:cstheme="minorHAnsi"/>
          <w:i w:val="0"/>
          <w:szCs w:val="21"/>
          <w:shd w:val="clear" w:color="auto" w:fill="FFFFFF"/>
        </w:rPr>
        <w:t>seem to agree that Boudicca was more than just a literary invention and an actual person who led a revolt around 60CE against the Roman occupation of Britain.</w:t>
      </w:r>
    </w:p>
    <w:p w:rsidR="00A45D50" w:rsidRDefault="00A45D50" w:rsidP="00D0640F">
      <w:pPr>
        <w:spacing w:line="360" w:lineRule="auto"/>
        <w:rPr>
          <w:rStyle w:val="Emphasis"/>
          <w:rFonts w:cstheme="minorHAnsi"/>
          <w:i w:val="0"/>
          <w:szCs w:val="21"/>
          <w:shd w:val="clear" w:color="auto" w:fill="FFFFFF"/>
        </w:rPr>
      </w:pPr>
      <w:r>
        <w:rPr>
          <w:rStyle w:val="Emphasis"/>
          <w:rFonts w:cstheme="minorHAnsi"/>
          <w:i w:val="0"/>
          <w:szCs w:val="21"/>
          <w:shd w:val="clear" w:color="auto" w:fill="FFFFFF"/>
        </w:rPr>
        <w:t xml:space="preserve">The revolt, according to Cassius Dio amassed a number of 120,000 </w:t>
      </w:r>
      <w:r w:rsidR="00736579">
        <w:rPr>
          <w:rStyle w:val="Emphasis"/>
          <w:rFonts w:cstheme="minorHAnsi"/>
          <w:i w:val="0"/>
          <w:szCs w:val="21"/>
          <w:shd w:val="clear" w:color="auto" w:fill="FFFFFF"/>
        </w:rPr>
        <w:t>people, this nu</w:t>
      </w:r>
      <w:r w:rsidR="00541E7D">
        <w:rPr>
          <w:rStyle w:val="Emphasis"/>
          <w:rFonts w:cstheme="minorHAnsi"/>
          <w:i w:val="0"/>
          <w:szCs w:val="21"/>
          <w:shd w:val="clear" w:color="auto" w:fill="FFFFFF"/>
        </w:rPr>
        <w:t>mber is most likely exaggerated (but if Mance Rayder can unite 90 clans of wildlings in a work of fiction, why can’t Boudicca do the same)</w:t>
      </w:r>
      <w:r w:rsidR="00200D2A">
        <w:rPr>
          <w:rStyle w:val="Emphasis"/>
          <w:rFonts w:cstheme="minorHAnsi"/>
          <w:i w:val="0"/>
          <w:szCs w:val="21"/>
          <w:shd w:val="clear" w:color="auto" w:fill="FFFFFF"/>
        </w:rPr>
        <w:t xml:space="preserve">, Tacitus does not mention </w:t>
      </w:r>
      <w:r w:rsidR="00D34DDC">
        <w:rPr>
          <w:rStyle w:val="Emphasis"/>
          <w:rFonts w:cstheme="minorHAnsi"/>
          <w:i w:val="0"/>
          <w:szCs w:val="21"/>
          <w:shd w:val="clear" w:color="auto" w:fill="FFFFFF"/>
        </w:rPr>
        <w:t xml:space="preserve">a number of the population of the revolt just that </w:t>
      </w:r>
      <w:r w:rsidR="00EB40CF">
        <w:rPr>
          <w:rStyle w:val="Emphasis"/>
          <w:rFonts w:cstheme="minorHAnsi"/>
          <w:i w:val="0"/>
          <w:szCs w:val="21"/>
          <w:shd w:val="clear" w:color="auto" w:fill="FFFFFF"/>
        </w:rPr>
        <w:t>8</w:t>
      </w:r>
      <w:r w:rsidR="00D34DDC">
        <w:rPr>
          <w:rStyle w:val="Emphasis"/>
          <w:rFonts w:cstheme="minorHAnsi"/>
          <w:i w:val="0"/>
          <w:szCs w:val="21"/>
          <w:shd w:val="clear" w:color="auto" w:fill="FFFFFF"/>
        </w:rPr>
        <w:t>0,000 Britons fell in comparison to 400 dead Roman soldiers</w:t>
      </w:r>
      <w:r w:rsidR="00831CEE">
        <w:rPr>
          <w:rStyle w:val="Emphasis"/>
          <w:rFonts w:cstheme="minorHAnsi"/>
          <w:i w:val="0"/>
          <w:szCs w:val="21"/>
          <w:shd w:val="clear" w:color="auto" w:fill="FFFFFF"/>
        </w:rPr>
        <w:t xml:space="preserve"> (Tacitus 1996: XIV</w:t>
      </w:r>
      <w:r w:rsidR="00BA7946">
        <w:rPr>
          <w:rStyle w:val="Emphasis"/>
          <w:rFonts w:cstheme="minorHAnsi"/>
          <w:i w:val="0"/>
          <w:szCs w:val="21"/>
          <w:shd w:val="clear" w:color="auto" w:fill="FFFFFF"/>
        </w:rPr>
        <w:t>.</w:t>
      </w:r>
      <w:r w:rsidR="00831CEE">
        <w:rPr>
          <w:rStyle w:val="Emphasis"/>
          <w:rFonts w:cstheme="minorHAnsi"/>
          <w:i w:val="0"/>
          <w:szCs w:val="21"/>
          <w:shd w:val="clear" w:color="auto" w:fill="FFFFFF"/>
        </w:rPr>
        <w:t>)</w:t>
      </w:r>
      <w:r w:rsidR="00831CEE">
        <w:rPr>
          <w:rStyle w:val="FootnoteReference"/>
          <w:rFonts w:cstheme="minorHAnsi"/>
          <w:iCs/>
          <w:szCs w:val="21"/>
          <w:shd w:val="clear" w:color="auto" w:fill="FFFFFF"/>
        </w:rPr>
        <w:footnoteReference w:id="8"/>
      </w:r>
      <w:r w:rsidR="00683898">
        <w:rPr>
          <w:rStyle w:val="Emphasis"/>
          <w:rFonts w:cstheme="minorHAnsi"/>
          <w:i w:val="0"/>
          <w:szCs w:val="21"/>
          <w:shd w:val="clear" w:color="auto" w:fill="FFFFFF"/>
        </w:rPr>
        <w:t>, Mary Beard argues with on this statistic and says “a boastful but highly improbable figure” (Beard 2015:514)</w:t>
      </w:r>
      <w:r w:rsidR="00683898">
        <w:rPr>
          <w:rStyle w:val="FootnoteReference"/>
          <w:rFonts w:cstheme="minorHAnsi"/>
          <w:iCs/>
          <w:szCs w:val="21"/>
          <w:shd w:val="clear" w:color="auto" w:fill="FFFFFF"/>
        </w:rPr>
        <w:footnoteReference w:id="9"/>
      </w:r>
      <w:r w:rsidR="00683898">
        <w:rPr>
          <w:rStyle w:val="Emphasis"/>
          <w:rFonts w:cstheme="minorHAnsi"/>
          <w:i w:val="0"/>
          <w:szCs w:val="21"/>
          <w:shd w:val="clear" w:color="auto" w:fill="FFFFFF"/>
        </w:rPr>
        <w:t xml:space="preserve"> </w:t>
      </w:r>
      <w:r w:rsidR="00831CEE">
        <w:rPr>
          <w:rStyle w:val="Emphasis"/>
          <w:rFonts w:cstheme="minorHAnsi"/>
          <w:i w:val="0"/>
          <w:szCs w:val="21"/>
          <w:shd w:val="clear" w:color="auto" w:fill="FFFFFF"/>
        </w:rPr>
        <w:t xml:space="preserve">. </w:t>
      </w:r>
      <w:r w:rsidR="003C2F4E">
        <w:rPr>
          <w:rStyle w:val="Emphasis"/>
          <w:rFonts w:cstheme="minorHAnsi"/>
          <w:i w:val="0"/>
          <w:szCs w:val="21"/>
          <w:shd w:val="clear" w:color="auto" w:fill="FFFFFF"/>
        </w:rPr>
        <w:t>However, the size of the Boudiccan revolt cannot be understated as the commander of the second legion (Legio II Augusta) faced many problems in the south-west of England, and could suggest more tribes rebelled under Boudicca than Tacitus or Cassius Dio mention</w:t>
      </w:r>
      <w:r w:rsidR="0061114F">
        <w:rPr>
          <w:rStyle w:val="Emphasis"/>
          <w:rFonts w:cstheme="minorHAnsi"/>
          <w:i w:val="0"/>
          <w:szCs w:val="21"/>
          <w:shd w:val="clear" w:color="auto" w:fill="FFFFFF"/>
        </w:rPr>
        <w:t>, it is also not mentioned that some of the tribes would have stayed loyal to their Roman rulers</w:t>
      </w:r>
      <w:r w:rsidR="003C2F4E">
        <w:rPr>
          <w:rStyle w:val="Emphasis"/>
          <w:rFonts w:cstheme="minorHAnsi"/>
          <w:i w:val="0"/>
          <w:szCs w:val="21"/>
          <w:shd w:val="clear" w:color="auto" w:fill="FFFFFF"/>
        </w:rPr>
        <w:t>.</w:t>
      </w:r>
      <w:r w:rsidR="00A85B6C">
        <w:rPr>
          <w:rStyle w:val="Emphasis"/>
          <w:rFonts w:cstheme="minorHAnsi"/>
          <w:i w:val="0"/>
          <w:szCs w:val="21"/>
          <w:shd w:val="clear" w:color="auto" w:fill="FFFFFF"/>
        </w:rPr>
        <w:t xml:space="preserve"> Archaeological evidence can also agree with the </w:t>
      </w:r>
      <w:r w:rsidR="006E4F51">
        <w:rPr>
          <w:rStyle w:val="Emphasis"/>
          <w:rFonts w:cstheme="minorHAnsi"/>
          <w:i w:val="0"/>
          <w:szCs w:val="21"/>
          <w:shd w:val="clear" w:color="auto" w:fill="FFFFFF"/>
        </w:rPr>
        <w:t>rebellion being on a giant scale as excavations have revealed that the towns of Londinium, Camulodonum, and Verulamium were almost completely destroyed (</w:t>
      </w:r>
      <w:r w:rsidR="00AC2209">
        <w:rPr>
          <w:rStyle w:val="Emphasis"/>
          <w:rFonts w:cstheme="minorHAnsi"/>
          <w:i w:val="0"/>
          <w:szCs w:val="21"/>
          <w:shd w:val="clear" w:color="auto" w:fill="FFFFFF"/>
        </w:rPr>
        <w:t>Potter 2009: 187)</w:t>
      </w:r>
      <w:r w:rsidR="00AC2209">
        <w:rPr>
          <w:rStyle w:val="FootnoteReference"/>
          <w:rFonts w:cstheme="minorHAnsi"/>
          <w:iCs/>
          <w:szCs w:val="21"/>
          <w:shd w:val="clear" w:color="auto" w:fill="FFFFFF"/>
        </w:rPr>
        <w:footnoteReference w:id="10"/>
      </w:r>
      <w:r w:rsidR="00226FEC">
        <w:rPr>
          <w:rStyle w:val="Emphasis"/>
          <w:rFonts w:cstheme="minorHAnsi"/>
          <w:i w:val="0"/>
          <w:szCs w:val="21"/>
          <w:shd w:val="clear" w:color="auto" w:fill="FFFFFF"/>
        </w:rPr>
        <w:t>.</w:t>
      </w:r>
      <w:r w:rsidR="0061114F">
        <w:rPr>
          <w:rStyle w:val="Emphasis"/>
          <w:rFonts w:cstheme="minorHAnsi"/>
          <w:i w:val="0"/>
          <w:szCs w:val="21"/>
          <w:shd w:val="clear" w:color="auto" w:fill="FFFFFF"/>
        </w:rPr>
        <w:t xml:space="preserve"> Suetonius, in his ‘</w:t>
      </w:r>
      <w:r w:rsidR="0061114F" w:rsidRPr="0061114F">
        <w:rPr>
          <w:rStyle w:val="Emphasis"/>
          <w:rFonts w:cstheme="minorHAnsi"/>
          <w:szCs w:val="21"/>
          <w:shd w:val="clear" w:color="auto" w:fill="FFFFFF"/>
        </w:rPr>
        <w:t>Twelve Caesars’</w:t>
      </w:r>
      <w:r w:rsidR="0061114F">
        <w:rPr>
          <w:rStyle w:val="Emphasis"/>
          <w:rFonts w:cstheme="minorHAnsi"/>
          <w:szCs w:val="21"/>
          <w:shd w:val="clear" w:color="auto" w:fill="FFFFFF"/>
        </w:rPr>
        <w:t xml:space="preserve"> </w:t>
      </w:r>
      <w:r w:rsidR="0061114F">
        <w:rPr>
          <w:rStyle w:val="Emphasis"/>
          <w:rFonts w:cstheme="minorHAnsi"/>
          <w:i w:val="0"/>
          <w:szCs w:val="21"/>
          <w:shd w:val="clear" w:color="auto" w:fill="FFFFFF"/>
        </w:rPr>
        <w:t>also mentions only two major centres were sacked but this is because it is said the Verulamium was given sufficient warning to evacuate its population before the revolt had reached there. However, Suetonius omits most of the Boudiccan revolt, along with his slander of numerous emperors cannot be viewed as a reliable source compared to Tacitus or Cassius Dio.</w:t>
      </w:r>
      <w:r w:rsidR="00F828F9">
        <w:rPr>
          <w:rStyle w:val="Emphasis"/>
          <w:rFonts w:cstheme="minorHAnsi"/>
          <w:i w:val="0"/>
          <w:szCs w:val="21"/>
          <w:shd w:val="clear" w:color="auto" w:fill="FFFFFF"/>
        </w:rPr>
        <w:t xml:space="preserve"> </w:t>
      </w:r>
      <w:r w:rsidR="00A94A37">
        <w:rPr>
          <w:rStyle w:val="Emphasis"/>
          <w:rFonts w:cstheme="minorHAnsi"/>
          <w:i w:val="0"/>
          <w:szCs w:val="21"/>
          <w:shd w:val="clear" w:color="auto" w:fill="FFFFFF"/>
        </w:rPr>
        <w:t xml:space="preserve">The rebels seeing the </w:t>
      </w:r>
      <w:r w:rsidR="00184A1B">
        <w:rPr>
          <w:rStyle w:val="Emphasis"/>
          <w:rFonts w:cstheme="minorHAnsi"/>
          <w:i w:val="0"/>
          <w:szCs w:val="21"/>
          <w:shd w:val="clear" w:color="auto" w:fill="FFFFFF"/>
        </w:rPr>
        <w:t xml:space="preserve">colonia as the headquarters of their servitude overran and sacked the numerous forts and strongholds as well as slaughtering the soldiers that resided there. Tacitus’ account in the Annals differ from his account in Agricola and Germania where the rebellion started </w:t>
      </w:r>
      <w:r w:rsidR="00184A1B">
        <w:rPr>
          <w:rStyle w:val="Emphasis"/>
          <w:rFonts w:cstheme="minorHAnsi"/>
          <w:i w:val="0"/>
          <w:szCs w:val="21"/>
          <w:shd w:val="clear" w:color="auto" w:fill="FFFFFF"/>
        </w:rPr>
        <w:lastRenderedPageBreak/>
        <w:t>with the attack on the colonia, which is the more plausible situation over an attack on auxiliary forts as without the proper siege equipment, the forts would have been a “waste of energy” (A. Barrett, E. Fantham, &amp; J.C. Yardley2016:124)</w:t>
      </w:r>
      <w:r w:rsidR="00184A1B">
        <w:rPr>
          <w:rStyle w:val="FootnoteReference"/>
          <w:rFonts w:cstheme="minorHAnsi"/>
          <w:iCs/>
          <w:szCs w:val="21"/>
          <w:shd w:val="clear" w:color="auto" w:fill="FFFFFF"/>
        </w:rPr>
        <w:footnoteReference w:id="11"/>
      </w:r>
      <w:r w:rsidR="00435FB4">
        <w:rPr>
          <w:rStyle w:val="Emphasis"/>
          <w:rFonts w:cstheme="minorHAnsi"/>
          <w:i w:val="0"/>
          <w:szCs w:val="21"/>
          <w:shd w:val="clear" w:color="auto" w:fill="FFFFFF"/>
        </w:rPr>
        <w:t xml:space="preserve">. </w:t>
      </w:r>
      <w:r w:rsidR="00896D60">
        <w:rPr>
          <w:rStyle w:val="Emphasis"/>
          <w:rFonts w:cstheme="minorHAnsi"/>
          <w:i w:val="0"/>
          <w:szCs w:val="21"/>
          <w:shd w:val="clear" w:color="auto" w:fill="FFFFFF"/>
        </w:rPr>
        <w:t xml:space="preserve">The rebels were said to have </w:t>
      </w:r>
      <w:r w:rsidR="000F7F65">
        <w:rPr>
          <w:rStyle w:val="Emphasis"/>
          <w:rFonts w:cstheme="minorHAnsi"/>
          <w:i w:val="0"/>
          <w:szCs w:val="21"/>
          <w:shd w:val="clear" w:color="auto" w:fill="FFFFFF"/>
        </w:rPr>
        <w:t xml:space="preserve">particularly </w:t>
      </w:r>
      <w:r w:rsidR="00896D60">
        <w:rPr>
          <w:rStyle w:val="Emphasis"/>
          <w:rFonts w:cstheme="minorHAnsi"/>
          <w:i w:val="0"/>
          <w:szCs w:val="21"/>
          <w:shd w:val="clear" w:color="auto" w:fill="FFFFFF"/>
        </w:rPr>
        <w:t xml:space="preserve">hated the Roman veterans </w:t>
      </w:r>
      <w:r w:rsidR="000F7F65">
        <w:rPr>
          <w:rStyle w:val="Emphasis"/>
          <w:rFonts w:cstheme="minorHAnsi"/>
          <w:i w:val="0"/>
          <w:szCs w:val="21"/>
          <w:shd w:val="clear" w:color="auto" w:fill="FFFFFF"/>
        </w:rPr>
        <w:t>who had settled in Camulodonum as according to Tacitus in the Ann. “the settlers drove the Trinobantes from their homes and land, and called them slaves” (Tacitus, The Ann. XIV 328)</w:t>
      </w:r>
      <w:r w:rsidR="000F7F65">
        <w:rPr>
          <w:rStyle w:val="FootnoteReference"/>
          <w:rFonts w:cstheme="minorHAnsi"/>
          <w:iCs/>
          <w:szCs w:val="21"/>
          <w:shd w:val="clear" w:color="auto" w:fill="FFFFFF"/>
        </w:rPr>
        <w:footnoteReference w:id="12"/>
      </w:r>
      <w:r w:rsidR="000F7F65">
        <w:rPr>
          <w:rStyle w:val="Emphasis"/>
          <w:rFonts w:cstheme="minorHAnsi"/>
          <w:i w:val="0"/>
          <w:szCs w:val="21"/>
          <w:shd w:val="clear" w:color="auto" w:fill="FFFFFF"/>
        </w:rPr>
        <w:t>.</w:t>
      </w:r>
      <w:r w:rsidR="00833250">
        <w:rPr>
          <w:rStyle w:val="Emphasis"/>
          <w:rFonts w:cstheme="minorHAnsi"/>
          <w:i w:val="0"/>
          <w:szCs w:val="21"/>
          <w:shd w:val="clear" w:color="auto" w:fill="FFFFFF"/>
        </w:rPr>
        <w:t xml:space="preserve"> </w:t>
      </w:r>
      <w:r w:rsidR="00A7780D">
        <w:rPr>
          <w:rStyle w:val="Emphasis"/>
          <w:rFonts w:cstheme="minorHAnsi"/>
          <w:i w:val="0"/>
          <w:szCs w:val="21"/>
          <w:shd w:val="clear" w:color="auto" w:fill="FFFFFF"/>
        </w:rPr>
        <w:t>A temple that had been erected to the divine Claudius was the next target of the rebels as it was seen as an icon of alien rule, as well as the priests whom had been assigned to the temple had wasted much of the Britons’ financial resources according to Tacitus</w:t>
      </w:r>
      <w:r w:rsidR="00B71A46">
        <w:rPr>
          <w:rStyle w:val="Emphasis"/>
          <w:rFonts w:cstheme="minorHAnsi"/>
          <w:i w:val="0"/>
          <w:szCs w:val="21"/>
          <w:shd w:val="clear" w:color="auto" w:fill="FFFFFF"/>
        </w:rPr>
        <w:t>, the temple was therefore completely destroyed during the Boudiccan revolt and then was used as a Norman keep for William the conqueror.</w:t>
      </w:r>
      <w:r w:rsidR="005244F3">
        <w:rPr>
          <w:rStyle w:val="Emphasis"/>
          <w:rFonts w:cstheme="minorHAnsi"/>
          <w:i w:val="0"/>
          <w:szCs w:val="21"/>
          <w:shd w:val="clear" w:color="auto" w:fill="FFFFFF"/>
        </w:rPr>
        <w:t xml:space="preserve"> The start of the rebellion is well documented in archaeological sources </w:t>
      </w:r>
      <w:r w:rsidR="00025EA6">
        <w:rPr>
          <w:rStyle w:val="Emphasis"/>
          <w:rFonts w:cstheme="minorHAnsi"/>
          <w:i w:val="0"/>
          <w:szCs w:val="21"/>
          <w:shd w:val="clear" w:color="auto" w:fill="FFFFFF"/>
        </w:rPr>
        <w:t>through the excavations of the destroyed towns and temples as well as in the literature.</w:t>
      </w:r>
    </w:p>
    <w:p w:rsidR="00CD6E34" w:rsidRDefault="00CD6E34" w:rsidP="00D0640F">
      <w:pPr>
        <w:spacing w:line="360" w:lineRule="auto"/>
        <w:rPr>
          <w:rFonts w:cstheme="minorHAnsi"/>
          <w:iCs/>
          <w:szCs w:val="21"/>
          <w:shd w:val="clear" w:color="auto" w:fill="FFFFFF"/>
        </w:rPr>
      </w:pPr>
      <w:r>
        <w:rPr>
          <w:rFonts w:cstheme="minorHAnsi"/>
          <w:iCs/>
          <w:szCs w:val="21"/>
          <w:shd w:val="clear" w:color="auto" w:fill="FFFFFF"/>
        </w:rPr>
        <w:t>Boudicca’s appearance, furthermore is the question of some scrutiny with the lack of busts or mosaics surviving, if there were any in the first place</w:t>
      </w:r>
      <w:r w:rsidR="00142ECA">
        <w:rPr>
          <w:rFonts w:cstheme="minorHAnsi"/>
          <w:iCs/>
          <w:szCs w:val="21"/>
          <w:shd w:val="clear" w:color="auto" w:fill="FFFFFF"/>
        </w:rPr>
        <w:t>. Her appearance is not mentioned in Tacitus’ The Annals or in Agricola and Germania</w:t>
      </w:r>
      <w:r w:rsidR="004F229B">
        <w:rPr>
          <w:rFonts w:cstheme="minorHAnsi"/>
          <w:iCs/>
          <w:szCs w:val="21"/>
          <w:shd w:val="clear" w:color="auto" w:fill="FFFFFF"/>
        </w:rPr>
        <w:t>, Mary Beard describes her as “a warrior-queen, intersex, barbarian Cleopatra” (Beard 2015:514)</w:t>
      </w:r>
      <w:r w:rsidR="004F229B">
        <w:rPr>
          <w:rStyle w:val="FootnoteReference"/>
          <w:rFonts w:cstheme="minorHAnsi"/>
          <w:iCs/>
          <w:szCs w:val="21"/>
          <w:shd w:val="clear" w:color="auto" w:fill="FFFFFF"/>
        </w:rPr>
        <w:footnoteReference w:id="13"/>
      </w:r>
      <w:r w:rsidR="004F229B">
        <w:rPr>
          <w:rFonts w:cstheme="minorHAnsi"/>
          <w:iCs/>
          <w:szCs w:val="21"/>
          <w:shd w:val="clear" w:color="auto" w:fill="FFFFFF"/>
        </w:rPr>
        <w:t xml:space="preserve">. The only ancient source we have for Boudicca’s appearance is Cassius </w:t>
      </w:r>
      <w:proofErr w:type="spellStart"/>
      <w:r w:rsidR="004F229B">
        <w:rPr>
          <w:rFonts w:cstheme="minorHAnsi"/>
          <w:iCs/>
          <w:szCs w:val="21"/>
          <w:shd w:val="clear" w:color="auto" w:fill="FFFFFF"/>
        </w:rPr>
        <w:t>Dio</w:t>
      </w:r>
      <w:proofErr w:type="spellEnd"/>
      <w:r w:rsidR="004F229B">
        <w:rPr>
          <w:rFonts w:cstheme="minorHAnsi"/>
          <w:iCs/>
          <w:szCs w:val="21"/>
          <w:shd w:val="clear" w:color="auto" w:fill="FFFFFF"/>
        </w:rPr>
        <w:t xml:space="preserve">, she is described as “very tall, in appearance most terrifying, in the glance of her eye most fierce” (Cassius </w:t>
      </w:r>
      <w:proofErr w:type="spellStart"/>
      <w:r w:rsidR="004F229B">
        <w:rPr>
          <w:rFonts w:cstheme="minorHAnsi"/>
          <w:iCs/>
          <w:szCs w:val="21"/>
          <w:shd w:val="clear" w:color="auto" w:fill="FFFFFF"/>
        </w:rPr>
        <w:t>Dio</w:t>
      </w:r>
      <w:proofErr w:type="spellEnd"/>
      <w:r w:rsidR="004F229B">
        <w:rPr>
          <w:rFonts w:cstheme="minorHAnsi"/>
          <w:iCs/>
          <w:szCs w:val="21"/>
          <w:shd w:val="clear" w:color="auto" w:fill="FFFFFF"/>
        </w:rPr>
        <w:t xml:space="preserve"> LXII.2)</w:t>
      </w:r>
      <w:r w:rsidR="00940DC0">
        <w:rPr>
          <w:rStyle w:val="FootnoteReference"/>
          <w:rFonts w:cstheme="minorHAnsi"/>
          <w:iCs/>
          <w:szCs w:val="21"/>
          <w:shd w:val="clear" w:color="auto" w:fill="FFFFFF"/>
        </w:rPr>
        <w:footnoteReference w:id="14"/>
      </w:r>
      <w:r w:rsidR="00940DC0">
        <w:rPr>
          <w:rFonts w:cstheme="minorHAnsi"/>
          <w:iCs/>
          <w:szCs w:val="21"/>
          <w:shd w:val="clear" w:color="auto" w:fill="FFFFFF"/>
        </w:rPr>
        <w:t xml:space="preserve"> this description may be somewhat accurate but it is more likely that </w:t>
      </w:r>
      <w:proofErr w:type="spellStart"/>
      <w:r w:rsidR="00940DC0">
        <w:rPr>
          <w:rFonts w:cstheme="minorHAnsi"/>
          <w:iCs/>
          <w:szCs w:val="21"/>
          <w:shd w:val="clear" w:color="auto" w:fill="FFFFFF"/>
        </w:rPr>
        <w:t>Dio</w:t>
      </w:r>
      <w:proofErr w:type="spellEnd"/>
      <w:r w:rsidR="00940DC0">
        <w:rPr>
          <w:rFonts w:cstheme="minorHAnsi"/>
          <w:iCs/>
          <w:szCs w:val="21"/>
          <w:shd w:val="clear" w:color="auto" w:fill="FFFFFF"/>
        </w:rPr>
        <w:t xml:space="preserve"> has over-exaggerated her appearance to live up to the Roman stereotype of a barbarian queen, a possible similarity could be drawn to the queen of the Ethiopians, Candace whom clashed with Augustus</w:t>
      </w:r>
      <w:r w:rsidR="000347BC">
        <w:rPr>
          <w:rFonts w:cstheme="minorHAnsi"/>
          <w:iCs/>
          <w:szCs w:val="21"/>
          <w:shd w:val="clear" w:color="auto" w:fill="FFFFFF"/>
        </w:rPr>
        <w:t xml:space="preserve"> as she is said to be of manly appearance.</w:t>
      </w:r>
    </w:p>
    <w:p w:rsidR="008763E3" w:rsidRDefault="00B0530A" w:rsidP="00D0640F">
      <w:pPr>
        <w:spacing w:line="360" w:lineRule="auto"/>
        <w:rPr>
          <w:rStyle w:val="Emphasis"/>
          <w:rFonts w:cstheme="minorHAnsi"/>
          <w:i w:val="0"/>
          <w:szCs w:val="21"/>
          <w:shd w:val="clear" w:color="auto" w:fill="FFFFFF"/>
        </w:rPr>
      </w:pPr>
      <w:r>
        <w:rPr>
          <w:rFonts w:cstheme="minorHAnsi"/>
          <w:iCs/>
          <w:szCs w:val="21"/>
          <w:shd w:val="clear" w:color="auto" w:fill="FFFFFF"/>
        </w:rPr>
        <w:t>The speeches written by Tacitus and Cassius Dio are most likely their own creations as no actual accounts of rebels or imperial soldiers that took part in the revolt either existed or have survived to the modern era. This use of historiography is more common and acceptable than from modern historians (</w:t>
      </w:r>
      <w:r>
        <w:rPr>
          <w:rStyle w:val="Emphasis"/>
          <w:rFonts w:cstheme="minorHAnsi"/>
          <w:i w:val="0"/>
          <w:szCs w:val="21"/>
          <w:shd w:val="clear" w:color="auto" w:fill="FFFFFF"/>
        </w:rPr>
        <w:t>A. Barrett, E. Fantham, &amp; J.C. Yardley2016:127)</w:t>
      </w:r>
      <w:r>
        <w:rPr>
          <w:rStyle w:val="FootnoteReference"/>
          <w:rFonts w:cstheme="minorHAnsi"/>
          <w:iCs/>
          <w:szCs w:val="21"/>
          <w:shd w:val="clear" w:color="auto" w:fill="FFFFFF"/>
        </w:rPr>
        <w:footnoteReference w:id="15"/>
      </w:r>
      <w:r w:rsidR="005E1C55">
        <w:rPr>
          <w:rStyle w:val="Emphasis"/>
          <w:rFonts w:cstheme="minorHAnsi"/>
          <w:i w:val="0"/>
          <w:szCs w:val="21"/>
          <w:shd w:val="clear" w:color="auto" w:fill="FFFFFF"/>
        </w:rPr>
        <w:t>. Cassius Dio describes Boudicca as wearing a “large gold torque”</w:t>
      </w:r>
      <w:r w:rsidR="00382815">
        <w:rPr>
          <w:rStyle w:val="Emphasis"/>
          <w:rFonts w:cstheme="minorHAnsi"/>
          <w:i w:val="0"/>
          <w:szCs w:val="21"/>
          <w:shd w:val="clear" w:color="auto" w:fill="FFFFFF"/>
        </w:rPr>
        <w:t xml:space="preserve"> (Cassius Dio </w:t>
      </w:r>
      <w:r w:rsidR="00E708FC">
        <w:rPr>
          <w:rStyle w:val="Emphasis"/>
          <w:rFonts w:cstheme="minorHAnsi"/>
          <w:i w:val="0"/>
          <w:szCs w:val="21"/>
          <w:shd w:val="clear" w:color="auto" w:fill="FFFFFF"/>
        </w:rPr>
        <w:t>LXII.2)</w:t>
      </w:r>
      <w:r w:rsidR="00E708FC">
        <w:rPr>
          <w:rStyle w:val="FootnoteReference"/>
          <w:rFonts w:cstheme="minorHAnsi"/>
          <w:iCs/>
          <w:szCs w:val="21"/>
          <w:shd w:val="clear" w:color="auto" w:fill="FFFFFF"/>
        </w:rPr>
        <w:footnoteReference w:id="16"/>
      </w:r>
      <w:r w:rsidR="005E1C55">
        <w:rPr>
          <w:rStyle w:val="Emphasis"/>
          <w:rFonts w:cstheme="minorHAnsi"/>
          <w:i w:val="0"/>
          <w:szCs w:val="21"/>
          <w:shd w:val="clear" w:color="auto" w:fill="FFFFFF"/>
        </w:rPr>
        <w:t xml:space="preserve"> – the archaeological record shows that Roman Britain’s material culture featured gold torques and therefore would help to affirm Dio’s account.</w:t>
      </w:r>
      <w:r w:rsidR="00E708FC">
        <w:rPr>
          <w:rStyle w:val="Emphasis"/>
          <w:rFonts w:cstheme="minorHAnsi"/>
          <w:i w:val="0"/>
          <w:szCs w:val="21"/>
          <w:shd w:val="clear" w:color="auto" w:fill="FFFFFF"/>
        </w:rPr>
        <w:t xml:space="preserve"> Dio’s account further mentions Nitocris, “I am not, like Nitocris” (Cassius Dio LXII.6)</w:t>
      </w:r>
      <w:r w:rsidR="00E708FC">
        <w:rPr>
          <w:rStyle w:val="FootnoteReference"/>
          <w:rFonts w:cstheme="minorHAnsi"/>
          <w:iCs/>
          <w:szCs w:val="21"/>
          <w:shd w:val="clear" w:color="auto" w:fill="FFFFFF"/>
        </w:rPr>
        <w:footnoteReference w:id="17"/>
      </w:r>
      <w:r w:rsidR="00E708FC">
        <w:rPr>
          <w:rStyle w:val="Emphasis"/>
          <w:rFonts w:cstheme="minorHAnsi"/>
          <w:i w:val="0"/>
          <w:szCs w:val="21"/>
          <w:shd w:val="clear" w:color="auto" w:fill="FFFFFF"/>
        </w:rPr>
        <w:t xml:space="preserve"> – Supposedly, a </w:t>
      </w:r>
      <w:r w:rsidR="00E708FC">
        <w:rPr>
          <w:rStyle w:val="Emphasis"/>
          <w:rFonts w:cstheme="minorHAnsi"/>
          <w:i w:val="0"/>
          <w:szCs w:val="21"/>
          <w:shd w:val="clear" w:color="auto" w:fill="FFFFFF"/>
        </w:rPr>
        <w:lastRenderedPageBreak/>
        <w:t xml:space="preserve">queen of Egypt whom first had political power over her subjects. </w:t>
      </w:r>
      <w:r w:rsidR="00047885">
        <w:rPr>
          <w:rStyle w:val="Emphasis"/>
          <w:rFonts w:cstheme="minorHAnsi"/>
          <w:i w:val="0"/>
          <w:szCs w:val="21"/>
          <w:shd w:val="clear" w:color="auto" w:fill="FFFFFF"/>
        </w:rPr>
        <w:t>Boudicca, making this speech to the rebels seems to have expected them to understand who Nitocris was, this is unlikely as most them would have been uneducated</w:t>
      </w:r>
      <w:r w:rsidR="00EB40CF">
        <w:rPr>
          <w:rStyle w:val="Emphasis"/>
          <w:rFonts w:cstheme="minorHAnsi"/>
          <w:i w:val="0"/>
          <w:szCs w:val="21"/>
          <w:shd w:val="clear" w:color="auto" w:fill="FFFFFF"/>
        </w:rPr>
        <w:t xml:space="preserve">. Boudicca’s repetition of financial problems is most likely the result of Seneca’s and Nero’s recall of their loans and supposed donations: “Not even death is tax-free among them…How is it that even if none of us has money” (Cassius </w:t>
      </w:r>
      <w:proofErr w:type="spellStart"/>
      <w:r w:rsidR="00EB40CF">
        <w:rPr>
          <w:rStyle w:val="Emphasis"/>
          <w:rFonts w:cstheme="minorHAnsi"/>
          <w:i w:val="0"/>
          <w:szCs w:val="21"/>
          <w:shd w:val="clear" w:color="auto" w:fill="FFFFFF"/>
        </w:rPr>
        <w:t>Dio</w:t>
      </w:r>
      <w:proofErr w:type="spellEnd"/>
      <w:r w:rsidR="00EB40CF">
        <w:rPr>
          <w:rStyle w:val="Emphasis"/>
          <w:rFonts w:cstheme="minorHAnsi"/>
          <w:i w:val="0"/>
          <w:szCs w:val="21"/>
          <w:shd w:val="clear" w:color="auto" w:fill="FFFFFF"/>
        </w:rPr>
        <w:t xml:space="preserve"> LXII.3)</w:t>
      </w:r>
      <w:r w:rsidR="00EB40CF">
        <w:rPr>
          <w:rStyle w:val="FootnoteReference"/>
          <w:rFonts w:cstheme="minorHAnsi"/>
          <w:iCs/>
          <w:szCs w:val="21"/>
          <w:shd w:val="clear" w:color="auto" w:fill="FFFFFF"/>
        </w:rPr>
        <w:footnoteReference w:id="18"/>
      </w:r>
      <w:r w:rsidR="005F285C">
        <w:rPr>
          <w:rStyle w:val="Emphasis"/>
          <w:rFonts w:cstheme="minorHAnsi"/>
          <w:i w:val="0"/>
          <w:szCs w:val="21"/>
          <w:shd w:val="clear" w:color="auto" w:fill="FFFFFF"/>
        </w:rPr>
        <w:t xml:space="preserve">. The speeches featured in Tacitus’ and Cassius </w:t>
      </w:r>
      <w:proofErr w:type="spellStart"/>
      <w:r w:rsidR="005F285C">
        <w:rPr>
          <w:rStyle w:val="Emphasis"/>
          <w:rFonts w:cstheme="minorHAnsi"/>
          <w:i w:val="0"/>
          <w:szCs w:val="21"/>
          <w:shd w:val="clear" w:color="auto" w:fill="FFFFFF"/>
        </w:rPr>
        <w:t>Dio’s</w:t>
      </w:r>
      <w:proofErr w:type="spellEnd"/>
      <w:r w:rsidR="005F285C">
        <w:rPr>
          <w:rStyle w:val="Emphasis"/>
          <w:rFonts w:cstheme="minorHAnsi"/>
          <w:i w:val="0"/>
          <w:szCs w:val="21"/>
          <w:shd w:val="clear" w:color="auto" w:fill="FFFFFF"/>
        </w:rPr>
        <w:t xml:space="preserve"> accounts are more likely than not works of fiction intended to entertain and also ‘demonise’ the rebels, however Tacitus’ account could in fact feature some truth as his father-in-law, Agricola, served in Britain and would have likely dealt with complaints from </w:t>
      </w:r>
      <w:r w:rsidR="00D35532">
        <w:rPr>
          <w:rStyle w:val="Emphasis"/>
          <w:rFonts w:cstheme="minorHAnsi"/>
          <w:i w:val="0"/>
          <w:szCs w:val="21"/>
          <w:shd w:val="clear" w:color="auto" w:fill="FFFFFF"/>
        </w:rPr>
        <w:t>the people of Britain.</w:t>
      </w:r>
    </w:p>
    <w:p w:rsidR="00AC3A44" w:rsidRDefault="00AC3A44" w:rsidP="00D0640F">
      <w:pPr>
        <w:spacing w:line="360" w:lineRule="auto"/>
        <w:rPr>
          <w:rFonts w:cstheme="minorHAnsi"/>
          <w:iCs/>
          <w:szCs w:val="21"/>
          <w:shd w:val="clear" w:color="auto" w:fill="FFFFFF"/>
        </w:rPr>
      </w:pPr>
      <w:r>
        <w:rPr>
          <w:rFonts w:cstheme="minorHAnsi"/>
          <w:iCs/>
          <w:szCs w:val="21"/>
          <w:shd w:val="clear" w:color="auto" w:fill="FFFFFF"/>
        </w:rPr>
        <w:t xml:space="preserve">In conclusion, it is clear that in the ancient literary sources of Tacitus and Cassius </w:t>
      </w:r>
      <w:proofErr w:type="spellStart"/>
      <w:r>
        <w:rPr>
          <w:rFonts w:cstheme="minorHAnsi"/>
          <w:iCs/>
          <w:szCs w:val="21"/>
          <w:shd w:val="clear" w:color="auto" w:fill="FFFFFF"/>
        </w:rPr>
        <w:t>Dio</w:t>
      </w:r>
      <w:proofErr w:type="spellEnd"/>
      <w:r>
        <w:rPr>
          <w:rFonts w:cstheme="minorHAnsi"/>
          <w:iCs/>
          <w:szCs w:val="21"/>
          <w:shd w:val="clear" w:color="auto" w:fill="FFFFFF"/>
        </w:rPr>
        <w:t xml:space="preserve">, and the scarce archaeological evidence that Boudicca was more than just a literary invention. It is clear that the Roman and Greek authors have exaggerated some of the details of Boudicca and the rebellion itself </w:t>
      </w:r>
      <w:r w:rsidR="004B3603">
        <w:rPr>
          <w:rFonts w:cstheme="minorHAnsi"/>
          <w:iCs/>
          <w:szCs w:val="21"/>
          <w:shd w:val="clear" w:color="auto" w:fill="FFFFFF"/>
        </w:rPr>
        <w:t xml:space="preserve">to save some embarrassment from the imperial governor for letting three major urban centres of the time being overrun and destroyed, but also for the entertainment and fascination for those who would most likely could not imagine </w:t>
      </w:r>
      <w:r w:rsidR="00570541">
        <w:rPr>
          <w:rFonts w:cstheme="minorHAnsi"/>
          <w:iCs/>
          <w:szCs w:val="21"/>
          <w:shd w:val="clear" w:color="auto" w:fill="FFFFFF"/>
        </w:rPr>
        <w:t>such an</w:t>
      </w:r>
      <w:r w:rsidR="004B3603">
        <w:rPr>
          <w:rFonts w:cstheme="minorHAnsi"/>
          <w:iCs/>
          <w:szCs w:val="21"/>
          <w:shd w:val="clear" w:color="auto" w:fill="FFFFFF"/>
        </w:rPr>
        <w:t xml:space="preserve"> event happening, and most notably being led by a woman, which in the imperial period was uncommon.</w:t>
      </w:r>
    </w:p>
    <w:p w:rsidR="00570541" w:rsidRDefault="00570541" w:rsidP="00A35113">
      <w:pPr>
        <w:rPr>
          <w:rFonts w:cstheme="minorHAnsi"/>
          <w:b/>
          <w:iCs/>
          <w:sz w:val="24"/>
          <w:szCs w:val="21"/>
          <w:u w:val="single"/>
          <w:shd w:val="clear" w:color="auto" w:fill="FFFFFF"/>
        </w:rPr>
      </w:pPr>
      <w:r w:rsidRPr="00570541">
        <w:rPr>
          <w:rFonts w:cstheme="minorHAnsi"/>
          <w:b/>
          <w:iCs/>
          <w:sz w:val="24"/>
          <w:szCs w:val="21"/>
          <w:u w:val="single"/>
          <w:shd w:val="clear" w:color="auto" w:fill="FFFFFF"/>
        </w:rPr>
        <w:t>Bibliography:</w:t>
      </w:r>
    </w:p>
    <w:p w:rsidR="00570541" w:rsidRPr="00D0640F" w:rsidRDefault="00570541" w:rsidP="00A35113">
      <w:pPr>
        <w:rPr>
          <w:rFonts w:cstheme="minorHAnsi"/>
          <w:iCs/>
          <w:szCs w:val="21"/>
          <w:shd w:val="clear" w:color="auto" w:fill="FFFFFF"/>
        </w:rPr>
      </w:pPr>
    </w:p>
    <w:p w:rsidR="00D0640F" w:rsidRPr="00570541" w:rsidRDefault="00D0640F" w:rsidP="00A35113">
      <w:pPr>
        <w:rPr>
          <w:rFonts w:cstheme="minorHAnsi"/>
          <w:iCs/>
          <w:szCs w:val="21"/>
          <w:shd w:val="clear" w:color="auto" w:fill="FFFFFF"/>
        </w:rPr>
      </w:pP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Alston, R. (1998) Aspects of Roman history AD 14-117. </w:t>
      </w:r>
      <w:proofErr w:type="spellStart"/>
      <w:r w:rsidRPr="00D0640F">
        <w:rPr>
          <w:rFonts w:cstheme="minorHAnsi"/>
          <w:iCs/>
          <w:szCs w:val="21"/>
          <w:shd w:val="clear" w:color="auto" w:fill="FFFFFF"/>
        </w:rPr>
        <w:t>Routeledge</w:t>
      </w:r>
      <w:proofErr w:type="spellEnd"/>
      <w:r w:rsidRPr="00D0640F">
        <w:rPr>
          <w:rFonts w:cstheme="minorHAnsi"/>
          <w:iCs/>
          <w:szCs w:val="21"/>
          <w:shd w:val="clear" w:color="auto" w:fill="FFFFFF"/>
        </w:rPr>
        <w:t>. P.123,168,270,279,304</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Barrett, A. A, </w:t>
      </w:r>
      <w:proofErr w:type="spellStart"/>
      <w:r w:rsidRPr="00D0640F">
        <w:rPr>
          <w:rFonts w:cstheme="minorHAnsi"/>
          <w:iCs/>
          <w:szCs w:val="21"/>
          <w:shd w:val="clear" w:color="auto" w:fill="FFFFFF"/>
        </w:rPr>
        <w:t>Fantham</w:t>
      </w:r>
      <w:proofErr w:type="spellEnd"/>
      <w:r w:rsidRPr="00D0640F">
        <w:rPr>
          <w:rFonts w:cstheme="minorHAnsi"/>
          <w:iCs/>
          <w:szCs w:val="21"/>
          <w:shd w:val="clear" w:color="auto" w:fill="FFFFFF"/>
        </w:rPr>
        <w:t>, E &amp; Yardley, J. C (2016) The emperor Nero: A guide to the ancient sources. Princeton University press. P.124-136</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Beard, M (2015) SPQR: A history of ancient Rome. Profile Books Ltd, p.513-8</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Champlin, E. (2003) Nero. The </w:t>
      </w:r>
      <w:proofErr w:type="spellStart"/>
      <w:r w:rsidRPr="00D0640F">
        <w:rPr>
          <w:rFonts w:cstheme="minorHAnsi"/>
          <w:iCs/>
          <w:szCs w:val="21"/>
          <w:shd w:val="clear" w:color="auto" w:fill="FFFFFF"/>
        </w:rPr>
        <w:t>Belknap</w:t>
      </w:r>
      <w:proofErr w:type="spellEnd"/>
      <w:r w:rsidRPr="00D0640F">
        <w:rPr>
          <w:rFonts w:cstheme="minorHAnsi"/>
          <w:iCs/>
          <w:szCs w:val="21"/>
          <w:shd w:val="clear" w:color="auto" w:fill="FFFFFF"/>
        </w:rPr>
        <w:t xml:space="preserve"> press of Harvard University Press</w:t>
      </w:r>
    </w:p>
    <w:p w:rsidR="00D0640F" w:rsidRPr="00D0640F" w:rsidRDefault="00D0640F" w:rsidP="00A35113">
      <w:pPr>
        <w:rPr>
          <w:rStyle w:val="selectable"/>
          <w:rFonts w:cstheme="minorHAnsi"/>
          <w:shd w:val="clear" w:color="auto" w:fill="FFFFFF"/>
        </w:rPr>
      </w:pPr>
      <w:r w:rsidRPr="00D0640F">
        <w:rPr>
          <w:rStyle w:val="Strong"/>
          <w:rFonts w:cstheme="minorHAnsi"/>
          <w:sz w:val="20"/>
          <w:szCs w:val="20"/>
          <w:shd w:val="clear" w:color="auto" w:fill="FFFFFF"/>
        </w:rPr>
        <w:t> </w:t>
      </w:r>
      <w:proofErr w:type="spellStart"/>
      <w:r w:rsidRPr="00D0640F">
        <w:rPr>
          <w:rStyle w:val="selectable"/>
          <w:rFonts w:cstheme="minorHAnsi"/>
          <w:shd w:val="clear" w:color="auto" w:fill="FFFFFF"/>
        </w:rPr>
        <w:t>Dio</w:t>
      </w:r>
      <w:proofErr w:type="spellEnd"/>
      <w:r w:rsidRPr="00D0640F">
        <w:rPr>
          <w:rStyle w:val="selectable"/>
          <w:rFonts w:cstheme="minorHAnsi"/>
          <w:shd w:val="clear" w:color="auto" w:fill="FFFFFF"/>
        </w:rPr>
        <w:t xml:space="preserve"> Cassius, C. (2001). </w:t>
      </w:r>
      <w:r w:rsidRPr="00D0640F">
        <w:rPr>
          <w:rStyle w:val="selectable"/>
          <w:rFonts w:cstheme="minorHAnsi"/>
          <w:i/>
          <w:iCs/>
          <w:shd w:val="clear" w:color="auto" w:fill="FFFFFF"/>
        </w:rPr>
        <w:t>Roman history</w:t>
      </w:r>
      <w:r w:rsidRPr="00D0640F">
        <w:rPr>
          <w:rStyle w:val="selectable"/>
          <w:rFonts w:cstheme="minorHAnsi"/>
          <w:shd w:val="clear" w:color="auto" w:fill="FFFFFF"/>
        </w:rPr>
        <w:t>. 8th ed. Cambridge (Mass.): Harvard University Press, p.83.</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Griffin, M. T (1984) Nero: The end of a dynasty. B.T. </w:t>
      </w:r>
      <w:proofErr w:type="spellStart"/>
      <w:r w:rsidRPr="00D0640F">
        <w:rPr>
          <w:rFonts w:cstheme="minorHAnsi"/>
          <w:iCs/>
          <w:szCs w:val="21"/>
          <w:shd w:val="clear" w:color="auto" w:fill="FFFFFF"/>
        </w:rPr>
        <w:t>Batsford</w:t>
      </w:r>
      <w:proofErr w:type="spellEnd"/>
      <w:r w:rsidRPr="00D0640F">
        <w:rPr>
          <w:rFonts w:cstheme="minorHAnsi"/>
          <w:iCs/>
          <w:szCs w:val="21"/>
          <w:shd w:val="clear" w:color="auto" w:fill="FFFFFF"/>
        </w:rPr>
        <w:t xml:space="preserve"> Ltd.</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Henderson, B. W (1903) The life and </w:t>
      </w:r>
      <w:proofErr w:type="spellStart"/>
      <w:r w:rsidRPr="00D0640F">
        <w:rPr>
          <w:rFonts w:cstheme="minorHAnsi"/>
          <w:iCs/>
          <w:szCs w:val="21"/>
          <w:shd w:val="clear" w:color="auto" w:fill="FFFFFF"/>
        </w:rPr>
        <w:t>principate</w:t>
      </w:r>
      <w:proofErr w:type="spellEnd"/>
      <w:r w:rsidRPr="00D0640F">
        <w:rPr>
          <w:rFonts w:cstheme="minorHAnsi"/>
          <w:iCs/>
          <w:szCs w:val="21"/>
          <w:shd w:val="clear" w:color="auto" w:fill="FFFFFF"/>
        </w:rPr>
        <w:t xml:space="preserve"> of the emperor Nero. Methuen &amp; Co.</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Holland, R (2000) Nero: the man behind the myth. Sutton Publishing Limited</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Hunter, J &amp; Ralston, I. (1999) The archaeology of Britain: An introduction from the upper Palaeolithic to the industrial revolution. </w:t>
      </w:r>
      <w:proofErr w:type="spellStart"/>
      <w:r w:rsidRPr="00D0640F">
        <w:rPr>
          <w:rFonts w:cstheme="minorHAnsi"/>
          <w:iCs/>
          <w:szCs w:val="21"/>
          <w:shd w:val="clear" w:color="auto" w:fill="FFFFFF"/>
        </w:rPr>
        <w:t>Routeledge</w:t>
      </w:r>
      <w:proofErr w:type="spellEnd"/>
      <w:r w:rsidRPr="00D0640F">
        <w:rPr>
          <w:rFonts w:cstheme="minorHAnsi"/>
          <w:iCs/>
          <w:szCs w:val="21"/>
          <w:shd w:val="clear" w:color="auto" w:fill="FFFFFF"/>
        </w:rPr>
        <w:t>. P.149</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 xml:space="preserve">Mays, S. (1998) The archaeology of human bones. </w:t>
      </w:r>
      <w:proofErr w:type="spellStart"/>
      <w:r w:rsidRPr="00D0640F">
        <w:rPr>
          <w:rFonts w:cstheme="minorHAnsi"/>
          <w:iCs/>
          <w:szCs w:val="21"/>
          <w:shd w:val="clear" w:color="auto" w:fill="FFFFFF"/>
        </w:rPr>
        <w:t>Routeledge</w:t>
      </w:r>
      <w:proofErr w:type="spellEnd"/>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lastRenderedPageBreak/>
        <w:t>Potter, D. (2009) Rome in the ancient world: from Romulus to Justinian. Thames and Hudson Ltd. P.187, 188, 198, 201</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Tacitus, C. (1948) Agricola and Germania. Translated by Harrold Mattingly. Penguin group. A1-6.</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Tacitus, C. (1956) The Annals of imperial Rome. Translated by Michael Grant. P.328-31</w:t>
      </w:r>
    </w:p>
    <w:p w:rsidR="00D0640F" w:rsidRPr="00D0640F" w:rsidRDefault="00D0640F" w:rsidP="00A35113">
      <w:pPr>
        <w:rPr>
          <w:rFonts w:cstheme="minorHAnsi"/>
          <w:iCs/>
          <w:szCs w:val="21"/>
          <w:shd w:val="clear" w:color="auto" w:fill="FFFFFF"/>
        </w:rPr>
      </w:pPr>
      <w:r w:rsidRPr="00D0640F">
        <w:rPr>
          <w:rFonts w:cstheme="minorHAnsi"/>
          <w:iCs/>
          <w:szCs w:val="21"/>
          <w:shd w:val="clear" w:color="auto" w:fill="FFFFFF"/>
        </w:rPr>
        <w:t>Tacitus, C. The reign of Nero. Translated by G. G. Ramsay. W. &amp; J. Mackay &amp;co. Ltd of Chatham</w:t>
      </w:r>
    </w:p>
    <w:p w:rsidR="00D0640F" w:rsidRPr="00D0640F" w:rsidRDefault="00D0640F" w:rsidP="00A35113">
      <w:pPr>
        <w:rPr>
          <w:rFonts w:cstheme="minorHAnsi"/>
          <w:iCs/>
          <w:szCs w:val="21"/>
          <w:shd w:val="clear" w:color="auto" w:fill="FFFFFF"/>
        </w:rPr>
      </w:pPr>
      <w:proofErr w:type="spellStart"/>
      <w:r w:rsidRPr="00D0640F">
        <w:rPr>
          <w:rFonts w:cstheme="minorHAnsi"/>
          <w:iCs/>
          <w:szCs w:val="21"/>
          <w:shd w:val="clear" w:color="auto" w:fill="FFFFFF"/>
        </w:rPr>
        <w:t>Warmington</w:t>
      </w:r>
      <w:proofErr w:type="spellEnd"/>
      <w:r w:rsidRPr="00D0640F">
        <w:rPr>
          <w:rFonts w:cstheme="minorHAnsi"/>
          <w:iCs/>
          <w:szCs w:val="21"/>
          <w:shd w:val="clear" w:color="auto" w:fill="FFFFFF"/>
        </w:rPr>
        <w:t xml:space="preserve">, B. H (1969) Nero: reality and legend. </w:t>
      </w:r>
      <w:proofErr w:type="spellStart"/>
      <w:r w:rsidRPr="00D0640F">
        <w:rPr>
          <w:rFonts w:cstheme="minorHAnsi"/>
          <w:iCs/>
          <w:szCs w:val="21"/>
          <w:shd w:val="clear" w:color="auto" w:fill="FFFFFF"/>
        </w:rPr>
        <w:t>Chatto</w:t>
      </w:r>
      <w:proofErr w:type="spellEnd"/>
      <w:r w:rsidRPr="00D0640F">
        <w:rPr>
          <w:rFonts w:cstheme="minorHAnsi"/>
          <w:iCs/>
          <w:szCs w:val="21"/>
          <w:shd w:val="clear" w:color="auto" w:fill="FFFFFF"/>
        </w:rPr>
        <w:t xml:space="preserve"> &amp; </w:t>
      </w:r>
      <w:proofErr w:type="spellStart"/>
      <w:r w:rsidRPr="00D0640F">
        <w:rPr>
          <w:rFonts w:cstheme="minorHAnsi"/>
          <w:iCs/>
          <w:szCs w:val="21"/>
          <w:shd w:val="clear" w:color="auto" w:fill="FFFFFF"/>
        </w:rPr>
        <w:t>Windus</w:t>
      </w:r>
      <w:proofErr w:type="spellEnd"/>
      <w:r w:rsidRPr="00D0640F">
        <w:rPr>
          <w:rFonts w:cstheme="minorHAnsi"/>
          <w:iCs/>
          <w:szCs w:val="21"/>
          <w:shd w:val="clear" w:color="auto" w:fill="FFFFFF"/>
        </w:rPr>
        <w:t xml:space="preserve"> Ltd</w:t>
      </w:r>
    </w:p>
    <w:sectPr w:rsidR="00D0640F" w:rsidRPr="00D064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0721" w:rsidRDefault="00650721" w:rsidP="00FA20EB">
      <w:pPr>
        <w:spacing w:after="0" w:line="240" w:lineRule="auto"/>
      </w:pPr>
      <w:r>
        <w:separator/>
      </w:r>
    </w:p>
  </w:endnote>
  <w:endnote w:type="continuationSeparator" w:id="0">
    <w:p w:rsidR="00650721" w:rsidRDefault="00650721" w:rsidP="00FA2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0721" w:rsidRDefault="00650721" w:rsidP="00FA20EB">
      <w:pPr>
        <w:spacing w:after="0" w:line="240" w:lineRule="auto"/>
      </w:pPr>
      <w:r>
        <w:separator/>
      </w:r>
    </w:p>
  </w:footnote>
  <w:footnote w:type="continuationSeparator" w:id="0">
    <w:p w:rsidR="00650721" w:rsidRDefault="00650721" w:rsidP="00FA20EB">
      <w:pPr>
        <w:spacing w:after="0" w:line="240" w:lineRule="auto"/>
      </w:pPr>
      <w:r>
        <w:continuationSeparator/>
      </w:r>
    </w:p>
  </w:footnote>
  <w:footnote w:id="1">
    <w:p w:rsidR="00FB1333" w:rsidRDefault="00FB1333">
      <w:pPr>
        <w:pStyle w:val="FootnoteText"/>
      </w:pPr>
      <w:r>
        <w:rPr>
          <w:rStyle w:val="FootnoteReference"/>
        </w:rPr>
        <w:footnoteRef/>
      </w:r>
      <w:r>
        <w:t xml:space="preserve"> </w:t>
      </w:r>
      <w:hyperlink r:id="rId1" w:history="1">
        <w:r w:rsidR="009864A0" w:rsidRPr="009C0042">
          <w:rPr>
            <w:rStyle w:val="Hyperlink"/>
          </w:rPr>
          <w:t>https://www.archaeology.org/issues/100-features/lost-tombs/1090-boudicca-celtic-roman-empire-kings-cross</w:t>
        </w:r>
      </w:hyperlink>
      <w:r w:rsidR="009864A0">
        <w:t xml:space="preserve"> Date accessed: 19/11/2017</w:t>
      </w:r>
    </w:p>
  </w:footnote>
  <w:footnote w:id="2">
    <w:p w:rsidR="00FA20EB" w:rsidRDefault="00FA20EB">
      <w:pPr>
        <w:pStyle w:val="FootnoteText"/>
      </w:pPr>
      <w:r>
        <w:rPr>
          <w:rStyle w:val="FootnoteReference"/>
        </w:rPr>
        <w:footnoteRef/>
      </w:r>
      <w:r>
        <w:t xml:space="preserve"> </w:t>
      </w:r>
      <w:r w:rsidR="009864A0">
        <w:t>Mary Beard (2015) SPQR: A history of ancient Rome. P.514</w:t>
      </w:r>
    </w:p>
  </w:footnote>
  <w:footnote w:id="3">
    <w:p w:rsidR="00A907E9" w:rsidRDefault="00A907E9">
      <w:pPr>
        <w:pStyle w:val="FootnoteText"/>
      </w:pPr>
      <w:r>
        <w:rPr>
          <w:rStyle w:val="FootnoteReference"/>
        </w:rPr>
        <w:footnoteRef/>
      </w:r>
      <w:r>
        <w:t xml:space="preserve"> </w:t>
      </w:r>
      <w:r w:rsidR="009864A0">
        <w:t>Mary Beard (2015) SPQR: A history of ancient Rome. P.514</w:t>
      </w:r>
    </w:p>
  </w:footnote>
  <w:footnote w:id="4">
    <w:p w:rsidR="0095267C" w:rsidRDefault="0095267C">
      <w:pPr>
        <w:pStyle w:val="FootnoteText"/>
      </w:pPr>
      <w:r>
        <w:rPr>
          <w:rStyle w:val="FootnoteReference"/>
        </w:rPr>
        <w:footnoteRef/>
      </w:r>
      <w:r>
        <w:t xml:space="preserve"> </w:t>
      </w:r>
      <w:r w:rsidR="007761C4">
        <w:t xml:space="preserve">Cornelius Tacitus. </w:t>
      </w:r>
      <w:r w:rsidR="00323B7E">
        <w:t>The Annals of Imperial Rome. 14.38.2</w:t>
      </w:r>
    </w:p>
  </w:footnote>
  <w:footnote w:id="5">
    <w:p w:rsidR="00106BCA" w:rsidRDefault="00106BCA">
      <w:pPr>
        <w:pStyle w:val="FootnoteText"/>
      </w:pPr>
      <w:r>
        <w:rPr>
          <w:rStyle w:val="FootnoteReference"/>
        </w:rPr>
        <w:footnoteRef/>
      </w:r>
      <w:r>
        <w:t xml:space="preserve"> </w:t>
      </w:r>
      <w:r w:rsidR="00323B7E">
        <w:t xml:space="preserve">Anthony A. Barrett, Elaine Fantham, &amp; John C. Yardley. The emperor Nero, A guide to the ancient sources (2016) P.124 </w:t>
      </w:r>
    </w:p>
  </w:footnote>
  <w:footnote w:id="6">
    <w:p w:rsidR="00736579" w:rsidRDefault="00736579">
      <w:pPr>
        <w:pStyle w:val="FootnoteText"/>
      </w:pPr>
      <w:r>
        <w:rPr>
          <w:rStyle w:val="FootnoteReference"/>
        </w:rPr>
        <w:footnoteRef/>
      </w:r>
      <w:r>
        <w:t xml:space="preserve"> </w:t>
      </w:r>
      <w:r w:rsidR="00323B7E">
        <w:t>Richard Alston. Aspects of Roman history AD 14-117 (1998) P.304</w:t>
      </w:r>
    </w:p>
  </w:footnote>
  <w:footnote w:id="7">
    <w:p w:rsidR="00055050" w:rsidRDefault="00055050">
      <w:pPr>
        <w:pStyle w:val="FootnoteText"/>
      </w:pPr>
      <w:r>
        <w:rPr>
          <w:rStyle w:val="FootnoteReference"/>
        </w:rPr>
        <w:footnoteRef/>
      </w:r>
      <w:r>
        <w:t xml:space="preserve"> </w:t>
      </w:r>
      <w:r w:rsidR="00323B7E">
        <w:t>David Potter. Rome in the ancient world from Romulus to Justinian (2009) P.201</w:t>
      </w:r>
    </w:p>
  </w:footnote>
  <w:footnote w:id="8">
    <w:p w:rsidR="00831CEE" w:rsidRDefault="00831CEE">
      <w:pPr>
        <w:pStyle w:val="FootnoteText"/>
      </w:pPr>
      <w:r>
        <w:rPr>
          <w:rStyle w:val="FootnoteReference"/>
        </w:rPr>
        <w:footnoteRef/>
      </w:r>
      <w:r>
        <w:t xml:space="preserve"> </w:t>
      </w:r>
      <w:r w:rsidR="00323B7E">
        <w:t>Cornelius Tacitus. The Annals of Imperial Rome. XIV. 38</w:t>
      </w:r>
    </w:p>
  </w:footnote>
  <w:footnote w:id="9">
    <w:p w:rsidR="00683898" w:rsidRDefault="00683898">
      <w:pPr>
        <w:pStyle w:val="FootnoteText"/>
      </w:pPr>
      <w:r>
        <w:rPr>
          <w:rStyle w:val="FootnoteReference"/>
        </w:rPr>
        <w:footnoteRef/>
      </w:r>
      <w:r>
        <w:t xml:space="preserve"> </w:t>
      </w:r>
      <w:r>
        <w:t>Mary Beard (2015) SPQR: A history of ancient Rome. P.514</w:t>
      </w:r>
    </w:p>
  </w:footnote>
  <w:footnote w:id="10">
    <w:p w:rsidR="00AC2209" w:rsidRDefault="00AC2209">
      <w:pPr>
        <w:pStyle w:val="FootnoteText"/>
      </w:pPr>
      <w:r>
        <w:rPr>
          <w:rStyle w:val="FootnoteReference"/>
        </w:rPr>
        <w:footnoteRef/>
      </w:r>
      <w:r>
        <w:t xml:space="preserve"> </w:t>
      </w:r>
      <w:r w:rsidR="004251A2">
        <w:t>David Potter. Rome in the ancient world from Romulus to Justinian (2009) P.187</w:t>
      </w:r>
    </w:p>
  </w:footnote>
  <w:footnote w:id="11">
    <w:p w:rsidR="00184A1B" w:rsidRDefault="00184A1B">
      <w:pPr>
        <w:pStyle w:val="FootnoteText"/>
      </w:pPr>
      <w:r>
        <w:rPr>
          <w:rStyle w:val="FootnoteReference"/>
        </w:rPr>
        <w:footnoteRef/>
      </w:r>
      <w:r>
        <w:t xml:space="preserve"> </w:t>
      </w:r>
      <w:r w:rsidR="004251A2">
        <w:t xml:space="preserve"> Anthony A. Barrett, Elaine Fantham, &amp; John C. Yardley. The emperor Nero, A guide to the ancient sources (2016) P.124</w:t>
      </w:r>
    </w:p>
  </w:footnote>
  <w:footnote w:id="12">
    <w:p w:rsidR="000F7F65" w:rsidRDefault="000F7F65">
      <w:pPr>
        <w:pStyle w:val="FootnoteText"/>
      </w:pPr>
      <w:r>
        <w:rPr>
          <w:rStyle w:val="FootnoteReference"/>
        </w:rPr>
        <w:footnoteRef/>
      </w:r>
      <w:r>
        <w:t xml:space="preserve"> </w:t>
      </w:r>
      <w:r w:rsidR="004251A2">
        <w:t>Cornelius Tacitus. The Annals of imperial Rome. P.328</w:t>
      </w:r>
    </w:p>
  </w:footnote>
  <w:footnote w:id="13">
    <w:p w:rsidR="004F229B" w:rsidRDefault="004F229B">
      <w:pPr>
        <w:pStyle w:val="FootnoteText"/>
      </w:pPr>
      <w:r>
        <w:rPr>
          <w:rStyle w:val="FootnoteReference"/>
        </w:rPr>
        <w:footnoteRef/>
      </w:r>
      <w:r>
        <w:t xml:space="preserve"> </w:t>
      </w:r>
      <w:r>
        <w:t>Mary Beard (2015) SPQR: A history of ancient Rome. P.514</w:t>
      </w:r>
    </w:p>
  </w:footnote>
  <w:footnote w:id="14">
    <w:p w:rsidR="00940DC0" w:rsidRDefault="00940DC0">
      <w:pPr>
        <w:pStyle w:val="FootnoteText"/>
      </w:pPr>
      <w:r>
        <w:rPr>
          <w:rStyle w:val="FootnoteReference"/>
        </w:rPr>
        <w:footnoteRef/>
      </w:r>
      <w:r>
        <w:t xml:space="preserve"> </w:t>
      </w:r>
      <w:r w:rsidR="00BE2B66">
        <w:t xml:space="preserve">Cassius </w:t>
      </w:r>
      <w:proofErr w:type="spellStart"/>
      <w:r w:rsidR="00BE2B66">
        <w:t>Dio</w:t>
      </w:r>
      <w:proofErr w:type="spellEnd"/>
      <w:r w:rsidR="00BE2B66">
        <w:t>. Roman history (</w:t>
      </w:r>
      <w:r w:rsidR="00570541">
        <w:t>2001</w:t>
      </w:r>
      <w:r w:rsidR="00BE2B66">
        <w:t>) Book LXII.2</w:t>
      </w:r>
    </w:p>
  </w:footnote>
  <w:footnote w:id="15">
    <w:p w:rsidR="00B0530A" w:rsidRDefault="00B0530A">
      <w:pPr>
        <w:pStyle w:val="FootnoteText"/>
      </w:pPr>
      <w:r>
        <w:rPr>
          <w:rStyle w:val="FootnoteReference"/>
        </w:rPr>
        <w:footnoteRef/>
      </w:r>
      <w:r>
        <w:t xml:space="preserve"> </w:t>
      </w:r>
      <w:r w:rsidR="00E708FC">
        <w:t>Anthony A. Barrett, Elaine Fantham, &amp; John C. Yardley. The emperor Nero, A guide to the ancient sources (2016) P.127</w:t>
      </w:r>
    </w:p>
  </w:footnote>
  <w:footnote w:id="16">
    <w:p w:rsidR="00E708FC" w:rsidRDefault="00E708FC">
      <w:pPr>
        <w:pStyle w:val="FootnoteText"/>
      </w:pPr>
      <w:r>
        <w:rPr>
          <w:rStyle w:val="FootnoteReference"/>
        </w:rPr>
        <w:footnoteRef/>
      </w:r>
      <w:r>
        <w:t xml:space="preserve"> </w:t>
      </w:r>
      <w:r w:rsidR="00F6190F">
        <w:t xml:space="preserve">Cassius </w:t>
      </w:r>
      <w:proofErr w:type="spellStart"/>
      <w:r w:rsidR="00F6190F">
        <w:t>Dio</w:t>
      </w:r>
      <w:proofErr w:type="spellEnd"/>
      <w:r w:rsidR="00F6190F">
        <w:t>. Roman history (</w:t>
      </w:r>
      <w:r w:rsidR="00570541">
        <w:t>2001</w:t>
      </w:r>
      <w:r w:rsidR="00F6190F">
        <w:t>) Book LXII.2</w:t>
      </w:r>
    </w:p>
  </w:footnote>
  <w:footnote w:id="17">
    <w:p w:rsidR="00E708FC" w:rsidRDefault="00E708FC">
      <w:pPr>
        <w:pStyle w:val="FootnoteText"/>
      </w:pPr>
      <w:r>
        <w:rPr>
          <w:rStyle w:val="FootnoteReference"/>
        </w:rPr>
        <w:footnoteRef/>
      </w:r>
      <w:r>
        <w:t xml:space="preserve"> </w:t>
      </w:r>
      <w:r w:rsidR="00F6190F">
        <w:t xml:space="preserve">Cassius </w:t>
      </w:r>
      <w:proofErr w:type="spellStart"/>
      <w:r w:rsidR="00F6190F">
        <w:t>Dio</w:t>
      </w:r>
      <w:proofErr w:type="spellEnd"/>
      <w:r w:rsidR="00F6190F">
        <w:t>. Roman history (1914) Book LXII</w:t>
      </w:r>
      <w:r w:rsidR="005F285C">
        <w:t>.6</w:t>
      </w:r>
    </w:p>
  </w:footnote>
  <w:footnote w:id="18">
    <w:p w:rsidR="00EB40CF" w:rsidRDefault="00EB40CF">
      <w:pPr>
        <w:pStyle w:val="FootnoteText"/>
      </w:pPr>
      <w:r>
        <w:rPr>
          <w:rStyle w:val="FootnoteReference"/>
        </w:rPr>
        <w:footnoteRef/>
      </w:r>
      <w:r>
        <w:t xml:space="preserve"> </w:t>
      </w:r>
      <w:r w:rsidR="00F6190F">
        <w:t xml:space="preserve">Cassius </w:t>
      </w:r>
      <w:proofErr w:type="spellStart"/>
      <w:r w:rsidR="00F6190F">
        <w:t>Dio</w:t>
      </w:r>
      <w:proofErr w:type="spellEnd"/>
      <w:r w:rsidR="00F6190F">
        <w:t>. Roman history (1914) Book LXII</w:t>
      </w:r>
      <w:r w:rsidR="005F285C">
        <w:t>.3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113"/>
    <w:rsid w:val="00006CFC"/>
    <w:rsid w:val="00025EA6"/>
    <w:rsid w:val="000347BC"/>
    <w:rsid w:val="000362EC"/>
    <w:rsid w:val="00047885"/>
    <w:rsid w:val="00055050"/>
    <w:rsid w:val="00056A96"/>
    <w:rsid w:val="000709E8"/>
    <w:rsid w:val="0009274F"/>
    <w:rsid w:val="000D6467"/>
    <w:rsid w:val="000F00C1"/>
    <w:rsid w:val="000F7F65"/>
    <w:rsid w:val="00106BCA"/>
    <w:rsid w:val="001349E7"/>
    <w:rsid w:val="00142ECA"/>
    <w:rsid w:val="00146ABD"/>
    <w:rsid w:val="00162065"/>
    <w:rsid w:val="00184A1B"/>
    <w:rsid w:val="001A55F5"/>
    <w:rsid w:val="001A5695"/>
    <w:rsid w:val="00200D2A"/>
    <w:rsid w:val="00204AC0"/>
    <w:rsid w:val="00226FEC"/>
    <w:rsid w:val="00252F5E"/>
    <w:rsid w:val="002B39D4"/>
    <w:rsid w:val="00323B7E"/>
    <w:rsid w:val="00382815"/>
    <w:rsid w:val="0039751B"/>
    <w:rsid w:val="003C2F4E"/>
    <w:rsid w:val="003F3947"/>
    <w:rsid w:val="00407B9D"/>
    <w:rsid w:val="004251A2"/>
    <w:rsid w:val="00435FB4"/>
    <w:rsid w:val="004872DF"/>
    <w:rsid w:val="004A6A55"/>
    <w:rsid w:val="004B3603"/>
    <w:rsid w:val="004F229B"/>
    <w:rsid w:val="005244F3"/>
    <w:rsid w:val="00527242"/>
    <w:rsid w:val="00541E7D"/>
    <w:rsid w:val="00570541"/>
    <w:rsid w:val="005C2CD1"/>
    <w:rsid w:val="005E1C55"/>
    <w:rsid w:val="005F0DEB"/>
    <w:rsid w:val="005F285C"/>
    <w:rsid w:val="0061114F"/>
    <w:rsid w:val="00627E52"/>
    <w:rsid w:val="006350D3"/>
    <w:rsid w:val="00650721"/>
    <w:rsid w:val="00651E19"/>
    <w:rsid w:val="00683898"/>
    <w:rsid w:val="006A101E"/>
    <w:rsid w:val="006D56CC"/>
    <w:rsid w:val="006E4F51"/>
    <w:rsid w:val="00736579"/>
    <w:rsid w:val="007761C4"/>
    <w:rsid w:val="007E528C"/>
    <w:rsid w:val="007F599D"/>
    <w:rsid w:val="00831CEE"/>
    <w:rsid w:val="00833250"/>
    <w:rsid w:val="00847D31"/>
    <w:rsid w:val="00850454"/>
    <w:rsid w:val="00863823"/>
    <w:rsid w:val="008763E3"/>
    <w:rsid w:val="00896D60"/>
    <w:rsid w:val="008A499D"/>
    <w:rsid w:val="008F7F83"/>
    <w:rsid w:val="00940DC0"/>
    <w:rsid w:val="0095267C"/>
    <w:rsid w:val="009864A0"/>
    <w:rsid w:val="00A24EEA"/>
    <w:rsid w:val="00A35113"/>
    <w:rsid w:val="00A379C1"/>
    <w:rsid w:val="00A45D50"/>
    <w:rsid w:val="00A7780D"/>
    <w:rsid w:val="00A85B6C"/>
    <w:rsid w:val="00A907E9"/>
    <w:rsid w:val="00A94A37"/>
    <w:rsid w:val="00AB3280"/>
    <w:rsid w:val="00AB3AC2"/>
    <w:rsid w:val="00AC2209"/>
    <w:rsid w:val="00AC3A44"/>
    <w:rsid w:val="00AF5E37"/>
    <w:rsid w:val="00B0530A"/>
    <w:rsid w:val="00B452F9"/>
    <w:rsid w:val="00B71A46"/>
    <w:rsid w:val="00B92B09"/>
    <w:rsid w:val="00BA35B0"/>
    <w:rsid w:val="00BA7946"/>
    <w:rsid w:val="00BE2B66"/>
    <w:rsid w:val="00BF2DBC"/>
    <w:rsid w:val="00C2022A"/>
    <w:rsid w:val="00C41BFE"/>
    <w:rsid w:val="00CA317C"/>
    <w:rsid w:val="00CA70FF"/>
    <w:rsid w:val="00CD6E34"/>
    <w:rsid w:val="00D0640F"/>
    <w:rsid w:val="00D33408"/>
    <w:rsid w:val="00D34DDC"/>
    <w:rsid w:val="00D35532"/>
    <w:rsid w:val="00D41FCC"/>
    <w:rsid w:val="00D63987"/>
    <w:rsid w:val="00D77FD0"/>
    <w:rsid w:val="00DA2FD9"/>
    <w:rsid w:val="00E21DF3"/>
    <w:rsid w:val="00E22465"/>
    <w:rsid w:val="00E61FEF"/>
    <w:rsid w:val="00E708FC"/>
    <w:rsid w:val="00EB40CF"/>
    <w:rsid w:val="00EE3BF6"/>
    <w:rsid w:val="00EF5E98"/>
    <w:rsid w:val="00F348CE"/>
    <w:rsid w:val="00F41EB2"/>
    <w:rsid w:val="00F6190F"/>
    <w:rsid w:val="00F828F9"/>
    <w:rsid w:val="00FA20EB"/>
    <w:rsid w:val="00FB1333"/>
    <w:rsid w:val="00FD2AE2"/>
    <w:rsid w:val="00FE4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AEB94"/>
  <w15:chartTrackingRefBased/>
  <w15:docId w15:val="{B4331C9C-5C52-4EB4-B470-FD9333032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35113"/>
    <w:rPr>
      <w:i/>
      <w:iCs/>
    </w:rPr>
  </w:style>
  <w:style w:type="paragraph" w:styleId="FootnoteText">
    <w:name w:val="footnote text"/>
    <w:basedOn w:val="Normal"/>
    <w:link w:val="FootnoteTextChar"/>
    <w:uiPriority w:val="99"/>
    <w:semiHidden/>
    <w:unhideWhenUsed/>
    <w:rsid w:val="00FA20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20EB"/>
    <w:rPr>
      <w:sz w:val="20"/>
      <w:szCs w:val="20"/>
    </w:rPr>
  </w:style>
  <w:style w:type="character" w:styleId="FootnoteReference">
    <w:name w:val="footnote reference"/>
    <w:basedOn w:val="DefaultParagraphFont"/>
    <w:uiPriority w:val="99"/>
    <w:semiHidden/>
    <w:unhideWhenUsed/>
    <w:rsid w:val="00FA20EB"/>
    <w:rPr>
      <w:vertAlign w:val="superscript"/>
    </w:rPr>
  </w:style>
  <w:style w:type="character" w:styleId="Hyperlink">
    <w:name w:val="Hyperlink"/>
    <w:basedOn w:val="DefaultParagraphFont"/>
    <w:uiPriority w:val="99"/>
    <w:unhideWhenUsed/>
    <w:rsid w:val="009864A0"/>
    <w:rPr>
      <w:color w:val="0563C1" w:themeColor="hyperlink"/>
      <w:u w:val="single"/>
    </w:rPr>
  </w:style>
  <w:style w:type="character" w:styleId="UnresolvedMention">
    <w:name w:val="Unresolved Mention"/>
    <w:basedOn w:val="DefaultParagraphFont"/>
    <w:uiPriority w:val="99"/>
    <w:semiHidden/>
    <w:unhideWhenUsed/>
    <w:rsid w:val="009864A0"/>
    <w:rPr>
      <w:color w:val="808080"/>
      <w:shd w:val="clear" w:color="auto" w:fill="E6E6E6"/>
    </w:rPr>
  </w:style>
  <w:style w:type="character" w:styleId="Strong">
    <w:name w:val="Strong"/>
    <w:basedOn w:val="DefaultParagraphFont"/>
    <w:uiPriority w:val="22"/>
    <w:qFormat/>
    <w:rsid w:val="00570541"/>
    <w:rPr>
      <w:b/>
      <w:bCs/>
    </w:rPr>
  </w:style>
  <w:style w:type="character" w:customStyle="1" w:styleId="selectable">
    <w:name w:val="selectable"/>
    <w:basedOn w:val="DefaultParagraphFont"/>
    <w:rsid w:val="00570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archaeology.org/issues/100-features/lost-tombs/1090-boudicca-celtic-roman-empire-kings-cro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C418A-0A97-4952-BEDF-65ABA2350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779</TotalTime>
  <Pages>6</Pages>
  <Words>2108</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45</cp:revision>
  <dcterms:created xsi:type="dcterms:W3CDTF">2017-11-19T14:15:00Z</dcterms:created>
  <dcterms:modified xsi:type="dcterms:W3CDTF">2017-11-21T22:40:00Z</dcterms:modified>
</cp:coreProperties>
</file>