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75E03" w14:textId="77777777" w:rsidR="00904DD1" w:rsidRDefault="00904DD1">
      <w:pPr>
        <w:rPr>
          <w:u w:val="single"/>
        </w:rPr>
      </w:pPr>
    </w:p>
    <w:p w14:paraId="5AEB687A"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one</w:t>
      </w:r>
      <w:r w:rsidRPr="005B4B3E">
        <w:rPr>
          <w:rStyle w:val="eop"/>
          <w:rFonts w:ascii="Calibri" w:eastAsiaTheme="majorEastAsia" w:hAnsi="Calibri" w:cs="Calibri"/>
          <w:sz w:val="22"/>
          <w:szCs w:val="22"/>
        </w:rPr>
        <w:t> </w:t>
      </w:r>
    </w:p>
    <w:p w14:paraId="1413E7D7"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The 2 based plays that have been chosen are the foundation phase (2010) and the curriculum for Wales (2022). The foundation phase goes from ages three to seven whereas the curriculum in Wales goes from three to the age of sixteen years old. The foundation phase in Wales and the national curriculum in Wales are two distinct educational frameworks that guide early years and primary schools. While both aim to support the children’s development and learning, they differ significantly in their pedagogical approaches, structure and emphasis on child centered learning Foundation phase focuses more on experimental play-based learning which is according to UNICEF (2018) is a teaching approach where children can learn through play making learning fun which allows them to develop skills knowledge and a positive behavior towards learning. This approach is supported by research showing that play-based learning enhances motivation, creativity, and problem-solving skills in young children. It also aligns with international frameworks, such as UNICEF’s (2004) advocacy for learning through play as a right and a developmental necessity. Whereas Curriculum Wales will help build on the foundation phase but integrate them into a broader continuum of learning. The foundation phase was designed to focus on a set of principles which focus on activities that are tailored to the age and the interest of that child and the needs of the children. It doesn’t just focus on one part of the child’s development; it focuses on holistic development as a whole. The child learns from not just observing them firsthand experiences as Frobel (1836) said children need these experiences to learn to grow and develop and will be able to use these skills in the real world. Lots of nurseries follow hands-on experiences such as flying start (2025) which backs Frobel by saying Children should learn through first-hand, play-based experiences and discovery, where experimentation and independence are encouraged. Learning and play opportunities for children under the age of 3 years should take account of their interests and needs, provide opportunities for them to develop their confidence and self-esteem, and develop the early skills, knowledge and concepts appropriate to their stage of development.  In the setting I work at which is a flying start setting we observe the children if they add toys to a certain activity or if the engagement level is high, we write it down and include it on planning, so we get out following day but add whatever the child has taken an interest to, so it's very child led. Early years Wales (2022) state that Observation plays an integral role in your practice and should be the catalyst for planning. Through in-depth analysis of observations, assessment can take place. Assessment plays a fundamental role in enabling each individual child to make progress at an appropriate pace whilst ensuring they are challenged and supported along the way The Welsh Curriculum also supports child led it emphasizes learner centered learning children are seen as active participants in their learning journey but of course it’s not like a nursery as they still have to learn and cannot choose if they do not want to join in. educators are expected to observe, listen and respond rather than directing their learning they will follow more structured learning. The foundation phase has been praised for its flexibility and its ability to cater to each learner's needs, making any activity adaptable for any disabilities. The Welsh curriculum assessment they follow to get their information is Includes both formative and summative assessment methods they continue to follow the inclusiveness of practice but within a broader framework.  covering from the ages of 3-16 it can be difficult to ensure continuity and progression across such a wide age range. There is pros and cons to the Welsh curriculum some of these include it provides a seamless educational journey, encourages autonomy and active participation, it covers 6 areas of learning and experience it emphasizes development over time not at a fixed level, it helps teachers to adapt to the learner's level and needs. Some cons of this include it significant changes to planning and the way teachers teach, it can be difficult to maintain the learner's choice to keep on top of the curriculum, new progression steps can be confusing for some educators, they may not like the new curriculum, it has higher demands ongoing professional development and collaboration. some pros and cons of the foundation phase Wales is it helps promote learning through play which engages all students as they do not realize they are learning, and it can be something they are interested in, it helps focus on building their self-esteem focusing </w:t>
      </w:r>
      <w:r w:rsidRPr="005B4B3E">
        <w:rPr>
          <w:rStyle w:val="normaltextrun"/>
          <w:rFonts w:ascii="Calibri" w:eastAsiaTheme="majorEastAsia" w:hAnsi="Calibri" w:cs="Calibri"/>
          <w:sz w:val="22"/>
          <w:szCs w:val="22"/>
          <w:lang w:val="en-US"/>
        </w:rPr>
        <w:lastRenderedPageBreak/>
        <w:t xml:space="preserve">on what they can do rather than what they cannot focusing on the stage they are and it not being a negative it includes their mental health and wellbeing, it helps children to prepare for the future getting them ready helping with life skills. Some cons are Research indicates that the Foundation Phase has not been successful in eliminating pre-existing inequalities in educational outcomes among different groups of pupils, such as those from disadvantaged backgrounds or with special educational needs, Some studies have found that attending a Foundation Phase pilot school was associated with lower educational attainment and well-being measures in some cases, The transition from the Foundation Phase to Key Stage 2 can be challenging for some children due to differences in the curriculum and teaching approaches as children are so used to playing and having fun they will think that other years in school is like that, While play-based learning is beneficial, some argue that it may not be the most effective approach for all children, particularly those who may thrive in more structured learning environments for example in my setting there is a child who loves everything ABC and numbers and recently we have acquired some alphabet play do cutters and every day no matter what we have in the play do he always goes to the drawer to take them out and if we have chalks or pencils he's constantly writing them and asks staff to join in and if the staff member does the wrong letter or number he corrects us Apon speaking to mum she said she reads to him a lot and does little activities with him he does like to play but prefers to learn and have that engagement. Some evaluations have shown a decline in children's opportunities for interaction with adults within the Foundation Phase, which is a vital component of learning. By creating a space that actively promotes listening to the voice of the child, we can begin to recognize and respond to the unique background and needs of each child, and children can begin to understand their rights (GOV.uk 2022) Children need practical experiences that encourage them to use simple mathematical vocabulary when exploring quantity, number, shape and pattern. Effective experiences will support children’s cognitive development by providing opportunities for comparing, sorting and classifying living and non-living things. Children should have opportunities to explore and experiment with digital technology for a range of purposes. Literacy, numeracy and digital competence are mandatory skills across the whole curriculum, and it is our responsibility to ensure children develop and progress in these skills. This section describes the skills young children should acquire and master as part of their learning journey. When planning learning experiences, we should ensure that children have opportunities to apply, develop and extend these skills in meaningful contexts, using the five developmental pathways which are belonging, communication, exploration, physical development and wellbeing. </w:t>
      </w:r>
      <w:r w:rsidRPr="005B4B3E">
        <w:rPr>
          <w:rStyle w:val="normaltextrun"/>
          <w:rFonts w:ascii="Calibri" w:eastAsiaTheme="majorEastAsia" w:hAnsi="Calibri" w:cs="Calibri"/>
          <w:color w:val="000000"/>
          <w:sz w:val="22"/>
          <w:szCs w:val="22"/>
          <w:lang w:val="en-US"/>
        </w:rPr>
        <w:t>The Foundation Phase has been designed to help all children flourish, whatever their stage of development or learning ability. It promotes discovery and independence and places emphasis on using the outdoor environment as a resource for children’s learning.</w:t>
      </w:r>
      <w:r w:rsidRPr="005B4B3E">
        <w:rPr>
          <w:rStyle w:val="scxw175853574"/>
          <w:rFonts w:ascii="Calibri" w:eastAsiaTheme="majorEastAsia" w:hAnsi="Calibri" w:cs="Calibri"/>
          <w:color w:val="000000"/>
          <w:sz w:val="22"/>
          <w:szCs w:val="22"/>
        </w:rPr>
        <w:t> </w:t>
      </w:r>
      <w:r w:rsidRPr="005B4B3E">
        <w:rPr>
          <w:rFonts w:ascii="Calibri" w:hAnsi="Calibri" w:cs="Calibri"/>
          <w:color w:val="000000"/>
          <w:sz w:val="22"/>
          <w:szCs w:val="22"/>
        </w:rPr>
        <w:br/>
      </w:r>
      <w:r w:rsidRPr="005B4B3E">
        <w:rPr>
          <w:rStyle w:val="normaltextrun"/>
          <w:rFonts w:ascii="Calibri" w:eastAsiaTheme="majorEastAsia" w:hAnsi="Calibri" w:cs="Calibri"/>
          <w:color w:val="000000"/>
          <w:sz w:val="22"/>
          <w:szCs w:val="22"/>
          <w:lang w:val="en-US"/>
        </w:rPr>
        <w:t>The curriculum is built around ten Areas of Learning, where stimulating, structured play activities can be woven into the learning experience:</w:t>
      </w:r>
      <w:r w:rsidRPr="005B4B3E">
        <w:rPr>
          <w:rStyle w:val="eop"/>
          <w:rFonts w:ascii="Calibri" w:eastAsiaTheme="majorEastAsia" w:hAnsi="Calibri" w:cs="Calibri"/>
          <w:color w:val="000000"/>
          <w:sz w:val="22"/>
          <w:szCs w:val="22"/>
        </w:rPr>
        <w:t> </w:t>
      </w:r>
    </w:p>
    <w:p w14:paraId="5AB1DC93"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7467D974"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4F0E201D"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6BF2E4CE"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60409EB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2A165B5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36BB695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4EC5A3D8"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0F2B82DE"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1348399F"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4D73A5D"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FE6E510"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37EE8A81"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two</w:t>
      </w:r>
      <w:r w:rsidRPr="005B4B3E">
        <w:rPr>
          <w:rStyle w:val="eop"/>
          <w:rFonts w:ascii="Calibri" w:eastAsiaTheme="majorEastAsia" w:hAnsi="Calibri" w:cs="Calibri"/>
          <w:sz w:val="22"/>
          <w:szCs w:val="22"/>
        </w:rPr>
        <w:t> </w:t>
      </w:r>
    </w:p>
    <w:p w14:paraId="55443BB9"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In early childhood education, understanding and supporting the development of the "unique child" is a foundational principle. This involves using a variety of assessment methods, tracking progress </w:t>
      </w:r>
      <w:r w:rsidRPr="005B4B3E">
        <w:rPr>
          <w:rStyle w:val="normaltextrun"/>
          <w:rFonts w:ascii="Calibri" w:eastAsiaTheme="majorEastAsia" w:hAnsi="Calibri" w:cs="Calibri"/>
          <w:sz w:val="22"/>
          <w:szCs w:val="22"/>
          <w:lang w:val="en-US"/>
        </w:rPr>
        <w:lastRenderedPageBreak/>
        <w:t xml:space="preserve">over time, and designing play experiences that align with a child’s developmental stage. While these practices are widely endorsed, they also present challenges that require critical reflection Educators have always learnt from observing and watching children play so they can change and alternate the way they carry out activities with children. The strengths behind observation based assessment  are that taking observations they are in the moment and writing down while something is going on or just after its fresh in our heads, we can then evaluate this for example if a child is really engaged in a certain activity you can resume it the next day but adding more into it. It allows us as practitioners to adapt to children's needs and helps us to understand each child as an individual, not as a whole class of children. West Sussex County Council (2021) believe that Observation allows practitioners to understand each child’s unique needs, interests, and developmental stage. This helps tailor learning experiences that are meaningful and developmentally appropriate. Observation should be both formal (planned) but much of it will be informal (spontaneous) carried out as you work with the children. Without observation, overall planning would simply be based on what we felt was important, fun or interesting or all three, but it might not necessarily meet the needs of the children in our care. Carrying out regular observations is vital because it ensures that we put the child at the center of our practice. Observations are the foundation of effective planning in early years settings. They help educators assess progress and plan next steps based on real-time evidence rather than assumptions. By observing any unique children, it helps the practitioner gather vital information like their likes and dislikes and from this the practitioner can incorporate into their learning their learning but also enjoying what they are doing. It also helps identify any additional needs that a child may have and see what areas they have struggled with. Progress tracking with a child that is unique helps because it recognizes each child learns at their own pace and allows practitioners to adapt to any children's needs. In my setting we do learning journals with pictures and observations with the pictures we do 6 in total for the time the children are with us and try to get all areas covered such as physical, outdoors imaginative, sand and water but of course having a unique child this is not always possible as they obviously have areas they do not like or like more than others so some pictures and observations may be the same but different but it's about making sure any milestone or any observation is noted down as their parents may not see them playing with that at home. They then go home at the end of term with artwork and maybe sometimes extra pictures if capturing the moment. We also have an app parents can download and join for any updates of their child such as pictures doing something wow or any messages, they can communicate with the child's key workers. Woking with flying start we do </w:t>
      </w:r>
      <w:proofErr w:type="spellStart"/>
      <w:r w:rsidRPr="005B4B3E">
        <w:rPr>
          <w:rStyle w:val="normaltextrun"/>
          <w:rFonts w:ascii="Calibri" w:eastAsiaTheme="majorEastAsia" w:hAnsi="Calibri" w:cs="Calibri"/>
          <w:sz w:val="22"/>
          <w:szCs w:val="22"/>
          <w:lang w:val="en-US"/>
        </w:rPr>
        <w:t>wellcoms</w:t>
      </w:r>
      <w:proofErr w:type="spellEnd"/>
      <w:r w:rsidRPr="005B4B3E">
        <w:rPr>
          <w:rStyle w:val="normaltextrun"/>
          <w:rFonts w:ascii="Calibri" w:eastAsiaTheme="majorEastAsia" w:hAnsi="Calibri" w:cs="Calibri"/>
          <w:sz w:val="22"/>
          <w:szCs w:val="22"/>
          <w:lang w:val="en-US"/>
        </w:rPr>
        <w:t xml:space="preserve"> which is a progress tracker you have different sections for different ages they start on a section 4 and some children do have to go down levels and the key worker will have a progress tracker sheet to try get that child to achieve the level they are on an slowly work with them to work it up. Assessment in early years settings includes formative, summative, and authentic approaches. Formative assessments such as observations and learning stories are integral to responsive teaching, allowing educators to adapt activities to meet individual needs Summative assessments provide a broader overview of a child’s development and are useful for transitions between settings (NAEYC, 2020). Alternative educational models like Reggio Emilia and Montessori emphasize observational assessment that values engagement and creativity over standardized outcomes (Oxford Bibliographies, 2023). These approaches align with the NAEYC’s recommendations for developmentally appropriate practice. However, challenges persist. Standardized assessments may not reflect the diverse ways children learn, particularly for those with special educational needs or English as an additional language. Moreover, observational assessments can be influenced by unconscious bias, making professional development in reflective practice essential (</w:t>
      </w:r>
      <w:proofErr w:type="spellStart"/>
      <w:r w:rsidRPr="005B4B3E">
        <w:rPr>
          <w:rStyle w:val="normaltextrun"/>
          <w:rFonts w:ascii="Calibri" w:eastAsiaTheme="majorEastAsia" w:hAnsi="Calibri" w:cs="Calibri"/>
          <w:sz w:val="22"/>
          <w:szCs w:val="22"/>
          <w:lang w:val="en-US"/>
        </w:rPr>
        <w:t>Neaum</w:t>
      </w:r>
      <w:proofErr w:type="spellEnd"/>
      <w:r w:rsidRPr="005B4B3E">
        <w:rPr>
          <w:rStyle w:val="normaltextrun"/>
          <w:rFonts w:ascii="Calibri" w:eastAsiaTheme="majorEastAsia" w:hAnsi="Calibri" w:cs="Calibri"/>
          <w:sz w:val="22"/>
          <w:szCs w:val="22"/>
          <w:lang w:val="en-US"/>
        </w:rPr>
        <w:t xml:space="preserve">, 2016).  Play is the cornerstone of early learning and aligning it with a child’s age or developmental stage is widely supported by theorists like Piaget and Vygotsky. Stage-appropriate play fosters engagement, mastery, and confidence, supporting cognitive, social, and emotional development (Wood, 2013). However rigid adherence to age norms can be problematic. Children develop at different rates and cultural or neurodiverse expressions of play may not fit neatly into predefined stages Educators must remain flexible, using play as a diagnostic and inclusive </w:t>
      </w:r>
      <w:r w:rsidRPr="005B4B3E">
        <w:rPr>
          <w:rStyle w:val="normaltextrun"/>
          <w:rFonts w:ascii="Calibri" w:eastAsiaTheme="majorEastAsia" w:hAnsi="Calibri" w:cs="Calibri"/>
          <w:sz w:val="22"/>
          <w:szCs w:val="22"/>
          <w:lang w:val="en-US"/>
        </w:rPr>
        <w:lastRenderedPageBreak/>
        <w:t xml:space="preserve">tool rather than a prescriptive one (Oxford Bibliographies, 2023). Moreover, play should be child-led and interesting. Structured, adult-directed play that is overly focused on outcomes can undermine creativity and intrinsic motivation. A balance must be struck between providing developmentally appropriate challenges and allowing freedom for exploration and expression.  Progress tracking is essential for monitoring development and informing planning. Digital platforms such as </w:t>
      </w:r>
      <w:r w:rsidRPr="005B4B3E">
        <w:rPr>
          <w:rStyle w:val="normaltextrun"/>
          <w:rFonts w:ascii="Calibri" w:eastAsiaTheme="majorEastAsia" w:hAnsi="Calibri" w:cs="Calibri"/>
          <w:i/>
          <w:iCs/>
          <w:sz w:val="22"/>
          <w:szCs w:val="22"/>
          <w:lang w:val="en-US"/>
        </w:rPr>
        <w:t>Tapestry</w:t>
      </w:r>
      <w:r w:rsidRPr="005B4B3E">
        <w:rPr>
          <w:rStyle w:val="normaltextrun"/>
          <w:rFonts w:ascii="Calibri" w:eastAsiaTheme="majorEastAsia" w:hAnsi="Calibri" w:cs="Calibri"/>
          <w:sz w:val="22"/>
          <w:szCs w:val="22"/>
          <w:lang w:val="en-US"/>
        </w:rPr>
        <w:t xml:space="preserve">, </w:t>
      </w:r>
      <w:r w:rsidRPr="005B4B3E">
        <w:rPr>
          <w:rStyle w:val="normaltextrun"/>
          <w:rFonts w:ascii="Calibri" w:eastAsiaTheme="majorEastAsia" w:hAnsi="Calibri" w:cs="Calibri"/>
          <w:i/>
          <w:iCs/>
          <w:sz w:val="22"/>
          <w:szCs w:val="22"/>
          <w:lang w:val="en-US"/>
        </w:rPr>
        <w:t>Evidence Me</w:t>
      </w:r>
      <w:r w:rsidRPr="005B4B3E">
        <w:rPr>
          <w:rStyle w:val="normaltextrun"/>
          <w:rFonts w:ascii="Calibri" w:eastAsiaTheme="majorEastAsia" w:hAnsi="Calibri" w:cs="Calibri"/>
          <w:sz w:val="22"/>
          <w:szCs w:val="22"/>
          <w:lang w:val="en-US"/>
        </w:rPr>
        <w:t xml:space="preserve">, and </w:t>
      </w:r>
      <w:r w:rsidRPr="005B4B3E">
        <w:rPr>
          <w:rStyle w:val="normaltextrun"/>
          <w:rFonts w:ascii="Calibri" w:eastAsiaTheme="majorEastAsia" w:hAnsi="Calibri" w:cs="Calibri"/>
          <w:i/>
          <w:iCs/>
          <w:sz w:val="22"/>
          <w:szCs w:val="22"/>
          <w:lang w:val="en-US"/>
        </w:rPr>
        <w:t>Learning Book</w:t>
      </w:r>
      <w:r w:rsidRPr="005B4B3E">
        <w:rPr>
          <w:rStyle w:val="normaltextrun"/>
          <w:rFonts w:ascii="Calibri" w:eastAsiaTheme="majorEastAsia" w:hAnsi="Calibri" w:cs="Calibri"/>
          <w:sz w:val="22"/>
          <w:szCs w:val="22"/>
          <w:lang w:val="en-US"/>
        </w:rPr>
        <w:t xml:space="preserve"> have transformed how educators document and analyze learning. These tools allow for real-time updates, multimedia evidence, and enhanced parental engagement. They also support data-driven planning by highlighting gaps and strengths across learning domains (ECTA Center, 2020). Despite these advantages, digital tracking systems can lead to overemphasis on documentation. Educators may feel pressured to produce frequent evidence, which can detract from time spent engaging with children. Moreover, checklists and milestone trackers, while useful, can promote a tick-box mentality that overlooks the richness of individual learning journeys (AAP, 2022). It is essential that tracking tools are used flexibly and interpreted in the context of each child’s unique development and uploaded regularly, so the parents and family are aware of the child’s development. Effective early childhood education requires a nuanced approach to assessment, progress tracking, and play. While tools and frameworks offer valuable structure, they must be applied with sensitivity to each child’s unique context. Educators must combine professional judgment, inclusive practices, and ongoing reflection to ensure that every child is seen, supported, and celebrated. By doing so, they uphold the principle of the unique child and create environments where all children can thrive. Research for early learning (no date) says assessment is a critical part of high-quality early childhood programs. When educators do an assessment, not only observe the child's abilities, but you will also know their likes and dislikes. Observing and documenting a child’s work and performance over the course of a year allows an educator to accumulate a record of the child’s growth and development. With this information, educators can begin to plan appropriate curriculum and effective individualized instruction for each child. Assessment provides educators, parents, and families with critical information about a child’s development and growth. Ongoing assessment is an integral part of this process and should be used by practitioners to support every child in making progress. Alongside short-term assessment and planning for learning, it is also critical to maintain an overview of children’s progress over time. Only by stepping back to look at the bigger picture of progress can a setting make sure whether daily practice is supporting all children to reach their full potential across all areas of learning. Birth to five matters (2009) say that Observation is an integral part of professional interactions with children and is identified in the EYFS as a key to effective practice. Early years practitioners need to know their children well and record, where appropriate, their observations in quick notes or lively narrative. Birth to five matters (no date) believe that at certain times it is important to step back, to pause and reflect, and create a summative assessment which takes a holistic overview of the child’s development, learning and progress. West Sussex County Council (2021) says that the key issue is that you should observe children on a regular basis, at different times of the day, and all staff should be involved. Decisions about a child’s needs should not be based on just one observation. This means ensuring that each child is observed systematically, over time, by staff and that regular discussions take place to consider what has been learned to help you plan for the child’s development and learning. Any concerns should always be discussed with parents and colleagues to identify whether intervention may be required.</w:t>
      </w:r>
      <w:r w:rsidRPr="005B4B3E">
        <w:rPr>
          <w:rStyle w:val="eop"/>
          <w:rFonts w:ascii="Calibri" w:eastAsiaTheme="majorEastAsia" w:hAnsi="Calibri" w:cs="Calibri"/>
          <w:sz w:val="22"/>
          <w:szCs w:val="22"/>
        </w:rPr>
        <w:t> </w:t>
      </w:r>
    </w:p>
    <w:p w14:paraId="35B3FF46"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554FCD1"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three</w:t>
      </w:r>
      <w:r w:rsidRPr="005B4B3E">
        <w:rPr>
          <w:rStyle w:val="eop"/>
          <w:rFonts w:ascii="Calibri" w:eastAsiaTheme="majorEastAsia" w:hAnsi="Calibri" w:cs="Calibri"/>
          <w:sz w:val="22"/>
          <w:szCs w:val="22"/>
        </w:rPr>
        <w:t> </w:t>
      </w:r>
    </w:p>
    <w:p w14:paraId="3873B658"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Play is not a break from learning; it is learning. Research consistently shows that play supports cognitive, social, emotional, and physical development in young children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NAEYC, 2022). The National Association for the Education of Young Children (NAEYC) highlights that play-based learning is not only developmentally appropriate but also essential for achieving meaningful educational goals. A play-based curriculum should be grounded in developmentally appropriate practice (DAP) which considers what is known about the child's development, everyone, and social </w:t>
      </w:r>
      <w:r w:rsidRPr="005B4B3E">
        <w:rPr>
          <w:rStyle w:val="normaltextrun"/>
          <w:rFonts w:ascii="Calibri" w:eastAsiaTheme="majorEastAsia" w:hAnsi="Calibri" w:cs="Calibri"/>
          <w:sz w:val="22"/>
          <w:szCs w:val="22"/>
          <w:lang w:val="en-US"/>
        </w:rPr>
        <w:lastRenderedPageBreak/>
        <w:t xml:space="preserve">and cultural contexts in which they live (NAEYC, 2022). This blog explores the key considerations for embedding play meaningfully into early years practice in line with Welsh policy and pedagogy. This helps ensure that learning experiences are both relevant and responsive for all involved. One of the common misconceptions is that play-based learning lacks structure. When in reality effective play-based curriculum strikes a balance between a play that a child has initiated and adult guided learning educators play a crucial role in scaffolding learning the bell foundation (no date) says that scaffolding learning is Scaffolding means providing temporary support for an inexperienced learner in order to help them to complete a task or acquire a skill, and then gradually withdrawing that support. observing, extending, and sometimes co-playing to deepen children’s understanding (Hirsh-Pasek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2008). In Wales, practitioners are encouraged to act as co-constructors of learning—observing, listening, and responding to children’s play to extend their thinking and deepen engagement. This aligns with research by Hirsh-Pasek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(2008) and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who advocate for guided play as a powerful pedagogical tool.  The concept of play of play on the </w:t>
      </w:r>
      <w:proofErr w:type="spellStart"/>
      <w:r w:rsidRPr="005B4B3E">
        <w:rPr>
          <w:rStyle w:val="normaltextrun"/>
          <w:rFonts w:ascii="Calibri" w:eastAsiaTheme="majorEastAsia" w:hAnsi="Calibri" w:cs="Calibri"/>
          <w:sz w:val="22"/>
          <w:szCs w:val="22"/>
          <w:lang w:val="en-US"/>
        </w:rPr>
        <w:t>Sprectrum</w:t>
      </w:r>
      <w:proofErr w:type="spellEnd"/>
      <w:r w:rsidRPr="005B4B3E">
        <w:rPr>
          <w:rStyle w:val="normaltextrun"/>
          <w:rFonts w:ascii="Calibri" w:eastAsiaTheme="majorEastAsia" w:hAnsi="Calibri" w:cs="Calibri"/>
          <w:sz w:val="22"/>
          <w:szCs w:val="22"/>
          <w:lang w:val="en-US"/>
        </w:rPr>
        <w:t xml:space="preserve"> ranging from free play to guided play offers a useful framework. It allows educators and professionals to maintain clear learning intentions while respecting children's freedom and creativity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The physical and emotional play provides a vital role in supporting children's play. The Curriculum for Wales promotes a holistic, integrated approach to learning, with play recognized as a vital mode of engagement for children aged 0–5. The Early Childhood Play, Learning and Care (ECPLC) framework, developed by the Welsh Government (2022), emphasizes the importance of play in supporting children’s physical, emotional, social, and cognitive development. The curriculum is underpinned by four purposes, aiming to develop children as:</w:t>
      </w:r>
      <w:r w:rsidRPr="005B4B3E">
        <w:rPr>
          <w:rStyle w:val="eop"/>
          <w:rFonts w:ascii="Calibri" w:eastAsiaTheme="majorEastAsia" w:hAnsi="Calibri" w:cs="Calibri"/>
          <w:sz w:val="22"/>
          <w:szCs w:val="22"/>
        </w:rPr>
        <w:t> </w:t>
      </w:r>
    </w:p>
    <w:p w14:paraId="4A270E55" w14:textId="77777777" w:rsidR="005B4B3E" w:rsidRPr="005B4B3E" w:rsidRDefault="005B4B3E" w:rsidP="005B4B3E">
      <w:pPr>
        <w:pStyle w:val="paragraph"/>
        <w:numPr>
          <w:ilvl w:val="0"/>
          <w:numId w:val="14"/>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Ambitious, capable learners</w:t>
      </w:r>
      <w:r w:rsidRPr="005B4B3E">
        <w:rPr>
          <w:rStyle w:val="eop"/>
          <w:rFonts w:ascii="Calibri" w:eastAsiaTheme="majorEastAsia" w:hAnsi="Calibri" w:cs="Calibri"/>
          <w:sz w:val="22"/>
          <w:szCs w:val="22"/>
        </w:rPr>
        <w:t> </w:t>
      </w:r>
    </w:p>
    <w:p w14:paraId="575DADD7" w14:textId="77777777" w:rsidR="005B4B3E" w:rsidRPr="005B4B3E" w:rsidRDefault="005B4B3E" w:rsidP="005B4B3E">
      <w:pPr>
        <w:pStyle w:val="paragraph"/>
        <w:numPr>
          <w:ilvl w:val="0"/>
          <w:numId w:val="15"/>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Enterprising, creative contributors</w:t>
      </w:r>
      <w:r w:rsidRPr="005B4B3E">
        <w:rPr>
          <w:rStyle w:val="eop"/>
          <w:rFonts w:ascii="Calibri" w:eastAsiaTheme="majorEastAsia" w:hAnsi="Calibri" w:cs="Calibri"/>
          <w:sz w:val="22"/>
          <w:szCs w:val="22"/>
        </w:rPr>
        <w:t> </w:t>
      </w:r>
    </w:p>
    <w:p w14:paraId="3FE2FE93" w14:textId="77777777" w:rsidR="005B4B3E" w:rsidRPr="005B4B3E" w:rsidRDefault="005B4B3E" w:rsidP="005B4B3E">
      <w:pPr>
        <w:pStyle w:val="paragraph"/>
        <w:numPr>
          <w:ilvl w:val="0"/>
          <w:numId w:val="16"/>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Ethical, informed citizens</w:t>
      </w:r>
      <w:r w:rsidRPr="005B4B3E">
        <w:rPr>
          <w:rStyle w:val="eop"/>
          <w:rFonts w:ascii="Calibri" w:eastAsiaTheme="majorEastAsia" w:hAnsi="Calibri" w:cs="Calibri"/>
          <w:sz w:val="22"/>
          <w:szCs w:val="22"/>
        </w:rPr>
        <w:t> </w:t>
      </w:r>
    </w:p>
    <w:p w14:paraId="024D35B5" w14:textId="77777777" w:rsidR="005B4B3E" w:rsidRPr="005B4B3E" w:rsidRDefault="005B4B3E" w:rsidP="005B4B3E">
      <w:pPr>
        <w:pStyle w:val="paragraph"/>
        <w:numPr>
          <w:ilvl w:val="0"/>
          <w:numId w:val="17"/>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Healthy, confident individuals</w:t>
      </w:r>
      <w:r w:rsidRPr="005B4B3E">
        <w:rPr>
          <w:rStyle w:val="eop"/>
          <w:rFonts w:ascii="Calibri" w:eastAsiaTheme="majorEastAsia" w:hAnsi="Calibri" w:cs="Calibri"/>
          <w:sz w:val="22"/>
          <w:szCs w:val="22"/>
        </w:rPr>
        <w:t> </w:t>
      </w:r>
    </w:p>
    <w:p w14:paraId="67120E3C"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Play-based learning is seen as a key vehicle for achieving these purposes, particularly in the early years, where experiential, exploratory learning is most effective (Welsh government, 2022).</w:t>
      </w:r>
      <w:r w:rsidRPr="005B4B3E">
        <w:rPr>
          <w:rStyle w:val="eop"/>
          <w:rFonts w:ascii="Calibri" w:eastAsiaTheme="majorEastAsia" w:hAnsi="Calibri" w:cs="Calibri"/>
          <w:sz w:val="22"/>
          <w:szCs w:val="22"/>
        </w:rPr>
        <w:t> </w:t>
      </w:r>
    </w:p>
    <w:p w14:paraId="3AB8F774"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Welsh guidance emphasizes the importance of enabling environments—spaces that are safe, stimulating, and rich in open-ended resources. These environments should reflect the Welsh language and culture, as well as the diverse identities of children and families in the setting. Outdoor learning is particularly valued in Wales, with the curriculum encouraging regular access to nature and the outdoors as part of a balanced, play-based approach (Miller &amp; Almon, 2009). The successful implementation of a play-based curriculum requires confident, knowledgeable practitioners. The Welsh Government supports this through professional learning resources and a national emphasis on collaborative inquiry and reflective practice. Research from Selepe et al. (2024) also highlights the importance of context-specific training, particularly in rural or under-resourced areas, to ensure equity in access to high-quality play-based learning. The Curriculum for Wales recognizes the importance of partnership with families. Practitioners are encouraged to involve parents and carers in the learning process, share observations, and co-create learning experiences that reflect children’s home lives and communities. This approach supports the Welsh Government’s broader commitment to children’s rights, as outlined in the UNCRC and embedded in national policy. Assessment in the early years in Wales is formative, holistic, and child centered. The ECPLC framework encourages the use of narrative assessment, such as learning stories and floor books, to capture the richness of children’s play and development. This aligns with international research (SpringerLink, 2019; Bonawitz et al., 2011) that cautions against over-reliance on standardized assessments in early childhood and supports more authentic, play-based documentation. Wales is uniquely positioned to lead in the implementation of a truly play-based early years curriculum. By aligning with the Curriculum for Wales 2022 and drawing on both national guidance and international research, practitioners can create joyful, inclusive, and meaningful learning experiences that honor the rights and potential of every child. The evidence is compelling: play supports executive function (Whitebread et al., 2012), enhances language and literacy development (Weisberg et al., 2016), and </w:t>
      </w:r>
      <w:r w:rsidRPr="005B4B3E">
        <w:rPr>
          <w:rStyle w:val="normaltextrun"/>
          <w:rFonts w:ascii="Calibri" w:eastAsiaTheme="majorEastAsia" w:hAnsi="Calibri" w:cs="Calibri"/>
          <w:sz w:val="22"/>
          <w:szCs w:val="22"/>
          <w:lang w:val="en-US"/>
        </w:rPr>
        <w:lastRenderedPageBreak/>
        <w:t xml:space="preserve">fosters resilience and well-being (Lester &amp; Russell, 2008). The Welsh Government’s commitment to children’s rights, as embedded in the UNCRC and the Well-being of Future Generations Act, further strengthens the case for play as a pedagogical priority. As settings continue to evolve their practice, the challenge is not whether play has a place in the curriculum but how we can ensure it is purposeful, equitable, and embedded in every aspect of early years provision. </w:t>
      </w:r>
      <w:r w:rsidRPr="005B4B3E">
        <w:rPr>
          <w:rStyle w:val="normaltextrun"/>
          <w:rFonts w:ascii="Calibri" w:eastAsiaTheme="majorEastAsia" w:hAnsi="Calibri" w:cs="Calibri"/>
          <w:color w:val="001D35"/>
          <w:sz w:val="22"/>
          <w:szCs w:val="22"/>
          <w:lang w:val="en-US"/>
        </w:rPr>
        <w:t>In essence, the Foundation Phase in Wales is designed to provide a strong foundation for children's future learning and development by fostering their well-being, nurturing their love of learning, and equipping them with essential skills and knowledge.</w:t>
      </w:r>
      <w:r w:rsidRPr="005B4B3E">
        <w:rPr>
          <w:rStyle w:val="eop"/>
          <w:rFonts w:ascii="Calibri" w:eastAsiaTheme="majorEastAsia" w:hAnsi="Calibri" w:cs="Calibri"/>
          <w:color w:val="001D35"/>
          <w:sz w:val="22"/>
          <w:szCs w:val="22"/>
        </w:rPr>
        <w:t> </w:t>
      </w:r>
    </w:p>
    <w:p w14:paraId="5843AF82" w14:textId="08F8F2B8" w:rsidR="005B4B3E" w:rsidRPr="005B4B3E" w:rsidRDefault="005B4B3E">
      <w:pPr>
        <w:rPr>
          <w:u w:val="single"/>
        </w:rPr>
      </w:pPr>
    </w:p>
    <w:p w14:paraId="518434D0" w14:textId="77777777" w:rsidR="005B4B3E" w:rsidRPr="005B4B3E" w:rsidRDefault="005B4B3E">
      <w:pPr>
        <w:rPr>
          <w:u w:val="single"/>
        </w:rPr>
      </w:pPr>
      <w:r w:rsidRPr="005B4B3E">
        <w:rPr>
          <w:u w:val="single"/>
        </w:rPr>
        <w:br w:type="page"/>
      </w:r>
    </w:p>
    <w:p w14:paraId="2257D821"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lastRenderedPageBreak/>
        <w:t>Reference list</w:t>
      </w:r>
      <w:r w:rsidRPr="005B4B3E">
        <w:rPr>
          <w:rStyle w:val="eop"/>
          <w:rFonts w:ascii="Calibri" w:eastAsiaTheme="majorEastAsia" w:hAnsi="Calibri" w:cs="Calibri"/>
          <w:sz w:val="22"/>
          <w:szCs w:val="22"/>
        </w:rPr>
        <w:t> </w:t>
      </w:r>
    </w:p>
    <w:p w14:paraId="1F0B2868"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Birth to five matters, (2009) </w:t>
      </w:r>
      <w:hyperlink r:id="rId7" w:tgtFrame="_blank" w:history="1">
        <w:r w:rsidRPr="005B4B3E">
          <w:rPr>
            <w:rStyle w:val="normaltextrun"/>
            <w:rFonts w:ascii="Calibri" w:eastAsiaTheme="majorEastAsia" w:hAnsi="Calibri" w:cs="Calibri"/>
            <w:sz w:val="22"/>
            <w:szCs w:val="22"/>
            <w:u w:val="single"/>
            <w:lang w:val="en-US"/>
          </w:rPr>
          <w:t>https://birthto5matters.org.uk/wp-content/uploads/2021/03/PDF-3-progress-matters.pdf</w:t>
        </w:r>
      </w:hyperlink>
      <w:r w:rsidRPr="005B4B3E">
        <w:rPr>
          <w:rStyle w:val="normaltextrun"/>
          <w:rFonts w:ascii="Calibri" w:eastAsiaTheme="majorEastAsia" w:hAnsi="Calibri" w:cs="Calibri"/>
          <w:sz w:val="22"/>
          <w:szCs w:val="22"/>
          <w:lang w:val="en-US"/>
        </w:rPr>
        <w:t>  (accessed 6</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June 2025)</w:t>
      </w:r>
      <w:r w:rsidRPr="005B4B3E">
        <w:rPr>
          <w:rStyle w:val="eop"/>
          <w:rFonts w:ascii="Calibri" w:eastAsiaTheme="majorEastAsia" w:hAnsi="Calibri" w:cs="Calibri"/>
          <w:sz w:val="22"/>
          <w:szCs w:val="22"/>
        </w:rPr>
        <w:t> </w:t>
      </w:r>
    </w:p>
    <w:p w14:paraId="0A19DD06"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Birth to five matters, (no date) </w:t>
      </w:r>
      <w:hyperlink r:id="rId8" w:tgtFrame="_blank" w:history="1">
        <w:r w:rsidRPr="005B4B3E">
          <w:rPr>
            <w:rStyle w:val="normaltextrun"/>
            <w:rFonts w:ascii="Calibri" w:eastAsiaTheme="majorEastAsia" w:hAnsi="Calibri" w:cs="Calibri"/>
            <w:sz w:val="22"/>
            <w:szCs w:val="22"/>
            <w:u w:val="single"/>
            <w:lang w:val="en-US"/>
          </w:rPr>
          <w:t>https://birthto5matters.org.uk/observation-assessment-and-planning/</w:t>
        </w:r>
      </w:hyperlink>
      <w:r w:rsidRPr="005B4B3E">
        <w:rPr>
          <w:rStyle w:val="normaltextrun"/>
          <w:rFonts w:ascii="Calibri" w:eastAsiaTheme="majorEastAsia" w:hAnsi="Calibri" w:cs="Calibri"/>
          <w:sz w:val="22"/>
          <w:szCs w:val="22"/>
          <w:lang w:val="en-US"/>
        </w:rPr>
        <w:t>  (accessed 6</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June 2025)</w:t>
      </w:r>
      <w:r w:rsidRPr="005B4B3E">
        <w:rPr>
          <w:rStyle w:val="eop"/>
          <w:rFonts w:ascii="Calibri" w:eastAsiaTheme="majorEastAsia" w:hAnsi="Calibri" w:cs="Calibri"/>
          <w:sz w:val="22"/>
          <w:szCs w:val="22"/>
        </w:rPr>
        <w:t> </w:t>
      </w:r>
    </w:p>
    <w:p w14:paraId="1D40EE59"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Curriculum for Wales, (2022) </w:t>
      </w:r>
      <w:hyperlink r:id="rId9" w:anchor=":~:text=For%20primary%20schools%20and%20settings,and%208%20from%20September%202023" w:tgtFrame="_blank" w:history="1">
        <w:r w:rsidRPr="005B4B3E">
          <w:rPr>
            <w:rStyle w:val="normaltextrun"/>
            <w:rFonts w:ascii="Calibri" w:eastAsiaTheme="majorEastAsia" w:hAnsi="Calibri" w:cs="Calibri"/>
            <w:sz w:val="22"/>
            <w:szCs w:val="22"/>
            <w:u w:val="single"/>
            <w:lang w:val="en-US"/>
          </w:rPr>
          <w:t>https://hwb.gov.wales/curriculum-for-wales/curriculum-for-wales-continuing-the-journey#:~:text=For%20primary%20schools%20and%20settings,and%208%20from%20September%202023</w:t>
        </w:r>
      </w:hyperlink>
      <w:r w:rsidRPr="005B4B3E">
        <w:rPr>
          <w:rStyle w:val="normaltextrun"/>
          <w:rFonts w:ascii="Calibri" w:eastAsiaTheme="majorEastAsia" w:hAnsi="Calibri" w:cs="Calibri"/>
          <w:sz w:val="22"/>
          <w:szCs w:val="22"/>
          <w:lang w:val="en-US"/>
        </w:rPr>
        <w:t>.   (accessed 23</w:t>
      </w:r>
      <w:r w:rsidRPr="005B4B3E">
        <w:rPr>
          <w:rStyle w:val="normaltextrun"/>
          <w:rFonts w:ascii="Calibri" w:eastAsiaTheme="majorEastAsia" w:hAnsi="Calibri" w:cs="Calibri"/>
          <w:sz w:val="17"/>
          <w:szCs w:val="17"/>
          <w:vertAlign w:val="superscript"/>
          <w:lang w:val="en-US"/>
        </w:rPr>
        <w:t>rd</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5F048487"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Early years Wales, (2022) </w:t>
      </w:r>
      <w:hyperlink r:id="rId10" w:tgtFrame="_blank" w:history="1">
        <w:r w:rsidRPr="005B4B3E">
          <w:rPr>
            <w:rStyle w:val="normaltextrun"/>
            <w:rFonts w:ascii="Calibri" w:eastAsiaTheme="majorEastAsia" w:hAnsi="Calibri" w:cs="Calibri"/>
            <w:sz w:val="22"/>
            <w:szCs w:val="22"/>
            <w:u w:val="single"/>
            <w:lang w:val="en-US"/>
          </w:rPr>
          <w:t>https://www.earlyyears.wales/en/foundation-learning</w:t>
        </w:r>
      </w:hyperlink>
      <w:r w:rsidRPr="005B4B3E">
        <w:rPr>
          <w:rStyle w:val="normaltextrun"/>
          <w:rFonts w:ascii="Calibri" w:eastAsiaTheme="majorEastAsia" w:hAnsi="Calibri" w:cs="Calibri"/>
          <w:sz w:val="22"/>
          <w:szCs w:val="22"/>
          <w:lang w:val="en-US"/>
        </w:rPr>
        <w:t>  (accessed 31</w:t>
      </w:r>
      <w:r w:rsidRPr="005B4B3E">
        <w:rPr>
          <w:rStyle w:val="normaltextrun"/>
          <w:rFonts w:ascii="Calibri" w:eastAsiaTheme="majorEastAsia" w:hAnsi="Calibri" w:cs="Calibri"/>
          <w:sz w:val="17"/>
          <w:szCs w:val="17"/>
          <w:vertAlign w:val="superscript"/>
          <w:lang w:val="en-US"/>
        </w:rPr>
        <w:t>st</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4B5D11B9"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Early Childhood Technical Assistance Centre (ECTA). (2020) Assessment</w:t>
      </w:r>
      <w:r w:rsidRPr="005B4B3E">
        <w:rPr>
          <w:rStyle w:val="normaltextrun"/>
          <w:rFonts w:ascii="Calibri" w:eastAsiaTheme="majorEastAsia" w:hAnsi="Calibri" w:cs="Calibri"/>
          <w:i/>
          <w:iCs/>
          <w:sz w:val="22"/>
          <w:szCs w:val="22"/>
          <w:lang w:val="en-US"/>
        </w:rPr>
        <w:t xml:space="preserve"> Tools for Planning Instruction and Monitoring Young Children’s Progress Remotely</w:t>
      </w:r>
      <w:r w:rsidRPr="005B4B3E">
        <w:rPr>
          <w:rStyle w:val="normaltextrun"/>
          <w:rFonts w:ascii="Calibri" w:eastAsiaTheme="majorEastAsia" w:hAnsi="Calibri" w:cs="Calibri"/>
          <w:sz w:val="22"/>
          <w:szCs w:val="22"/>
          <w:lang w:val="en-US"/>
        </w:rPr>
        <w:t xml:space="preserve">. at: </w:t>
      </w:r>
      <w:hyperlink r:id="rId11" w:tgtFrame="_blank" w:history="1">
        <w:r w:rsidRPr="005B4B3E">
          <w:rPr>
            <w:rStyle w:val="normaltextrun"/>
            <w:rFonts w:ascii="Calibri" w:eastAsiaTheme="majorEastAsia" w:hAnsi="Calibri" w:cs="Calibri"/>
            <w:sz w:val="22"/>
            <w:szCs w:val="22"/>
            <w:u w:val="single"/>
            <w:lang w:val="en-US"/>
          </w:rPr>
          <w:t>https://ectacenter.org/~pdfs/topics/earlyid/assessment-tools-planning-monitoring.pdf</w:t>
        </w:r>
      </w:hyperlink>
      <w:r w:rsidRPr="005B4B3E">
        <w:rPr>
          <w:rStyle w:val="normaltextrun"/>
          <w:rFonts w:ascii="Calibri" w:eastAsiaTheme="majorEastAsia" w:hAnsi="Calibri" w:cs="Calibri"/>
          <w:sz w:val="22"/>
          <w:szCs w:val="22"/>
          <w:lang w:val="en-US"/>
        </w:rPr>
        <w:t>  (Accessed: 4 June 2025).</w:t>
      </w:r>
      <w:r w:rsidRPr="005B4B3E">
        <w:rPr>
          <w:rStyle w:val="eop"/>
          <w:rFonts w:ascii="Calibri" w:eastAsiaTheme="majorEastAsia" w:hAnsi="Calibri" w:cs="Calibri"/>
          <w:sz w:val="22"/>
          <w:szCs w:val="22"/>
        </w:rPr>
        <w:t> </w:t>
      </w:r>
    </w:p>
    <w:p w14:paraId="4C7DC883"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Flying start, (9</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January 2025) </w:t>
      </w:r>
      <w:hyperlink r:id="rId12" w:tgtFrame="_blank" w:history="1">
        <w:r w:rsidRPr="005B4B3E">
          <w:rPr>
            <w:rStyle w:val="normaltextrun"/>
            <w:rFonts w:ascii="Calibri" w:eastAsiaTheme="majorEastAsia" w:hAnsi="Calibri" w:cs="Calibri"/>
            <w:sz w:val="22"/>
            <w:szCs w:val="22"/>
            <w:u w:val="single"/>
            <w:lang w:val="en-US"/>
          </w:rPr>
          <w:t>https://www.gov.wales/flying-start-childcare-guidance-html</w:t>
        </w:r>
      </w:hyperlink>
      <w:r w:rsidRPr="005B4B3E">
        <w:rPr>
          <w:rStyle w:val="normaltextrun"/>
          <w:rFonts w:ascii="Calibri" w:eastAsiaTheme="majorEastAsia" w:hAnsi="Calibri" w:cs="Calibri"/>
          <w:sz w:val="22"/>
          <w:szCs w:val="22"/>
          <w:lang w:val="en-US"/>
        </w:rPr>
        <w:t>  (accessed 25</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10822F6C"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Foundation phase Wales, (2010)  </w:t>
      </w:r>
      <w:hyperlink r:id="rId13" w:tgtFrame="_blank" w:history="1">
        <w:r w:rsidRPr="005B4B3E">
          <w:rPr>
            <w:rStyle w:val="normaltextrun"/>
            <w:rFonts w:ascii="Calibri" w:eastAsiaTheme="majorEastAsia" w:hAnsi="Calibri" w:cs="Calibri"/>
            <w:sz w:val="22"/>
            <w:szCs w:val="22"/>
            <w:u w:val="single"/>
            <w:lang w:val="en-US"/>
          </w:rPr>
          <w:t>https://www.gov.wales/sites/default/files/publications/2018-02/foundation-phase-framework-revised-2015.pdf</w:t>
        </w:r>
      </w:hyperlink>
      <w:r w:rsidRPr="005B4B3E">
        <w:rPr>
          <w:rStyle w:val="normaltextrun"/>
          <w:rFonts w:ascii="Calibri" w:eastAsiaTheme="majorEastAsia" w:hAnsi="Calibri" w:cs="Calibri"/>
          <w:sz w:val="22"/>
          <w:szCs w:val="22"/>
          <w:lang w:val="en-US"/>
        </w:rPr>
        <w:t>  (accessed 23</w:t>
      </w:r>
      <w:r w:rsidRPr="005B4B3E">
        <w:rPr>
          <w:rStyle w:val="normaltextrun"/>
          <w:rFonts w:ascii="Calibri" w:eastAsiaTheme="majorEastAsia" w:hAnsi="Calibri" w:cs="Calibri"/>
          <w:sz w:val="17"/>
          <w:szCs w:val="17"/>
          <w:vertAlign w:val="superscript"/>
          <w:lang w:val="en-US"/>
        </w:rPr>
        <w:t>rd</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6D61EFF0"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Frobel trust, (1936) </w:t>
      </w:r>
      <w:hyperlink r:id="rId14" w:tgtFrame="_blank" w:history="1">
        <w:r w:rsidRPr="005B4B3E">
          <w:rPr>
            <w:rStyle w:val="normaltextrun"/>
            <w:rFonts w:ascii="Calibri" w:eastAsiaTheme="majorEastAsia" w:hAnsi="Calibri" w:cs="Calibri"/>
            <w:sz w:val="22"/>
            <w:szCs w:val="22"/>
            <w:u w:val="single"/>
            <w:lang w:val="en-US"/>
          </w:rPr>
          <w:t>https://www.froebel.org.uk/about-us/the-power-of-play</w:t>
        </w:r>
      </w:hyperlink>
      <w:r w:rsidRPr="005B4B3E">
        <w:rPr>
          <w:rStyle w:val="normaltextrun"/>
          <w:rFonts w:ascii="Calibri" w:eastAsiaTheme="majorEastAsia" w:hAnsi="Calibri" w:cs="Calibri"/>
          <w:sz w:val="22"/>
          <w:szCs w:val="22"/>
          <w:lang w:val="en-US"/>
        </w:rPr>
        <w:t>   (accessed 25</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613EC2BF"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Gov.uk, (2022) </w:t>
      </w:r>
      <w:hyperlink r:id="rId15" w:tgtFrame="_blank" w:history="1">
        <w:r w:rsidRPr="005B4B3E">
          <w:rPr>
            <w:rStyle w:val="normaltextrun"/>
            <w:rFonts w:ascii="Calibri" w:eastAsiaTheme="majorEastAsia" w:hAnsi="Calibri" w:cs="Calibri"/>
            <w:sz w:val="22"/>
            <w:szCs w:val="22"/>
            <w:u w:val="single"/>
            <w:lang w:val="en-US"/>
          </w:rPr>
          <w:t>https://hwb.gov.wales/api/storage/b1801d78-38c3-4320-9818-d9996c21aef8/220914-a-curriculum-for-funded-non-maintained-nursery-settings.pdf</w:t>
        </w:r>
      </w:hyperlink>
      <w:r w:rsidRPr="005B4B3E">
        <w:rPr>
          <w:rStyle w:val="normaltextrun"/>
          <w:rFonts w:ascii="Calibri" w:eastAsiaTheme="majorEastAsia" w:hAnsi="Calibri" w:cs="Calibri"/>
          <w:sz w:val="22"/>
          <w:szCs w:val="22"/>
          <w:lang w:val="en-US"/>
        </w:rPr>
        <w:t xml:space="preserve"> (accessed 14</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June 2025)</w:t>
      </w:r>
      <w:r w:rsidRPr="005B4B3E">
        <w:rPr>
          <w:rStyle w:val="eop"/>
          <w:rFonts w:ascii="Calibri" w:eastAsiaTheme="majorEastAsia" w:hAnsi="Calibri" w:cs="Calibri"/>
          <w:sz w:val="22"/>
          <w:szCs w:val="22"/>
        </w:rPr>
        <w:t> </w:t>
      </w:r>
    </w:p>
    <w:p w14:paraId="3FC1FD44"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101DF86A"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Hirsh-Pasek, 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R. M. (2008). </w:t>
      </w:r>
      <w:r w:rsidRPr="005B4B3E">
        <w:rPr>
          <w:rStyle w:val="normaltextrun"/>
          <w:rFonts w:ascii="Calibri" w:eastAsiaTheme="majorEastAsia" w:hAnsi="Calibri" w:cs="Calibri"/>
          <w:i/>
          <w:iCs/>
          <w:sz w:val="22"/>
          <w:szCs w:val="22"/>
          <w:lang w:val="en-US"/>
        </w:rPr>
        <w:t>Why play = learning: A challenge for parents and educators</w:t>
      </w:r>
      <w:r w:rsidRPr="005B4B3E">
        <w:rPr>
          <w:rStyle w:val="normaltextrun"/>
          <w:rFonts w:ascii="Calibri" w:eastAsiaTheme="majorEastAsia" w:hAnsi="Calibri" w:cs="Calibri"/>
          <w:sz w:val="22"/>
          <w:szCs w:val="22"/>
          <w:lang w:val="en-US"/>
        </w:rPr>
        <w:t>. In Encyclopedia on Early Childhood Development</w:t>
      </w:r>
      <w:r w:rsidRPr="005B4B3E">
        <w:rPr>
          <w:rStyle w:val="normaltextrun"/>
          <w:rFonts w:ascii="Segoe UI" w:eastAsiaTheme="majorEastAsia" w:hAnsi="Segoe UI" w:cs="Segoe UI"/>
          <w:lang w:val="en-US"/>
        </w:rPr>
        <w:t>.</w:t>
      </w:r>
      <w:r w:rsidRPr="005B4B3E">
        <w:rPr>
          <w:rStyle w:val="eop"/>
          <w:rFonts w:ascii="Segoe UI" w:eastAsiaTheme="majorEastAsia" w:hAnsi="Segoe UI" w:cs="Segoe UI"/>
        </w:rPr>
        <w:t> </w:t>
      </w:r>
    </w:p>
    <w:p w14:paraId="68CFC4C2"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Hirsh-Pasek, 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R. M. (B) (2008). </w:t>
      </w:r>
      <w:r w:rsidRPr="005B4B3E">
        <w:rPr>
          <w:rStyle w:val="normaltextrun"/>
          <w:rFonts w:ascii="Calibri" w:eastAsiaTheme="majorEastAsia" w:hAnsi="Calibri" w:cs="Calibri"/>
          <w:i/>
          <w:iCs/>
          <w:sz w:val="22"/>
          <w:szCs w:val="22"/>
          <w:lang w:val="en-US"/>
        </w:rPr>
        <w:t>Why play = learning: A challenge for parents and educators</w:t>
      </w:r>
      <w:r w:rsidRPr="005B4B3E">
        <w:rPr>
          <w:rStyle w:val="normaltextrun"/>
          <w:rFonts w:ascii="Calibri" w:eastAsiaTheme="majorEastAsia" w:hAnsi="Calibri" w:cs="Calibri"/>
          <w:sz w:val="22"/>
          <w:szCs w:val="22"/>
          <w:lang w:val="en-US"/>
        </w:rPr>
        <w:t>. In Encyclopedia on Early Childhood Development</w:t>
      </w:r>
      <w:r w:rsidRPr="005B4B3E">
        <w:rPr>
          <w:rStyle w:val="normaltextrun"/>
          <w:rFonts w:ascii="Segoe UI" w:eastAsiaTheme="majorEastAsia" w:hAnsi="Segoe UI" w:cs="Segoe UI"/>
          <w:lang w:val="en-US"/>
        </w:rPr>
        <w:t>.</w:t>
      </w:r>
      <w:r w:rsidRPr="005B4B3E">
        <w:rPr>
          <w:rStyle w:val="eop"/>
          <w:rFonts w:ascii="Segoe UI" w:eastAsiaTheme="majorEastAsia" w:hAnsi="Segoe UI" w:cs="Segoe UI"/>
        </w:rPr>
        <w:t> </w:t>
      </w:r>
    </w:p>
    <w:p w14:paraId="05BC46E8"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Lester, S., &amp; Russell, W. (2008). </w:t>
      </w:r>
      <w:r w:rsidRPr="005B4B3E">
        <w:rPr>
          <w:rStyle w:val="normaltextrun"/>
          <w:rFonts w:ascii="Calibri" w:eastAsiaTheme="majorEastAsia" w:hAnsi="Calibri" w:cs="Calibri"/>
          <w:i/>
          <w:iCs/>
          <w:sz w:val="22"/>
          <w:szCs w:val="22"/>
          <w:lang w:val="en-US"/>
        </w:rPr>
        <w:t>Play for a Change: Play, Policy and Practice – A Review of Contemporary Perspectives</w:t>
      </w:r>
      <w:r w:rsidRPr="005B4B3E">
        <w:rPr>
          <w:rStyle w:val="normaltextrun"/>
          <w:rFonts w:ascii="Calibri" w:eastAsiaTheme="majorEastAsia" w:hAnsi="Calibri" w:cs="Calibri"/>
          <w:sz w:val="22"/>
          <w:szCs w:val="22"/>
          <w:lang w:val="en-US"/>
        </w:rPr>
        <w:t>. National Children’s Bureau.</w:t>
      </w:r>
      <w:r w:rsidRPr="005B4B3E">
        <w:rPr>
          <w:rStyle w:val="eop"/>
          <w:rFonts w:ascii="Calibri" w:eastAsiaTheme="majorEastAsia" w:hAnsi="Calibri" w:cs="Calibri"/>
          <w:sz w:val="22"/>
          <w:szCs w:val="22"/>
        </w:rPr>
        <w:t> </w:t>
      </w:r>
    </w:p>
    <w:p w14:paraId="22F8F27F"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437BBF2A"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Miller, E., &amp; Almon, J. (2009). </w:t>
      </w:r>
      <w:r w:rsidRPr="005B4B3E">
        <w:rPr>
          <w:rStyle w:val="normaltextrun"/>
          <w:rFonts w:ascii="Calibri" w:eastAsiaTheme="majorEastAsia" w:hAnsi="Calibri" w:cs="Calibri"/>
          <w:i/>
          <w:iCs/>
          <w:sz w:val="22"/>
          <w:szCs w:val="22"/>
          <w:lang w:val="en-US"/>
        </w:rPr>
        <w:t>Crisis in the Kindergarten: Why Children Need to Play in School</w:t>
      </w:r>
      <w:r w:rsidRPr="005B4B3E">
        <w:rPr>
          <w:rStyle w:val="normaltextrun"/>
          <w:rFonts w:ascii="Calibri" w:eastAsiaTheme="majorEastAsia" w:hAnsi="Calibri" w:cs="Calibri"/>
          <w:sz w:val="22"/>
          <w:szCs w:val="22"/>
          <w:lang w:val="en-US"/>
        </w:rPr>
        <w:t>.</w:t>
      </w:r>
      <w:r w:rsidRPr="005B4B3E">
        <w:rPr>
          <w:rStyle w:val="eop"/>
          <w:rFonts w:ascii="Calibri" w:eastAsiaTheme="majorEastAsia" w:hAnsi="Calibri" w:cs="Calibri"/>
          <w:sz w:val="22"/>
          <w:szCs w:val="22"/>
        </w:rPr>
        <w:t> </w:t>
      </w:r>
    </w:p>
    <w:p w14:paraId="7D617D9A"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201C8ADD"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National Association for the Education of Young Children (NAEYC). (2020) </w:t>
      </w:r>
      <w:r w:rsidRPr="005B4B3E">
        <w:rPr>
          <w:rStyle w:val="normaltextrun"/>
          <w:rFonts w:ascii="Calibri" w:eastAsiaTheme="majorEastAsia" w:hAnsi="Calibri" w:cs="Calibri"/>
          <w:i/>
          <w:iCs/>
          <w:sz w:val="22"/>
          <w:szCs w:val="22"/>
          <w:lang w:val="en-US"/>
        </w:rPr>
        <w:t>DAP: Observing, Documenting, and Assessing Children’s Development and Learning</w:t>
      </w:r>
      <w:r w:rsidRPr="005B4B3E">
        <w:rPr>
          <w:rStyle w:val="normaltextrun"/>
          <w:rFonts w:ascii="Calibri" w:eastAsiaTheme="majorEastAsia" w:hAnsi="Calibri" w:cs="Calibri"/>
          <w:sz w:val="22"/>
          <w:szCs w:val="22"/>
          <w:lang w:val="en-US"/>
        </w:rPr>
        <w:t xml:space="preserve">. at: </w:t>
      </w:r>
      <w:hyperlink r:id="rId16" w:tgtFrame="_blank" w:history="1">
        <w:r w:rsidRPr="005B4B3E">
          <w:rPr>
            <w:rStyle w:val="normaltextrun"/>
            <w:rFonts w:ascii="Calibri" w:eastAsiaTheme="majorEastAsia" w:hAnsi="Calibri" w:cs="Calibri"/>
            <w:sz w:val="22"/>
            <w:szCs w:val="22"/>
            <w:u w:val="single"/>
            <w:lang w:val="en-US"/>
          </w:rPr>
          <w:t>https://www.naeyc.org/resources/position-statements/dap/assessing-development</w:t>
        </w:r>
      </w:hyperlink>
      <w:r w:rsidRPr="005B4B3E">
        <w:rPr>
          <w:rStyle w:val="normaltextrun"/>
          <w:rFonts w:ascii="Calibri" w:eastAsiaTheme="majorEastAsia" w:hAnsi="Calibri" w:cs="Calibri"/>
          <w:sz w:val="22"/>
          <w:szCs w:val="22"/>
          <w:lang w:val="en-US"/>
        </w:rPr>
        <w:t>  (Accessed: 4 June 2025).</w:t>
      </w:r>
      <w:r w:rsidRPr="005B4B3E">
        <w:rPr>
          <w:rStyle w:val="eop"/>
          <w:rFonts w:ascii="Calibri" w:eastAsiaTheme="majorEastAsia" w:hAnsi="Calibri" w:cs="Calibri"/>
          <w:sz w:val="22"/>
          <w:szCs w:val="22"/>
        </w:rPr>
        <w:t> </w:t>
      </w:r>
    </w:p>
    <w:p w14:paraId="0207F4F7"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NAEYC (2022). </w:t>
      </w:r>
      <w:r w:rsidRPr="005B4B3E">
        <w:rPr>
          <w:rStyle w:val="normaltextrun"/>
          <w:rFonts w:ascii="Calibri" w:eastAsiaTheme="majorEastAsia" w:hAnsi="Calibri" w:cs="Calibri"/>
          <w:i/>
          <w:iCs/>
          <w:sz w:val="22"/>
          <w:szCs w:val="22"/>
          <w:lang w:val="en-US"/>
        </w:rPr>
        <w:t>Developmentally Appropriate Practice in Early Childhood Programs Serving Children from Birth Through Age 8</w:t>
      </w:r>
      <w:r w:rsidRPr="005B4B3E">
        <w:rPr>
          <w:rStyle w:val="normaltextrun"/>
          <w:rFonts w:ascii="Calibri" w:eastAsiaTheme="majorEastAsia" w:hAnsi="Calibri" w:cs="Calibri"/>
          <w:sz w:val="22"/>
          <w:szCs w:val="22"/>
          <w:lang w:val="en-US"/>
        </w:rPr>
        <w:t>.</w:t>
      </w:r>
      <w:r w:rsidRPr="005B4B3E">
        <w:rPr>
          <w:rStyle w:val="eop"/>
          <w:rFonts w:ascii="Calibri" w:eastAsiaTheme="majorEastAsia" w:hAnsi="Calibri" w:cs="Calibri"/>
          <w:sz w:val="22"/>
          <w:szCs w:val="22"/>
        </w:rPr>
        <w:t> </w:t>
      </w:r>
    </w:p>
    <w:p w14:paraId="064D4F72"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proofErr w:type="spellStart"/>
      <w:r w:rsidRPr="005B4B3E">
        <w:rPr>
          <w:rStyle w:val="normaltextrun"/>
          <w:rFonts w:ascii="Calibri" w:eastAsiaTheme="majorEastAsia" w:hAnsi="Calibri" w:cs="Calibri"/>
          <w:sz w:val="22"/>
          <w:szCs w:val="22"/>
          <w:lang w:val="en-US"/>
        </w:rPr>
        <w:t>Neaum</w:t>
      </w:r>
      <w:proofErr w:type="spellEnd"/>
      <w:r w:rsidRPr="005B4B3E">
        <w:rPr>
          <w:rStyle w:val="normaltextrun"/>
          <w:rFonts w:ascii="Calibri" w:eastAsiaTheme="majorEastAsia" w:hAnsi="Calibri" w:cs="Calibri"/>
          <w:sz w:val="22"/>
          <w:szCs w:val="22"/>
          <w:lang w:val="en-US"/>
        </w:rPr>
        <w:t xml:space="preserve">, S. (2016) </w:t>
      </w:r>
      <w:r w:rsidRPr="005B4B3E">
        <w:rPr>
          <w:rStyle w:val="normaltextrun"/>
          <w:rFonts w:ascii="Calibri" w:eastAsiaTheme="majorEastAsia" w:hAnsi="Calibri" w:cs="Calibri"/>
          <w:i/>
          <w:iCs/>
          <w:sz w:val="22"/>
          <w:szCs w:val="22"/>
          <w:lang w:val="en-US"/>
        </w:rPr>
        <w:t>Observing and Assessing Children’s Learning and Development</w:t>
      </w:r>
      <w:r w:rsidRPr="005B4B3E">
        <w:rPr>
          <w:rStyle w:val="normaltextrun"/>
          <w:rFonts w:ascii="Calibri" w:eastAsiaTheme="majorEastAsia" w:hAnsi="Calibri" w:cs="Calibri"/>
          <w:sz w:val="22"/>
          <w:szCs w:val="22"/>
          <w:lang w:val="en-US"/>
        </w:rPr>
        <w:t>. London: SAGE Publications.</w:t>
      </w:r>
      <w:r w:rsidRPr="005B4B3E">
        <w:rPr>
          <w:rStyle w:val="eop"/>
          <w:rFonts w:ascii="Calibri" w:eastAsiaTheme="majorEastAsia" w:hAnsi="Calibri" w:cs="Calibri"/>
          <w:sz w:val="22"/>
          <w:szCs w:val="22"/>
        </w:rPr>
        <w:t> </w:t>
      </w:r>
    </w:p>
    <w:p w14:paraId="5EED863B"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Oxford Bibliographies. (2023) </w:t>
      </w:r>
      <w:r w:rsidRPr="005B4B3E">
        <w:rPr>
          <w:rStyle w:val="normaltextrun"/>
          <w:rFonts w:ascii="Calibri" w:eastAsiaTheme="majorEastAsia" w:hAnsi="Calibri" w:cs="Calibri"/>
          <w:i/>
          <w:iCs/>
          <w:sz w:val="22"/>
          <w:szCs w:val="22"/>
          <w:lang w:val="en-US"/>
        </w:rPr>
        <w:t>Assessment in Early Childhood Education</w:t>
      </w:r>
      <w:r w:rsidRPr="005B4B3E">
        <w:rPr>
          <w:rStyle w:val="normaltextrun"/>
          <w:rFonts w:ascii="Calibri" w:eastAsiaTheme="majorEastAsia" w:hAnsi="Calibri" w:cs="Calibri"/>
          <w:sz w:val="22"/>
          <w:szCs w:val="22"/>
          <w:lang w:val="en-US"/>
        </w:rPr>
        <w:t xml:space="preserve">. at: </w:t>
      </w:r>
      <w:hyperlink r:id="rId17" w:tgtFrame="_blank" w:history="1">
        <w:r w:rsidRPr="005B4B3E">
          <w:rPr>
            <w:rStyle w:val="normaltextrun"/>
            <w:rFonts w:ascii="Calibri" w:eastAsiaTheme="majorEastAsia" w:hAnsi="Calibri" w:cs="Calibri"/>
            <w:sz w:val="22"/>
            <w:szCs w:val="22"/>
            <w:u w:val="single"/>
            <w:lang w:val="en-US"/>
          </w:rPr>
          <w:t>https://www.oxfordbibliographies.com/abstract/document/obo-9780199756810/obo-9780199756810-0179.xml</w:t>
        </w:r>
      </w:hyperlink>
      <w:r w:rsidRPr="005B4B3E">
        <w:rPr>
          <w:rStyle w:val="normaltextrun"/>
          <w:rFonts w:ascii="Calibri" w:eastAsiaTheme="majorEastAsia" w:hAnsi="Calibri" w:cs="Calibri"/>
          <w:sz w:val="22"/>
          <w:szCs w:val="22"/>
          <w:lang w:val="en-US"/>
        </w:rPr>
        <w:t xml:space="preserve"> (Accessed: 4 June 2025).</w:t>
      </w:r>
      <w:r w:rsidRPr="005B4B3E">
        <w:rPr>
          <w:rStyle w:val="eop"/>
          <w:rFonts w:ascii="Calibri" w:eastAsiaTheme="majorEastAsia" w:hAnsi="Calibri" w:cs="Calibri"/>
          <w:sz w:val="22"/>
          <w:szCs w:val="22"/>
        </w:rPr>
        <w:t> </w:t>
      </w:r>
    </w:p>
    <w:p w14:paraId="594370A5"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Oxford Bibliographies (B). (2023) </w:t>
      </w:r>
      <w:r w:rsidRPr="005B4B3E">
        <w:rPr>
          <w:rStyle w:val="normaltextrun"/>
          <w:rFonts w:ascii="Calibri" w:eastAsiaTheme="majorEastAsia" w:hAnsi="Calibri" w:cs="Calibri"/>
          <w:i/>
          <w:iCs/>
          <w:sz w:val="22"/>
          <w:szCs w:val="22"/>
          <w:lang w:val="en-US"/>
        </w:rPr>
        <w:t>Assessment in Early Childhood Education</w:t>
      </w:r>
      <w:r w:rsidRPr="005B4B3E">
        <w:rPr>
          <w:rStyle w:val="normaltextrun"/>
          <w:rFonts w:ascii="Calibri" w:eastAsiaTheme="majorEastAsia" w:hAnsi="Calibri" w:cs="Calibri"/>
          <w:sz w:val="22"/>
          <w:szCs w:val="22"/>
          <w:lang w:val="en-US"/>
        </w:rPr>
        <w:t xml:space="preserve">. at: </w:t>
      </w:r>
      <w:hyperlink r:id="rId18" w:tgtFrame="_blank" w:history="1">
        <w:r w:rsidRPr="005B4B3E">
          <w:rPr>
            <w:rStyle w:val="normaltextrun"/>
            <w:rFonts w:ascii="Calibri" w:eastAsiaTheme="majorEastAsia" w:hAnsi="Calibri" w:cs="Calibri"/>
            <w:sz w:val="22"/>
            <w:szCs w:val="22"/>
            <w:u w:val="single"/>
            <w:lang w:val="en-US"/>
          </w:rPr>
          <w:t>https://www.oxfordbibliographies.com/abstract/document/obo-9780199756810/obo-9780199756810-0179.xml</w:t>
        </w:r>
      </w:hyperlink>
      <w:r w:rsidRPr="005B4B3E">
        <w:rPr>
          <w:rStyle w:val="normaltextrun"/>
          <w:rFonts w:ascii="Calibri" w:eastAsiaTheme="majorEastAsia" w:hAnsi="Calibri" w:cs="Calibri"/>
          <w:sz w:val="22"/>
          <w:szCs w:val="22"/>
          <w:lang w:val="en-US"/>
        </w:rPr>
        <w:t xml:space="preserve"> (Accessed: 4 June 2025).</w:t>
      </w:r>
      <w:r w:rsidRPr="005B4B3E">
        <w:rPr>
          <w:rStyle w:val="eop"/>
          <w:rFonts w:ascii="Calibri" w:eastAsiaTheme="majorEastAsia" w:hAnsi="Calibri" w:cs="Calibri"/>
          <w:sz w:val="22"/>
          <w:szCs w:val="22"/>
        </w:rPr>
        <w:t> </w:t>
      </w:r>
    </w:p>
    <w:p w14:paraId="0B455817"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Resources for early learning, (no date) </w:t>
      </w:r>
      <w:hyperlink r:id="rId19" w:tgtFrame="_blank" w:history="1">
        <w:r w:rsidRPr="005B4B3E">
          <w:rPr>
            <w:rStyle w:val="normaltextrun"/>
            <w:rFonts w:ascii="Calibri" w:eastAsiaTheme="majorEastAsia" w:hAnsi="Calibri" w:cs="Calibri"/>
            <w:sz w:val="22"/>
            <w:szCs w:val="22"/>
            <w:u w:val="single"/>
            <w:lang w:val="en-US"/>
          </w:rPr>
          <w:t>http://resourcesforearlylearning.org/fm/early-childhood-assessment/</w:t>
        </w:r>
      </w:hyperlink>
      <w:r w:rsidRPr="005B4B3E">
        <w:rPr>
          <w:rStyle w:val="normaltextrun"/>
          <w:rFonts w:ascii="Calibri" w:eastAsiaTheme="majorEastAsia" w:hAnsi="Calibri" w:cs="Calibri"/>
          <w:sz w:val="22"/>
          <w:szCs w:val="22"/>
          <w:lang w:val="en-US"/>
        </w:rPr>
        <w:t>   (accessed 6</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June 2025)</w:t>
      </w:r>
      <w:r w:rsidRPr="005B4B3E">
        <w:rPr>
          <w:rStyle w:val="eop"/>
          <w:rFonts w:ascii="Calibri" w:eastAsiaTheme="majorEastAsia" w:hAnsi="Calibri" w:cs="Calibri"/>
          <w:sz w:val="22"/>
          <w:szCs w:val="22"/>
        </w:rPr>
        <w:t> </w:t>
      </w:r>
    </w:p>
    <w:p w14:paraId="7E511E47"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lastRenderedPageBreak/>
        <w:t xml:space="preserve">Selepe, M., et al. (2024). </w:t>
      </w:r>
      <w:r w:rsidRPr="005B4B3E">
        <w:rPr>
          <w:rStyle w:val="normaltextrun"/>
          <w:rFonts w:ascii="Calibri" w:eastAsiaTheme="majorEastAsia" w:hAnsi="Calibri" w:cs="Calibri"/>
          <w:i/>
          <w:iCs/>
          <w:sz w:val="22"/>
          <w:szCs w:val="22"/>
          <w:lang w:val="en-US"/>
        </w:rPr>
        <w:t>Challenges in implementing play-based learning in rural South African contexts</w:t>
      </w:r>
      <w:r w:rsidRPr="005B4B3E">
        <w:rPr>
          <w:rStyle w:val="normaltextrun"/>
          <w:rFonts w:ascii="Calibri" w:eastAsiaTheme="majorEastAsia" w:hAnsi="Calibri" w:cs="Calibri"/>
          <w:sz w:val="22"/>
          <w:szCs w:val="22"/>
          <w:lang w:val="en-US"/>
        </w:rPr>
        <w:t>.</w:t>
      </w:r>
      <w:r w:rsidRPr="005B4B3E">
        <w:rPr>
          <w:rStyle w:val="eop"/>
          <w:rFonts w:ascii="Calibri" w:eastAsiaTheme="majorEastAsia" w:hAnsi="Calibri" w:cs="Calibri"/>
          <w:sz w:val="22"/>
          <w:szCs w:val="22"/>
        </w:rPr>
        <w:t> </w:t>
      </w:r>
    </w:p>
    <w:p w14:paraId="09038547"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671CB574"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SpringerLink (2019). </w:t>
      </w:r>
      <w:r w:rsidRPr="005B4B3E">
        <w:rPr>
          <w:rStyle w:val="normaltextrun"/>
          <w:rFonts w:ascii="Calibri" w:eastAsiaTheme="majorEastAsia" w:hAnsi="Calibri" w:cs="Calibri"/>
          <w:i/>
          <w:iCs/>
          <w:sz w:val="22"/>
          <w:szCs w:val="22"/>
          <w:lang w:val="en-US"/>
        </w:rPr>
        <w:t>Play-based learning in early childhood education: A review of the literature</w:t>
      </w:r>
      <w:r w:rsidRPr="005B4B3E">
        <w:rPr>
          <w:rStyle w:val="normaltextrun"/>
          <w:rFonts w:ascii="Calibri" w:eastAsiaTheme="majorEastAsia" w:hAnsi="Calibri" w:cs="Calibri"/>
          <w:sz w:val="22"/>
          <w:szCs w:val="22"/>
          <w:lang w:val="en-US"/>
        </w:rPr>
        <w:t>.</w:t>
      </w:r>
      <w:r w:rsidRPr="005B4B3E">
        <w:rPr>
          <w:rStyle w:val="eop"/>
          <w:rFonts w:ascii="Calibri" w:eastAsiaTheme="majorEastAsia" w:hAnsi="Calibri" w:cs="Calibri"/>
          <w:sz w:val="22"/>
          <w:szCs w:val="22"/>
        </w:rPr>
        <w:t> </w:t>
      </w:r>
    </w:p>
    <w:p w14:paraId="536A19FA"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287368CF"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The bell foundation, (no date) </w:t>
      </w:r>
      <w:hyperlink r:id="rId20" w:anchor=":~:text=Scaffolding%20means%20providing%20temporary%20support,then%20gradually%20withdrawing%20that%20support" w:tgtFrame="_blank" w:history="1">
        <w:r w:rsidRPr="005B4B3E">
          <w:rPr>
            <w:rStyle w:val="normaltextrun"/>
            <w:rFonts w:ascii="Calibri" w:eastAsiaTheme="majorEastAsia" w:hAnsi="Calibri" w:cs="Calibri"/>
            <w:sz w:val="22"/>
            <w:szCs w:val="22"/>
            <w:u w:val="single"/>
            <w:lang w:val="en-US"/>
          </w:rPr>
          <w:t>https://www.bell-foundation.org.uk/resources/great-ideas/scaffolding/#:~:text=Scaffolding%20means%20providing%20temporary%20support,then%20gradually%20withdrawing%20that%20support</w:t>
        </w:r>
      </w:hyperlink>
      <w:r w:rsidRPr="005B4B3E">
        <w:rPr>
          <w:rStyle w:val="normaltextrun"/>
          <w:rFonts w:ascii="Calibri" w:eastAsiaTheme="majorEastAsia" w:hAnsi="Calibri" w:cs="Calibri"/>
          <w:sz w:val="22"/>
          <w:szCs w:val="22"/>
          <w:lang w:val="en-US"/>
        </w:rPr>
        <w:t>.  (accessed 7</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June 2025)</w:t>
      </w:r>
      <w:r w:rsidRPr="005B4B3E">
        <w:rPr>
          <w:rStyle w:val="eop"/>
          <w:rFonts w:ascii="Calibri" w:eastAsiaTheme="majorEastAsia" w:hAnsi="Calibri" w:cs="Calibri"/>
          <w:sz w:val="22"/>
          <w:szCs w:val="22"/>
        </w:rPr>
        <w:t> </w:t>
      </w:r>
    </w:p>
    <w:p w14:paraId="6E8890A2"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UNICEF, (2018) </w:t>
      </w:r>
      <w:hyperlink r:id="rId21" w:tgtFrame="_blank" w:history="1">
        <w:r w:rsidRPr="005B4B3E">
          <w:rPr>
            <w:rStyle w:val="normaltextrun"/>
            <w:rFonts w:ascii="Calibri" w:eastAsiaTheme="majorEastAsia" w:hAnsi="Calibri" w:cs="Calibri"/>
            <w:sz w:val="22"/>
            <w:szCs w:val="22"/>
            <w:u w:val="single"/>
            <w:lang w:val="en-US"/>
          </w:rPr>
          <w:t>https://www.unicef.org/sites/default/files/2018-12/UNICEF-Lego-Foundation-Learning-through-Play.pdf</w:t>
        </w:r>
      </w:hyperlink>
      <w:r w:rsidRPr="005B4B3E">
        <w:rPr>
          <w:rStyle w:val="normaltextrun"/>
          <w:rFonts w:ascii="Calibri" w:eastAsiaTheme="majorEastAsia" w:hAnsi="Calibri" w:cs="Calibri"/>
          <w:sz w:val="22"/>
          <w:szCs w:val="22"/>
          <w:lang w:val="en-US"/>
        </w:rPr>
        <w:t>   (accessed 23</w:t>
      </w:r>
      <w:r w:rsidRPr="005B4B3E">
        <w:rPr>
          <w:rStyle w:val="normaltextrun"/>
          <w:rFonts w:ascii="Calibri" w:eastAsiaTheme="majorEastAsia" w:hAnsi="Calibri" w:cs="Calibri"/>
          <w:sz w:val="17"/>
          <w:szCs w:val="17"/>
          <w:vertAlign w:val="superscript"/>
          <w:lang w:val="en-US"/>
        </w:rPr>
        <w:t>rd</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082182FA"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UNICEF rights, (2004) </w:t>
      </w:r>
      <w:hyperlink r:id="rId22" w:tgtFrame="_blank" w:history="1">
        <w:r w:rsidRPr="005B4B3E">
          <w:rPr>
            <w:rStyle w:val="normaltextrun"/>
            <w:rFonts w:ascii="Calibri" w:eastAsiaTheme="majorEastAsia" w:hAnsi="Calibri" w:cs="Calibri"/>
            <w:sz w:val="22"/>
            <w:szCs w:val="22"/>
            <w:u w:val="single"/>
            <w:lang w:val="en-US"/>
          </w:rPr>
          <w:t>https://www.unicef.org.uk/rights-respecting-schools/the-rrsa/the-right-to-education/</w:t>
        </w:r>
      </w:hyperlink>
      <w:r w:rsidRPr="005B4B3E">
        <w:rPr>
          <w:rStyle w:val="normaltextrun"/>
          <w:rFonts w:ascii="Calibri" w:eastAsiaTheme="majorEastAsia" w:hAnsi="Calibri" w:cs="Calibri"/>
          <w:sz w:val="22"/>
          <w:szCs w:val="22"/>
          <w:lang w:val="en-US"/>
        </w:rPr>
        <w:t>   (accessed 26</w:t>
      </w:r>
      <w:r w:rsidRPr="005B4B3E">
        <w:rPr>
          <w:rStyle w:val="normaltextrun"/>
          <w:rFonts w:ascii="Calibri" w:eastAsiaTheme="majorEastAsia" w:hAnsi="Calibri" w:cs="Calibri"/>
          <w:sz w:val="17"/>
          <w:szCs w:val="17"/>
          <w:vertAlign w:val="superscript"/>
          <w:lang w:val="en-US"/>
        </w:rPr>
        <w:t>th</w:t>
      </w:r>
      <w:r w:rsidRPr="005B4B3E">
        <w:rPr>
          <w:rStyle w:val="normaltextrun"/>
          <w:rFonts w:ascii="Calibri" w:eastAsiaTheme="majorEastAsia" w:hAnsi="Calibri" w:cs="Calibri"/>
          <w:sz w:val="22"/>
          <w:szCs w:val="22"/>
          <w:lang w:val="en-US"/>
        </w:rPr>
        <w:t xml:space="preserve"> May 2025)</w:t>
      </w:r>
      <w:r w:rsidRPr="005B4B3E">
        <w:rPr>
          <w:rStyle w:val="eop"/>
          <w:rFonts w:ascii="Calibri" w:eastAsiaTheme="majorEastAsia" w:hAnsi="Calibri" w:cs="Calibri"/>
          <w:sz w:val="22"/>
          <w:szCs w:val="22"/>
        </w:rPr>
        <w:t> </w:t>
      </w:r>
    </w:p>
    <w:p w14:paraId="08AA687F"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Welsh Government (2025). </w:t>
      </w:r>
      <w:r w:rsidRPr="005B4B3E">
        <w:rPr>
          <w:rStyle w:val="normaltextrun"/>
          <w:rFonts w:ascii="Calibri" w:eastAsiaTheme="majorEastAsia" w:hAnsi="Calibri" w:cs="Calibri"/>
          <w:i/>
          <w:iCs/>
          <w:sz w:val="22"/>
          <w:szCs w:val="22"/>
          <w:lang w:val="en-US"/>
        </w:rPr>
        <w:t>Early Childhood Play, Learning and Care in Wales</w:t>
      </w:r>
      <w:r w:rsidRPr="005B4B3E">
        <w:rPr>
          <w:rStyle w:val="normaltextrun"/>
          <w:rFonts w:ascii="Calibri" w:eastAsiaTheme="majorEastAsia" w:hAnsi="Calibri" w:cs="Calibri"/>
          <w:sz w:val="22"/>
          <w:szCs w:val="22"/>
          <w:lang w:val="en-US"/>
        </w:rPr>
        <w:t xml:space="preserve">. </w:t>
      </w:r>
      <w:hyperlink r:id="rId23" w:tgtFrame="_blank" w:history="1">
        <w:proofErr w:type="spellStart"/>
        <w:r w:rsidRPr="005B4B3E">
          <w:rPr>
            <w:rStyle w:val="normaltextrun"/>
            <w:rFonts w:ascii="Calibri" w:eastAsiaTheme="majorEastAsia" w:hAnsi="Calibri" w:cs="Calibri"/>
            <w:sz w:val="22"/>
            <w:szCs w:val="22"/>
            <w:u w:val="single"/>
            <w:lang w:val="en-US"/>
          </w:rPr>
          <w:t>Hwb.gov.wales</w:t>
        </w:r>
        <w:proofErr w:type="spellEnd"/>
      </w:hyperlink>
      <w:r w:rsidRPr="005B4B3E">
        <w:rPr>
          <w:rStyle w:val="eop"/>
          <w:rFonts w:ascii="Calibri" w:eastAsiaTheme="majorEastAsia" w:hAnsi="Calibri" w:cs="Calibri"/>
          <w:sz w:val="22"/>
          <w:szCs w:val="22"/>
        </w:rPr>
        <w:t> </w:t>
      </w:r>
    </w:p>
    <w:p w14:paraId="0C77820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Welsh Government (B) (2025). </w:t>
      </w:r>
      <w:r w:rsidRPr="005B4B3E">
        <w:rPr>
          <w:rStyle w:val="normaltextrun"/>
          <w:rFonts w:ascii="Calibri" w:eastAsiaTheme="majorEastAsia" w:hAnsi="Calibri" w:cs="Calibri"/>
          <w:i/>
          <w:iCs/>
          <w:sz w:val="22"/>
          <w:szCs w:val="22"/>
          <w:lang w:val="en-US"/>
        </w:rPr>
        <w:t>Early Childhood Play, Learning and Care in Wales</w:t>
      </w:r>
      <w:r w:rsidRPr="005B4B3E">
        <w:rPr>
          <w:rStyle w:val="normaltextrun"/>
          <w:rFonts w:ascii="Calibri" w:eastAsiaTheme="majorEastAsia" w:hAnsi="Calibri" w:cs="Calibri"/>
          <w:sz w:val="22"/>
          <w:szCs w:val="22"/>
          <w:lang w:val="en-US"/>
        </w:rPr>
        <w:t xml:space="preserve">. </w:t>
      </w:r>
      <w:hyperlink r:id="rId24" w:tgtFrame="_blank" w:history="1">
        <w:proofErr w:type="spellStart"/>
        <w:r w:rsidRPr="005B4B3E">
          <w:rPr>
            <w:rStyle w:val="normaltextrun"/>
            <w:rFonts w:ascii="Calibri" w:eastAsiaTheme="majorEastAsia" w:hAnsi="Calibri" w:cs="Calibri"/>
            <w:sz w:val="22"/>
            <w:szCs w:val="22"/>
            <w:u w:val="single"/>
            <w:lang w:val="en-US"/>
          </w:rPr>
          <w:t>Hwb.gov.wales</w:t>
        </w:r>
        <w:proofErr w:type="spellEnd"/>
      </w:hyperlink>
      <w:r w:rsidRPr="005B4B3E">
        <w:rPr>
          <w:rStyle w:val="eop"/>
          <w:rFonts w:ascii="Calibri" w:eastAsiaTheme="majorEastAsia" w:hAnsi="Calibri" w:cs="Calibri"/>
          <w:sz w:val="22"/>
          <w:szCs w:val="22"/>
        </w:rPr>
        <w:t> </w:t>
      </w:r>
    </w:p>
    <w:p w14:paraId="5FC4926C"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Weisberg, D. S.,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J. M., Hirsh-Pasek, 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R. M. (2016). </w:t>
      </w:r>
      <w:r w:rsidRPr="005B4B3E">
        <w:rPr>
          <w:rStyle w:val="normaltextrun"/>
          <w:rFonts w:ascii="Calibri" w:eastAsiaTheme="majorEastAsia" w:hAnsi="Calibri" w:cs="Calibri"/>
          <w:i/>
          <w:iCs/>
          <w:sz w:val="22"/>
          <w:szCs w:val="22"/>
          <w:lang w:val="en-US"/>
        </w:rPr>
        <w:t>Guided play: Where curricular goals meet a playful pedagogy</w:t>
      </w:r>
      <w:r w:rsidRPr="005B4B3E">
        <w:rPr>
          <w:rStyle w:val="normaltextrun"/>
          <w:rFonts w:ascii="Calibri" w:eastAsiaTheme="majorEastAsia" w:hAnsi="Calibri" w:cs="Calibri"/>
          <w:sz w:val="22"/>
          <w:szCs w:val="22"/>
          <w:lang w:val="en-US"/>
        </w:rPr>
        <w:t>. Mind, Brain, and Education.</w:t>
      </w:r>
      <w:r w:rsidRPr="005B4B3E">
        <w:rPr>
          <w:rStyle w:val="eop"/>
          <w:rFonts w:ascii="Calibri" w:eastAsiaTheme="majorEastAsia" w:hAnsi="Calibri" w:cs="Calibri"/>
          <w:sz w:val="22"/>
          <w:szCs w:val="22"/>
        </w:rPr>
        <w:t> </w:t>
      </w:r>
    </w:p>
    <w:p w14:paraId="13321C71"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rPr>
        <w:t> </w:t>
      </w:r>
    </w:p>
    <w:p w14:paraId="0479E16A"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Whitebread, D., Basilio, M., </w:t>
      </w:r>
      <w:proofErr w:type="spellStart"/>
      <w:r w:rsidRPr="005B4B3E">
        <w:rPr>
          <w:rStyle w:val="normaltextrun"/>
          <w:rFonts w:ascii="Calibri" w:eastAsiaTheme="majorEastAsia" w:hAnsi="Calibri" w:cs="Calibri"/>
          <w:sz w:val="22"/>
          <w:szCs w:val="22"/>
          <w:lang w:val="en-US"/>
        </w:rPr>
        <w:t>Kuvalja</w:t>
      </w:r>
      <w:proofErr w:type="spellEnd"/>
      <w:r w:rsidRPr="005B4B3E">
        <w:rPr>
          <w:rStyle w:val="normaltextrun"/>
          <w:rFonts w:ascii="Calibri" w:eastAsiaTheme="majorEastAsia" w:hAnsi="Calibri" w:cs="Calibri"/>
          <w:sz w:val="22"/>
          <w:szCs w:val="22"/>
          <w:lang w:val="en-US"/>
        </w:rPr>
        <w:t xml:space="preserve">, M., &amp; Verma, M. (2012). </w:t>
      </w:r>
      <w:r w:rsidRPr="005B4B3E">
        <w:rPr>
          <w:rStyle w:val="normaltextrun"/>
          <w:rFonts w:ascii="Calibri" w:eastAsiaTheme="majorEastAsia" w:hAnsi="Calibri" w:cs="Calibri"/>
          <w:i/>
          <w:iCs/>
          <w:sz w:val="22"/>
          <w:szCs w:val="22"/>
          <w:lang w:val="en-US"/>
        </w:rPr>
        <w:t>The Importance of Play: A Report on the Value of Children’s Play with a Series of Policy Recommendations</w:t>
      </w:r>
      <w:r w:rsidRPr="005B4B3E">
        <w:rPr>
          <w:rStyle w:val="normaltextrun"/>
          <w:rFonts w:ascii="Calibri" w:eastAsiaTheme="majorEastAsia" w:hAnsi="Calibri" w:cs="Calibri"/>
          <w:sz w:val="22"/>
          <w:szCs w:val="22"/>
          <w:lang w:val="en-US"/>
        </w:rPr>
        <w:t>. Toy Industries of Europe.</w:t>
      </w:r>
      <w:r w:rsidRPr="005B4B3E">
        <w:rPr>
          <w:rStyle w:val="eop"/>
          <w:rFonts w:ascii="Calibri" w:eastAsiaTheme="majorEastAsia" w:hAnsi="Calibri" w:cs="Calibri"/>
          <w:sz w:val="22"/>
          <w:szCs w:val="22"/>
        </w:rPr>
        <w:t> </w:t>
      </w:r>
    </w:p>
    <w:p w14:paraId="52C94220"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0DFA9C52"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West Sussex County council, (2021) </w:t>
      </w:r>
      <w:hyperlink r:id="rId25" w:tgtFrame="_blank" w:history="1">
        <w:r w:rsidRPr="005B4B3E">
          <w:rPr>
            <w:rStyle w:val="normaltextrun"/>
            <w:rFonts w:ascii="Calibri" w:eastAsiaTheme="majorEastAsia" w:hAnsi="Calibri" w:cs="Calibri"/>
            <w:sz w:val="22"/>
            <w:szCs w:val="22"/>
            <w:u w:val="single"/>
            <w:lang w:val="en-US"/>
          </w:rPr>
          <w:t>https://www.westsussex.gov.uk/media/5555/effective_poa_and_planning.pdf</w:t>
        </w:r>
      </w:hyperlink>
      <w:r w:rsidRPr="005B4B3E">
        <w:rPr>
          <w:rStyle w:val="normaltextrun"/>
          <w:rFonts w:ascii="Calibri" w:eastAsiaTheme="majorEastAsia" w:hAnsi="Calibri" w:cs="Calibri"/>
          <w:sz w:val="22"/>
          <w:szCs w:val="22"/>
          <w:lang w:val="en-US"/>
        </w:rPr>
        <w:t xml:space="preserve"> (accessed 3rd June 2025)</w:t>
      </w:r>
      <w:r w:rsidRPr="005B4B3E">
        <w:rPr>
          <w:rStyle w:val="eop"/>
          <w:rFonts w:ascii="Calibri" w:eastAsiaTheme="majorEastAsia" w:hAnsi="Calibri" w:cs="Calibri"/>
          <w:sz w:val="22"/>
          <w:szCs w:val="22"/>
        </w:rPr>
        <w:t> </w:t>
      </w:r>
    </w:p>
    <w:p w14:paraId="624BAF55"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West Sussex County council, (b) (2021) </w:t>
      </w:r>
      <w:hyperlink r:id="rId26" w:tgtFrame="_blank" w:history="1">
        <w:r w:rsidRPr="005B4B3E">
          <w:rPr>
            <w:rStyle w:val="normaltextrun"/>
            <w:rFonts w:ascii="Calibri" w:eastAsiaTheme="majorEastAsia" w:hAnsi="Calibri" w:cs="Calibri"/>
            <w:sz w:val="22"/>
            <w:szCs w:val="22"/>
            <w:u w:val="single"/>
            <w:lang w:val="en-US"/>
          </w:rPr>
          <w:t>https://www.westsussex.gov.uk/media/5555/effective_poa_and_planning.pdf</w:t>
        </w:r>
      </w:hyperlink>
      <w:r w:rsidRPr="005B4B3E">
        <w:rPr>
          <w:rStyle w:val="normaltextrun"/>
          <w:rFonts w:ascii="Calibri" w:eastAsiaTheme="majorEastAsia" w:hAnsi="Calibri" w:cs="Calibri"/>
          <w:sz w:val="22"/>
          <w:szCs w:val="22"/>
          <w:lang w:val="en-US"/>
        </w:rPr>
        <w:t xml:space="preserve"> (accessed 3rd June 2025)</w:t>
      </w:r>
      <w:r w:rsidRPr="005B4B3E">
        <w:rPr>
          <w:rStyle w:val="eop"/>
          <w:rFonts w:ascii="Calibri" w:eastAsiaTheme="majorEastAsia" w:hAnsi="Calibri" w:cs="Calibri"/>
          <w:sz w:val="22"/>
          <w:szCs w:val="22"/>
        </w:rPr>
        <w:t> </w:t>
      </w:r>
    </w:p>
    <w:p w14:paraId="0C923CE7"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Wood, E. (2013) </w:t>
      </w:r>
      <w:r w:rsidRPr="005B4B3E">
        <w:rPr>
          <w:rStyle w:val="normaltextrun"/>
          <w:rFonts w:ascii="Calibri" w:eastAsiaTheme="majorEastAsia" w:hAnsi="Calibri" w:cs="Calibri"/>
          <w:i/>
          <w:iCs/>
          <w:sz w:val="22"/>
          <w:szCs w:val="22"/>
          <w:lang w:val="en-US"/>
        </w:rPr>
        <w:t>Play, Learning and the Early Childhood Curriculum</w:t>
      </w:r>
      <w:r w:rsidRPr="005B4B3E">
        <w:rPr>
          <w:rStyle w:val="normaltextrun"/>
          <w:rFonts w:ascii="Calibri" w:eastAsiaTheme="majorEastAsia" w:hAnsi="Calibri" w:cs="Calibri"/>
          <w:sz w:val="22"/>
          <w:szCs w:val="22"/>
          <w:lang w:val="en-US"/>
        </w:rPr>
        <w:t xml:space="preserve">. 2nd </w:t>
      </w:r>
      <w:proofErr w:type="spellStart"/>
      <w:r w:rsidRPr="005B4B3E">
        <w:rPr>
          <w:rStyle w:val="normaltextrun"/>
          <w:rFonts w:ascii="Calibri" w:eastAsiaTheme="majorEastAsia" w:hAnsi="Calibri" w:cs="Calibri"/>
          <w:sz w:val="22"/>
          <w:szCs w:val="22"/>
          <w:lang w:val="en-US"/>
        </w:rPr>
        <w:t>edn</w:t>
      </w:r>
      <w:proofErr w:type="spellEnd"/>
      <w:r w:rsidRPr="005B4B3E">
        <w:rPr>
          <w:rStyle w:val="normaltextrun"/>
          <w:rFonts w:ascii="Calibri" w:eastAsiaTheme="majorEastAsia" w:hAnsi="Calibri" w:cs="Calibri"/>
          <w:sz w:val="22"/>
          <w:szCs w:val="22"/>
          <w:lang w:val="en-US"/>
        </w:rPr>
        <w:t>. London: SAGE Publications</w:t>
      </w:r>
      <w:r w:rsidRPr="005B4B3E">
        <w:rPr>
          <w:rStyle w:val="eop"/>
          <w:rFonts w:ascii="Calibri" w:eastAsiaTheme="majorEastAsia" w:hAnsi="Calibri" w:cs="Calibri"/>
          <w:sz w:val="22"/>
          <w:szCs w:val="22"/>
        </w:rPr>
        <w:t> </w:t>
      </w:r>
    </w:p>
    <w:p w14:paraId="61372868"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J. M., et al. (2022). </w:t>
      </w:r>
      <w:r w:rsidRPr="005B4B3E">
        <w:rPr>
          <w:rStyle w:val="normaltextrun"/>
          <w:rFonts w:ascii="Calibri" w:eastAsiaTheme="majorEastAsia" w:hAnsi="Calibri" w:cs="Calibri"/>
          <w:i/>
          <w:iCs/>
          <w:sz w:val="22"/>
          <w:szCs w:val="22"/>
          <w:lang w:val="en-US"/>
        </w:rPr>
        <w:t>The power of play: A research summary on play and learning</w:t>
      </w:r>
      <w:r w:rsidRPr="005B4B3E">
        <w:rPr>
          <w:rStyle w:val="normaltextrun"/>
          <w:rFonts w:ascii="Calibri" w:eastAsiaTheme="majorEastAsia" w:hAnsi="Calibri" w:cs="Calibri"/>
          <w:sz w:val="22"/>
          <w:szCs w:val="22"/>
          <w:lang w:val="en-US"/>
        </w:rPr>
        <w:t>. The LEGO Foundation</w:t>
      </w:r>
      <w:r w:rsidRPr="005B4B3E">
        <w:rPr>
          <w:rStyle w:val="normaltextrun"/>
          <w:rFonts w:ascii="Segoe UI" w:eastAsiaTheme="majorEastAsia" w:hAnsi="Segoe UI" w:cs="Segoe UI"/>
          <w:lang w:val="en-US"/>
        </w:rPr>
        <w:t>.</w:t>
      </w:r>
      <w:r w:rsidRPr="005B4B3E">
        <w:rPr>
          <w:rStyle w:val="eop"/>
          <w:rFonts w:ascii="Segoe UI" w:eastAsiaTheme="majorEastAsia" w:hAnsi="Segoe UI" w:cs="Segoe UI"/>
        </w:rPr>
        <w:t> </w:t>
      </w:r>
    </w:p>
    <w:p w14:paraId="1C160A5B" w14:textId="77777777" w:rsid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J. M., et al.(B) (2022). </w:t>
      </w:r>
      <w:r w:rsidRPr="005B4B3E">
        <w:rPr>
          <w:rStyle w:val="normaltextrun"/>
          <w:rFonts w:ascii="Calibri" w:eastAsiaTheme="majorEastAsia" w:hAnsi="Calibri" w:cs="Calibri"/>
          <w:i/>
          <w:iCs/>
          <w:sz w:val="22"/>
          <w:szCs w:val="22"/>
          <w:lang w:val="en-US"/>
        </w:rPr>
        <w:t>The power of play: A research summary on play and learning</w:t>
      </w:r>
      <w:r w:rsidRPr="005B4B3E">
        <w:rPr>
          <w:rStyle w:val="normaltextrun"/>
          <w:rFonts w:ascii="Calibri" w:eastAsiaTheme="majorEastAsia" w:hAnsi="Calibri" w:cs="Calibri"/>
          <w:sz w:val="22"/>
          <w:szCs w:val="22"/>
          <w:lang w:val="en-US"/>
        </w:rPr>
        <w:t>. The LEGO Foundation.</w:t>
      </w:r>
      <w:r>
        <w:rPr>
          <w:rStyle w:val="eop"/>
          <w:rFonts w:ascii="Calibri" w:eastAsiaTheme="majorEastAsia" w:hAnsi="Calibri" w:cs="Calibri"/>
          <w:sz w:val="22"/>
          <w:szCs w:val="22"/>
        </w:rPr>
        <w:t> </w:t>
      </w:r>
    </w:p>
    <w:p w14:paraId="37FD3C24" w14:textId="77777777" w:rsidR="00B4440B" w:rsidRPr="00904DD1" w:rsidRDefault="00B4440B">
      <w:pPr>
        <w:rPr>
          <w:u w:val="single"/>
        </w:rPr>
      </w:pPr>
    </w:p>
    <w:sectPr w:rsidR="00B4440B" w:rsidRPr="00904DD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6B01D" w14:textId="77777777" w:rsidR="007F5821" w:rsidRDefault="007F5821" w:rsidP="00DA4128">
      <w:pPr>
        <w:spacing w:after="0" w:line="240" w:lineRule="auto"/>
      </w:pPr>
      <w:r>
        <w:separator/>
      </w:r>
    </w:p>
  </w:endnote>
  <w:endnote w:type="continuationSeparator" w:id="0">
    <w:p w14:paraId="7300A532" w14:textId="77777777" w:rsidR="007F5821" w:rsidRDefault="007F5821" w:rsidP="00DA4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86FF5" w14:textId="77777777" w:rsidR="007F5821" w:rsidRDefault="007F5821" w:rsidP="00DA4128">
      <w:pPr>
        <w:spacing w:after="0" w:line="240" w:lineRule="auto"/>
      </w:pPr>
      <w:r>
        <w:separator/>
      </w:r>
    </w:p>
  </w:footnote>
  <w:footnote w:type="continuationSeparator" w:id="0">
    <w:p w14:paraId="4BAB4EF9" w14:textId="77777777" w:rsidR="007F5821" w:rsidRDefault="007F5821" w:rsidP="00DA4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8EDAF" w14:textId="26E05858" w:rsidR="00DA4128" w:rsidRDefault="00DA4128">
    <w:pPr>
      <w:pStyle w:val="Header"/>
    </w:pPr>
    <w:r>
      <w:t>Katie Thomas 2307138                                              ECEY6010</w:t>
    </w:r>
  </w:p>
  <w:p w14:paraId="57650518" w14:textId="0E60B18D" w:rsidR="00DA4128" w:rsidRDefault="00DA4128">
    <w:pPr>
      <w:pStyle w:val="Header"/>
    </w:pPr>
    <w:r>
      <w:t>Word count:</w:t>
    </w:r>
    <w:r w:rsidR="005B4B3E">
      <w:t>3603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41B7"/>
    <w:multiLevelType w:val="multilevel"/>
    <w:tmpl w:val="794AA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D1071A"/>
    <w:multiLevelType w:val="multilevel"/>
    <w:tmpl w:val="3208A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952EEC"/>
    <w:multiLevelType w:val="multilevel"/>
    <w:tmpl w:val="8DA8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A346E1"/>
    <w:multiLevelType w:val="multilevel"/>
    <w:tmpl w:val="D11E2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3F14D4"/>
    <w:multiLevelType w:val="multilevel"/>
    <w:tmpl w:val="5704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45510"/>
    <w:multiLevelType w:val="multilevel"/>
    <w:tmpl w:val="122A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1425A2"/>
    <w:multiLevelType w:val="multilevel"/>
    <w:tmpl w:val="DA965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1558F2"/>
    <w:multiLevelType w:val="multilevel"/>
    <w:tmpl w:val="1278E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940D95"/>
    <w:multiLevelType w:val="multilevel"/>
    <w:tmpl w:val="8B2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570BB3"/>
    <w:multiLevelType w:val="multilevel"/>
    <w:tmpl w:val="E8189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1B6E41"/>
    <w:multiLevelType w:val="multilevel"/>
    <w:tmpl w:val="0F06B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CF2103"/>
    <w:multiLevelType w:val="multilevel"/>
    <w:tmpl w:val="4056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AB21F9"/>
    <w:multiLevelType w:val="multilevel"/>
    <w:tmpl w:val="2188B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25B7D0A"/>
    <w:multiLevelType w:val="multilevel"/>
    <w:tmpl w:val="71E0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17031A"/>
    <w:multiLevelType w:val="multilevel"/>
    <w:tmpl w:val="395E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D00B71"/>
    <w:multiLevelType w:val="multilevel"/>
    <w:tmpl w:val="59AA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EE4912"/>
    <w:multiLevelType w:val="multilevel"/>
    <w:tmpl w:val="E79A9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0321544">
    <w:abstractNumId w:val="3"/>
  </w:num>
  <w:num w:numId="2" w16cid:durableId="1591620657">
    <w:abstractNumId w:val="13"/>
  </w:num>
  <w:num w:numId="3" w16cid:durableId="1631589266">
    <w:abstractNumId w:val="15"/>
  </w:num>
  <w:num w:numId="4" w16cid:durableId="1582326694">
    <w:abstractNumId w:val="11"/>
  </w:num>
  <w:num w:numId="5" w16cid:durableId="717629464">
    <w:abstractNumId w:val="6"/>
  </w:num>
  <w:num w:numId="6" w16cid:durableId="748697517">
    <w:abstractNumId w:val="5"/>
  </w:num>
  <w:num w:numId="7" w16cid:durableId="815679325">
    <w:abstractNumId w:val="2"/>
  </w:num>
  <w:num w:numId="8" w16cid:durableId="494224902">
    <w:abstractNumId w:val="14"/>
  </w:num>
  <w:num w:numId="9" w16cid:durableId="1732119725">
    <w:abstractNumId w:val="9"/>
  </w:num>
  <w:num w:numId="10" w16cid:durableId="186991343">
    <w:abstractNumId w:val="0"/>
  </w:num>
  <w:num w:numId="11" w16cid:durableId="330446724">
    <w:abstractNumId w:val="12"/>
  </w:num>
  <w:num w:numId="12" w16cid:durableId="789781191">
    <w:abstractNumId w:val="16"/>
  </w:num>
  <w:num w:numId="13" w16cid:durableId="1535925385">
    <w:abstractNumId w:val="10"/>
  </w:num>
  <w:num w:numId="14" w16cid:durableId="1610314487">
    <w:abstractNumId w:val="7"/>
  </w:num>
  <w:num w:numId="15" w16cid:durableId="1168132141">
    <w:abstractNumId w:val="4"/>
  </w:num>
  <w:num w:numId="16" w16cid:durableId="1515073058">
    <w:abstractNumId w:val="1"/>
  </w:num>
  <w:num w:numId="17" w16cid:durableId="16832447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28"/>
    <w:rsid w:val="00043400"/>
    <w:rsid w:val="00045F98"/>
    <w:rsid w:val="00053164"/>
    <w:rsid w:val="00076E2D"/>
    <w:rsid w:val="000A4200"/>
    <w:rsid w:val="000C336B"/>
    <w:rsid w:val="001B4E86"/>
    <w:rsid w:val="001C5A8F"/>
    <w:rsid w:val="00204A42"/>
    <w:rsid w:val="00211F0F"/>
    <w:rsid w:val="00273250"/>
    <w:rsid w:val="002E23B4"/>
    <w:rsid w:val="002E7F10"/>
    <w:rsid w:val="00305699"/>
    <w:rsid w:val="003163D7"/>
    <w:rsid w:val="0032601C"/>
    <w:rsid w:val="00362731"/>
    <w:rsid w:val="00364EC3"/>
    <w:rsid w:val="00383B2A"/>
    <w:rsid w:val="003B0860"/>
    <w:rsid w:val="003F1720"/>
    <w:rsid w:val="00411735"/>
    <w:rsid w:val="004205F0"/>
    <w:rsid w:val="004246D4"/>
    <w:rsid w:val="004608AD"/>
    <w:rsid w:val="004D51A6"/>
    <w:rsid w:val="00545944"/>
    <w:rsid w:val="00560186"/>
    <w:rsid w:val="00572D53"/>
    <w:rsid w:val="005B4B3E"/>
    <w:rsid w:val="005E7A62"/>
    <w:rsid w:val="006237AE"/>
    <w:rsid w:val="006C45E2"/>
    <w:rsid w:val="007A0F75"/>
    <w:rsid w:val="007C4539"/>
    <w:rsid w:val="007E1C47"/>
    <w:rsid w:val="007F000C"/>
    <w:rsid w:val="007F5821"/>
    <w:rsid w:val="00835148"/>
    <w:rsid w:val="00843AD0"/>
    <w:rsid w:val="00883208"/>
    <w:rsid w:val="00904DD1"/>
    <w:rsid w:val="0090580A"/>
    <w:rsid w:val="00914947"/>
    <w:rsid w:val="0093777A"/>
    <w:rsid w:val="009504D0"/>
    <w:rsid w:val="0096058C"/>
    <w:rsid w:val="009D1A6B"/>
    <w:rsid w:val="009D32E0"/>
    <w:rsid w:val="009D5BED"/>
    <w:rsid w:val="00A66DFD"/>
    <w:rsid w:val="00A95D0F"/>
    <w:rsid w:val="00AA1446"/>
    <w:rsid w:val="00AF5E7F"/>
    <w:rsid w:val="00B4440B"/>
    <w:rsid w:val="00B46970"/>
    <w:rsid w:val="00B87027"/>
    <w:rsid w:val="00B930AA"/>
    <w:rsid w:val="00B96FEB"/>
    <w:rsid w:val="00BC079A"/>
    <w:rsid w:val="00BD45B4"/>
    <w:rsid w:val="00C0726E"/>
    <w:rsid w:val="00C222F9"/>
    <w:rsid w:val="00C77AA0"/>
    <w:rsid w:val="00C84BAA"/>
    <w:rsid w:val="00C97B15"/>
    <w:rsid w:val="00CD4A99"/>
    <w:rsid w:val="00CE7E5E"/>
    <w:rsid w:val="00CF68DA"/>
    <w:rsid w:val="00D84BEC"/>
    <w:rsid w:val="00D9166C"/>
    <w:rsid w:val="00DA4128"/>
    <w:rsid w:val="00E03B2C"/>
    <w:rsid w:val="00E210CC"/>
    <w:rsid w:val="00E91329"/>
    <w:rsid w:val="00F6468B"/>
    <w:rsid w:val="00FD4021"/>
    <w:rsid w:val="00FE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D2334"/>
  <w15:chartTrackingRefBased/>
  <w15:docId w15:val="{0860F289-36E1-4632-994D-7A044D639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1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41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41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41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41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4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1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41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41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41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41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4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128"/>
    <w:rPr>
      <w:rFonts w:eastAsiaTheme="majorEastAsia" w:cstheme="majorBidi"/>
      <w:color w:val="272727" w:themeColor="text1" w:themeTint="D8"/>
    </w:rPr>
  </w:style>
  <w:style w:type="paragraph" w:styleId="Title">
    <w:name w:val="Title"/>
    <w:basedOn w:val="Normal"/>
    <w:next w:val="Normal"/>
    <w:link w:val="TitleChar"/>
    <w:uiPriority w:val="10"/>
    <w:qFormat/>
    <w:rsid w:val="00DA4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128"/>
    <w:pPr>
      <w:spacing w:before="160"/>
      <w:jc w:val="center"/>
    </w:pPr>
    <w:rPr>
      <w:i/>
      <w:iCs/>
      <w:color w:val="404040" w:themeColor="text1" w:themeTint="BF"/>
    </w:rPr>
  </w:style>
  <w:style w:type="character" w:customStyle="1" w:styleId="QuoteChar">
    <w:name w:val="Quote Char"/>
    <w:basedOn w:val="DefaultParagraphFont"/>
    <w:link w:val="Quote"/>
    <w:uiPriority w:val="29"/>
    <w:rsid w:val="00DA4128"/>
    <w:rPr>
      <w:i/>
      <w:iCs/>
      <w:color w:val="404040" w:themeColor="text1" w:themeTint="BF"/>
    </w:rPr>
  </w:style>
  <w:style w:type="paragraph" w:styleId="ListParagraph">
    <w:name w:val="List Paragraph"/>
    <w:basedOn w:val="Normal"/>
    <w:uiPriority w:val="34"/>
    <w:qFormat/>
    <w:rsid w:val="00DA4128"/>
    <w:pPr>
      <w:ind w:left="720"/>
      <w:contextualSpacing/>
    </w:pPr>
  </w:style>
  <w:style w:type="character" w:styleId="IntenseEmphasis">
    <w:name w:val="Intense Emphasis"/>
    <w:basedOn w:val="DefaultParagraphFont"/>
    <w:uiPriority w:val="21"/>
    <w:qFormat/>
    <w:rsid w:val="00DA4128"/>
    <w:rPr>
      <w:i/>
      <w:iCs/>
      <w:color w:val="2F5496" w:themeColor="accent1" w:themeShade="BF"/>
    </w:rPr>
  </w:style>
  <w:style w:type="paragraph" w:styleId="IntenseQuote">
    <w:name w:val="Intense Quote"/>
    <w:basedOn w:val="Normal"/>
    <w:next w:val="Normal"/>
    <w:link w:val="IntenseQuoteChar"/>
    <w:uiPriority w:val="30"/>
    <w:qFormat/>
    <w:rsid w:val="00DA41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4128"/>
    <w:rPr>
      <w:i/>
      <w:iCs/>
      <w:color w:val="2F5496" w:themeColor="accent1" w:themeShade="BF"/>
    </w:rPr>
  </w:style>
  <w:style w:type="character" w:styleId="IntenseReference">
    <w:name w:val="Intense Reference"/>
    <w:basedOn w:val="DefaultParagraphFont"/>
    <w:uiPriority w:val="32"/>
    <w:qFormat/>
    <w:rsid w:val="00DA4128"/>
    <w:rPr>
      <w:b/>
      <w:bCs/>
      <w:smallCaps/>
      <w:color w:val="2F5496" w:themeColor="accent1" w:themeShade="BF"/>
      <w:spacing w:val="5"/>
    </w:rPr>
  </w:style>
  <w:style w:type="paragraph" w:styleId="Header">
    <w:name w:val="header"/>
    <w:basedOn w:val="Normal"/>
    <w:link w:val="HeaderChar"/>
    <w:uiPriority w:val="99"/>
    <w:unhideWhenUsed/>
    <w:rsid w:val="00DA4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128"/>
  </w:style>
  <w:style w:type="paragraph" w:styleId="Footer">
    <w:name w:val="footer"/>
    <w:basedOn w:val="Normal"/>
    <w:link w:val="FooterChar"/>
    <w:uiPriority w:val="99"/>
    <w:unhideWhenUsed/>
    <w:rsid w:val="00DA4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128"/>
  </w:style>
  <w:style w:type="character" w:styleId="Hyperlink">
    <w:name w:val="Hyperlink"/>
    <w:basedOn w:val="DefaultParagraphFont"/>
    <w:uiPriority w:val="99"/>
    <w:unhideWhenUsed/>
    <w:rsid w:val="00904DD1"/>
    <w:rPr>
      <w:color w:val="0563C1" w:themeColor="hyperlink"/>
      <w:u w:val="single"/>
    </w:rPr>
  </w:style>
  <w:style w:type="character" w:styleId="UnresolvedMention">
    <w:name w:val="Unresolved Mention"/>
    <w:basedOn w:val="DefaultParagraphFont"/>
    <w:uiPriority w:val="99"/>
    <w:semiHidden/>
    <w:unhideWhenUsed/>
    <w:rsid w:val="00904DD1"/>
    <w:rPr>
      <w:color w:val="605E5C"/>
      <w:shd w:val="clear" w:color="auto" w:fill="E1DFDD"/>
    </w:rPr>
  </w:style>
  <w:style w:type="paragraph" w:customStyle="1" w:styleId="paragraph">
    <w:name w:val="paragraph"/>
    <w:basedOn w:val="Normal"/>
    <w:rsid w:val="00211F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11F0F"/>
  </w:style>
  <w:style w:type="character" w:customStyle="1" w:styleId="eop">
    <w:name w:val="eop"/>
    <w:basedOn w:val="DefaultParagraphFont"/>
    <w:rsid w:val="00211F0F"/>
  </w:style>
  <w:style w:type="character" w:styleId="Emphasis">
    <w:name w:val="Emphasis"/>
    <w:basedOn w:val="DefaultParagraphFont"/>
    <w:uiPriority w:val="20"/>
    <w:qFormat/>
    <w:rsid w:val="00CF68DA"/>
    <w:rPr>
      <w:i/>
      <w:iCs/>
    </w:rPr>
  </w:style>
  <w:style w:type="character" w:customStyle="1" w:styleId="scxw175853574">
    <w:name w:val="scxw175853574"/>
    <w:basedOn w:val="DefaultParagraphFont"/>
    <w:rsid w:val="005B4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24354">
      <w:bodyDiv w:val="1"/>
      <w:marLeft w:val="0"/>
      <w:marRight w:val="0"/>
      <w:marTop w:val="0"/>
      <w:marBottom w:val="0"/>
      <w:divBdr>
        <w:top w:val="none" w:sz="0" w:space="0" w:color="auto"/>
        <w:left w:val="none" w:sz="0" w:space="0" w:color="auto"/>
        <w:bottom w:val="none" w:sz="0" w:space="0" w:color="auto"/>
        <w:right w:val="none" w:sz="0" w:space="0" w:color="auto"/>
      </w:divBdr>
    </w:div>
    <w:div w:id="215092083">
      <w:bodyDiv w:val="1"/>
      <w:marLeft w:val="0"/>
      <w:marRight w:val="0"/>
      <w:marTop w:val="0"/>
      <w:marBottom w:val="0"/>
      <w:divBdr>
        <w:top w:val="none" w:sz="0" w:space="0" w:color="auto"/>
        <w:left w:val="none" w:sz="0" w:space="0" w:color="auto"/>
        <w:bottom w:val="none" w:sz="0" w:space="0" w:color="auto"/>
        <w:right w:val="none" w:sz="0" w:space="0" w:color="auto"/>
      </w:divBdr>
    </w:div>
    <w:div w:id="219754288">
      <w:bodyDiv w:val="1"/>
      <w:marLeft w:val="0"/>
      <w:marRight w:val="0"/>
      <w:marTop w:val="0"/>
      <w:marBottom w:val="0"/>
      <w:divBdr>
        <w:top w:val="none" w:sz="0" w:space="0" w:color="auto"/>
        <w:left w:val="none" w:sz="0" w:space="0" w:color="auto"/>
        <w:bottom w:val="none" w:sz="0" w:space="0" w:color="auto"/>
        <w:right w:val="none" w:sz="0" w:space="0" w:color="auto"/>
      </w:divBdr>
    </w:div>
    <w:div w:id="398331742">
      <w:bodyDiv w:val="1"/>
      <w:marLeft w:val="0"/>
      <w:marRight w:val="0"/>
      <w:marTop w:val="0"/>
      <w:marBottom w:val="0"/>
      <w:divBdr>
        <w:top w:val="none" w:sz="0" w:space="0" w:color="auto"/>
        <w:left w:val="none" w:sz="0" w:space="0" w:color="auto"/>
        <w:bottom w:val="none" w:sz="0" w:space="0" w:color="auto"/>
        <w:right w:val="none" w:sz="0" w:space="0" w:color="auto"/>
      </w:divBdr>
    </w:div>
    <w:div w:id="543061045">
      <w:bodyDiv w:val="1"/>
      <w:marLeft w:val="0"/>
      <w:marRight w:val="0"/>
      <w:marTop w:val="0"/>
      <w:marBottom w:val="0"/>
      <w:divBdr>
        <w:top w:val="none" w:sz="0" w:space="0" w:color="auto"/>
        <w:left w:val="none" w:sz="0" w:space="0" w:color="auto"/>
        <w:bottom w:val="none" w:sz="0" w:space="0" w:color="auto"/>
        <w:right w:val="none" w:sz="0" w:space="0" w:color="auto"/>
      </w:divBdr>
    </w:div>
    <w:div w:id="656230341">
      <w:bodyDiv w:val="1"/>
      <w:marLeft w:val="0"/>
      <w:marRight w:val="0"/>
      <w:marTop w:val="0"/>
      <w:marBottom w:val="0"/>
      <w:divBdr>
        <w:top w:val="none" w:sz="0" w:space="0" w:color="auto"/>
        <w:left w:val="none" w:sz="0" w:space="0" w:color="auto"/>
        <w:bottom w:val="none" w:sz="0" w:space="0" w:color="auto"/>
        <w:right w:val="none" w:sz="0" w:space="0" w:color="auto"/>
      </w:divBdr>
    </w:div>
    <w:div w:id="836110993">
      <w:bodyDiv w:val="1"/>
      <w:marLeft w:val="0"/>
      <w:marRight w:val="0"/>
      <w:marTop w:val="0"/>
      <w:marBottom w:val="0"/>
      <w:divBdr>
        <w:top w:val="none" w:sz="0" w:space="0" w:color="auto"/>
        <w:left w:val="none" w:sz="0" w:space="0" w:color="auto"/>
        <w:bottom w:val="none" w:sz="0" w:space="0" w:color="auto"/>
        <w:right w:val="none" w:sz="0" w:space="0" w:color="auto"/>
      </w:divBdr>
      <w:divsChild>
        <w:div w:id="562373223">
          <w:marLeft w:val="0"/>
          <w:marRight w:val="0"/>
          <w:marTop w:val="0"/>
          <w:marBottom w:val="0"/>
          <w:divBdr>
            <w:top w:val="none" w:sz="0" w:space="0" w:color="auto"/>
            <w:left w:val="none" w:sz="0" w:space="0" w:color="auto"/>
            <w:bottom w:val="none" w:sz="0" w:space="0" w:color="auto"/>
            <w:right w:val="none" w:sz="0" w:space="0" w:color="auto"/>
          </w:divBdr>
        </w:div>
        <w:div w:id="1657803819">
          <w:marLeft w:val="0"/>
          <w:marRight w:val="0"/>
          <w:marTop w:val="0"/>
          <w:marBottom w:val="0"/>
          <w:divBdr>
            <w:top w:val="none" w:sz="0" w:space="0" w:color="auto"/>
            <w:left w:val="none" w:sz="0" w:space="0" w:color="auto"/>
            <w:bottom w:val="none" w:sz="0" w:space="0" w:color="auto"/>
            <w:right w:val="none" w:sz="0" w:space="0" w:color="auto"/>
          </w:divBdr>
        </w:div>
        <w:div w:id="945040377">
          <w:marLeft w:val="0"/>
          <w:marRight w:val="0"/>
          <w:marTop w:val="0"/>
          <w:marBottom w:val="0"/>
          <w:divBdr>
            <w:top w:val="none" w:sz="0" w:space="0" w:color="auto"/>
            <w:left w:val="none" w:sz="0" w:space="0" w:color="auto"/>
            <w:bottom w:val="none" w:sz="0" w:space="0" w:color="auto"/>
            <w:right w:val="none" w:sz="0" w:space="0" w:color="auto"/>
          </w:divBdr>
        </w:div>
        <w:div w:id="1981153800">
          <w:marLeft w:val="0"/>
          <w:marRight w:val="0"/>
          <w:marTop w:val="0"/>
          <w:marBottom w:val="0"/>
          <w:divBdr>
            <w:top w:val="none" w:sz="0" w:space="0" w:color="auto"/>
            <w:left w:val="none" w:sz="0" w:space="0" w:color="auto"/>
            <w:bottom w:val="none" w:sz="0" w:space="0" w:color="auto"/>
            <w:right w:val="none" w:sz="0" w:space="0" w:color="auto"/>
          </w:divBdr>
        </w:div>
        <w:div w:id="1716199750">
          <w:marLeft w:val="0"/>
          <w:marRight w:val="0"/>
          <w:marTop w:val="0"/>
          <w:marBottom w:val="0"/>
          <w:divBdr>
            <w:top w:val="none" w:sz="0" w:space="0" w:color="auto"/>
            <w:left w:val="none" w:sz="0" w:space="0" w:color="auto"/>
            <w:bottom w:val="none" w:sz="0" w:space="0" w:color="auto"/>
            <w:right w:val="none" w:sz="0" w:space="0" w:color="auto"/>
          </w:divBdr>
        </w:div>
        <w:div w:id="416440924">
          <w:marLeft w:val="0"/>
          <w:marRight w:val="0"/>
          <w:marTop w:val="0"/>
          <w:marBottom w:val="0"/>
          <w:divBdr>
            <w:top w:val="none" w:sz="0" w:space="0" w:color="auto"/>
            <w:left w:val="none" w:sz="0" w:space="0" w:color="auto"/>
            <w:bottom w:val="none" w:sz="0" w:space="0" w:color="auto"/>
            <w:right w:val="none" w:sz="0" w:space="0" w:color="auto"/>
          </w:divBdr>
        </w:div>
        <w:div w:id="441656889">
          <w:marLeft w:val="0"/>
          <w:marRight w:val="0"/>
          <w:marTop w:val="0"/>
          <w:marBottom w:val="0"/>
          <w:divBdr>
            <w:top w:val="none" w:sz="0" w:space="0" w:color="auto"/>
            <w:left w:val="none" w:sz="0" w:space="0" w:color="auto"/>
            <w:bottom w:val="none" w:sz="0" w:space="0" w:color="auto"/>
            <w:right w:val="none" w:sz="0" w:space="0" w:color="auto"/>
          </w:divBdr>
        </w:div>
        <w:div w:id="1971475694">
          <w:marLeft w:val="0"/>
          <w:marRight w:val="0"/>
          <w:marTop w:val="0"/>
          <w:marBottom w:val="0"/>
          <w:divBdr>
            <w:top w:val="none" w:sz="0" w:space="0" w:color="auto"/>
            <w:left w:val="none" w:sz="0" w:space="0" w:color="auto"/>
            <w:bottom w:val="none" w:sz="0" w:space="0" w:color="auto"/>
            <w:right w:val="none" w:sz="0" w:space="0" w:color="auto"/>
          </w:divBdr>
        </w:div>
        <w:div w:id="1212839938">
          <w:marLeft w:val="0"/>
          <w:marRight w:val="0"/>
          <w:marTop w:val="0"/>
          <w:marBottom w:val="0"/>
          <w:divBdr>
            <w:top w:val="none" w:sz="0" w:space="0" w:color="auto"/>
            <w:left w:val="none" w:sz="0" w:space="0" w:color="auto"/>
            <w:bottom w:val="none" w:sz="0" w:space="0" w:color="auto"/>
            <w:right w:val="none" w:sz="0" w:space="0" w:color="auto"/>
          </w:divBdr>
        </w:div>
        <w:div w:id="315651278">
          <w:marLeft w:val="0"/>
          <w:marRight w:val="0"/>
          <w:marTop w:val="0"/>
          <w:marBottom w:val="0"/>
          <w:divBdr>
            <w:top w:val="none" w:sz="0" w:space="0" w:color="auto"/>
            <w:left w:val="none" w:sz="0" w:space="0" w:color="auto"/>
            <w:bottom w:val="none" w:sz="0" w:space="0" w:color="auto"/>
            <w:right w:val="none" w:sz="0" w:space="0" w:color="auto"/>
          </w:divBdr>
        </w:div>
        <w:div w:id="475490081">
          <w:marLeft w:val="0"/>
          <w:marRight w:val="0"/>
          <w:marTop w:val="0"/>
          <w:marBottom w:val="0"/>
          <w:divBdr>
            <w:top w:val="none" w:sz="0" w:space="0" w:color="auto"/>
            <w:left w:val="none" w:sz="0" w:space="0" w:color="auto"/>
            <w:bottom w:val="none" w:sz="0" w:space="0" w:color="auto"/>
            <w:right w:val="none" w:sz="0" w:space="0" w:color="auto"/>
          </w:divBdr>
        </w:div>
        <w:div w:id="1995210139">
          <w:marLeft w:val="0"/>
          <w:marRight w:val="0"/>
          <w:marTop w:val="0"/>
          <w:marBottom w:val="0"/>
          <w:divBdr>
            <w:top w:val="none" w:sz="0" w:space="0" w:color="auto"/>
            <w:left w:val="none" w:sz="0" w:space="0" w:color="auto"/>
            <w:bottom w:val="none" w:sz="0" w:space="0" w:color="auto"/>
            <w:right w:val="none" w:sz="0" w:space="0" w:color="auto"/>
          </w:divBdr>
        </w:div>
        <w:div w:id="1127240112">
          <w:marLeft w:val="0"/>
          <w:marRight w:val="0"/>
          <w:marTop w:val="0"/>
          <w:marBottom w:val="0"/>
          <w:divBdr>
            <w:top w:val="none" w:sz="0" w:space="0" w:color="auto"/>
            <w:left w:val="none" w:sz="0" w:space="0" w:color="auto"/>
            <w:bottom w:val="none" w:sz="0" w:space="0" w:color="auto"/>
            <w:right w:val="none" w:sz="0" w:space="0" w:color="auto"/>
          </w:divBdr>
        </w:div>
        <w:div w:id="2036998611">
          <w:marLeft w:val="0"/>
          <w:marRight w:val="0"/>
          <w:marTop w:val="0"/>
          <w:marBottom w:val="0"/>
          <w:divBdr>
            <w:top w:val="none" w:sz="0" w:space="0" w:color="auto"/>
            <w:left w:val="none" w:sz="0" w:space="0" w:color="auto"/>
            <w:bottom w:val="none" w:sz="0" w:space="0" w:color="auto"/>
            <w:right w:val="none" w:sz="0" w:space="0" w:color="auto"/>
          </w:divBdr>
        </w:div>
        <w:div w:id="1043988827">
          <w:marLeft w:val="0"/>
          <w:marRight w:val="0"/>
          <w:marTop w:val="0"/>
          <w:marBottom w:val="0"/>
          <w:divBdr>
            <w:top w:val="none" w:sz="0" w:space="0" w:color="auto"/>
            <w:left w:val="none" w:sz="0" w:space="0" w:color="auto"/>
            <w:bottom w:val="none" w:sz="0" w:space="0" w:color="auto"/>
            <w:right w:val="none" w:sz="0" w:space="0" w:color="auto"/>
          </w:divBdr>
        </w:div>
        <w:div w:id="2100758758">
          <w:marLeft w:val="0"/>
          <w:marRight w:val="0"/>
          <w:marTop w:val="0"/>
          <w:marBottom w:val="0"/>
          <w:divBdr>
            <w:top w:val="none" w:sz="0" w:space="0" w:color="auto"/>
            <w:left w:val="none" w:sz="0" w:space="0" w:color="auto"/>
            <w:bottom w:val="none" w:sz="0" w:space="0" w:color="auto"/>
            <w:right w:val="none" w:sz="0" w:space="0" w:color="auto"/>
          </w:divBdr>
        </w:div>
        <w:div w:id="1552810878">
          <w:marLeft w:val="0"/>
          <w:marRight w:val="0"/>
          <w:marTop w:val="0"/>
          <w:marBottom w:val="0"/>
          <w:divBdr>
            <w:top w:val="none" w:sz="0" w:space="0" w:color="auto"/>
            <w:left w:val="none" w:sz="0" w:space="0" w:color="auto"/>
            <w:bottom w:val="none" w:sz="0" w:space="0" w:color="auto"/>
            <w:right w:val="none" w:sz="0" w:space="0" w:color="auto"/>
          </w:divBdr>
        </w:div>
        <w:div w:id="162941339">
          <w:marLeft w:val="0"/>
          <w:marRight w:val="0"/>
          <w:marTop w:val="0"/>
          <w:marBottom w:val="0"/>
          <w:divBdr>
            <w:top w:val="none" w:sz="0" w:space="0" w:color="auto"/>
            <w:left w:val="none" w:sz="0" w:space="0" w:color="auto"/>
            <w:bottom w:val="none" w:sz="0" w:space="0" w:color="auto"/>
            <w:right w:val="none" w:sz="0" w:space="0" w:color="auto"/>
          </w:divBdr>
        </w:div>
        <w:div w:id="1927423619">
          <w:marLeft w:val="0"/>
          <w:marRight w:val="0"/>
          <w:marTop w:val="0"/>
          <w:marBottom w:val="0"/>
          <w:divBdr>
            <w:top w:val="none" w:sz="0" w:space="0" w:color="auto"/>
            <w:left w:val="none" w:sz="0" w:space="0" w:color="auto"/>
            <w:bottom w:val="none" w:sz="0" w:space="0" w:color="auto"/>
            <w:right w:val="none" w:sz="0" w:space="0" w:color="auto"/>
          </w:divBdr>
        </w:div>
        <w:div w:id="2048410484">
          <w:marLeft w:val="0"/>
          <w:marRight w:val="0"/>
          <w:marTop w:val="0"/>
          <w:marBottom w:val="0"/>
          <w:divBdr>
            <w:top w:val="none" w:sz="0" w:space="0" w:color="auto"/>
            <w:left w:val="none" w:sz="0" w:space="0" w:color="auto"/>
            <w:bottom w:val="none" w:sz="0" w:space="0" w:color="auto"/>
            <w:right w:val="none" w:sz="0" w:space="0" w:color="auto"/>
          </w:divBdr>
        </w:div>
        <w:div w:id="865295047">
          <w:marLeft w:val="0"/>
          <w:marRight w:val="0"/>
          <w:marTop w:val="0"/>
          <w:marBottom w:val="0"/>
          <w:divBdr>
            <w:top w:val="none" w:sz="0" w:space="0" w:color="auto"/>
            <w:left w:val="none" w:sz="0" w:space="0" w:color="auto"/>
            <w:bottom w:val="none" w:sz="0" w:space="0" w:color="auto"/>
            <w:right w:val="none" w:sz="0" w:space="0" w:color="auto"/>
          </w:divBdr>
        </w:div>
        <w:div w:id="930504006">
          <w:marLeft w:val="0"/>
          <w:marRight w:val="0"/>
          <w:marTop w:val="0"/>
          <w:marBottom w:val="0"/>
          <w:divBdr>
            <w:top w:val="none" w:sz="0" w:space="0" w:color="auto"/>
            <w:left w:val="none" w:sz="0" w:space="0" w:color="auto"/>
            <w:bottom w:val="none" w:sz="0" w:space="0" w:color="auto"/>
            <w:right w:val="none" w:sz="0" w:space="0" w:color="auto"/>
          </w:divBdr>
        </w:div>
        <w:div w:id="1697845696">
          <w:marLeft w:val="0"/>
          <w:marRight w:val="0"/>
          <w:marTop w:val="0"/>
          <w:marBottom w:val="0"/>
          <w:divBdr>
            <w:top w:val="none" w:sz="0" w:space="0" w:color="auto"/>
            <w:left w:val="none" w:sz="0" w:space="0" w:color="auto"/>
            <w:bottom w:val="none" w:sz="0" w:space="0" w:color="auto"/>
            <w:right w:val="none" w:sz="0" w:space="0" w:color="auto"/>
          </w:divBdr>
        </w:div>
        <w:div w:id="2120181408">
          <w:marLeft w:val="0"/>
          <w:marRight w:val="0"/>
          <w:marTop w:val="0"/>
          <w:marBottom w:val="0"/>
          <w:divBdr>
            <w:top w:val="none" w:sz="0" w:space="0" w:color="auto"/>
            <w:left w:val="none" w:sz="0" w:space="0" w:color="auto"/>
            <w:bottom w:val="none" w:sz="0" w:space="0" w:color="auto"/>
            <w:right w:val="none" w:sz="0" w:space="0" w:color="auto"/>
          </w:divBdr>
        </w:div>
      </w:divsChild>
    </w:div>
    <w:div w:id="953899918">
      <w:bodyDiv w:val="1"/>
      <w:marLeft w:val="0"/>
      <w:marRight w:val="0"/>
      <w:marTop w:val="0"/>
      <w:marBottom w:val="0"/>
      <w:divBdr>
        <w:top w:val="none" w:sz="0" w:space="0" w:color="auto"/>
        <w:left w:val="none" w:sz="0" w:space="0" w:color="auto"/>
        <w:bottom w:val="none" w:sz="0" w:space="0" w:color="auto"/>
        <w:right w:val="none" w:sz="0" w:space="0" w:color="auto"/>
      </w:divBdr>
    </w:div>
    <w:div w:id="1227374812">
      <w:bodyDiv w:val="1"/>
      <w:marLeft w:val="0"/>
      <w:marRight w:val="0"/>
      <w:marTop w:val="0"/>
      <w:marBottom w:val="0"/>
      <w:divBdr>
        <w:top w:val="none" w:sz="0" w:space="0" w:color="auto"/>
        <w:left w:val="none" w:sz="0" w:space="0" w:color="auto"/>
        <w:bottom w:val="none" w:sz="0" w:space="0" w:color="auto"/>
        <w:right w:val="none" w:sz="0" w:space="0" w:color="auto"/>
      </w:divBdr>
    </w:div>
    <w:div w:id="1390809841">
      <w:bodyDiv w:val="1"/>
      <w:marLeft w:val="0"/>
      <w:marRight w:val="0"/>
      <w:marTop w:val="0"/>
      <w:marBottom w:val="0"/>
      <w:divBdr>
        <w:top w:val="none" w:sz="0" w:space="0" w:color="auto"/>
        <w:left w:val="none" w:sz="0" w:space="0" w:color="auto"/>
        <w:bottom w:val="none" w:sz="0" w:space="0" w:color="auto"/>
        <w:right w:val="none" w:sz="0" w:space="0" w:color="auto"/>
      </w:divBdr>
      <w:divsChild>
        <w:div w:id="1501652460">
          <w:marLeft w:val="0"/>
          <w:marRight w:val="0"/>
          <w:marTop w:val="0"/>
          <w:marBottom w:val="0"/>
          <w:divBdr>
            <w:top w:val="none" w:sz="0" w:space="0" w:color="auto"/>
            <w:left w:val="none" w:sz="0" w:space="0" w:color="auto"/>
            <w:bottom w:val="none" w:sz="0" w:space="0" w:color="auto"/>
            <w:right w:val="none" w:sz="0" w:space="0" w:color="auto"/>
          </w:divBdr>
        </w:div>
        <w:div w:id="1158693084">
          <w:marLeft w:val="0"/>
          <w:marRight w:val="0"/>
          <w:marTop w:val="0"/>
          <w:marBottom w:val="0"/>
          <w:divBdr>
            <w:top w:val="none" w:sz="0" w:space="0" w:color="auto"/>
            <w:left w:val="none" w:sz="0" w:space="0" w:color="auto"/>
            <w:bottom w:val="none" w:sz="0" w:space="0" w:color="auto"/>
            <w:right w:val="none" w:sz="0" w:space="0" w:color="auto"/>
          </w:divBdr>
        </w:div>
      </w:divsChild>
    </w:div>
    <w:div w:id="1409578408">
      <w:bodyDiv w:val="1"/>
      <w:marLeft w:val="0"/>
      <w:marRight w:val="0"/>
      <w:marTop w:val="0"/>
      <w:marBottom w:val="0"/>
      <w:divBdr>
        <w:top w:val="none" w:sz="0" w:space="0" w:color="auto"/>
        <w:left w:val="none" w:sz="0" w:space="0" w:color="auto"/>
        <w:bottom w:val="none" w:sz="0" w:space="0" w:color="auto"/>
        <w:right w:val="none" w:sz="0" w:space="0" w:color="auto"/>
      </w:divBdr>
    </w:div>
    <w:div w:id="1541629615">
      <w:bodyDiv w:val="1"/>
      <w:marLeft w:val="0"/>
      <w:marRight w:val="0"/>
      <w:marTop w:val="0"/>
      <w:marBottom w:val="0"/>
      <w:divBdr>
        <w:top w:val="none" w:sz="0" w:space="0" w:color="auto"/>
        <w:left w:val="none" w:sz="0" w:space="0" w:color="auto"/>
        <w:bottom w:val="none" w:sz="0" w:space="0" w:color="auto"/>
        <w:right w:val="none" w:sz="0" w:space="0" w:color="auto"/>
      </w:divBdr>
      <w:divsChild>
        <w:div w:id="1816995164">
          <w:marLeft w:val="0"/>
          <w:marRight w:val="0"/>
          <w:marTop w:val="0"/>
          <w:marBottom w:val="0"/>
          <w:divBdr>
            <w:top w:val="none" w:sz="0" w:space="0" w:color="auto"/>
            <w:left w:val="none" w:sz="0" w:space="0" w:color="auto"/>
            <w:bottom w:val="none" w:sz="0" w:space="0" w:color="auto"/>
            <w:right w:val="none" w:sz="0" w:space="0" w:color="auto"/>
          </w:divBdr>
        </w:div>
        <w:div w:id="1461458766">
          <w:marLeft w:val="0"/>
          <w:marRight w:val="0"/>
          <w:marTop w:val="0"/>
          <w:marBottom w:val="0"/>
          <w:divBdr>
            <w:top w:val="none" w:sz="0" w:space="0" w:color="auto"/>
            <w:left w:val="none" w:sz="0" w:space="0" w:color="auto"/>
            <w:bottom w:val="none" w:sz="0" w:space="0" w:color="auto"/>
            <w:right w:val="none" w:sz="0" w:space="0" w:color="auto"/>
          </w:divBdr>
        </w:div>
        <w:div w:id="677848247">
          <w:marLeft w:val="0"/>
          <w:marRight w:val="0"/>
          <w:marTop w:val="0"/>
          <w:marBottom w:val="0"/>
          <w:divBdr>
            <w:top w:val="none" w:sz="0" w:space="0" w:color="auto"/>
            <w:left w:val="none" w:sz="0" w:space="0" w:color="auto"/>
            <w:bottom w:val="none" w:sz="0" w:space="0" w:color="auto"/>
            <w:right w:val="none" w:sz="0" w:space="0" w:color="auto"/>
          </w:divBdr>
        </w:div>
        <w:div w:id="254939825">
          <w:marLeft w:val="0"/>
          <w:marRight w:val="0"/>
          <w:marTop w:val="0"/>
          <w:marBottom w:val="0"/>
          <w:divBdr>
            <w:top w:val="none" w:sz="0" w:space="0" w:color="auto"/>
            <w:left w:val="none" w:sz="0" w:space="0" w:color="auto"/>
            <w:bottom w:val="none" w:sz="0" w:space="0" w:color="auto"/>
            <w:right w:val="none" w:sz="0" w:space="0" w:color="auto"/>
          </w:divBdr>
        </w:div>
        <w:div w:id="254099974">
          <w:marLeft w:val="0"/>
          <w:marRight w:val="0"/>
          <w:marTop w:val="0"/>
          <w:marBottom w:val="0"/>
          <w:divBdr>
            <w:top w:val="none" w:sz="0" w:space="0" w:color="auto"/>
            <w:left w:val="none" w:sz="0" w:space="0" w:color="auto"/>
            <w:bottom w:val="none" w:sz="0" w:space="0" w:color="auto"/>
            <w:right w:val="none" w:sz="0" w:space="0" w:color="auto"/>
          </w:divBdr>
        </w:div>
        <w:div w:id="49623293">
          <w:marLeft w:val="0"/>
          <w:marRight w:val="0"/>
          <w:marTop w:val="0"/>
          <w:marBottom w:val="0"/>
          <w:divBdr>
            <w:top w:val="none" w:sz="0" w:space="0" w:color="auto"/>
            <w:left w:val="none" w:sz="0" w:space="0" w:color="auto"/>
            <w:bottom w:val="none" w:sz="0" w:space="0" w:color="auto"/>
            <w:right w:val="none" w:sz="0" w:space="0" w:color="auto"/>
          </w:divBdr>
        </w:div>
        <w:div w:id="1757898061">
          <w:marLeft w:val="0"/>
          <w:marRight w:val="0"/>
          <w:marTop w:val="0"/>
          <w:marBottom w:val="0"/>
          <w:divBdr>
            <w:top w:val="none" w:sz="0" w:space="0" w:color="auto"/>
            <w:left w:val="none" w:sz="0" w:space="0" w:color="auto"/>
            <w:bottom w:val="none" w:sz="0" w:space="0" w:color="auto"/>
            <w:right w:val="none" w:sz="0" w:space="0" w:color="auto"/>
          </w:divBdr>
        </w:div>
        <w:div w:id="1716350940">
          <w:marLeft w:val="0"/>
          <w:marRight w:val="0"/>
          <w:marTop w:val="0"/>
          <w:marBottom w:val="0"/>
          <w:divBdr>
            <w:top w:val="none" w:sz="0" w:space="0" w:color="auto"/>
            <w:left w:val="none" w:sz="0" w:space="0" w:color="auto"/>
            <w:bottom w:val="none" w:sz="0" w:space="0" w:color="auto"/>
            <w:right w:val="none" w:sz="0" w:space="0" w:color="auto"/>
          </w:divBdr>
        </w:div>
        <w:div w:id="1728992599">
          <w:marLeft w:val="0"/>
          <w:marRight w:val="0"/>
          <w:marTop w:val="0"/>
          <w:marBottom w:val="0"/>
          <w:divBdr>
            <w:top w:val="none" w:sz="0" w:space="0" w:color="auto"/>
            <w:left w:val="none" w:sz="0" w:space="0" w:color="auto"/>
            <w:bottom w:val="none" w:sz="0" w:space="0" w:color="auto"/>
            <w:right w:val="none" w:sz="0" w:space="0" w:color="auto"/>
          </w:divBdr>
        </w:div>
        <w:div w:id="223026955">
          <w:marLeft w:val="0"/>
          <w:marRight w:val="0"/>
          <w:marTop w:val="0"/>
          <w:marBottom w:val="0"/>
          <w:divBdr>
            <w:top w:val="none" w:sz="0" w:space="0" w:color="auto"/>
            <w:left w:val="none" w:sz="0" w:space="0" w:color="auto"/>
            <w:bottom w:val="none" w:sz="0" w:space="0" w:color="auto"/>
            <w:right w:val="none" w:sz="0" w:space="0" w:color="auto"/>
          </w:divBdr>
        </w:div>
        <w:div w:id="1763918760">
          <w:marLeft w:val="0"/>
          <w:marRight w:val="0"/>
          <w:marTop w:val="0"/>
          <w:marBottom w:val="0"/>
          <w:divBdr>
            <w:top w:val="none" w:sz="0" w:space="0" w:color="auto"/>
            <w:left w:val="none" w:sz="0" w:space="0" w:color="auto"/>
            <w:bottom w:val="none" w:sz="0" w:space="0" w:color="auto"/>
            <w:right w:val="none" w:sz="0" w:space="0" w:color="auto"/>
          </w:divBdr>
        </w:div>
        <w:div w:id="695276853">
          <w:marLeft w:val="0"/>
          <w:marRight w:val="0"/>
          <w:marTop w:val="0"/>
          <w:marBottom w:val="0"/>
          <w:divBdr>
            <w:top w:val="none" w:sz="0" w:space="0" w:color="auto"/>
            <w:left w:val="none" w:sz="0" w:space="0" w:color="auto"/>
            <w:bottom w:val="none" w:sz="0" w:space="0" w:color="auto"/>
            <w:right w:val="none" w:sz="0" w:space="0" w:color="auto"/>
          </w:divBdr>
        </w:div>
        <w:div w:id="556665138">
          <w:marLeft w:val="0"/>
          <w:marRight w:val="0"/>
          <w:marTop w:val="0"/>
          <w:marBottom w:val="0"/>
          <w:divBdr>
            <w:top w:val="none" w:sz="0" w:space="0" w:color="auto"/>
            <w:left w:val="none" w:sz="0" w:space="0" w:color="auto"/>
            <w:bottom w:val="none" w:sz="0" w:space="0" w:color="auto"/>
            <w:right w:val="none" w:sz="0" w:space="0" w:color="auto"/>
          </w:divBdr>
        </w:div>
        <w:div w:id="1206061112">
          <w:marLeft w:val="0"/>
          <w:marRight w:val="0"/>
          <w:marTop w:val="0"/>
          <w:marBottom w:val="0"/>
          <w:divBdr>
            <w:top w:val="none" w:sz="0" w:space="0" w:color="auto"/>
            <w:left w:val="none" w:sz="0" w:space="0" w:color="auto"/>
            <w:bottom w:val="none" w:sz="0" w:space="0" w:color="auto"/>
            <w:right w:val="none" w:sz="0" w:space="0" w:color="auto"/>
          </w:divBdr>
        </w:div>
        <w:div w:id="1535581154">
          <w:marLeft w:val="0"/>
          <w:marRight w:val="0"/>
          <w:marTop w:val="0"/>
          <w:marBottom w:val="0"/>
          <w:divBdr>
            <w:top w:val="none" w:sz="0" w:space="0" w:color="auto"/>
            <w:left w:val="none" w:sz="0" w:space="0" w:color="auto"/>
            <w:bottom w:val="none" w:sz="0" w:space="0" w:color="auto"/>
            <w:right w:val="none" w:sz="0" w:space="0" w:color="auto"/>
          </w:divBdr>
        </w:div>
        <w:div w:id="1272665902">
          <w:marLeft w:val="0"/>
          <w:marRight w:val="0"/>
          <w:marTop w:val="0"/>
          <w:marBottom w:val="0"/>
          <w:divBdr>
            <w:top w:val="none" w:sz="0" w:space="0" w:color="auto"/>
            <w:left w:val="none" w:sz="0" w:space="0" w:color="auto"/>
            <w:bottom w:val="none" w:sz="0" w:space="0" w:color="auto"/>
            <w:right w:val="none" w:sz="0" w:space="0" w:color="auto"/>
          </w:divBdr>
        </w:div>
        <w:div w:id="792602165">
          <w:marLeft w:val="0"/>
          <w:marRight w:val="0"/>
          <w:marTop w:val="0"/>
          <w:marBottom w:val="0"/>
          <w:divBdr>
            <w:top w:val="none" w:sz="0" w:space="0" w:color="auto"/>
            <w:left w:val="none" w:sz="0" w:space="0" w:color="auto"/>
            <w:bottom w:val="none" w:sz="0" w:space="0" w:color="auto"/>
            <w:right w:val="none" w:sz="0" w:space="0" w:color="auto"/>
          </w:divBdr>
        </w:div>
      </w:divsChild>
    </w:div>
    <w:div w:id="1543470533">
      <w:bodyDiv w:val="1"/>
      <w:marLeft w:val="0"/>
      <w:marRight w:val="0"/>
      <w:marTop w:val="0"/>
      <w:marBottom w:val="0"/>
      <w:divBdr>
        <w:top w:val="none" w:sz="0" w:space="0" w:color="auto"/>
        <w:left w:val="none" w:sz="0" w:space="0" w:color="auto"/>
        <w:bottom w:val="none" w:sz="0" w:space="0" w:color="auto"/>
        <w:right w:val="none" w:sz="0" w:space="0" w:color="auto"/>
      </w:divBdr>
      <w:divsChild>
        <w:div w:id="620383651">
          <w:marLeft w:val="0"/>
          <w:marRight w:val="0"/>
          <w:marTop w:val="0"/>
          <w:marBottom w:val="0"/>
          <w:divBdr>
            <w:top w:val="none" w:sz="0" w:space="0" w:color="auto"/>
            <w:left w:val="none" w:sz="0" w:space="0" w:color="auto"/>
            <w:bottom w:val="none" w:sz="0" w:space="0" w:color="auto"/>
            <w:right w:val="none" w:sz="0" w:space="0" w:color="auto"/>
          </w:divBdr>
        </w:div>
        <w:div w:id="166483061">
          <w:marLeft w:val="0"/>
          <w:marRight w:val="0"/>
          <w:marTop w:val="0"/>
          <w:marBottom w:val="0"/>
          <w:divBdr>
            <w:top w:val="none" w:sz="0" w:space="0" w:color="auto"/>
            <w:left w:val="none" w:sz="0" w:space="0" w:color="auto"/>
            <w:bottom w:val="none" w:sz="0" w:space="0" w:color="auto"/>
            <w:right w:val="none" w:sz="0" w:space="0" w:color="auto"/>
          </w:divBdr>
        </w:div>
        <w:div w:id="928852794">
          <w:marLeft w:val="0"/>
          <w:marRight w:val="0"/>
          <w:marTop w:val="0"/>
          <w:marBottom w:val="0"/>
          <w:divBdr>
            <w:top w:val="none" w:sz="0" w:space="0" w:color="auto"/>
            <w:left w:val="none" w:sz="0" w:space="0" w:color="auto"/>
            <w:bottom w:val="none" w:sz="0" w:space="0" w:color="auto"/>
            <w:right w:val="none" w:sz="0" w:space="0" w:color="auto"/>
          </w:divBdr>
        </w:div>
        <w:div w:id="1927496818">
          <w:marLeft w:val="0"/>
          <w:marRight w:val="0"/>
          <w:marTop w:val="0"/>
          <w:marBottom w:val="0"/>
          <w:divBdr>
            <w:top w:val="none" w:sz="0" w:space="0" w:color="auto"/>
            <w:left w:val="none" w:sz="0" w:space="0" w:color="auto"/>
            <w:bottom w:val="none" w:sz="0" w:space="0" w:color="auto"/>
            <w:right w:val="none" w:sz="0" w:space="0" w:color="auto"/>
          </w:divBdr>
        </w:div>
        <w:div w:id="1561861270">
          <w:marLeft w:val="0"/>
          <w:marRight w:val="0"/>
          <w:marTop w:val="0"/>
          <w:marBottom w:val="0"/>
          <w:divBdr>
            <w:top w:val="none" w:sz="0" w:space="0" w:color="auto"/>
            <w:left w:val="none" w:sz="0" w:space="0" w:color="auto"/>
            <w:bottom w:val="none" w:sz="0" w:space="0" w:color="auto"/>
            <w:right w:val="none" w:sz="0" w:space="0" w:color="auto"/>
          </w:divBdr>
        </w:div>
        <w:div w:id="1025327419">
          <w:marLeft w:val="0"/>
          <w:marRight w:val="0"/>
          <w:marTop w:val="0"/>
          <w:marBottom w:val="0"/>
          <w:divBdr>
            <w:top w:val="none" w:sz="0" w:space="0" w:color="auto"/>
            <w:left w:val="none" w:sz="0" w:space="0" w:color="auto"/>
            <w:bottom w:val="none" w:sz="0" w:space="0" w:color="auto"/>
            <w:right w:val="none" w:sz="0" w:space="0" w:color="auto"/>
          </w:divBdr>
        </w:div>
        <w:div w:id="94328724">
          <w:marLeft w:val="0"/>
          <w:marRight w:val="0"/>
          <w:marTop w:val="0"/>
          <w:marBottom w:val="0"/>
          <w:divBdr>
            <w:top w:val="none" w:sz="0" w:space="0" w:color="auto"/>
            <w:left w:val="none" w:sz="0" w:space="0" w:color="auto"/>
            <w:bottom w:val="none" w:sz="0" w:space="0" w:color="auto"/>
            <w:right w:val="none" w:sz="0" w:space="0" w:color="auto"/>
          </w:divBdr>
        </w:div>
        <w:div w:id="1630672260">
          <w:marLeft w:val="0"/>
          <w:marRight w:val="0"/>
          <w:marTop w:val="0"/>
          <w:marBottom w:val="0"/>
          <w:divBdr>
            <w:top w:val="none" w:sz="0" w:space="0" w:color="auto"/>
            <w:left w:val="none" w:sz="0" w:space="0" w:color="auto"/>
            <w:bottom w:val="none" w:sz="0" w:space="0" w:color="auto"/>
            <w:right w:val="none" w:sz="0" w:space="0" w:color="auto"/>
          </w:divBdr>
        </w:div>
        <w:div w:id="7801074">
          <w:marLeft w:val="0"/>
          <w:marRight w:val="0"/>
          <w:marTop w:val="0"/>
          <w:marBottom w:val="0"/>
          <w:divBdr>
            <w:top w:val="none" w:sz="0" w:space="0" w:color="auto"/>
            <w:left w:val="none" w:sz="0" w:space="0" w:color="auto"/>
            <w:bottom w:val="none" w:sz="0" w:space="0" w:color="auto"/>
            <w:right w:val="none" w:sz="0" w:space="0" w:color="auto"/>
          </w:divBdr>
        </w:div>
        <w:div w:id="1193764429">
          <w:marLeft w:val="0"/>
          <w:marRight w:val="0"/>
          <w:marTop w:val="0"/>
          <w:marBottom w:val="0"/>
          <w:divBdr>
            <w:top w:val="none" w:sz="0" w:space="0" w:color="auto"/>
            <w:left w:val="none" w:sz="0" w:space="0" w:color="auto"/>
            <w:bottom w:val="none" w:sz="0" w:space="0" w:color="auto"/>
            <w:right w:val="none" w:sz="0" w:space="0" w:color="auto"/>
          </w:divBdr>
        </w:div>
        <w:div w:id="1182084573">
          <w:marLeft w:val="0"/>
          <w:marRight w:val="0"/>
          <w:marTop w:val="0"/>
          <w:marBottom w:val="0"/>
          <w:divBdr>
            <w:top w:val="none" w:sz="0" w:space="0" w:color="auto"/>
            <w:left w:val="none" w:sz="0" w:space="0" w:color="auto"/>
            <w:bottom w:val="none" w:sz="0" w:space="0" w:color="auto"/>
            <w:right w:val="none" w:sz="0" w:space="0" w:color="auto"/>
          </w:divBdr>
        </w:div>
        <w:div w:id="2060933674">
          <w:marLeft w:val="0"/>
          <w:marRight w:val="0"/>
          <w:marTop w:val="0"/>
          <w:marBottom w:val="0"/>
          <w:divBdr>
            <w:top w:val="none" w:sz="0" w:space="0" w:color="auto"/>
            <w:left w:val="none" w:sz="0" w:space="0" w:color="auto"/>
            <w:bottom w:val="none" w:sz="0" w:space="0" w:color="auto"/>
            <w:right w:val="none" w:sz="0" w:space="0" w:color="auto"/>
          </w:divBdr>
        </w:div>
        <w:div w:id="224269403">
          <w:marLeft w:val="0"/>
          <w:marRight w:val="0"/>
          <w:marTop w:val="0"/>
          <w:marBottom w:val="0"/>
          <w:divBdr>
            <w:top w:val="none" w:sz="0" w:space="0" w:color="auto"/>
            <w:left w:val="none" w:sz="0" w:space="0" w:color="auto"/>
            <w:bottom w:val="none" w:sz="0" w:space="0" w:color="auto"/>
            <w:right w:val="none" w:sz="0" w:space="0" w:color="auto"/>
          </w:divBdr>
        </w:div>
        <w:div w:id="1847596064">
          <w:marLeft w:val="0"/>
          <w:marRight w:val="0"/>
          <w:marTop w:val="0"/>
          <w:marBottom w:val="0"/>
          <w:divBdr>
            <w:top w:val="none" w:sz="0" w:space="0" w:color="auto"/>
            <w:left w:val="none" w:sz="0" w:space="0" w:color="auto"/>
            <w:bottom w:val="none" w:sz="0" w:space="0" w:color="auto"/>
            <w:right w:val="none" w:sz="0" w:space="0" w:color="auto"/>
          </w:divBdr>
        </w:div>
        <w:div w:id="272059527">
          <w:marLeft w:val="0"/>
          <w:marRight w:val="0"/>
          <w:marTop w:val="0"/>
          <w:marBottom w:val="0"/>
          <w:divBdr>
            <w:top w:val="none" w:sz="0" w:space="0" w:color="auto"/>
            <w:left w:val="none" w:sz="0" w:space="0" w:color="auto"/>
            <w:bottom w:val="none" w:sz="0" w:space="0" w:color="auto"/>
            <w:right w:val="none" w:sz="0" w:space="0" w:color="auto"/>
          </w:divBdr>
        </w:div>
        <w:div w:id="29309569">
          <w:marLeft w:val="0"/>
          <w:marRight w:val="0"/>
          <w:marTop w:val="0"/>
          <w:marBottom w:val="0"/>
          <w:divBdr>
            <w:top w:val="none" w:sz="0" w:space="0" w:color="auto"/>
            <w:left w:val="none" w:sz="0" w:space="0" w:color="auto"/>
            <w:bottom w:val="none" w:sz="0" w:space="0" w:color="auto"/>
            <w:right w:val="none" w:sz="0" w:space="0" w:color="auto"/>
          </w:divBdr>
        </w:div>
        <w:div w:id="174928655">
          <w:marLeft w:val="0"/>
          <w:marRight w:val="0"/>
          <w:marTop w:val="0"/>
          <w:marBottom w:val="0"/>
          <w:divBdr>
            <w:top w:val="none" w:sz="0" w:space="0" w:color="auto"/>
            <w:left w:val="none" w:sz="0" w:space="0" w:color="auto"/>
            <w:bottom w:val="none" w:sz="0" w:space="0" w:color="auto"/>
            <w:right w:val="none" w:sz="0" w:space="0" w:color="auto"/>
          </w:divBdr>
        </w:div>
        <w:div w:id="1829251712">
          <w:marLeft w:val="0"/>
          <w:marRight w:val="0"/>
          <w:marTop w:val="0"/>
          <w:marBottom w:val="0"/>
          <w:divBdr>
            <w:top w:val="none" w:sz="0" w:space="0" w:color="auto"/>
            <w:left w:val="none" w:sz="0" w:space="0" w:color="auto"/>
            <w:bottom w:val="none" w:sz="0" w:space="0" w:color="auto"/>
            <w:right w:val="none" w:sz="0" w:space="0" w:color="auto"/>
          </w:divBdr>
        </w:div>
        <w:div w:id="393820727">
          <w:marLeft w:val="0"/>
          <w:marRight w:val="0"/>
          <w:marTop w:val="0"/>
          <w:marBottom w:val="0"/>
          <w:divBdr>
            <w:top w:val="none" w:sz="0" w:space="0" w:color="auto"/>
            <w:left w:val="none" w:sz="0" w:space="0" w:color="auto"/>
            <w:bottom w:val="none" w:sz="0" w:space="0" w:color="auto"/>
            <w:right w:val="none" w:sz="0" w:space="0" w:color="auto"/>
          </w:divBdr>
        </w:div>
        <w:div w:id="1690181846">
          <w:marLeft w:val="0"/>
          <w:marRight w:val="0"/>
          <w:marTop w:val="0"/>
          <w:marBottom w:val="0"/>
          <w:divBdr>
            <w:top w:val="none" w:sz="0" w:space="0" w:color="auto"/>
            <w:left w:val="none" w:sz="0" w:space="0" w:color="auto"/>
            <w:bottom w:val="none" w:sz="0" w:space="0" w:color="auto"/>
            <w:right w:val="none" w:sz="0" w:space="0" w:color="auto"/>
          </w:divBdr>
        </w:div>
        <w:div w:id="1392340107">
          <w:marLeft w:val="0"/>
          <w:marRight w:val="0"/>
          <w:marTop w:val="0"/>
          <w:marBottom w:val="0"/>
          <w:divBdr>
            <w:top w:val="none" w:sz="0" w:space="0" w:color="auto"/>
            <w:left w:val="none" w:sz="0" w:space="0" w:color="auto"/>
            <w:bottom w:val="none" w:sz="0" w:space="0" w:color="auto"/>
            <w:right w:val="none" w:sz="0" w:space="0" w:color="auto"/>
          </w:divBdr>
        </w:div>
        <w:div w:id="636255757">
          <w:marLeft w:val="0"/>
          <w:marRight w:val="0"/>
          <w:marTop w:val="0"/>
          <w:marBottom w:val="0"/>
          <w:divBdr>
            <w:top w:val="none" w:sz="0" w:space="0" w:color="auto"/>
            <w:left w:val="none" w:sz="0" w:space="0" w:color="auto"/>
            <w:bottom w:val="none" w:sz="0" w:space="0" w:color="auto"/>
            <w:right w:val="none" w:sz="0" w:space="0" w:color="auto"/>
          </w:divBdr>
        </w:div>
        <w:div w:id="1974679274">
          <w:marLeft w:val="0"/>
          <w:marRight w:val="0"/>
          <w:marTop w:val="0"/>
          <w:marBottom w:val="0"/>
          <w:divBdr>
            <w:top w:val="none" w:sz="0" w:space="0" w:color="auto"/>
            <w:left w:val="none" w:sz="0" w:space="0" w:color="auto"/>
            <w:bottom w:val="none" w:sz="0" w:space="0" w:color="auto"/>
            <w:right w:val="none" w:sz="0" w:space="0" w:color="auto"/>
          </w:divBdr>
        </w:div>
        <w:div w:id="1233849060">
          <w:marLeft w:val="0"/>
          <w:marRight w:val="0"/>
          <w:marTop w:val="0"/>
          <w:marBottom w:val="0"/>
          <w:divBdr>
            <w:top w:val="none" w:sz="0" w:space="0" w:color="auto"/>
            <w:left w:val="none" w:sz="0" w:space="0" w:color="auto"/>
            <w:bottom w:val="none" w:sz="0" w:space="0" w:color="auto"/>
            <w:right w:val="none" w:sz="0" w:space="0" w:color="auto"/>
          </w:divBdr>
        </w:div>
        <w:div w:id="1703509999">
          <w:marLeft w:val="0"/>
          <w:marRight w:val="0"/>
          <w:marTop w:val="0"/>
          <w:marBottom w:val="0"/>
          <w:divBdr>
            <w:top w:val="none" w:sz="0" w:space="0" w:color="auto"/>
            <w:left w:val="none" w:sz="0" w:space="0" w:color="auto"/>
            <w:bottom w:val="none" w:sz="0" w:space="0" w:color="auto"/>
            <w:right w:val="none" w:sz="0" w:space="0" w:color="auto"/>
          </w:divBdr>
        </w:div>
        <w:div w:id="555436625">
          <w:marLeft w:val="0"/>
          <w:marRight w:val="0"/>
          <w:marTop w:val="0"/>
          <w:marBottom w:val="0"/>
          <w:divBdr>
            <w:top w:val="none" w:sz="0" w:space="0" w:color="auto"/>
            <w:left w:val="none" w:sz="0" w:space="0" w:color="auto"/>
            <w:bottom w:val="none" w:sz="0" w:space="0" w:color="auto"/>
            <w:right w:val="none" w:sz="0" w:space="0" w:color="auto"/>
          </w:divBdr>
        </w:div>
        <w:div w:id="327901424">
          <w:marLeft w:val="0"/>
          <w:marRight w:val="0"/>
          <w:marTop w:val="0"/>
          <w:marBottom w:val="0"/>
          <w:divBdr>
            <w:top w:val="none" w:sz="0" w:space="0" w:color="auto"/>
            <w:left w:val="none" w:sz="0" w:space="0" w:color="auto"/>
            <w:bottom w:val="none" w:sz="0" w:space="0" w:color="auto"/>
            <w:right w:val="none" w:sz="0" w:space="0" w:color="auto"/>
          </w:divBdr>
        </w:div>
        <w:div w:id="1942837663">
          <w:marLeft w:val="0"/>
          <w:marRight w:val="0"/>
          <w:marTop w:val="0"/>
          <w:marBottom w:val="0"/>
          <w:divBdr>
            <w:top w:val="none" w:sz="0" w:space="0" w:color="auto"/>
            <w:left w:val="none" w:sz="0" w:space="0" w:color="auto"/>
            <w:bottom w:val="none" w:sz="0" w:space="0" w:color="auto"/>
            <w:right w:val="none" w:sz="0" w:space="0" w:color="auto"/>
          </w:divBdr>
        </w:div>
        <w:div w:id="1299145615">
          <w:marLeft w:val="0"/>
          <w:marRight w:val="0"/>
          <w:marTop w:val="0"/>
          <w:marBottom w:val="0"/>
          <w:divBdr>
            <w:top w:val="none" w:sz="0" w:space="0" w:color="auto"/>
            <w:left w:val="none" w:sz="0" w:space="0" w:color="auto"/>
            <w:bottom w:val="none" w:sz="0" w:space="0" w:color="auto"/>
            <w:right w:val="none" w:sz="0" w:space="0" w:color="auto"/>
          </w:divBdr>
        </w:div>
        <w:div w:id="2117553721">
          <w:marLeft w:val="0"/>
          <w:marRight w:val="0"/>
          <w:marTop w:val="0"/>
          <w:marBottom w:val="0"/>
          <w:divBdr>
            <w:top w:val="none" w:sz="0" w:space="0" w:color="auto"/>
            <w:left w:val="none" w:sz="0" w:space="0" w:color="auto"/>
            <w:bottom w:val="none" w:sz="0" w:space="0" w:color="auto"/>
            <w:right w:val="none" w:sz="0" w:space="0" w:color="auto"/>
          </w:divBdr>
        </w:div>
        <w:div w:id="263153644">
          <w:marLeft w:val="0"/>
          <w:marRight w:val="0"/>
          <w:marTop w:val="0"/>
          <w:marBottom w:val="0"/>
          <w:divBdr>
            <w:top w:val="none" w:sz="0" w:space="0" w:color="auto"/>
            <w:left w:val="none" w:sz="0" w:space="0" w:color="auto"/>
            <w:bottom w:val="none" w:sz="0" w:space="0" w:color="auto"/>
            <w:right w:val="none" w:sz="0" w:space="0" w:color="auto"/>
          </w:divBdr>
        </w:div>
        <w:div w:id="1582519758">
          <w:marLeft w:val="0"/>
          <w:marRight w:val="0"/>
          <w:marTop w:val="0"/>
          <w:marBottom w:val="0"/>
          <w:divBdr>
            <w:top w:val="none" w:sz="0" w:space="0" w:color="auto"/>
            <w:left w:val="none" w:sz="0" w:space="0" w:color="auto"/>
            <w:bottom w:val="none" w:sz="0" w:space="0" w:color="auto"/>
            <w:right w:val="none" w:sz="0" w:space="0" w:color="auto"/>
          </w:divBdr>
        </w:div>
        <w:div w:id="1947958232">
          <w:marLeft w:val="0"/>
          <w:marRight w:val="0"/>
          <w:marTop w:val="0"/>
          <w:marBottom w:val="0"/>
          <w:divBdr>
            <w:top w:val="none" w:sz="0" w:space="0" w:color="auto"/>
            <w:left w:val="none" w:sz="0" w:space="0" w:color="auto"/>
            <w:bottom w:val="none" w:sz="0" w:space="0" w:color="auto"/>
            <w:right w:val="none" w:sz="0" w:space="0" w:color="auto"/>
          </w:divBdr>
        </w:div>
        <w:div w:id="1248153355">
          <w:marLeft w:val="0"/>
          <w:marRight w:val="0"/>
          <w:marTop w:val="0"/>
          <w:marBottom w:val="0"/>
          <w:divBdr>
            <w:top w:val="none" w:sz="0" w:space="0" w:color="auto"/>
            <w:left w:val="none" w:sz="0" w:space="0" w:color="auto"/>
            <w:bottom w:val="none" w:sz="0" w:space="0" w:color="auto"/>
            <w:right w:val="none" w:sz="0" w:space="0" w:color="auto"/>
          </w:divBdr>
        </w:div>
        <w:div w:id="1724021294">
          <w:marLeft w:val="0"/>
          <w:marRight w:val="0"/>
          <w:marTop w:val="0"/>
          <w:marBottom w:val="0"/>
          <w:divBdr>
            <w:top w:val="none" w:sz="0" w:space="0" w:color="auto"/>
            <w:left w:val="none" w:sz="0" w:space="0" w:color="auto"/>
            <w:bottom w:val="none" w:sz="0" w:space="0" w:color="auto"/>
            <w:right w:val="none" w:sz="0" w:space="0" w:color="auto"/>
          </w:divBdr>
        </w:div>
        <w:div w:id="1857649901">
          <w:marLeft w:val="0"/>
          <w:marRight w:val="0"/>
          <w:marTop w:val="0"/>
          <w:marBottom w:val="0"/>
          <w:divBdr>
            <w:top w:val="none" w:sz="0" w:space="0" w:color="auto"/>
            <w:left w:val="none" w:sz="0" w:space="0" w:color="auto"/>
            <w:bottom w:val="none" w:sz="0" w:space="0" w:color="auto"/>
            <w:right w:val="none" w:sz="0" w:space="0" w:color="auto"/>
          </w:divBdr>
        </w:div>
        <w:div w:id="1160845616">
          <w:marLeft w:val="0"/>
          <w:marRight w:val="0"/>
          <w:marTop w:val="0"/>
          <w:marBottom w:val="0"/>
          <w:divBdr>
            <w:top w:val="none" w:sz="0" w:space="0" w:color="auto"/>
            <w:left w:val="none" w:sz="0" w:space="0" w:color="auto"/>
            <w:bottom w:val="none" w:sz="0" w:space="0" w:color="auto"/>
            <w:right w:val="none" w:sz="0" w:space="0" w:color="auto"/>
          </w:divBdr>
        </w:div>
        <w:div w:id="1598518451">
          <w:marLeft w:val="0"/>
          <w:marRight w:val="0"/>
          <w:marTop w:val="0"/>
          <w:marBottom w:val="0"/>
          <w:divBdr>
            <w:top w:val="none" w:sz="0" w:space="0" w:color="auto"/>
            <w:left w:val="none" w:sz="0" w:space="0" w:color="auto"/>
            <w:bottom w:val="none" w:sz="0" w:space="0" w:color="auto"/>
            <w:right w:val="none" w:sz="0" w:space="0" w:color="auto"/>
          </w:divBdr>
        </w:div>
        <w:div w:id="858740958">
          <w:marLeft w:val="0"/>
          <w:marRight w:val="0"/>
          <w:marTop w:val="0"/>
          <w:marBottom w:val="0"/>
          <w:divBdr>
            <w:top w:val="none" w:sz="0" w:space="0" w:color="auto"/>
            <w:left w:val="none" w:sz="0" w:space="0" w:color="auto"/>
            <w:bottom w:val="none" w:sz="0" w:space="0" w:color="auto"/>
            <w:right w:val="none" w:sz="0" w:space="0" w:color="auto"/>
          </w:divBdr>
        </w:div>
        <w:div w:id="1606185688">
          <w:marLeft w:val="0"/>
          <w:marRight w:val="0"/>
          <w:marTop w:val="0"/>
          <w:marBottom w:val="0"/>
          <w:divBdr>
            <w:top w:val="none" w:sz="0" w:space="0" w:color="auto"/>
            <w:left w:val="none" w:sz="0" w:space="0" w:color="auto"/>
            <w:bottom w:val="none" w:sz="0" w:space="0" w:color="auto"/>
            <w:right w:val="none" w:sz="0" w:space="0" w:color="auto"/>
          </w:divBdr>
        </w:div>
        <w:div w:id="2019384726">
          <w:marLeft w:val="0"/>
          <w:marRight w:val="0"/>
          <w:marTop w:val="0"/>
          <w:marBottom w:val="0"/>
          <w:divBdr>
            <w:top w:val="none" w:sz="0" w:space="0" w:color="auto"/>
            <w:left w:val="none" w:sz="0" w:space="0" w:color="auto"/>
            <w:bottom w:val="none" w:sz="0" w:space="0" w:color="auto"/>
            <w:right w:val="none" w:sz="0" w:space="0" w:color="auto"/>
          </w:divBdr>
        </w:div>
      </w:divsChild>
    </w:div>
    <w:div w:id="1799883052">
      <w:bodyDiv w:val="1"/>
      <w:marLeft w:val="0"/>
      <w:marRight w:val="0"/>
      <w:marTop w:val="0"/>
      <w:marBottom w:val="0"/>
      <w:divBdr>
        <w:top w:val="none" w:sz="0" w:space="0" w:color="auto"/>
        <w:left w:val="none" w:sz="0" w:space="0" w:color="auto"/>
        <w:bottom w:val="none" w:sz="0" w:space="0" w:color="auto"/>
        <w:right w:val="none" w:sz="0" w:space="0" w:color="auto"/>
      </w:divBdr>
    </w:div>
    <w:div w:id="1817405732">
      <w:bodyDiv w:val="1"/>
      <w:marLeft w:val="0"/>
      <w:marRight w:val="0"/>
      <w:marTop w:val="0"/>
      <w:marBottom w:val="0"/>
      <w:divBdr>
        <w:top w:val="none" w:sz="0" w:space="0" w:color="auto"/>
        <w:left w:val="none" w:sz="0" w:space="0" w:color="auto"/>
        <w:bottom w:val="none" w:sz="0" w:space="0" w:color="auto"/>
        <w:right w:val="none" w:sz="0" w:space="0" w:color="auto"/>
      </w:divBdr>
      <w:divsChild>
        <w:div w:id="1753434401">
          <w:marLeft w:val="0"/>
          <w:marRight w:val="0"/>
          <w:marTop w:val="0"/>
          <w:marBottom w:val="0"/>
          <w:divBdr>
            <w:top w:val="none" w:sz="0" w:space="0" w:color="auto"/>
            <w:left w:val="none" w:sz="0" w:space="0" w:color="auto"/>
            <w:bottom w:val="none" w:sz="0" w:space="0" w:color="auto"/>
            <w:right w:val="none" w:sz="0" w:space="0" w:color="auto"/>
          </w:divBdr>
          <w:divsChild>
            <w:div w:id="1877893033">
              <w:marLeft w:val="0"/>
              <w:marRight w:val="0"/>
              <w:marTop w:val="0"/>
              <w:marBottom w:val="0"/>
              <w:divBdr>
                <w:top w:val="none" w:sz="0" w:space="0" w:color="auto"/>
                <w:left w:val="none" w:sz="0" w:space="0" w:color="auto"/>
                <w:bottom w:val="none" w:sz="0" w:space="0" w:color="auto"/>
                <w:right w:val="none" w:sz="0" w:space="0" w:color="auto"/>
              </w:divBdr>
            </w:div>
            <w:div w:id="1961958639">
              <w:marLeft w:val="0"/>
              <w:marRight w:val="0"/>
              <w:marTop w:val="0"/>
              <w:marBottom w:val="0"/>
              <w:divBdr>
                <w:top w:val="none" w:sz="0" w:space="0" w:color="auto"/>
                <w:left w:val="none" w:sz="0" w:space="0" w:color="auto"/>
                <w:bottom w:val="none" w:sz="0" w:space="0" w:color="auto"/>
                <w:right w:val="none" w:sz="0" w:space="0" w:color="auto"/>
              </w:divBdr>
            </w:div>
            <w:div w:id="370113318">
              <w:marLeft w:val="0"/>
              <w:marRight w:val="0"/>
              <w:marTop w:val="0"/>
              <w:marBottom w:val="0"/>
              <w:divBdr>
                <w:top w:val="none" w:sz="0" w:space="0" w:color="auto"/>
                <w:left w:val="none" w:sz="0" w:space="0" w:color="auto"/>
                <w:bottom w:val="none" w:sz="0" w:space="0" w:color="auto"/>
                <w:right w:val="none" w:sz="0" w:space="0" w:color="auto"/>
              </w:divBdr>
            </w:div>
            <w:div w:id="21715043">
              <w:marLeft w:val="0"/>
              <w:marRight w:val="0"/>
              <w:marTop w:val="0"/>
              <w:marBottom w:val="0"/>
              <w:divBdr>
                <w:top w:val="none" w:sz="0" w:space="0" w:color="auto"/>
                <w:left w:val="none" w:sz="0" w:space="0" w:color="auto"/>
                <w:bottom w:val="none" w:sz="0" w:space="0" w:color="auto"/>
                <w:right w:val="none" w:sz="0" w:space="0" w:color="auto"/>
              </w:divBdr>
            </w:div>
            <w:div w:id="1568106973">
              <w:marLeft w:val="0"/>
              <w:marRight w:val="0"/>
              <w:marTop w:val="0"/>
              <w:marBottom w:val="0"/>
              <w:divBdr>
                <w:top w:val="none" w:sz="0" w:space="0" w:color="auto"/>
                <w:left w:val="none" w:sz="0" w:space="0" w:color="auto"/>
                <w:bottom w:val="none" w:sz="0" w:space="0" w:color="auto"/>
                <w:right w:val="none" w:sz="0" w:space="0" w:color="auto"/>
              </w:divBdr>
            </w:div>
            <w:div w:id="1978416096">
              <w:marLeft w:val="0"/>
              <w:marRight w:val="0"/>
              <w:marTop w:val="0"/>
              <w:marBottom w:val="0"/>
              <w:divBdr>
                <w:top w:val="none" w:sz="0" w:space="0" w:color="auto"/>
                <w:left w:val="none" w:sz="0" w:space="0" w:color="auto"/>
                <w:bottom w:val="none" w:sz="0" w:space="0" w:color="auto"/>
                <w:right w:val="none" w:sz="0" w:space="0" w:color="auto"/>
              </w:divBdr>
            </w:div>
            <w:div w:id="189683654">
              <w:marLeft w:val="0"/>
              <w:marRight w:val="0"/>
              <w:marTop w:val="0"/>
              <w:marBottom w:val="0"/>
              <w:divBdr>
                <w:top w:val="none" w:sz="0" w:space="0" w:color="auto"/>
                <w:left w:val="none" w:sz="0" w:space="0" w:color="auto"/>
                <w:bottom w:val="none" w:sz="0" w:space="0" w:color="auto"/>
                <w:right w:val="none" w:sz="0" w:space="0" w:color="auto"/>
              </w:divBdr>
            </w:div>
            <w:div w:id="1768185756">
              <w:marLeft w:val="0"/>
              <w:marRight w:val="0"/>
              <w:marTop w:val="0"/>
              <w:marBottom w:val="0"/>
              <w:divBdr>
                <w:top w:val="none" w:sz="0" w:space="0" w:color="auto"/>
                <w:left w:val="none" w:sz="0" w:space="0" w:color="auto"/>
                <w:bottom w:val="none" w:sz="0" w:space="0" w:color="auto"/>
                <w:right w:val="none" w:sz="0" w:space="0" w:color="auto"/>
              </w:divBdr>
            </w:div>
            <w:div w:id="341973168">
              <w:marLeft w:val="0"/>
              <w:marRight w:val="0"/>
              <w:marTop w:val="0"/>
              <w:marBottom w:val="0"/>
              <w:divBdr>
                <w:top w:val="none" w:sz="0" w:space="0" w:color="auto"/>
                <w:left w:val="none" w:sz="0" w:space="0" w:color="auto"/>
                <w:bottom w:val="none" w:sz="0" w:space="0" w:color="auto"/>
                <w:right w:val="none" w:sz="0" w:space="0" w:color="auto"/>
              </w:divBdr>
            </w:div>
            <w:div w:id="866599099">
              <w:marLeft w:val="0"/>
              <w:marRight w:val="0"/>
              <w:marTop w:val="0"/>
              <w:marBottom w:val="0"/>
              <w:divBdr>
                <w:top w:val="none" w:sz="0" w:space="0" w:color="auto"/>
                <w:left w:val="none" w:sz="0" w:space="0" w:color="auto"/>
                <w:bottom w:val="none" w:sz="0" w:space="0" w:color="auto"/>
                <w:right w:val="none" w:sz="0" w:space="0" w:color="auto"/>
              </w:divBdr>
            </w:div>
            <w:div w:id="1860924727">
              <w:marLeft w:val="0"/>
              <w:marRight w:val="0"/>
              <w:marTop w:val="0"/>
              <w:marBottom w:val="0"/>
              <w:divBdr>
                <w:top w:val="none" w:sz="0" w:space="0" w:color="auto"/>
                <w:left w:val="none" w:sz="0" w:space="0" w:color="auto"/>
                <w:bottom w:val="none" w:sz="0" w:space="0" w:color="auto"/>
                <w:right w:val="none" w:sz="0" w:space="0" w:color="auto"/>
              </w:divBdr>
            </w:div>
            <w:div w:id="1492600979">
              <w:marLeft w:val="0"/>
              <w:marRight w:val="0"/>
              <w:marTop w:val="0"/>
              <w:marBottom w:val="0"/>
              <w:divBdr>
                <w:top w:val="none" w:sz="0" w:space="0" w:color="auto"/>
                <w:left w:val="none" w:sz="0" w:space="0" w:color="auto"/>
                <w:bottom w:val="none" w:sz="0" w:space="0" w:color="auto"/>
                <w:right w:val="none" w:sz="0" w:space="0" w:color="auto"/>
              </w:divBdr>
            </w:div>
            <w:div w:id="1293904003">
              <w:marLeft w:val="0"/>
              <w:marRight w:val="0"/>
              <w:marTop w:val="0"/>
              <w:marBottom w:val="0"/>
              <w:divBdr>
                <w:top w:val="none" w:sz="0" w:space="0" w:color="auto"/>
                <w:left w:val="none" w:sz="0" w:space="0" w:color="auto"/>
                <w:bottom w:val="none" w:sz="0" w:space="0" w:color="auto"/>
                <w:right w:val="none" w:sz="0" w:space="0" w:color="auto"/>
              </w:divBdr>
            </w:div>
            <w:div w:id="244847525">
              <w:marLeft w:val="0"/>
              <w:marRight w:val="0"/>
              <w:marTop w:val="0"/>
              <w:marBottom w:val="0"/>
              <w:divBdr>
                <w:top w:val="none" w:sz="0" w:space="0" w:color="auto"/>
                <w:left w:val="none" w:sz="0" w:space="0" w:color="auto"/>
                <w:bottom w:val="none" w:sz="0" w:space="0" w:color="auto"/>
                <w:right w:val="none" w:sz="0" w:space="0" w:color="auto"/>
              </w:divBdr>
            </w:div>
            <w:div w:id="955133888">
              <w:marLeft w:val="0"/>
              <w:marRight w:val="0"/>
              <w:marTop w:val="0"/>
              <w:marBottom w:val="0"/>
              <w:divBdr>
                <w:top w:val="none" w:sz="0" w:space="0" w:color="auto"/>
                <w:left w:val="none" w:sz="0" w:space="0" w:color="auto"/>
                <w:bottom w:val="none" w:sz="0" w:space="0" w:color="auto"/>
                <w:right w:val="none" w:sz="0" w:space="0" w:color="auto"/>
              </w:divBdr>
            </w:div>
            <w:div w:id="2005619139">
              <w:marLeft w:val="0"/>
              <w:marRight w:val="0"/>
              <w:marTop w:val="0"/>
              <w:marBottom w:val="0"/>
              <w:divBdr>
                <w:top w:val="none" w:sz="0" w:space="0" w:color="auto"/>
                <w:left w:val="none" w:sz="0" w:space="0" w:color="auto"/>
                <w:bottom w:val="none" w:sz="0" w:space="0" w:color="auto"/>
                <w:right w:val="none" w:sz="0" w:space="0" w:color="auto"/>
              </w:divBdr>
            </w:div>
            <w:div w:id="1230265252">
              <w:marLeft w:val="0"/>
              <w:marRight w:val="0"/>
              <w:marTop w:val="0"/>
              <w:marBottom w:val="0"/>
              <w:divBdr>
                <w:top w:val="none" w:sz="0" w:space="0" w:color="auto"/>
                <w:left w:val="none" w:sz="0" w:space="0" w:color="auto"/>
                <w:bottom w:val="none" w:sz="0" w:space="0" w:color="auto"/>
                <w:right w:val="none" w:sz="0" w:space="0" w:color="auto"/>
              </w:divBdr>
            </w:div>
            <w:div w:id="1223786385">
              <w:marLeft w:val="0"/>
              <w:marRight w:val="0"/>
              <w:marTop w:val="0"/>
              <w:marBottom w:val="0"/>
              <w:divBdr>
                <w:top w:val="none" w:sz="0" w:space="0" w:color="auto"/>
                <w:left w:val="none" w:sz="0" w:space="0" w:color="auto"/>
                <w:bottom w:val="none" w:sz="0" w:space="0" w:color="auto"/>
                <w:right w:val="none" w:sz="0" w:space="0" w:color="auto"/>
              </w:divBdr>
            </w:div>
            <w:div w:id="513304498">
              <w:marLeft w:val="0"/>
              <w:marRight w:val="0"/>
              <w:marTop w:val="0"/>
              <w:marBottom w:val="0"/>
              <w:divBdr>
                <w:top w:val="none" w:sz="0" w:space="0" w:color="auto"/>
                <w:left w:val="none" w:sz="0" w:space="0" w:color="auto"/>
                <w:bottom w:val="none" w:sz="0" w:space="0" w:color="auto"/>
                <w:right w:val="none" w:sz="0" w:space="0" w:color="auto"/>
              </w:divBdr>
            </w:div>
            <w:div w:id="843856559">
              <w:marLeft w:val="0"/>
              <w:marRight w:val="0"/>
              <w:marTop w:val="0"/>
              <w:marBottom w:val="0"/>
              <w:divBdr>
                <w:top w:val="none" w:sz="0" w:space="0" w:color="auto"/>
                <w:left w:val="none" w:sz="0" w:space="0" w:color="auto"/>
                <w:bottom w:val="none" w:sz="0" w:space="0" w:color="auto"/>
                <w:right w:val="none" w:sz="0" w:space="0" w:color="auto"/>
              </w:divBdr>
            </w:div>
          </w:divsChild>
        </w:div>
        <w:div w:id="1193491937">
          <w:marLeft w:val="0"/>
          <w:marRight w:val="0"/>
          <w:marTop w:val="0"/>
          <w:marBottom w:val="0"/>
          <w:divBdr>
            <w:top w:val="none" w:sz="0" w:space="0" w:color="auto"/>
            <w:left w:val="none" w:sz="0" w:space="0" w:color="auto"/>
            <w:bottom w:val="none" w:sz="0" w:space="0" w:color="auto"/>
            <w:right w:val="none" w:sz="0" w:space="0" w:color="auto"/>
          </w:divBdr>
          <w:divsChild>
            <w:div w:id="887186970">
              <w:marLeft w:val="0"/>
              <w:marRight w:val="0"/>
              <w:marTop w:val="0"/>
              <w:marBottom w:val="0"/>
              <w:divBdr>
                <w:top w:val="none" w:sz="0" w:space="0" w:color="auto"/>
                <w:left w:val="none" w:sz="0" w:space="0" w:color="auto"/>
                <w:bottom w:val="none" w:sz="0" w:space="0" w:color="auto"/>
                <w:right w:val="none" w:sz="0" w:space="0" w:color="auto"/>
              </w:divBdr>
            </w:div>
            <w:div w:id="208417637">
              <w:marLeft w:val="0"/>
              <w:marRight w:val="0"/>
              <w:marTop w:val="0"/>
              <w:marBottom w:val="0"/>
              <w:divBdr>
                <w:top w:val="none" w:sz="0" w:space="0" w:color="auto"/>
                <w:left w:val="none" w:sz="0" w:space="0" w:color="auto"/>
                <w:bottom w:val="none" w:sz="0" w:space="0" w:color="auto"/>
                <w:right w:val="none" w:sz="0" w:space="0" w:color="auto"/>
              </w:divBdr>
            </w:div>
            <w:div w:id="513960461">
              <w:marLeft w:val="0"/>
              <w:marRight w:val="0"/>
              <w:marTop w:val="0"/>
              <w:marBottom w:val="0"/>
              <w:divBdr>
                <w:top w:val="none" w:sz="0" w:space="0" w:color="auto"/>
                <w:left w:val="none" w:sz="0" w:space="0" w:color="auto"/>
                <w:bottom w:val="none" w:sz="0" w:space="0" w:color="auto"/>
                <w:right w:val="none" w:sz="0" w:space="0" w:color="auto"/>
              </w:divBdr>
            </w:div>
            <w:div w:id="278996318">
              <w:marLeft w:val="0"/>
              <w:marRight w:val="0"/>
              <w:marTop w:val="0"/>
              <w:marBottom w:val="0"/>
              <w:divBdr>
                <w:top w:val="none" w:sz="0" w:space="0" w:color="auto"/>
                <w:left w:val="none" w:sz="0" w:space="0" w:color="auto"/>
                <w:bottom w:val="none" w:sz="0" w:space="0" w:color="auto"/>
                <w:right w:val="none" w:sz="0" w:space="0" w:color="auto"/>
              </w:divBdr>
            </w:div>
            <w:div w:id="46617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observation-assessment-and-planning/" TargetMode="External"/><Relationship Id="rId13" Type="http://schemas.openxmlformats.org/officeDocument/2006/relationships/hyperlink" Target="https://www.gov.wales/sites/default/files/publications/2018-02/foundation-phase-framework-revised-2015.pdf" TargetMode="External"/><Relationship Id="rId18" Type="http://schemas.openxmlformats.org/officeDocument/2006/relationships/hyperlink" Target="https://www.oxfordbibliographies.com/abstract/document/obo-9780199756810/obo-9780199756810-0179.xml" TargetMode="External"/><Relationship Id="rId26" Type="http://schemas.openxmlformats.org/officeDocument/2006/relationships/hyperlink" Target="https://www.westsussex.gov.uk/media/5555/effective_poa_and_planning.pdf" TargetMode="External"/><Relationship Id="rId3" Type="http://schemas.openxmlformats.org/officeDocument/2006/relationships/settings" Target="settings.xml"/><Relationship Id="rId21" Type="http://schemas.openxmlformats.org/officeDocument/2006/relationships/hyperlink" Target="https://www.unicef.org/sites/default/files/2018-12/UNICEF-Lego-Foundation-Learning-through-Play.pdf" TargetMode="External"/><Relationship Id="rId7" Type="http://schemas.openxmlformats.org/officeDocument/2006/relationships/hyperlink" Target="https://birthto5matters.org.uk/wp-content/uploads/2021/03/PDF-3-progress-matters.pdf" TargetMode="External"/><Relationship Id="rId12" Type="http://schemas.openxmlformats.org/officeDocument/2006/relationships/hyperlink" Target="https://www.gov.wales/flying-start-childcare-guidance-html" TargetMode="External"/><Relationship Id="rId17" Type="http://schemas.openxmlformats.org/officeDocument/2006/relationships/hyperlink" Target="https://www.oxfordbibliographies.com/abstract/document/obo-9780199756810/obo-9780199756810-0179.xml" TargetMode="External"/><Relationship Id="rId25" Type="http://schemas.openxmlformats.org/officeDocument/2006/relationships/hyperlink" Target="https://www.westsussex.gov.uk/media/5555/effective_poa_and_planning.pdf" TargetMode="External"/><Relationship Id="rId2" Type="http://schemas.openxmlformats.org/officeDocument/2006/relationships/styles" Target="styles.xml"/><Relationship Id="rId16" Type="http://schemas.openxmlformats.org/officeDocument/2006/relationships/hyperlink" Target="https://www.naeyc.org/resources/position-statements/dap/assessing-development" TargetMode="External"/><Relationship Id="rId20" Type="http://schemas.openxmlformats.org/officeDocument/2006/relationships/hyperlink" Target="https://www.bell-foundation.org.uk/resources/great-ideas/scaffold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tacenter.org/~pdfs/topics/earlyid/assessment-tools-planning-monitoring.pdf" TargetMode="External"/><Relationship Id="rId24" Type="http://schemas.openxmlformats.org/officeDocument/2006/relationships/hyperlink" Target="https://hwb.gov.wales/curriculum-for-wales/early-childhood-play-learning-and-care-in-wales/" TargetMode="External"/><Relationship Id="rId5" Type="http://schemas.openxmlformats.org/officeDocument/2006/relationships/footnotes" Target="footnotes.xml"/><Relationship Id="rId15" Type="http://schemas.openxmlformats.org/officeDocument/2006/relationships/hyperlink" Target="https://hwb.gov.wales/api/storage/b1801d78-38c3-4320-9818-d9996c21aef8/220914-a-curriculum-for-funded-non-maintained-nursery-settings.pdf" TargetMode="External"/><Relationship Id="rId23" Type="http://schemas.openxmlformats.org/officeDocument/2006/relationships/hyperlink" Target="https://hwb.gov.wales/curriculum-for-wales/early-childhood-play-learning-and-care-in-wales/" TargetMode="External"/><Relationship Id="rId28" Type="http://schemas.openxmlformats.org/officeDocument/2006/relationships/fontTable" Target="fontTable.xml"/><Relationship Id="rId10" Type="http://schemas.openxmlformats.org/officeDocument/2006/relationships/hyperlink" Target="https://www.earlyyears.wales/en/foundation-learning" TargetMode="External"/><Relationship Id="rId19" Type="http://schemas.openxmlformats.org/officeDocument/2006/relationships/hyperlink" Target="http://resourcesforearlylearning.org/fm/early-childhood-assessment/" TargetMode="External"/><Relationship Id="rId4" Type="http://schemas.openxmlformats.org/officeDocument/2006/relationships/webSettings" Target="webSettings.xml"/><Relationship Id="rId9" Type="http://schemas.openxmlformats.org/officeDocument/2006/relationships/hyperlink" Target="https://hwb.gov.wales/curriculum-for-wales/curriculum-for-wales-continuing-the-journey" TargetMode="External"/><Relationship Id="rId14" Type="http://schemas.openxmlformats.org/officeDocument/2006/relationships/hyperlink" Target="https://www.froebel.org.uk/about-us/the-power-of-play" TargetMode="External"/><Relationship Id="rId22" Type="http://schemas.openxmlformats.org/officeDocument/2006/relationships/hyperlink" Target="https://www.unicef.org.uk/rights-respecting-schools/the-rrsa/the-right-to-educatio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8</Pages>
  <Words>4626</Words>
  <Characters>26373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(2307138)</dc:creator>
  <cp:keywords/>
  <dc:description/>
  <cp:lastModifiedBy>Katie Thomas (2307138)</cp:lastModifiedBy>
  <cp:revision>36</cp:revision>
  <dcterms:created xsi:type="dcterms:W3CDTF">2025-05-23T15:35:00Z</dcterms:created>
  <dcterms:modified xsi:type="dcterms:W3CDTF">2025-06-14T12:39:00Z</dcterms:modified>
</cp:coreProperties>
</file>