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26B0290" w14:textId="6E9C0CD7" w:rsidR="00E97926" w:rsidRDefault="00E97926" w:rsidP="00E97926">
      <w:pPr>
        <w:jc w:val="center"/>
        <w:rPr>
          <w:sz w:val="32"/>
          <w:u w:val="single"/>
        </w:rPr>
      </w:pPr>
      <w:r>
        <w:rPr>
          <w:sz w:val="32"/>
          <w:u w:val="single"/>
        </w:rPr>
        <w:t>The Pardoner</w:t>
      </w:r>
    </w:p>
    <w:p w14:paraId="73A59667" w14:textId="0D2542B6" w:rsidR="00296C3B" w:rsidRPr="00FC04CB" w:rsidRDefault="00BE7340" w:rsidP="006E0C54">
      <w:pPr>
        <w:ind w:firstLine="720"/>
      </w:pPr>
      <w:bookmarkStart w:id="0" w:name="_Hlk527407339"/>
      <w:r w:rsidRPr="00FC04CB">
        <w:t>The Pardoner’s Tale</w:t>
      </w:r>
      <w:r w:rsidR="006E0C54" w:rsidRPr="00FC04CB">
        <w:t xml:space="preserve"> is a Fabliaux that satirizes the Roman Catholic Church</w:t>
      </w:r>
      <w:r w:rsidR="00B72C0F" w:rsidRPr="00FC04CB">
        <w:t xml:space="preserve"> and the corruption that existed in its hierarchy throughout much of the medieval era. </w:t>
      </w:r>
      <w:r w:rsidR="00A9325A" w:rsidRPr="00FC04CB">
        <w:t>The topic of this corruption</w:t>
      </w:r>
      <w:r w:rsidR="00B72C0F" w:rsidRPr="00FC04CB">
        <w:t xml:space="preserve"> was highly volatile at that time,</w:t>
      </w:r>
      <w:r w:rsidR="00EF27DB" w:rsidRPr="00FC04CB">
        <w:t xml:space="preserve"> </w:t>
      </w:r>
      <w:r w:rsidR="00A9325A" w:rsidRPr="00FC04CB">
        <w:t xml:space="preserve">yet </w:t>
      </w:r>
      <w:r w:rsidR="00EF27DB" w:rsidRPr="00FC04CB">
        <w:t>Geoffrey</w:t>
      </w:r>
      <w:r w:rsidR="00B72C0F" w:rsidRPr="00FC04CB">
        <w:t xml:space="preserve"> Chaucer pulls of</w:t>
      </w:r>
      <w:r w:rsidR="00E8345E" w:rsidRPr="00FC04CB">
        <w:t>f</w:t>
      </w:r>
      <w:r w:rsidR="00A9325A" w:rsidRPr="00FC04CB">
        <w:t xml:space="preserve"> his criticism </w:t>
      </w:r>
      <w:r w:rsidR="003601A5" w:rsidRPr="00FC04CB">
        <w:t>of Church practices</w:t>
      </w:r>
      <w:r w:rsidR="006E0C54" w:rsidRPr="00FC04CB">
        <w:t xml:space="preserve"> using the </w:t>
      </w:r>
      <w:r w:rsidR="005F49C5" w:rsidRPr="00FC04CB">
        <w:t>character</w:t>
      </w:r>
      <w:r w:rsidR="006E0C54" w:rsidRPr="00FC04CB">
        <w:t xml:space="preserve"> of a Pardoner</w:t>
      </w:r>
      <w:r w:rsidR="003601A5" w:rsidRPr="00FC04CB">
        <w:t>—a travelling indulgence salesman—</w:t>
      </w:r>
      <w:r w:rsidR="006E0C54" w:rsidRPr="00FC04CB">
        <w:t xml:space="preserve">to </w:t>
      </w:r>
      <w:r w:rsidR="005F49C5" w:rsidRPr="00FC04CB">
        <w:t xml:space="preserve">tell a tale that outlines his </w:t>
      </w:r>
      <w:r w:rsidR="00EF6623" w:rsidRPr="00FC04CB">
        <w:t xml:space="preserve">personal </w:t>
      </w:r>
      <w:r w:rsidR="005F49C5" w:rsidRPr="00FC04CB">
        <w:t>hypocrisy and financial embezzlement</w:t>
      </w:r>
      <w:r w:rsidR="00EF6623" w:rsidRPr="00FC04CB">
        <w:t xml:space="preserve"> as a microcosm of the Church</w:t>
      </w:r>
      <w:r w:rsidR="005F49C5" w:rsidRPr="00FC04CB">
        <w:t xml:space="preserve"> in what is effectively a </w:t>
      </w:r>
      <w:r w:rsidR="00B95F7C" w:rsidRPr="00FC04CB">
        <w:t xml:space="preserve">ploy to deceive the unsuspecting and fearful of their money. </w:t>
      </w:r>
      <w:bookmarkEnd w:id="0"/>
      <w:r w:rsidR="000B5AD3" w:rsidRPr="00FC04CB">
        <w:t xml:space="preserve">This essay </w:t>
      </w:r>
      <w:r w:rsidR="002B75D6" w:rsidRPr="00FC04CB">
        <w:t xml:space="preserve">will </w:t>
      </w:r>
      <w:r w:rsidR="002C2363" w:rsidRPr="00FC04CB">
        <w:t>examine</w:t>
      </w:r>
      <w:r w:rsidR="000B5AD3" w:rsidRPr="00FC04CB">
        <w:t xml:space="preserve"> the context of this Tale</w:t>
      </w:r>
      <w:r w:rsidR="003C0FD4" w:rsidRPr="00FC04CB">
        <w:t xml:space="preserve"> in terms of styles of literature and historical context</w:t>
      </w:r>
      <w:r w:rsidR="00E74F08" w:rsidRPr="00FC04CB">
        <w:t xml:space="preserve"> and how Chaucer used this </w:t>
      </w:r>
      <w:r w:rsidR="002D46F3" w:rsidRPr="00FC04CB">
        <w:t xml:space="preserve">tale to convey his </w:t>
      </w:r>
      <w:r w:rsidR="00E84F54" w:rsidRPr="00FC04CB">
        <w:t>criticism of the Church’s practices</w:t>
      </w:r>
      <w:r w:rsidR="002D46F3" w:rsidRPr="00FC04CB">
        <w:t>.</w:t>
      </w:r>
    </w:p>
    <w:p w14:paraId="4A243B09" w14:textId="15844951" w:rsidR="003C64A7" w:rsidRPr="00FC04CB" w:rsidRDefault="00BE1FC4" w:rsidP="006C6629">
      <w:pPr>
        <w:ind w:firstLine="720"/>
      </w:pPr>
      <w:r w:rsidRPr="00FC04CB">
        <w:t>While in today’s literature a reader may expect a near lifelike degree of realism,</w:t>
      </w:r>
      <w:r w:rsidR="000F747E" w:rsidRPr="00FC04CB">
        <w:t xml:space="preserve"> at the time Chaucer was writing </w:t>
      </w:r>
      <w:r w:rsidR="00D8030D" w:rsidRPr="00FC04CB">
        <w:t>in the late 14</w:t>
      </w:r>
      <w:r w:rsidR="00D8030D" w:rsidRPr="00FC04CB">
        <w:rPr>
          <w:vertAlign w:val="superscript"/>
        </w:rPr>
        <w:t>th</w:t>
      </w:r>
      <w:r w:rsidR="00D8030D" w:rsidRPr="00FC04CB">
        <w:t xml:space="preserve"> century</w:t>
      </w:r>
      <w:r w:rsidR="00D92CA3" w:rsidRPr="00FC04CB">
        <w:t xml:space="preserve"> it was more common </w:t>
      </w:r>
      <w:r w:rsidR="0000778B" w:rsidRPr="00FC04CB">
        <w:t xml:space="preserve">for a tale </w:t>
      </w:r>
      <w:r w:rsidR="00E063F4" w:rsidRPr="00FC04CB">
        <w:t xml:space="preserve">to be somewhat </w:t>
      </w:r>
      <w:r w:rsidR="007D475B" w:rsidRPr="00FC04CB">
        <w:t>hyperbolic and fanciful, with a degree of freedom that a literal recreation of life would not allow</w:t>
      </w:r>
      <w:r w:rsidR="00890495" w:rsidRPr="00FC04CB">
        <w:t>. Thus,</w:t>
      </w:r>
      <w:r w:rsidR="007D475B" w:rsidRPr="00FC04CB">
        <w:t xml:space="preserve"> ‘</w:t>
      </w:r>
      <w:r w:rsidR="00890495" w:rsidRPr="00FC04CB">
        <w:t>[Chaucer]</w:t>
      </w:r>
      <w:r w:rsidR="007D475B" w:rsidRPr="00FC04CB">
        <w:t xml:space="preserve"> is free, as The Pardoner's Tale illustrates, to use characters who operate as carriers of attitudes and concepts. Their vividness is often that of a brilliant fable or, in modern narrative genres, an animated film,</w:t>
      </w:r>
      <w:r w:rsidR="00890495" w:rsidRPr="00FC04CB">
        <w:t xml:space="preserve"> […]’</w:t>
      </w:r>
      <w:r w:rsidR="0060540B" w:rsidRPr="00FC04CB">
        <w:rPr>
          <w:rStyle w:val="FootnoteReference"/>
        </w:rPr>
        <w:footnoteReference w:id="1"/>
      </w:r>
      <w:r w:rsidR="009B046B" w:rsidRPr="00FC04CB">
        <w:t xml:space="preserve">. This freedom in terms of writing style </w:t>
      </w:r>
      <w:r w:rsidR="000B7F1C" w:rsidRPr="00FC04CB">
        <w:t>complements the message of the Pardoner’s Tale perfectly</w:t>
      </w:r>
      <w:r w:rsidR="00B33B15" w:rsidRPr="00FC04CB">
        <w:t xml:space="preserve"> and accommodates what Chaucer wanted to convey to his readers in what was a </w:t>
      </w:r>
      <w:r w:rsidR="000D0981" w:rsidRPr="00FC04CB">
        <w:t>sensitive matter</w:t>
      </w:r>
      <w:r w:rsidR="00936243" w:rsidRPr="00FC04CB">
        <w:t>, a criticism of</w:t>
      </w:r>
      <w:r w:rsidR="000E1404" w:rsidRPr="00FC04CB">
        <w:t xml:space="preserve"> </w:t>
      </w:r>
      <w:r w:rsidR="004E7AD3" w:rsidRPr="00FC04CB">
        <w:t xml:space="preserve">the corruption </w:t>
      </w:r>
      <w:r w:rsidR="007860D2" w:rsidRPr="00FC04CB">
        <w:t xml:space="preserve">of </w:t>
      </w:r>
      <w:r w:rsidR="004E7AD3" w:rsidRPr="00FC04CB">
        <w:t xml:space="preserve">the medieval Church </w:t>
      </w:r>
      <w:r w:rsidR="007860D2" w:rsidRPr="00FC04CB">
        <w:t>that was so prevalent</w:t>
      </w:r>
      <w:r w:rsidR="004E7AD3" w:rsidRPr="00FC04CB">
        <w:t xml:space="preserve"> that it </w:t>
      </w:r>
      <w:r w:rsidR="00662A55" w:rsidRPr="00FC04CB">
        <w:t xml:space="preserve">made necessary the </w:t>
      </w:r>
      <w:r w:rsidR="00DF147D" w:rsidRPr="00FC04CB">
        <w:t>R</w:t>
      </w:r>
      <w:r w:rsidR="004E7AD3" w:rsidRPr="00FC04CB">
        <w:t>eformation</w:t>
      </w:r>
      <w:r w:rsidR="00DF147D" w:rsidRPr="00FC04CB">
        <w:t>.</w:t>
      </w:r>
    </w:p>
    <w:p w14:paraId="53C83295" w14:textId="29A56BC5" w:rsidR="00C467A6" w:rsidRPr="00FC04CB" w:rsidRDefault="006C6DE6" w:rsidP="006C6629">
      <w:pPr>
        <w:ind w:firstLine="720"/>
      </w:pPr>
      <w:r w:rsidRPr="00FC04CB">
        <w:t xml:space="preserve">Against this backdrop, the Pardoner tells his tale </w:t>
      </w:r>
      <w:r w:rsidR="00203AC6" w:rsidRPr="00FC04CB">
        <w:t xml:space="preserve">exposing his methods and attitudes to his audience and presents a story that </w:t>
      </w:r>
      <w:r w:rsidR="003761A7" w:rsidRPr="00FC04CB">
        <w:t>asserts</w:t>
      </w:r>
      <w:r w:rsidR="00203AC6" w:rsidRPr="00FC04CB">
        <w:t xml:space="preserve"> his one and only theme of doctrinal teaching</w:t>
      </w:r>
      <w:r w:rsidR="0083520E" w:rsidRPr="00FC04CB">
        <w:t xml:space="preserve">: </w:t>
      </w:r>
      <w:r w:rsidR="008A18F2" w:rsidRPr="00FC04CB">
        <w:t xml:space="preserve">‘Radix </w:t>
      </w:r>
      <w:proofErr w:type="spellStart"/>
      <w:r w:rsidR="008A18F2" w:rsidRPr="00FC04CB">
        <w:t>malorum</w:t>
      </w:r>
      <w:proofErr w:type="spellEnd"/>
      <w:r w:rsidR="008A18F2" w:rsidRPr="00FC04CB">
        <w:t xml:space="preserve"> </w:t>
      </w:r>
      <w:proofErr w:type="spellStart"/>
      <w:r w:rsidR="008A18F2" w:rsidRPr="00FC04CB">
        <w:t>est</w:t>
      </w:r>
      <w:proofErr w:type="spellEnd"/>
      <w:r w:rsidR="008A18F2" w:rsidRPr="00FC04CB">
        <w:t xml:space="preserve"> </w:t>
      </w:r>
      <w:proofErr w:type="spellStart"/>
      <w:r w:rsidR="008A18F2" w:rsidRPr="00FC04CB">
        <w:t>Cupiditas</w:t>
      </w:r>
      <w:proofErr w:type="spellEnd"/>
      <w:r w:rsidR="008A18F2" w:rsidRPr="00FC04CB">
        <w:t>/ “Greed is the root of all evil.”’</w:t>
      </w:r>
      <w:r w:rsidR="00A77E6E" w:rsidRPr="00FC04CB">
        <w:rPr>
          <w:rStyle w:val="FootnoteReference"/>
        </w:rPr>
        <w:footnoteReference w:id="2"/>
      </w:r>
      <w:r w:rsidR="00384D71" w:rsidRPr="00FC04CB">
        <w:t xml:space="preserve"> </w:t>
      </w:r>
      <w:r w:rsidR="00D62CD1" w:rsidRPr="00FC04CB">
        <w:t>This refrain is the backbone of the Pardoner’s Tale</w:t>
      </w:r>
      <w:r w:rsidR="00642BA9" w:rsidRPr="00FC04CB">
        <w:t>, but despite that h</w:t>
      </w:r>
      <w:r w:rsidR="002C09C3" w:rsidRPr="00FC04CB">
        <w:t xml:space="preserve">is motivation for doing his job is exactly the same </w:t>
      </w:r>
      <w:r w:rsidR="00564080" w:rsidRPr="00FC04CB">
        <w:t xml:space="preserve">motivation </w:t>
      </w:r>
      <w:r w:rsidR="002C09C3" w:rsidRPr="00FC04CB">
        <w:t>that he himself is preaching against: gree</w:t>
      </w:r>
      <w:r w:rsidR="00861302" w:rsidRPr="00FC04CB">
        <w:t>d. A</w:t>
      </w:r>
      <w:r w:rsidR="005847DA" w:rsidRPr="00FC04CB">
        <w:t>s the Pardoner himself says</w:t>
      </w:r>
      <w:r w:rsidR="000B2E56" w:rsidRPr="00FC04CB">
        <w:t xml:space="preserve">, ‘Of avarice and of </w:t>
      </w:r>
      <w:proofErr w:type="spellStart"/>
      <w:r w:rsidR="000B2E56" w:rsidRPr="00FC04CB">
        <w:t>swich</w:t>
      </w:r>
      <w:proofErr w:type="spellEnd"/>
      <w:r w:rsidR="000B2E56" w:rsidRPr="00FC04CB">
        <w:t xml:space="preserve"> </w:t>
      </w:r>
      <w:proofErr w:type="spellStart"/>
      <w:r w:rsidR="000B2E56" w:rsidRPr="00FC04CB">
        <w:t>cursednesse</w:t>
      </w:r>
      <w:proofErr w:type="spellEnd"/>
      <w:r w:rsidR="000B2E56" w:rsidRPr="00FC04CB">
        <w:t xml:space="preserve">/[…] Is </w:t>
      </w:r>
      <w:proofErr w:type="spellStart"/>
      <w:r w:rsidR="000B2E56" w:rsidRPr="00FC04CB">
        <w:t>al</w:t>
      </w:r>
      <w:proofErr w:type="spellEnd"/>
      <w:r w:rsidR="000B2E56" w:rsidRPr="00FC04CB">
        <w:t xml:space="preserve"> my </w:t>
      </w:r>
      <w:proofErr w:type="spellStart"/>
      <w:r w:rsidR="000B2E56" w:rsidRPr="00FC04CB">
        <w:t>prechyng</w:t>
      </w:r>
      <w:proofErr w:type="spellEnd"/>
      <w:r w:rsidR="000B2E56" w:rsidRPr="00FC04CB">
        <w:t xml:space="preserve">, for to make </w:t>
      </w:r>
      <w:proofErr w:type="spellStart"/>
      <w:r w:rsidR="000B2E56" w:rsidRPr="00FC04CB">
        <w:t>hem</w:t>
      </w:r>
      <w:proofErr w:type="spellEnd"/>
      <w:r w:rsidR="000B2E56" w:rsidRPr="00FC04CB">
        <w:t xml:space="preserve"> free</w:t>
      </w:r>
      <w:r w:rsidR="00790251" w:rsidRPr="00FC04CB">
        <w:t xml:space="preserve">/[…] </w:t>
      </w:r>
      <w:r w:rsidR="000B2E56" w:rsidRPr="00FC04CB">
        <w:t xml:space="preserve">To </w:t>
      </w:r>
      <w:proofErr w:type="spellStart"/>
      <w:r w:rsidR="000B2E56" w:rsidRPr="00FC04CB">
        <w:t>yeven</w:t>
      </w:r>
      <w:proofErr w:type="spellEnd"/>
      <w:r w:rsidR="000B2E56" w:rsidRPr="00FC04CB">
        <w:t xml:space="preserve"> </w:t>
      </w:r>
      <w:proofErr w:type="spellStart"/>
      <w:r w:rsidR="000B2E56" w:rsidRPr="00FC04CB">
        <w:t>hir</w:t>
      </w:r>
      <w:proofErr w:type="spellEnd"/>
      <w:r w:rsidR="000B2E56" w:rsidRPr="00FC04CB">
        <w:t xml:space="preserve"> pens, and namely unto me.</w:t>
      </w:r>
      <w:r w:rsidR="00790251" w:rsidRPr="00FC04CB">
        <w:t>’</w:t>
      </w:r>
      <w:r w:rsidR="00790251" w:rsidRPr="00FC04CB">
        <w:rPr>
          <w:rStyle w:val="FootnoteReference"/>
        </w:rPr>
        <w:footnoteReference w:id="3"/>
      </w:r>
      <w:r w:rsidR="00717AB4" w:rsidRPr="00FC04CB">
        <w:t xml:space="preserve"> </w:t>
      </w:r>
      <w:r w:rsidR="00DD2CB2" w:rsidRPr="00FC04CB">
        <w:t xml:space="preserve">The Host </w:t>
      </w:r>
      <w:r w:rsidR="00A95CDB" w:rsidRPr="00FC04CB">
        <w:t xml:space="preserve">at </w:t>
      </w:r>
      <w:r w:rsidR="00DD2CB2" w:rsidRPr="00FC04CB">
        <w:t>the Tale</w:t>
      </w:r>
      <w:r w:rsidR="00A95CDB" w:rsidRPr="00FC04CB">
        <w:t>’s conclusion</w:t>
      </w:r>
      <w:r w:rsidR="00DD2CB2" w:rsidRPr="00FC04CB">
        <w:t xml:space="preserve"> becomes riled against this hypocrisy and </w:t>
      </w:r>
      <w:r w:rsidR="00D561A9" w:rsidRPr="00FC04CB">
        <w:t xml:space="preserve">seems to </w:t>
      </w:r>
      <w:r w:rsidR="005312C2" w:rsidRPr="00FC04CB">
        <w:t xml:space="preserve">be </w:t>
      </w:r>
      <w:r w:rsidR="00D561A9" w:rsidRPr="00FC04CB">
        <w:t>express</w:t>
      </w:r>
      <w:r w:rsidR="005312C2" w:rsidRPr="00FC04CB">
        <w:t>ing</w:t>
      </w:r>
      <w:r w:rsidR="00D561A9" w:rsidRPr="00FC04CB">
        <w:t xml:space="preserve"> </w:t>
      </w:r>
      <w:r w:rsidR="00DF032E" w:rsidRPr="00FC04CB">
        <w:t xml:space="preserve">the feelings of the general public </w:t>
      </w:r>
      <w:r w:rsidR="00AE2582" w:rsidRPr="00FC04CB">
        <w:t>of that time</w:t>
      </w:r>
      <w:r w:rsidR="00C467A6" w:rsidRPr="00FC04CB">
        <w:t>:</w:t>
      </w:r>
    </w:p>
    <w:p w14:paraId="7BD7AC1D" w14:textId="487C95ED" w:rsidR="00CD6BBE" w:rsidRPr="00FC04CB" w:rsidRDefault="00923FDA" w:rsidP="002B545E">
      <w:r w:rsidRPr="00FC04CB">
        <w:t xml:space="preserve">‘Thou </w:t>
      </w:r>
      <w:proofErr w:type="spellStart"/>
      <w:r w:rsidRPr="00FC04CB">
        <w:t>woldest</w:t>
      </w:r>
      <w:proofErr w:type="spellEnd"/>
      <w:r w:rsidRPr="00FC04CB">
        <w:t xml:space="preserve"> make me </w:t>
      </w:r>
      <w:proofErr w:type="spellStart"/>
      <w:r w:rsidRPr="00FC04CB">
        <w:t>kisse</w:t>
      </w:r>
      <w:proofErr w:type="spellEnd"/>
      <w:r w:rsidRPr="00FC04CB">
        <w:t xml:space="preserve"> </w:t>
      </w:r>
      <w:proofErr w:type="spellStart"/>
      <w:r w:rsidRPr="00FC04CB">
        <w:t>thyn</w:t>
      </w:r>
      <w:proofErr w:type="spellEnd"/>
      <w:r w:rsidRPr="00FC04CB">
        <w:t xml:space="preserve"> </w:t>
      </w:r>
      <w:proofErr w:type="spellStart"/>
      <w:r w:rsidRPr="00FC04CB">
        <w:t>olde</w:t>
      </w:r>
      <w:proofErr w:type="spellEnd"/>
      <w:r w:rsidRPr="00FC04CB">
        <w:t xml:space="preserve"> breech,</w:t>
      </w:r>
      <w:r w:rsidR="00C467A6" w:rsidRPr="00FC04CB">
        <w:t xml:space="preserve">/ […] </w:t>
      </w:r>
      <w:r w:rsidRPr="00FC04CB">
        <w:t xml:space="preserve">And </w:t>
      </w:r>
      <w:proofErr w:type="spellStart"/>
      <w:r w:rsidRPr="00FC04CB">
        <w:t>swere</w:t>
      </w:r>
      <w:proofErr w:type="spellEnd"/>
      <w:r w:rsidRPr="00FC04CB">
        <w:t xml:space="preserve"> it were a </w:t>
      </w:r>
      <w:proofErr w:type="spellStart"/>
      <w:r w:rsidRPr="00FC04CB">
        <w:t>relyk</w:t>
      </w:r>
      <w:proofErr w:type="spellEnd"/>
      <w:r w:rsidRPr="00FC04CB">
        <w:t xml:space="preserve"> of a </w:t>
      </w:r>
      <w:proofErr w:type="spellStart"/>
      <w:r w:rsidRPr="00FC04CB">
        <w:t>seint</w:t>
      </w:r>
      <w:proofErr w:type="spellEnd"/>
      <w:r w:rsidRPr="00FC04CB">
        <w:t xml:space="preserve">,/[…] Though it were with thy </w:t>
      </w:r>
      <w:proofErr w:type="spellStart"/>
      <w:r w:rsidRPr="00FC04CB">
        <w:t>fundement</w:t>
      </w:r>
      <w:proofErr w:type="spellEnd"/>
      <w:r w:rsidRPr="00FC04CB">
        <w:t xml:space="preserve"> </w:t>
      </w:r>
      <w:proofErr w:type="spellStart"/>
      <w:r w:rsidRPr="00FC04CB">
        <w:t>depeint</w:t>
      </w:r>
      <w:proofErr w:type="spellEnd"/>
      <w:r w:rsidRPr="00FC04CB">
        <w:t xml:space="preserve">!/ […] But, by the </w:t>
      </w:r>
      <w:proofErr w:type="spellStart"/>
      <w:r w:rsidRPr="00FC04CB">
        <w:t>croys</w:t>
      </w:r>
      <w:proofErr w:type="spellEnd"/>
      <w:r w:rsidRPr="00FC04CB">
        <w:t xml:space="preserve"> which that </w:t>
      </w:r>
      <w:proofErr w:type="spellStart"/>
      <w:r w:rsidRPr="00FC04CB">
        <w:t>Seint</w:t>
      </w:r>
      <w:proofErr w:type="spellEnd"/>
      <w:r w:rsidRPr="00FC04CB">
        <w:t xml:space="preserve"> </w:t>
      </w:r>
      <w:proofErr w:type="spellStart"/>
      <w:r w:rsidRPr="00FC04CB">
        <w:t>Eleyne</w:t>
      </w:r>
      <w:proofErr w:type="spellEnd"/>
      <w:r w:rsidRPr="00FC04CB">
        <w:t xml:space="preserve"> fond,/ […] I </w:t>
      </w:r>
      <w:proofErr w:type="spellStart"/>
      <w:r w:rsidRPr="00FC04CB">
        <w:t>wolde</w:t>
      </w:r>
      <w:proofErr w:type="spellEnd"/>
      <w:r w:rsidRPr="00FC04CB">
        <w:t xml:space="preserve"> I </w:t>
      </w:r>
      <w:proofErr w:type="spellStart"/>
      <w:r w:rsidRPr="00FC04CB">
        <w:t>hadde</w:t>
      </w:r>
      <w:proofErr w:type="spellEnd"/>
      <w:r w:rsidRPr="00FC04CB">
        <w:t xml:space="preserve"> thy </w:t>
      </w:r>
      <w:proofErr w:type="spellStart"/>
      <w:r w:rsidRPr="00FC04CB">
        <w:t>coillons</w:t>
      </w:r>
      <w:proofErr w:type="spellEnd"/>
      <w:r w:rsidRPr="00FC04CB">
        <w:t xml:space="preserve"> in </w:t>
      </w:r>
      <w:proofErr w:type="spellStart"/>
      <w:r w:rsidRPr="00FC04CB">
        <w:t>myn</w:t>
      </w:r>
      <w:proofErr w:type="spellEnd"/>
      <w:r w:rsidRPr="00FC04CB">
        <w:t xml:space="preserve"> </w:t>
      </w:r>
      <w:proofErr w:type="spellStart"/>
      <w:r w:rsidRPr="00FC04CB">
        <w:t>hond</w:t>
      </w:r>
      <w:proofErr w:type="spellEnd"/>
      <w:r w:rsidRPr="00FC04CB">
        <w:t xml:space="preserve">/ […] In </w:t>
      </w:r>
      <w:proofErr w:type="spellStart"/>
      <w:r w:rsidRPr="00FC04CB">
        <w:t>stide</w:t>
      </w:r>
      <w:proofErr w:type="spellEnd"/>
      <w:r w:rsidRPr="00FC04CB">
        <w:t xml:space="preserve"> of </w:t>
      </w:r>
      <w:proofErr w:type="spellStart"/>
      <w:r w:rsidRPr="00FC04CB">
        <w:t>relikes</w:t>
      </w:r>
      <w:proofErr w:type="spellEnd"/>
      <w:r w:rsidRPr="00FC04CB">
        <w:t xml:space="preserve"> or of </w:t>
      </w:r>
      <w:proofErr w:type="spellStart"/>
      <w:r w:rsidRPr="00FC04CB">
        <w:t>seintuarie</w:t>
      </w:r>
      <w:proofErr w:type="spellEnd"/>
      <w:r w:rsidRPr="00FC04CB">
        <w:t>.[…]’</w:t>
      </w:r>
      <w:r w:rsidR="002B4DFF" w:rsidRPr="00FC04CB">
        <w:rPr>
          <w:rStyle w:val="FootnoteReference"/>
        </w:rPr>
        <w:footnoteReference w:id="4"/>
      </w:r>
    </w:p>
    <w:p w14:paraId="2B636797" w14:textId="565B79F9" w:rsidR="00E004B3" w:rsidRPr="00FC04CB" w:rsidRDefault="00E004B3" w:rsidP="00E004B3">
      <w:r w:rsidRPr="00FC04CB">
        <w:t>Strong words</w:t>
      </w:r>
      <w:r w:rsidR="007D5D14" w:rsidRPr="00FC04CB">
        <w:t xml:space="preserve">, yet this is hardly surprising given the historical context of </w:t>
      </w:r>
      <w:r w:rsidR="00FC52EC" w:rsidRPr="00FC04CB">
        <w:t>The Canterbury Tales</w:t>
      </w:r>
      <w:r w:rsidR="00E94C64" w:rsidRPr="00FC04CB">
        <w:t>’</w:t>
      </w:r>
      <w:r w:rsidR="00FC52EC" w:rsidRPr="00FC04CB">
        <w:t xml:space="preserve"> authorship</w:t>
      </w:r>
      <w:r w:rsidR="007D5D14" w:rsidRPr="00FC04CB">
        <w:t>.</w:t>
      </w:r>
    </w:p>
    <w:p w14:paraId="45AE37CF" w14:textId="40188128" w:rsidR="000067E1" w:rsidRPr="00FC04CB" w:rsidRDefault="00D33993" w:rsidP="00E004B3">
      <w:r w:rsidRPr="00FC04CB">
        <w:tab/>
      </w:r>
      <w:r w:rsidR="00945DE1" w:rsidRPr="00FC04CB">
        <w:t xml:space="preserve">The Pardoner’s Tale is written in the aftermath of the Black Death and </w:t>
      </w:r>
      <w:r w:rsidR="0063704D" w:rsidRPr="00FC04CB">
        <w:t xml:space="preserve">the tremendous </w:t>
      </w:r>
      <w:r w:rsidR="009B33BB" w:rsidRPr="00FC04CB">
        <w:t>degree</w:t>
      </w:r>
      <w:r w:rsidR="0063704D" w:rsidRPr="00FC04CB">
        <w:t xml:space="preserve"> of social upheaval that the deaths of </w:t>
      </w:r>
      <w:r w:rsidR="005F7F01" w:rsidRPr="00FC04CB">
        <w:t xml:space="preserve">so many </w:t>
      </w:r>
      <w:r w:rsidR="0063704D" w:rsidRPr="00FC04CB">
        <w:t xml:space="preserve">unknown millions had on </w:t>
      </w:r>
      <w:r w:rsidR="005F7F01" w:rsidRPr="00FC04CB">
        <w:t>the population of Europe at large</w:t>
      </w:r>
      <w:r w:rsidR="00EB4490" w:rsidRPr="00FC04CB">
        <w:t>. Hand in hand with this,</w:t>
      </w:r>
      <w:r w:rsidR="005D545F" w:rsidRPr="00FC04CB">
        <w:t xml:space="preserve"> the </w:t>
      </w:r>
      <w:r w:rsidR="008159D7" w:rsidRPr="00FC04CB">
        <w:t xml:space="preserve">enormous </w:t>
      </w:r>
      <w:r w:rsidR="005D545F" w:rsidRPr="00FC04CB">
        <w:t xml:space="preserve">loss of confidence that the </w:t>
      </w:r>
      <w:r w:rsidR="00AE09D5" w:rsidRPr="00FC04CB">
        <w:t xml:space="preserve">general populace had in the Church </w:t>
      </w:r>
      <w:proofErr w:type="gramStart"/>
      <w:r w:rsidR="00AE09D5" w:rsidRPr="00FC04CB">
        <w:t>as a whole</w:t>
      </w:r>
      <w:r w:rsidR="00223AEC" w:rsidRPr="00FC04CB">
        <w:t xml:space="preserve"> may</w:t>
      </w:r>
      <w:proofErr w:type="gramEnd"/>
      <w:r w:rsidR="00223AEC" w:rsidRPr="00FC04CB">
        <w:t xml:space="preserve"> be another element to the Host’s </w:t>
      </w:r>
      <w:r w:rsidR="00CC4C2F" w:rsidRPr="00FC04CB">
        <w:t>aforementioned</w:t>
      </w:r>
      <w:r w:rsidR="00223AEC" w:rsidRPr="00FC04CB">
        <w:t xml:space="preserve"> quote</w:t>
      </w:r>
      <w:r w:rsidR="005D545F" w:rsidRPr="00FC04CB">
        <w:t xml:space="preserve">. </w:t>
      </w:r>
      <w:r w:rsidR="00E25A74" w:rsidRPr="00FC04CB">
        <w:t xml:space="preserve">It is against this setting </w:t>
      </w:r>
      <w:r w:rsidR="007D089B" w:rsidRPr="00FC04CB">
        <w:t xml:space="preserve">that the </w:t>
      </w:r>
      <w:r w:rsidR="005E4A5A" w:rsidRPr="00FC04CB">
        <w:t>description of</w:t>
      </w:r>
      <w:r w:rsidR="007D089B" w:rsidRPr="00FC04CB">
        <w:t xml:space="preserve"> Death </w:t>
      </w:r>
      <w:r w:rsidR="005E4A5A" w:rsidRPr="00FC04CB">
        <w:t xml:space="preserve">personified </w:t>
      </w:r>
      <w:r w:rsidR="007D089B" w:rsidRPr="00FC04CB">
        <w:t>comes into sharper focus:</w:t>
      </w:r>
    </w:p>
    <w:p w14:paraId="0359FD70" w14:textId="1AC516D6" w:rsidR="00D33993" w:rsidRPr="00FC04CB" w:rsidRDefault="00DB792C" w:rsidP="004743FF">
      <w:r w:rsidRPr="00FC04CB">
        <w:lastRenderedPageBreak/>
        <w:t>‘</w:t>
      </w:r>
      <w:r w:rsidR="00C6302B" w:rsidRPr="00FC04CB">
        <w:t>[…]</w:t>
      </w:r>
      <w:r w:rsidR="000067E1" w:rsidRPr="00FC04CB">
        <w:t xml:space="preserve"> a </w:t>
      </w:r>
      <w:proofErr w:type="spellStart"/>
      <w:r w:rsidR="000067E1" w:rsidRPr="00FC04CB">
        <w:t>privee</w:t>
      </w:r>
      <w:proofErr w:type="spellEnd"/>
      <w:r w:rsidR="000067E1" w:rsidRPr="00FC04CB">
        <w:t xml:space="preserve"> </w:t>
      </w:r>
      <w:proofErr w:type="spellStart"/>
      <w:r w:rsidR="000067E1" w:rsidRPr="00FC04CB">
        <w:t>theef</w:t>
      </w:r>
      <w:proofErr w:type="spellEnd"/>
      <w:r w:rsidR="000067E1" w:rsidRPr="00FC04CB">
        <w:t xml:space="preserve"> men </w:t>
      </w:r>
      <w:proofErr w:type="spellStart"/>
      <w:r w:rsidR="000067E1" w:rsidRPr="00FC04CB">
        <w:t>clepeth</w:t>
      </w:r>
      <w:proofErr w:type="spellEnd"/>
      <w:r w:rsidR="000067E1" w:rsidRPr="00FC04CB">
        <w:t xml:space="preserve"> </w:t>
      </w:r>
      <w:proofErr w:type="spellStart"/>
      <w:proofErr w:type="gramStart"/>
      <w:r w:rsidR="000067E1" w:rsidRPr="00FC04CB">
        <w:t>Deeth</w:t>
      </w:r>
      <w:proofErr w:type="spellEnd"/>
      <w:r w:rsidR="000067E1" w:rsidRPr="00FC04CB">
        <w:t>,</w:t>
      </w:r>
      <w:r w:rsidR="00F842EC" w:rsidRPr="00FC04CB">
        <w:t>/</w:t>
      </w:r>
      <w:proofErr w:type="gramEnd"/>
      <w:r w:rsidR="00F842EC" w:rsidRPr="00FC04CB">
        <w:t xml:space="preserve"> […] </w:t>
      </w:r>
      <w:r w:rsidR="000067E1" w:rsidRPr="00FC04CB">
        <w:t xml:space="preserve">That in this </w:t>
      </w:r>
      <w:proofErr w:type="spellStart"/>
      <w:r w:rsidR="000067E1" w:rsidRPr="00FC04CB">
        <w:t>contree</w:t>
      </w:r>
      <w:proofErr w:type="spellEnd"/>
      <w:r w:rsidR="000067E1" w:rsidRPr="00FC04CB">
        <w:t xml:space="preserve"> al the </w:t>
      </w:r>
      <w:proofErr w:type="spellStart"/>
      <w:r w:rsidR="000067E1" w:rsidRPr="00FC04CB">
        <w:t>peple</w:t>
      </w:r>
      <w:proofErr w:type="spellEnd"/>
      <w:r w:rsidR="000067E1" w:rsidRPr="00FC04CB">
        <w:t xml:space="preserve"> </w:t>
      </w:r>
      <w:proofErr w:type="spellStart"/>
      <w:r w:rsidR="000067E1" w:rsidRPr="00FC04CB">
        <w:t>sleeth</w:t>
      </w:r>
      <w:proofErr w:type="spellEnd"/>
      <w:r w:rsidR="000067E1" w:rsidRPr="00FC04CB">
        <w:t>,</w:t>
      </w:r>
      <w:r w:rsidR="00F842EC" w:rsidRPr="00FC04CB">
        <w:t xml:space="preserve">/ […] </w:t>
      </w:r>
      <w:r w:rsidR="000067E1" w:rsidRPr="00FC04CB">
        <w:t xml:space="preserve">And with his </w:t>
      </w:r>
      <w:proofErr w:type="spellStart"/>
      <w:r w:rsidR="000067E1" w:rsidRPr="00FC04CB">
        <w:t>spere</w:t>
      </w:r>
      <w:proofErr w:type="spellEnd"/>
      <w:r w:rsidR="000067E1" w:rsidRPr="00FC04CB">
        <w:t xml:space="preserve"> he smoot his </w:t>
      </w:r>
      <w:proofErr w:type="spellStart"/>
      <w:r w:rsidR="000067E1" w:rsidRPr="00FC04CB">
        <w:t>herte</w:t>
      </w:r>
      <w:proofErr w:type="spellEnd"/>
      <w:r w:rsidR="000067E1" w:rsidRPr="00FC04CB">
        <w:t xml:space="preserve"> </w:t>
      </w:r>
      <w:proofErr w:type="spellStart"/>
      <w:r w:rsidR="000067E1" w:rsidRPr="00FC04CB">
        <w:t>atwo</w:t>
      </w:r>
      <w:proofErr w:type="spellEnd"/>
      <w:r w:rsidR="000067E1" w:rsidRPr="00FC04CB">
        <w:t>,</w:t>
      </w:r>
      <w:r w:rsidR="00F842EC" w:rsidRPr="00FC04CB">
        <w:t xml:space="preserve">/ […] </w:t>
      </w:r>
      <w:r w:rsidR="000067E1" w:rsidRPr="00FC04CB">
        <w:t xml:space="preserve">And </w:t>
      </w:r>
      <w:proofErr w:type="spellStart"/>
      <w:r w:rsidR="000067E1" w:rsidRPr="00FC04CB">
        <w:t>wente</w:t>
      </w:r>
      <w:proofErr w:type="spellEnd"/>
      <w:r w:rsidR="000067E1" w:rsidRPr="00FC04CB">
        <w:t xml:space="preserve"> his </w:t>
      </w:r>
      <w:proofErr w:type="spellStart"/>
      <w:r w:rsidR="000067E1" w:rsidRPr="00FC04CB">
        <w:t>wey</w:t>
      </w:r>
      <w:proofErr w:type="spellEnd"/>
      <w:r w:rsidR="000067E1" w:rsidRPr="00FC04CB">
        <w:t xml:space="preserve"> withouten </w:t>
      </w:r>
      <w:proofErr w:type="spellStart"/>
      <w:r w:rsidR="000067E1" w:rsidRPr="00FC04CB">
        <w:t>wordes</w:t>
      </w:r>
      <w:proofErr w:type="spellEnd"/>
      <w:r w:rsidR="000067E1" w:rsidRPr="00FC04CB">
        <w:t xml:space="preserve"> mo.</w:t>
      </w:r>
      <w:r w:rsidR="00F842EC" w:rsidRPr="00FC04CB">
        <w:t xml:space="preserve">/ […] </w:t>
      </w:r>
      <w:r w:rsidR="000067E1" w:rsidRPr="00FC04CB">
        <w:rPr>
          <w:i/>
        </w:rPr>
        <w:t xml:space="preserve">He hath a thousand </w:t>
      </w:r>
      <w:proofErr w:type="spellStart"/>
      <w:r w:rsidR="000067E1" w:rsidRPr="00FC04CB">
        <w:rPr>
          <w:i/>
        </w:rPr>
        <w:t>slayn</w:t>
      </w:r>
      <w:proofErr w:type="spellEnd"/>
      <w:r w:rsidR="000067E1" w:rsidRPr="00FC04CB">
        <w:rPr>
          <w:i/>
        </w:rPr>
        <w:t xml:space="preserve"> this pestilence</w:t>
      </w:r>
      <w:r w:rsidR="000067E1" w:rsidRPr="00FC04CB">
        <w:t>.</w:t>
      </w:r>
      <w:r w:rsidR="00F842EC" w:rsidRPr="00FC04CB">
        <w:t xml:space="preserve"> […]</w:t>
      </w:r>
      <w:r w:rsidRPr="00FC04CB">
        <w:t>’</w:t>
      </w:r>
      <w:r w:rsidR="000F5F5E" w:rsidRPr="00FC04CB">
        <w:t xml:space="preserve"> [emphasis added]</w:t>
      </w:r>
      <w:r w:rsidR="00C6302B" w:rsidRPr="00FC04CB">
        <w:rPr>
          <w:rStyle w:val="FootnoteReference"/>
        </w:rPr>
        <w:footnoteReference w:id="5"/>
      </w:r>
    </w:p>
    <w:p w14:paraId="7D30836C" w14:textId="39108FD2" w:rsidR="004C3EE7" w:rsidRPr="00FC04CB" w:rsidRDefault="00013BC0" w:rsidP="007E2C46">
      <w:r w:rsidRPr="00FC04CB">
        <w:t xml:space="preserve">As with </w:t>
      </w:r>
      <w:r w:rsidR="00DA3726" w:rsidRPr="00FC04CB">
        <w:t>every era of unrest, what once seemed absolute—the great cathedrals and domination of the highly ritualistic medieval Church</w:t>
      </w:r>
      <w:r w:rsidR="00896A00" w:rsidRPr="00FC04CB">
        <w:t xml:space="preserve">—all </w:t>
      </w:r>
      <w:r w:rsidR="00186456" w:rsidRPr="00FC04CB">
        <w:t xml:space="preserve">were suddenly </w:t>
      </w:r>
      <w:r w:rsidR="00F04125" w:rsidRPr="00FC04CB">
        <w:t>overshadowed by the memories</w:t>
      </w:r>
      <w:r w:rsidR="00930113" w:rsidRPr="00FC04CB">
        <w:t>,</w:t>
      </w:r>
      <w:r w:rsidR="00F04125" w:rsidRPr="00FC04CB">
        <w:t xml:space="preserve"> </w:t>
      </w:r>
      <w:r w:rsidR="004017EC" w:rsidRPr="00FC04CB">
        <w:t>shock and terror of the Black Death.</w:t>
      </w:r>
      <w:r w:rsidR="00AA2609" w:rsidRPr="00FC04CB">
        <w:t xml:space="preserve"> </w:t>
      </w:r>
      <w:r w:rsidR="007F4230" w:rsidRPr="00FC04CB">
        <w:t xml:space="preserve">This fear of dying </w:t>
      </w:r>
      <w:r w:rsidR="00243D8A" w:rsidRPr="00FC04CB">
        <w:t xml:space="preserve">and the desire to take into human hands the power over death is one powerful element to the story that Chaucer examines and releases an exposé on with brilliant </w:t>
      </w:r>
      <w:r w:rsidR="0095498E" w:rsidRPr="00FC04CB">
        <w:t xml:space="preserve">subtlety. </w:t>
      </w:r>
      <w:r w:rsidR="006E49A8" w:rsidRPr="00FC04CB">
        <w:t>As the three drunks of the Pardoner’s Tale leave the pub on their ‘quest’ to slay death, the</w:t>
      </w:r>
      <w:r w:rsidR="00D76D77" w:rsidRPr="00FC04CB">
        <w:t>y meet the Old Man. Given Chaucer’s style of writing, little in the ways of details should be expected of th</w:t>
      </w:r>
      <w:r w:rsidR="00E855CF" w:rsidRPr="00FC04CB">
        <w:t>is character</w:t>
      </w:r>
      <w:r w:rsidR="004558B2" w:rsidRPr="00FC04CB">
        <w:t>’s backstory</w:t>
      </w:r>
      <w:r w:rsidR="00E855CF" w:rsidRPr="00FC04CB">
        <w:t xml:space="preserve">, but given the context of the Tale, it is reasonable to suppose that he could have been a survivor of the original </w:t>
      </w:r>
      <w:r w:rsidR="00DD5280" w:rsidRPr="00FC04CB">
        <w:t xml:space="preserve">Black Death and its later </w:t>
      </w:r>
      <w:r w:rsidR="007C3158" w:rsidRPr="00FC04CB">
        <w:t>resurgences</w:t>
      </w:r>
      <w:r w:rsidR="00385D03" w:rsidRPr="00FC04CB">
        <w:t>.</w:t>
      </w:r>
      <w:r w:rsidR="00C3055F" w:rsidRPr="00FC04CB">
        <w:t xml:space="preserve"> This character presents a stark reality to the three drunks: an indefinite life</w:t>
      </w:r>
      <w:r w:rsidR="00DB162C" w:rsidRPr="00FC04CB">
        <w:t>span</w:t>
      </w:r>
      <w:r w:rsidR="00C3055F" w:rsidRPr="00FC04CB">
        <w:t xml:space="preserve"> </w:t>
      </w:r>
      <w:r w:rsidR="00DB162C" w:rsidRPr="00FC04CB">
        <w:t>is not eternal youth.</w:t>
      </w:r>
      <w:r w:rsidR="00411959" w:rsidRPr="00FC04CB">
        <w:t xml:space="preserve"> </w:t>
      </w:r>
      <w:r w:rsidR="00FB2A5D" w:rsidRPr="00FC04CB">
        <w:t>Sadly, t</w:t>
      </w:r>
      <w:r w:rsidR="00411959" w:rsidRPr="00FC04CB">
        <w:t>he lesson presented is completely lost on the drunks.</w:t>
      </w:r>
      <w:r w:rsidR="004743FF" w:rsidRPr="00FC04CB">
        <w:t xml:space="preserve"> Rather than force the issue,</w:t>
      </w:r>
      <w:r w:rsidR="00411959" w:rsidRPr="00FC04CB">
        <w:t xml:space="preserve"> </w:t>
      </w:r>
      <w:r w:rsidR="004743FF" w:rsidRPr="00FC04CB">
        <w:t>t</w:t>
      </w:r>
      <w:r w:rsidR="006E5946" w:rsidRPr="00FC04CB">
        <w:t xml:space="preserve">he </w:t>
      </w:r>
      <w:r w:rsidR="004965A1" w:rsidRPr="00FC04CB">
        <w:t xml:space="preserve">Old Man </w:t>
      </w:r>
      <w:r w:rsidR="006E5946" w:rsidRPr="00FC04CB">
        <w:t xml:space="preserve">grants the youths’ </w:t>
      </w:r>
      <w:r w:rsidR="00D1684B" w:rsidRPr="00FC04CB">
        <w:t>deman</w:t>
      </w:r>
      <w:r w:rsidR="00FF498E" w:rsidRPr="00FC04CB">
        <w:t>d</w:t>
      </w:r>
      <w:r w:rsidR="00D1684B" w:rsidRPr="00FC04CB">
        <w:t xml:space="preserve"> to be told </w:t>
      </w:r>
      <w:r w:rsidR="007C3158" w:rsidRPr="00FC04CB">
        <w:t>Death’s location</w:t>
      </w:r>
      <w:r w:rsidR="00D1684B" w:rsidRPr="00FC04CB">
        <w:t>,</w:t>
      </w:r>
    </w:p>
    <w:p w14:paraId="6E76873B" w14:textId="43DDFBD6" w:rsidR="00D1684B" w:rsidRPr="00FC04CB" w:rsidRDefault="00D1684B" w:rsidP="004743FF">
      <w:r w:rsidRPr="00FC04CB">
        <w:t xml:space="preserve">‘"Now, sires," quod he, "if that yow be so </w:t>
      </w:r>
      <w:proofErr w:type="spellStart"/>
      <w:r w:rsidRPr="00FC04CB">
        <w:t>leef</w:t>
      </w:r>
      <w:proofErr w:type="spellEnd"/>
      <w:r w:rsidRPr="00FC04CB">
        <w:t xml:space="preserve">/ […] To </w:t>
      </w:r>
      <w:proofErr w:type="spellStart"/>
      <w:r w:rsidRPr="00FC04CB">
        <w:t>fynde</w:t>
      </w:r>
      <w:proofErr w:type="spellEnd"/>
      <w:r w:rsidRPr="00FC04CB">
        <w:t xml:space="preserve"> </w:t>
      </w:r>
      <w:proofErr w:type="spellStart"/>
      <w:r w:rsidRPr="00FC04CB">
        <w:t>Deeth</w:t>
      </w:r>
      <w:proofErr w:type="spellEnd"/>
      <w:r w:rsidRPr="00FC04CB">
        <w:t xml:space="preserve">, </w:t>
      </w:r>
      <w:proofErr w:type="spellStart"/>
      <w:r w:rsidRPr="00FC04CB">
        <w:t>turne</w:t>
      </w:r>
      <w:proofErr w:type="spellEnd"/>
      <w:r w:rsidRPr="00FC04CB">
        <w:t xml:space="preserve"> up this </w:t>
      </w:r>
      <w:proofErr w:type="spellStart"/>
      <w:r w:rsidRPr="00FC04CB">
        <w:t>croked</w:t>
      </w:r>
      <w:proofErr w:type="spellEnd"/>
      <w:r w:rsidRPr="00FC04CB">
        <w:t xml:space="preserve"> </w:t>
      </w:r>
      <w:proofErr w:type="spellStart"/>
      <w:r w:rsidRPr="00FC04CB">
        <w:t>wey</w:t>
      </w:r>
      <w:proofErr w:type="spellEnd"/>
      <w:r w:rsidRPr="00FC04CB">
        <w:t xml:space="preserve">,/ […] For in that grove I </w:t>
      </w:r>
      <w:proofErr w:type="spellStart"/>
      <w:r w:rsidRPr="00FC04CB">
        <w:t>lafte</w:t>
      </w:r>
      <w:proofErr w:type="spellEnd"/>
      <w:r w:rsidRPr="00FC04CB">
        <w:t xml:space="preserve"> </w:t>
      </w:r>
      <w:proofErr w:type="spellStart"/>
      <w:r w:rsidRPr="00FC04CB">
        <w:t>hym</w:t>
      </w:r>
      <w:proofErr w:type="spellEnd"/>
      <w:r w:rsidRPr="00FC04CB">
        <w:t xml:space="preserve">, by my fey,/ […] Under a tree, and there he </w:t>
      </w:r>
      <w:proofErr w:type="spellStart"/>
      <w:r w:rsidRPr="00FC04CB">
        <w:t>wole</w:t>
      </w:r>
      <w:proofErr w:type="spellEnd"/>
      <w:r w:rsidRPr="00FC04CB">
        <w:t xml:space="preserve"> </w:t>
      </w:r>
      <w:proofErr w:type="spellStart"/>
      <w:r w:rsidRPr="00FC04CB">
        <w:t>abyde</w:t>
      </w:r>
      <w:proofErr w:type="spellEnd"/>
      <w:r w:rsidRPr="00FC04CB">
        <w:t xml:space="preserve">;/ […] </w:t>
      </w:r>
      <w:proofErr w:type="spellStart"/>
      <w:r w:rsidRPr="00FC04CB">
        <w:t>Noght</w:t>
      </w:r>
      <w:proofErr w:type="spellEnd"/>
      <w:r w:rsidRPr="00FC04CB">
        <w:t xml:space="preserve"> for </w:t>
      </w:r>
      <w:proofErr w:type="spellStart"/>
      <w:r w:rsidRPr="00FC04CB">
        <w:t>youre</w:t>
      </w:r>
      <w:proofErr w:type="spellEnd"/>
      <w:r w:rsidRPr="00FC04CB">
        <w:t xml:space="preserve"> boost he </w:t>
      </w:r>
      <w:proofErr w:type="spellStart"/>
      <w:r w:rsidRPr="00FC04CB">
        <w:t>wole</w:t>
      </w:r>
      <w:proofErr w:type="spellEnd"/>
      <w:r w:rsidRPr="00FC04CB">
        <w:t xml:space="preserve"> him no </w:t>
      </w:r>
      <w:proofErr w:type="spellStart"/>
      <w:r w:rsidRPr="00FC04CB">
        <w:t>thyng</w:t>
      </w:r>
      <w:proofErr w:type="spellEnd"/>
      <w:r w:rsidRPr="00FC04CB">
        <w:t xml:space="preserve"> </w:t>
      </w:r>
      <w:proofErr w:type="spellStart"/>
      <w:r w:rsidRPr="00FC04CB">
        <w:t>hyde</w:t>
      </w:r>
      <w:proofErr w:type="spellEnd"/>
      <w:r w:rsidRPr="00FC04CB">
        <w:t>. […]’</w:t>
      </w:r>
      <w:r w:rsidR="007E6708" w:rsidRPr="00FC04CB">
        <w:rPr>
          <w:rStyle w:val="FootnoteReference"/>
        </w:rPr>
        <w:footnoteReference w:id="6"/>
      </w:r>
    </w:p>
    <w:p w14:paraId="14416934" w14:textId="4E76CF65" w:rsidR="009A3D99" w:rsidRPr="00FC04CB" w:rsidRDefault="004965A1" w:rsidP="00121877">
      <w:r w:rsidRPr="00FC04CB">
        <w:t xml:space="preserve">Words that are </w:t>
      </w:r>
      <w:r w:rsidR="00CC5327" w:rsidRPr="00FC04CB">
        <w:t xml:space="preserve">almost prophetic in the way the story turns, as the youths’ find the treasure and, blinded by greed, are each the victim </w:t>
      </w:r>
      <w:r w:rsidR="00CB2ECF" w:rsidRPr="00FC04CB">
        <w:t xml:space="preserve">and murderer over the fate of the treasure, which none of them </w:t>
      </w:r>
      <w:r w:rsidR="00DA3B69" w:rsidRPr="00FC04CB">
        <w:t xml:space="preserve">are left to </w:t>
      </w:r>
      <w:r w:rsidR="00CB2ECF" w:rsidRPr="00FC04CB">
        <w:t>enjoy</w:t>
      </w:r>
      <w:r w:rsidR="00121877" w:rsidRPr="00FC04CB">
        <w:t>.</w:t>
      </w:r>
    </w:p>
    <w:p w14:paraId="6EF373BA" w14:textId="28727BBA" w:rsidR="005D0E18" w:rsidRDefault="00C7784F" w:rsidP="0036794B">
      <w:r w:rsidRPr="00FC04CB">
        <w:tab/>
      </w:r>
      <w:r w:rsidR="006E383C" w:rsidRPr="00FC04CB">
        <w:t xml:space="preserve">This style of morality teaching was common in the medieval era when Church sermons were weekly events </w:t>
      </w:r>
      <w:r w:rsidR="00ED28A5" w:rsidRPr="00FC04CB">
        <w:t>and Chaucer used this to his full advantage when he wrote The Pardoner’s Tale</w:t>
      </w:r>
      <w:r w:rsidR="00653DED" w:rsidRPr="00FC04CB">
        <w:t xml:space="preserve">. </w:t>
      </w:r>
      <w:r w:rsidR="00653DED" w:rsidRPr="00F30867">
        <w:t>A regular practice in sermons of this era was to use stories</w:t>
      </w:r>
      <w:r w:rsidR="005977DD" w:rsidRPr="00F30867">
        <w:t>—termed exempla—</w:t>
      </w:r>
      <w:r w:rsidR="00653DED" w:rsidRPr="00F30867">
        <w:t>to help convey</w:t>
      </w:r>
      <w:r w:rsidR="002E01A5" w:rsidRPr="00F30867">
        <w:t xml:space="preserve"> </w:t>
      </w:r>
      <w:r w:rsidR="003C14A2" w:rsidRPr="00F30867">
        <w:t>the key points of the sermons</w:t>
      </w:r>
      <w:r w:rsidR="005977DD" w:rsidRPr="00F30867">
        <w:t>.</w:t>
      </w:r>
      <w:r w:rsidR="003C14A2" w:rsidRPr="00F30867">
        <w:t xml:space="preserve"> </w:t>
      </w:r>
      <w:r w:rsidR="006A4787" w:rsidRPr="00F30867">
        <w:t>‘The Pardoner's Tale is like an exemplum, though much longer than the real ones were. It is a highly elaborate version of the sort of story that sermons used as illustrations of Christian truths. Here, it is teaching about the spiritual and moral dangers of avarice, conveying moral lessons in an amusing way.’</w:t>
      </w:r>
      <w:r w:rsidR="006569C1" w:rsidRPr="00F30867">
        <w:rPr>
          <w:rStyle w:val="FootnoteReference"/>
        </w:rPr>
        <w:footnoteReference w:id="7"/>
      </w:r>
      <w:r w:rsidR="002A6011" w:rsidRPr="00F30867">
        <w:t xml:space="preserve"> </w:t>
      </w:r>
      <w:r w:rsidR="00403587" w:rsidRPr="00F30867">
        <w:t xml:space="preserve">This moral lesson is lost on the </w:t>
      </w:r>
      <w:r w:rsidR="00AF4B6F" w:rsidRPr="00F30867">
        <w:t>Pardoner himself, who openly speaks of how he would happily exploit the weak and helpless for his own gain, ‘</w:t>
      </w:r>
      <w:r w:rsidR="007C3CFF" w:rsidRPr="00F30867">
        <w:t xml:space="preserve">I </w:t>
      </w:r>
      <w:proofErr w:type="spellStart"/>
      <w:r w:rsidR="007C3CFF" w:rsidRPr="00F30867">
        <w:t>wol</w:t>
      </w:r>
      <w:proofErr w:type="spellEnd"/>
      <w:r w:rsidR="007C3CFF" w:rsidRPr="00F30867">
        <w:t xml:space="preserve"> noon of the apostles </w:t>
      </w:r>
      <w:proofErr w:type="spellStart"/>
      <w:r w:rsidR="007C3CFF" w:rsidRPr="00F30867">
        <w:t>countrefete</w:t>
      </w:r>
      <w:proofErr w:type="spellEnd"/>
      <w:r w:rsidR="007C3CFF" w:rsidRPr="00F30867">
        <w:t>;</w:t>
      </w:r>
      <w:r w:rsidR="000E3717" w:rsidRPr="00F30867">
        <w:t>/</w:t>
      </w:r>
      <w:r w:rsidR="0036794B" w:rsidRPr="00F30867">
        <w:t xml:space="preserve"> […] </w:t>
      </w:r>
      <w:r w:rsidR="007C3CFF" w:rsidRPr="007C3CFF">
        <w:t xml:space="preserve">I </w:t>
      </w:r>
      <w:proofErr w:type="spellStart"/>
      <w:r w:rsidR="007C3CFF" w:rsidRPr="007C3CFF">
        <w:t>wol</w:t>
      </w:r>
      <w:proofErr w:type="spellEnd"/>
      <w:r w:rsidR="007C3CFF" w:rsidRPr="007C3CFF">
        <w:t xml:space="preserve"> have </w:t>
      </w:r>
      <w:proofErr w:type="spellStart"/>
      <w:r w:rsidR="007C3CFF" w:rsidRPr="007C3CFF">
        <w:t>moneie</w:t>
      </w:r>
      <w:proofErr w:type="spellEnd"/>
      <w:r w:rsidR="007C3CFF" w:rsidRPr="007C3CFF">
        <w:t xml:space="preserve">, </w:t>
      </w:r>
      <w:proofErr w:type="spellStart"/>
      <w:r w:rsidR="007C3CFF" w:rsidRPr="007C3CFF">
        <w:t>wolle</w:t>
      </w:r>
      <w:proofErr w:type="spellEnd"/>
      <w:r w:rsidR="007C3CFF" w:rsidRPr="007C3CFF">
        <w:t xml:space="preserve">, </w:t>
      </w:r>
      <w:proofErr w:type="spellStart"/>
      <w:r w:rsidR="007C3CFF" w:rsidRPr="007C3CFF">
        <w:t>chese</w:t>
      </w:r>
      <w:proofErr w:type="spellEnd"/>
      <w:r w:rsidR="007C3CFF" w:rsidRPr="007C3CFF">
        <w:t xml:space="preserve">, and </w:t>
      </w:r>
      <w:proofErr w:type="spellStart"/>
      <w:r w:rsidR="007C3CFF" w:rsidRPr="007C3CFF">
        <w:t>whete</w:t>
      </w:r>
      <w:proofErr w:type="spellEnd"/>
      <w:r w:rsidR="007C3CFF" w:rsidRPr="007C3CFF">
        <w:t>,</w:t>
      </w:r>
      <w:r w:rsidR="000E3717" w:rsidRPr="00F30867">
        <w:t>/</w:t>
      </w:r>
      <w:r w:rsidR="0036794B" w:rsidRPr="00F30867">
        <w:t xml:space="preserve"> […] </w:t>
      </w:r>
      <w:r w:rsidR="007C3CFF" w:rsidRPr="007C3CFF">
        <w:t xml:space="preserve">Al were it </w:t>
      </w:r>
      <w:proofErr w:type="spellStart"/>
      <w:r w:rsidR="007C3CFF" w:rsidRPr="007C3CFF">
        <w:t>yeven</w:t>
      </w:r>
      <w:proofErr w:type="spellEnd"/>
      <w:r w:rsidR="007C3CFF" w:rsidRPr="007C3CFF">
        <w:t xml:space="preserve"> of the </w:t>
      </w:r>
      <w:proofErr w:type="spellStart"/>
      <w:r w:rsidR="007C3CFF" w:rsidRPr="007C3CFF">
        <w:t>povereste</w:t>
      </w:r>
      <w:proofErr w:type="spellEnd"/>
      <w:r w:rsidR="007C3CFF" w:rsidRPr="007C3CFF">
        <w:t xml:space="preserve"> page,</w:t>
      </w:r>
      <w:r w:rsidR="000E3717" w:rsidRPr="00F30867">
        <w:t>/</w:t>
      </w:r>
      <w:r w:rsidR="0036794B" w:rsidRPr="00F30867">
        <w:t xml:space="preserve"> […] </w:t>
      </w:r>
      <w:r w:rsidR="007C3CFF" w:rsidRPr="007C3CFF">
        <w:t xml:space="preserve">Or of the </w:t>
      </w:r>
      <w:proofErr w:type="spellStart"/>
      <w:r w:rsidR="007C3CFF" w:rsidRPr="007C3CFF">
        <w:t>povereste</w:t>
      </w:r>
      <w:proofErr w:type="spellEnd"/>
      <w:r w:rsidR="007C3CFF" w:rsidRPr="007C3CFF">
        <w:t xml:space="preserve"> </w:t>
      </w:r>
      <w:proofErr w:type="spellStart"/>
      <w:r w:rsidR="007C3CFF" w:rsidRPr="007C3CFF">
        <w:t>wydwe</w:t>
      </w:r>
      <w:proofErr w:type="spellEnd"/>
      <w:r w:rsidR="007C3CFF" w:rsidRPr="007C3CFF">
        <w:t xml:space="preserve"> in a village,</w:t>
      </w:r>
      <w:r w:rsidR="000E3717" w:rsidRPr="00F30867">
        <w:t>/</w:t>
      </w:r>
      <w:r w:rsidR="007C3CFF" w:rsidRPr="00F30867">
        <w:t xml:space="preserve"> […] </w:t>
      </w:r>
      <w:r w:rsidR="007C3CFF" w:rsidRPr="007C3CFF">
        <w:t xml:space="preserve">Al </w:t>
      </w:r>
      <w:proofErr w:type="spellStart"/>
      <w:r w:rsidR="007C3CFF" w:rsidRPr="007C3CFF">
        <w:t>sholde</w:t>
      </w:r>
      <w:proofErr w:type="spellEnd"/>
      <w:r w:rsidR="007C3CFF" w:rsidRPr="007C3CFF">
        <w:t xml:space="preserve"> </w:t>
      </w:r>
      <w:proofErr w:type="spellStart"/>
      <w:r w:rsidR="007C3CFF" w:rsidRPr="007C3CFF">
        <w:t>hir</w:t>
      </w:r>
      <w:proofErr w:type="spellEnd"/>
      <w:r w:rsidR="007C3CFF" w:rsidRPr="007C3CFF">
        <w:t xml:space="preserve"> children </w:t>
      </w:r>
      <w:proofErr w:type="spellStart"/>
      <w:r w:rsidR="007C3CFF" w:rsidRPr="007C3CFF">
        <w:t>sterve</w:t>
      </w:r>
      <w:proofErr w:type="spellEnd"/>
      <w:r w:rsidR="007C3CFF" w:rsidRPr="007C3CFF">
        <w:t xml:space="preserve"> for </w:t>
      </w:r>
      <w:proofErr w:type="spellStart"/>
      <w:r w:rsidR="007C3CFF" w:rsidRPr="007C3CFF">
        <w:t>famyne</w:t>
      </w:r>
      <w:proofErr w:type="spellEnd"/>
      <w:r w:rsidR="007C3CFF" w:rsidRPr="007C3CFF">
        <w:t>.</w:t>
      </w:r>
      <w:r w:rsidR="000E3717" w:rsidRPr="00F30867">
        <w:t xml:space="preserve">/ </w:t>
      </w:r>
      <w:r w:rsidR="007C3CFF" w:rsidRPr="00F30867">
        <w:t xml:space="preserve">[…] </w:t>
      </w:r>
      <w:r w:rsidR="007C3CFF" w:rsidRPr="007C3CFF">
        <w:t xml:space="preserve">Nay, I </w:t>
      </w:r>
      <w:proofErr w:type="spellStart"/>
      <w:r w:rsidR="007C3CFF" w:rsidRPr="007C3CFF">
        <w:t>wol</w:t>
      </w:r>
      <w:proofErr w:type="spellEnd"/>
      <w:r w:rsidR="007C3CFF" w:rsidRPr="007C3CFF">
        <w:t xml:space="preserve"> </w:t>
      </w:r>
      <w:proofErr w:type="spellStart"/>
      <w:r w:rsidR="007C3CFF" w:rsidRPr="007C3CFF">
        <w:t>drynke</w:t>
      </w:r>
      <w:proofErr w:type="spellEnd"/>
      <w:r w:rsidR="007C3CFF" w:rsidRPr="007C3CFF">
        <w:t xml:space="preserve"> </w:t>
      </w:r>
      <w:proofErr w:type="spellStart"/>
      <w:r w:rsidR="007C3CFF" w:rsidRPr="007C3CFF">
        <w:t>licour</w:t>
      </w:r>
      <w:proofErr w:type="spellEnd"/>
      <w:r w:rsidR="007C3CFF" w:rsidRPr="007C3CFF">
        <w:t xml:space="preserve"> of the </w:t>
      </w:r>
      <w:proofErr w:type="spellStart"/>
      <w:r w:rsidR="007C3CFF" w:rsidRPr="007C3CFF">
        <w:t>vyne</w:t>
      </w:r>
      <w:proofErr w:type="spellEnd"/>
      <w:r w:rsidR="007C3CFF" w:rsidRPr="00F30867">
        <w:t xml:space="preserve"> […] </w:t>
      </w:r>
      <w:r w:rsidR="007C3CFF" w:rsidRPr="007C3CFF">
        <w:t xml:space="preserve">And have a </w:t>
      </w:r>
      <w:proofErr w:type="spellStart"/>
      <w:r w:rsidR="007C3CFF" w:rsidRPr="007C3CFF">
        <w:t>joly</w:t>
      </w:r>
      <w:proofErr w:type="spellEnd"/>
      <w:r w:rsidR="007C3CFF" w:rsidRPr="007C3CFF">
        <w:t xml:space="preserve"> </w:t>
      </w:r>
      <w:proofErr w:type="spellStart"/>
      <w:r w:rsidR="007C3CFF" w:rsidRPr="007C3CFF">
        <w:t>wenche</w:t>
      </w:r>
      <w:proofErr w:type="spellEnd"/>
      <w:r w:rsidR="007C3CFF" w:rsidRPr="007C3CFF">
        <w:t xml:space="preserve"> in every </w:t>
      </w:r>
      <w:proofErr w:type="spellStart"/>
      <w:r w:rsidR="007C3CFF" w:rsidRPr="007C3CFF">
        <w:t>toun</w:t>
      </w:r>
      <w:proofErr w:type="spellEnd"/>
      <w:r w:rsidR="007C3CFF" w:rsidRPr="007C3CFF">
        <w:t>.</w:t>
      </w:r>
      <w:r w:rsidR="007C3CFF" w:rsidRPr="00F30867">
        <w:t xml:space="preserve"> […]</w:t>
      </w:r>
      <w:r w:rsidR="00AF4B6F" w:rsidRPr="00F30867">
        <w:t>’</w:t>
      </w:r>
      <w:r w:rsidR="007F3676" w:rsidRPr="00F30867">
        <w:rPr>
          <w:rStyle w:val="FootnoteReference"/>
        </w:rPr>
        <w:footnoteReference w:id="8"/>
      </w:r>
      <w:r w:rsidR="00C53F48">
        <w:t xml:space="preserve"> </w:t>
      </w:r>
      <w:r w:rsidR="00571898">
        <w:t>F</w:t>
      </w:r>
      <w:r w:rsidR="00C53F48">
        <w:t>ortunately for his audience (and by extension, the reader)</w:t>
      </w:r>
      <w:r w:rsidR="00571898">
        <w:t>, his hypocrisy is recognised</w:t>
      </w:r>
      <w:r w:rsidR="00BD6006">
        <w:t>, yet this sort of conduct was all too common in the medieval Church</w:t>
      </w:r>
      <w:r w:rsidR="00AF7DD2">
        <w:t>: ‘</w:t>
      </w:r>
      <w:r w:rsidR="00AF7DD2" w:rsidRPr="00AF7DD2">
        <w:t xml:space="preserve">In the face of all the teaching about the virtues of poverty, the wealth of the Medieval Church caused great disquiet. It was not just deceitful when churchmen made money from charging people to see or buy relics, for example. It was also </w:t>
      </w:r>
      <w:r w:rsidR="00AF7DD2" w:rsidRPr="00AF7DD2">
        <w:lastRenderedPageBreak/>
        <w:t>seen as contrary to the example of poverty and anti-materialism that the Church was meant to stand for.</w:t>
      </w:r>
      <w:r w:rsidR="00AF7DD2">
        <w:t>’</w:t>
      </w:r>
      <w:r w:rsidR="00C50210">
        <w:rPr>
          <w:rStyle w:val="FootnoteReference"/>
        </w:rPr>
        <w:footnoteReference w:id="9"/>
      </w:r>
    </w:p>
    <w:p w14:paraId="2B920A9E" w14:textId="56738757" w:rsidR="00120F9F" w:rsidRPr="00F30867" w:rsidRDefault="006C66F2" w:rsidP="00120F9F">
      <w:r>
        <w:tab/>
      </w:r>
      <w:r w:rsidR="006D4135" w:rsidRPr="006D4135">
        <w:t>In a time still haunted by the Black Death’s Spectre and the great uncertainties of that time,</w:t>
      </w:r>
      <w:r w:rsidR="00B17B7D">
        <w:t xml:space="preserve"> </w:t>
      </w:r>
      <w:r w:rsidR="002D6F07">
        <w:t>t</w:t>
      </w:r>
      <w:r w:rsidR="00B17B7D">
        <w:t>he Pardoner’s Tale draws attention to the abuse of power and status that the medieval Church became filled with throughout the course of th</w:t>
      </w:r>
      <w:r w:rsidR="005043AA">
        <w:t xml:space="preserve">at era, yet without attacking the Church directly, but rather it’s practices. In doing so, Chaucer was able to </w:t>
      </w:r>
      <w:r w:rsidR="00644697">
        <w:t>speak about a problem of his time that could not easily be spoken about</w:t>
      </w:r>
      <w:r w:rsidR="00440689">
        <w:t xml:space="preserve"> and did so in ways that his readers could easily relate to</w:t>
      </w:r>
      <w:r w:rsidR="004E3DCE">
        <w:t xml:space="preserve"> in a way that few could publicly object </w:t>
      </w:r>
      <w:r w:rsidR="00F2183B">
        <w:t>with</w:t>
      </w:r>
      <w:r w:rsidR="00045FF1">
        <w:t xml:space="preserve"> on a character who was both a regular sight and not a great figure in the Church </w:t>
      </w:r>
      <w:r w:rsidR="00B1762B">
        <w:t>that would take issue with being targeted</w:t>
      </w:r>
      <w:r w:rsidR="004E3DCE">
        <w:t>.</w:t>
      </w:r>
    </w:p>
    <w:p w14:paraId="4B014C50" w14:textId="2D3B3E22" w:rsidR="006C66F2" w:rsidRDefault="00672356" w:rsidP="0036794B">
      <w:r>
        <w:t>Word count: 1,414</w:t>
      </w:r>
    </w:p>
    <w:p w14:paraId="54CB7B7D" w14:textId="1D4D3BC9" w:rsidR="00672356" w:rsidRDefault="00672356" w:rsidP="0036794B"/>
    <w:sdt>
      <w:sdtPr>
        <w:id w:val="-1921479932"/>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6A295C08" w14:textId="6E1A5666" w:rsidR="00672356" w:rsidRDefault="00672356">
          <w:pPr>
            <w:pStyle w:val="Heading1"/>
          </w:pPr>
          <w:r>
            <w:t>Bibliography</w:t>
          </w:r>
        </w:p>
        <w:sdt>
          <w:sdtPr>
            <w:id w:val="111145805"/>
            <w:bibliography/>
          </w:sdtPr>
          <w:sdtContent>
            <w:p w14:paraId="219F8E99" w14:textId="77777777" w:rsidR="00672356" w:rsidRDefault="00672356" w:rsidP="00672356">
              <w:pPr>
                <w:pStyle w:val="Bibliography"/>
                <w:ind w:left="720" w:hanging="720"/>
                <w:rPr>
                  <w:noProof/>
                  <w:sz w:val="24"/>
                  <w:szCs w:val="24"/>
                  <w:lang w:val="en-US"/>
                </w:rPr>
              </w:pPr>
              <w:r>
                <w:fldChar w:fldCharType="begin"/>
              </w:r>
              <w:r>
                <w:instrText xml:space="preserve"> BIBLIOGRAPHY </w:instrText>
              </w:r>
              <w:r>
                <w:fldChar w:fldCharType="separate"/>
              </w:r>
              <w:r>
                <w:rPr>
                  <w:i/>
                  <w:iCs/>
                  <w:noProof/>
                  <w:lang w:val="en-US"/>
                </w:rPr>
                <w:t>Chaucer's style</w:t>
              </w:r>
              <w:r>
                <w:rPr>
                  <w:noProof/>
                  <w:lang w:val="en-US"/>
                </w:rPr>
                <w:t>. (n.d.). Retrieved 10 15, 2018, from crossref-it.info: https://crossref-it.info/textguide/the-pardoners-prologue-and-tale/12/1381</w:t>
              </w:r>
            </w:p>
            <w:p w14:paraId="012E36C3" w14:textId="77777777" w:rsidR="00672356" w:rsidRDefault="00672356" w:rsidP="00672356">
              <w:pPr>
                <w:pStyle w:val="Bibliography"/>
                <w:ind w:left="720" w:hanging="720"/>
                <w:rPr>
                  <w:noProof/>
                  <w:lang w:val="en-US"/>
                </w:rPr>
              </w:pPr>
              <w:r>
                <w:rPr>
                  <w:noProof/>
                  <w:lang w:val="en-US"/>
                </w:rPr>
                <w:t xml:space="preserve">Gray, D. (Ed.). (n.d.). </w:t>
              </w:r>
              <w:r>
                <w:rPr>
                  <w:i/>
                  <w:iCs/>
                  <w:noProof/>
                  <w:lang w:val="en-US"/>
                </w:rPr>
                <w:t>Black Death in 'The Oxford Conpanion to Chaucer'</w:t>
              </w:r>
              <w:r>
                <w:rPr>
                  <w:noProof/>
                  <w:lang w:val="en-US"/>
                </w:rPr>
                <w:t>. Retrieved 10 15, 2018, from Oxford Reference: http://www.oxfordreference.com/view/10.1093/acref/9780198117650.001.0001/acref-9780198117650-e-247</w:t>
              </w:r>
            </w:p>
            <w:p w14:paraId="64F78CA3" w14:textId="77777777" w:rsidR="00672356" w:rsidRDefault="00672356" w:rsidP="00672356">
              <w:pPr>
                <w:pStyle w:val="Bibliography"/>
                <w:ind w:left="720" w:hanging="720"/>
                <w:rPr>
                  <w:noProof/>
                  <w:lang w:val="en-US"/>
                </w:rPr>
              </w:pPr>
              <w:r>
                <w:rPr>
                  <w:noProof/>
                  <w:lang w:val="en-US"/>
                </w:rPr>
                <w:t xml:space="preserve">Hudson, A. (n.d.). </w:t>
              </w:r>
              <w:r>
                <w:rPr>
                  <w:i/>
                  <w:iCs/>
                  <w:noProof/>
                  <w:lang w:val="en-US"/>
                </w:rPr>
                <w:t>Pardoner in 'The Oxford Companion to Chaucer'</w:t>
              </w:r>
              <w:r>
                <w:rPr>
                  <w:noProof/>
                  <w:lang w:val="en-US"/>
                </w:rPr>
                <w:t>. Retrieved 10 15, 2018, from Oxford Reference: http://www.oxfordreference.com/view/10.1093/acref/9780198117650.001.0001/acref-9780198117650-e-1310#</w:t>
              </w:r>
            </w:p>
            <w:p w14:paraId="07DB3318" w14:textId="77777777" w:rsidR="00672356" w:rsidRDefault="00672356" w:rsidP="00672356">
              <w:pPr>
                <w:pStyle w:val="Bibliography"/>
                <w:ind w:left="720" w:hanging="720"/>
                <w:rPr>
                  <w:noProof/>
                  <w:lang w:val="en-US"/>
                </w:rPr>
              </w:pPr>
              <w:r>
                <w:rPr>
                  <w:i/>
                  <w:iCs/>
                  <w:noProof/>
                  <w:lang w:val="en-US"/>
                </w:rPr>
                <w:t>Medieval literary conventions and The Pardoner's Prologue</w:t>
              </w:r>
              <w:r>
                <w:rPr>
                  <w:noProof/>
                  <w:lang w:val="en-US"/>
                </w:rPr>
                <w:t>. (n.d.). Retrieved 10 13, 2018, from crossref-it.info: https://crossref-it.info/textguide/the-pardoners-prologue-and-tale/12/1382</w:t>
              </w:r>
            </w:p>
            <w:p w14:paraId="7F43D18B" w14:textId="77777777" w:rsidR="00672356" w:rsidRDefault="00672356" w:rsidP="00672356">
              <w:pPr>
                <w:pStyle w:val="Bibliography"/>
                <w:ind w:left="720" w:hanging="720"/>
                <w:rPr>
                  <w:noProof/>
                  <w:lang w:val="en-US"/>
                </w:rPr>
              </w:pPr>
              <w:r>
                <w:rPr>
                  <w:i/>
                  <w:iCs/>
                  <w:noProof/>
                  <w:lang w:val="en-US"/>
                </w:rPr>
                <w:t>The Pardoner's Introduction, Prologue, and Tale: An Interlinear Translation</w:t>
              </w:r>
              <w:r>
                <w:rPr>
                  <w:noProof/>
                  <w:lang w:val="en-US"/>
                </w:rPr>
                <w:t>. (n.d.). Retrieved 10 15, 2018, from The Geoffrey Chaucer Page: http://sites.fas.harvard.edu/~chaucer/teachslf/pard-par.htm</w:t>
              </w:r>
            </w:p>
            <w:p w14:paraId="67CAB9AE" w14:textId="77777777" w:rsidR="00672356" w:rsidRDefault="00672356" w:rsidP="00672356">
              <w:pPr>
                <w:pStyle w:val="Bibliography"/>
                <w:ind w:left="720" w:hanging="720"/>
                <w:rPr>
                  <w:noProof/>
                  <w:lang w:val="en-US"/>
                </w:rPr>
              </w:pPr>
              <w:r>
                <w:rPr>
                  <w:i/>
                  <w:iCs/>
                  <w:noProof/>
                  <w:lang w:val="en-US"/>
                </w:rPr>
                <w:t>The Pardoner's Prologue and Tale in 'The Oxford Conpanion to Chaucer'</w:t>
              </w:r>
              <w:r>
                <w:rPr>
                  <w:noProof/>
                  <w:lang w:val="en-US"/>
                </w:rPr>
                <w:t>. (n.d.). Retrieved 10 15, 2018, from Oxford Reference: http://www.oxfordreference.com/view/10.1093/acref/9780198117650.001.0001/acref-9780198117650-e-1311#</w:t>
              </w:r>
            </w:p>
            <w:p w14:paraId="4FBC901F" w14:textId="7126871D" w:rsidR="00672356" w:rsidRDefault="00672356" w:rsidP="00672356">
              <w:r>
                <w:rPr>
                  <w:b/>
                  <w:bCs/>
                  <w:noProof/>
                </w:rPr>
                <w:fldChar w:fldCharType="end"/>
              </w:r>
            </w:p>
          </w:sdtContent>
        </w:sdt>
      </w:sdtContent>
    </w:sdt>
    <w:p w14:paraId="36FB4B89" w14:textId="77777777" w:rsidR="00672356" w:rsidRPr="00F30867" w:rsidRDefault="00672356" w:rsidP="0036794B">
      <w:bookmarkStart w:id="1" w:name="_GoBack"/>
      <w:bookmarkEnd w:id="1"/>
    </w:p>
    <w:sectPr w:rsidR="00672356" w:rsidRPr="00F30867">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F83E59C" w14:textId="77777777" w:rsidR="0040665F" w:rsidRDefault="0040665F" w:rsidP="00E97926">
      <w:pPr>
        <w:spacing w:after="0" w:line="240" w:lineRule="auto"/>
      </w:pPr>
      <w:r>
        <w:separator/>
      </w:r>
    </w:p>
  </w:endnote>
  <w:endnote w:type="continuationSeparator" w:id="0">
    <w:p w14:paraId="60CA7AAB" w14:textId="77777777" w:rsidR="0040665F" w:rsidRDefault="0040665F" w:rsidP="00E979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99618986"/>
      <w:docPartObj>
        <w:docPartGallery w:val="Page Numbers (Bottom of Page)"/>
        <w:docPartUnique/>
      </w:docPartObj>
    </w:sdtPr>
    <w:sdtEndPr>
      <w:rPr>
        <w:noProof/>
      </w:rPr>
    </w:sdtEndPr>
    <w:sdtContent>
      <w:p w14:paraId="380AAB55" w14:textId="32210A81" w:rsidR="00E97926" w:rsidRDefault="00E9792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A6E4077" w14:textId="77777777" w:rsidR="00E97926" w:rsidRDefault="00E979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4F720DC" w14:textId="77777777" w:rsidR="0040665F" w:rsidRDefault="0040665F" w:rsidP="00E97926">
      <w:pPr>
        <w:spacing w:after="0" w:line="240" w:lineRule="auto"/>
      </w:pPr>
      <w:r>
        <w:separator/>
      </w:r>
    </w:p>
  </w:footnote>
  <w:footnote w:type="continuationSeparator" w:id="0">
    <w:p w14:paraId="7D721A8E" w14:textId="77777777" w:rsidR="0040665F" w:rsidRDefault="0040665F" w:rsidP="00E97926">
      <w:pPr>
        <w:spacing w:after="0" w:line="240" w:lineRule="auto"/>
      </w:pPr>
      <w:r>
        <w:continuationSeparator/>
      </w:r>
    </w:p>
  </w:footnote>
  <w:footnote w:id="1">
    <w:p w14:paraId="7CBA24DE" w14:textId="56919014" w:rsidR="0060540B" w:rsidRPr="007B3C6E" w:rsidRDefault="0060540B">
      <w:pPr>
        <w:pStyle w:val="FootnoteText"/>
      </w:pPr>
      <w:r>
        <w:rPr>
          <w:rStyle w:val="FootnoteReference"/>
        </w:rPr>
        <w:footnoteRef/>
      </w:r>
      <w:r>
        <w:t xml:space="preserve"> </w:t>
      </w:r>
      <w:r w:rsidR="007F23A4">
        <w:t xml:space="preserve">Chaucer’s Style in </w:t>
      </w:r>
      <w:r w:rsidR="007B3C6E">
        <w:rPr>
          <w:i/>
        </w:rPr>
        <w:t xml:space="preserve">The Pardoner’s Prologue and Tale, </w:t>
      </w:r>
      <w:hyperlink r:id="rId1" w:history="1">
        <w:r w:rsidR="007B3C6E" w:rsidRPr="00846D48">
          <w:rPr>
            <w:rStyle w:val="Hyperlink"/>
            <w:i/>
          </w:rPr>
          <w:t>https://crossref-it.info/textguide/the-pardoners-prologue-and-tale/12/1381</w:t>
        </w:r>
      </w:hyperlink>
      <w:r w:rsidR="007B3C6E">
        <w:rPr>
          <w:i/>
        </w:rPr>
        <w:t xml:space="preserve">, </w:t>
      </w:r>
      <w:r w:rsidR="007B3C6E">
        <w:t>(Accessed: 15/10/2018)</w:t>
      </w:r>
    </w:p>
  </w:footnote>
  <w:footnote w:id="2">
    <w:p w14:paraId="5B3EB892" w14:textId="147A9488" w:rsidR="00A77E6E" w:rsidRPr="00C77094" w:rsidRDefault="00A77E6E">
      <w:pPr>
        <w:pStyle w:val="FootnoteText"/>
      </w:pPr>
      <w:r>
        <w:rPr>
          <w:rStyle w:val="FootnoteReference"/>
        </w:rPr>
        <w:footnoteRef/>
      </w:r>
      <w:r>
        <w:t xml:space="preserve"> </w:t>
      </w:r>
      <w:r w:rsidR="00976622">
        <w:t>Line</w:t>
      </w:r>
      <w:r w:rsidR="00EB61CE">
        <w:t>s</w:t>
      </w:r>
      <w:r w:rsidR="00976622">
        <w:t xml:space="preserve"> </w:t>
      </w:r>
      <w:r w:rsidR="00EB61CE">
        <w:t xml:space="preserve">334 and 426, </w:t>
      </w:r>
      <w:r>
        <w:t xml:space="preserve">The Pardoner’s Tale in </w:t>
      </w:r>
      <w:r w:rsidRPr="00A77E6E">
        <w:rPr>
          <w:i/>
        </w:rPr>
        <w:t>The Pardoner's Introduction, Prologue, and Tale: An Interlinear Translation</w:t>
      </w:r>
      <w:r>
        <w:rPr>
          <w:i/>
        </w:rPr>
        <w:t xml:space="preserve">, </w:t>
      </w:r>
      <w:hyperlink r:id="rId2" w:history="1">
        <w:r w:rsidR="00C77094" w:rsidRPr="00846D48">
          <w:rPr>
            <w:rStyle w:val="Hyperlink"/>
            <w:i/>
          </w:rPr>
          <w:t>http://sites.fas.harvard.edu/~chaucer/teachslf/pard-par.htm</w:t>
        </w:r>
      </w:hyperlink>
      <w:r w:rsidR="00C77094">
        <w:rPr>
          <w:i/>
        </w:rPr>
        <w:t xml:space="preserve">, </w:t>
      </w:r>
      <w:r w:rsidR="00C77094">
        <w:t>(Accessed: 15/10/</w:t>
      </w:r>
      <w:r w:rsidR="007450B2">
        <w:t>20</w:t>
      </w:r>
      <w:r w:rsidR="00C77094">
        <w:t>18)</w:t>
      </w:r>
    </w:p>
  </w:footnote>
  <w:footnote w:id="3">
    <w:p w14:paraId="3FD3EE1D" w14:textId="72221829" w:rsidR="00790251" w:rsidRDefault="00790251">
      <w:pPr>
        <w:pStyle w:val="FootnoteText"/>
      </w:pPr>
      <w:r>
        <w:rPr>
          <w:rStyle w:val="FootnoteReference"/>
        </w:rPr>
        <w:footnoteRef/>
      </w:r>
      <w:r>
        <w:t xml:space="preserve"> </w:t>
      </w:r>
      <w:r w:rsidRPr="00790251">
        <w:t xml:space="preserve">Lines </w:t>
      </w:r>
      <w:r>
        <w:t>400</w:t>
      </w:r>
      <w:r w:rsidRPr="00790251">
        <w:t xml:space="preserve"> and 4</w:t>
      </w:r>
      <w:r>
        <w:t>02</w:t>
      </w:r>
      <w:r w:rsidRPr="00790251">
        <w:t xml:space="preserve">, The Pardoner’s Tale in </w:t>
      </w:r>
      <w:r w:rsidRPr="002B4DFF">
        <w:rPr>
          <w:i/>
        </w:rPr>
        <w:t>The Pardoner's Introduction, Prologue, and Tale: An Interlinear Translation</w:t>
      </w:r>
      <w:r w:rsidRPr="00790251">
        <w:t>, http://sites.fas.harvard.edu/~chaucer/teachslf/pard-par.htm, (Accessed: 15/10/2018)</w:t>
      </w:r>
    </w:p>
  </w:footnote>
  <w:footnote w:id="4">
    <w:p w14:paraId="53F90CAC" w14:textId="20B16014" w:rsidR="002B4DFF" w:rsidRDefault="002B4DFF">
      <w:pPr>
        <w:pStyle w:val="FootnoteText"/>
      </w:pPr>
      <w:r>
        <w:rPr>
          <w:rStyle w:val="FootnoteReference"/>
        </w:rPr>
        <w:footnoteRef/>
      </w:r>
      <w:r>
        <w:t xml:space="preserve"> </w:t>
      </w:r>
      <w:r w:rsidRPr="002B4DFF">
        <w:t xml:space="preserve">Lines </w:t>
      </w:r>
      <w:r>
        <w:t>948 to 953</w:t>
      </w:r>
      <w:r w:rsidRPr="002B4DFF">
        <w:t xml:space="preserve">, The Pardoner’s Tale in </w:t>
      </w:r>
      <w:r w:rsidRPr="002B4DFF">
        <w:rPr>
          <w:i/>
        </w:rPr>
        <w:t>The Pardoner's Introduction, Prologue, and Tale: An Interlinear Translation</w:t>
      </w:r>
      <w:r w:rsidRPr="002B4DFF">
        <w:t>, http://sites.fas.harvard.edu/~chaucer/teachslf/pard-par.htm, (Accessed: 15/10/2018)</w:t>
      </w:r>
    </w:p>
  </w:footnote>
  <w:footnote w:id="5">
    <w:p w14:paraId="763D07D6" w14:textId="74CEC522" w:rsidR="00C6302B" w:rsidRDefault="00C6302B">
      <w:pPr>
        <w:pStyle w:val="FootnoteText"/>
      </w:pPr>
      <w:r>
        <w:rPr>
          <w:rStyle w:val="FootnoteReference"/>
        </w:rPr>
        <w:footnoteRef/>
      </w:r>
      <w:r>
        <w:t xml:space="preserve"> </w:t>
      </w:r>
      <w:r w:rsidRPr="00C6302B">
        <w:t>Lines</w:t>
      </w:r>
      <w:r>
        <w:t xml:space="preserve"> </w:t>
      </w:r>
      <w:r w:rsidR="003043F7">
        <w:t>675 to 679</w:t>
      </w:r>
      <w:r w:rsidRPr="00C6302B">
        <w:t xml:space="preserve">, The Pardoner’s Tale in </w:t>
      </w:r>
      <w:r w:rsidRPr="003043F7">
        <w:rPr>
          <w:i/>
        </w:rPr>
        <w:t>The Pardoner's Introduction, Prologue, and Tale: An Interlinear Translation</w:t>
      </w:r>
      <w:r w:rsidRPr="00C6302B">
        <w:t xml:space="preserve">, </w:t>
      </w:r>
      <w:hyperlink r:id="rId3" w:history="1">
        <w:r w:rsidR="00CD0BCC" w:rsidRPr="00BE59E8">
          <w:rPr>
            <w:rStyle w:val="Hyperlink"/>
          </w:rPr>
          <w:t>http://sites.fas.harvard.edu/~chaucer/teachslf/pard-par.htm</w:t>
        </w:r>
      </w:hyperlink>
      <w:r w:rsidRPr="00C6302B">
        <w:t>, (Accessed: 15/10/2018)</w:t>
      </w:r>
    </w:p>
  </w:footnote>
  <w:footnote w:id="6">
    <w:p w14:paraId="12F5B5B0" w14:textId="429EEE18" w:rsidR="007E6708" w:rsidRDefault="007E6708">
      <w:pPr>
        <w:pStyle w:val="FootnoteText"/>
      </w:pPr>
      <w:r>
        <w:rPr>
          <w:rStyle w:val="FootnoteReference"/>
        </w:rPr>
        <w:footnoteRef/>
      </w:r>
      <w:r>
        <w:t xml:space="preserve"> </w:t>
      </w:r>
      <w:r w:rsidRPr="007E6708">
        <w:t xml:space="preserve">Lines </w:t>
      </w:r>
      <w:r>
        <w:t>760</w:t>
      </w:r>
      <w:r w:rsidRPr="007E6708">
        <w:t xml:space="preserve"> to </w:t>
      </w:r>
      <w:r>
        <w:t>764</w:t>
      </w:r>
      <w:r w:rsidRPr="007E6708">
        <w:t xml:space="preserve">, The Pardoner’s Tale in </w:t>
      </w:r>
      <w:r w:rsidRPr="009A3D99">
        <w:rPr>
          <w:i/>
        </w:rPr>
        <w:t>The Pardoner's Introduction, Prologue, and Tale: An Interlinear Translation</w:t>
      </w:r>
      <w:r w:rsidRPr="007E6708">
        <w:t xml:space="preserve">, </w:t>
      </w:r>
      <w:hyperlink r:id="rId4" w:history="1">
        <w:r w:rsidR="00F409B8" w:rsidRPr="00BE59E8">
          <w:rPr>
            <w:rStyle w:val="Hyperlink"/>
          </w:rPr>
          <w:t>http://sites.fas.harvard.edu/~chaucer/teachslf/pard-par.htm</w:t>
        </w:r>
      </w:hyperlink>
      <w:r w:rsidRPr="007E6708">
        <w:t>, (Accessed: 15/10/2018)</w:t>
      </w:r>
    </w:p>
  </w:footnote>
  <w:footnote w:id="7">
    <w:p w14:paraId="49ADA1D3" w14:textId="1D1A27B8" w:rsidR="006569C1" w:rsidRDefault="006569C1">
      <w:pPr>
        <w:pStyle w:val="FootnoteText"/>
      </w:pPr>
      <w:r>
        <w:rPr>
          <w:rStyle w:val="FootnoteReference"/>
        </w:rPr>
        <w:footnoteRef/>
      </w:r>
      <w:r w:rsidR="00F409B8" w:rsidRPr="00F409B8">
        <w:t xml:space="preserve">Medieval literary conventions and The Pardoner's Prologue in </w:t>
      </w:r>
      <w:r w:rsidR="00F409B8" w:rsidRPr="00F409B8">
        <w:rPr>
          <w:i/>
        </w:rPr>
        <w:t>The Pardoner’s Prologue and Tale</w:t>
      </w:r>
      <w:r w:rsidRPr="00F409B8">
        <w:rPr>
          <w:i/>
        </w:rPr>
        <w:t xml:space="preserve">, </w:t>
      </w:r>
      <w:hyperlink r:id="rId5" w:history="1">
        <w:r w:rsidRPr="00F409B8">
          <w:rPr>
            <w:rStyle w:val="Hyperlink"/>
          </w:rPr>
          <w:t>https://crossref-it.info/textguide/the-pardoners-prologue-and-tale/12/1382</w:t>
        </w:r>
      </w:hyperlink>
      <w:r w:rsidR="00F409B8">
        <w:t>,</w:t>
      </w:r>
      <w:r>
        <w:t xml:space="preserve"> (Accessed: 15/10/2018)</w:t>
      </w:r>
    </w:p>
  </w:footnote>
  <w:footnote w:id="8">
    <w:p w14:paraId="10CBA72F" w14:textId="19EE0E92" w:rsidR="007F3676" w:rsidRDefault="007F3676">
      <w:pPr>
        <w:pStyle w:val="FootnoteText"/>
      </w:pPr>
      <w:r>
        <w:rPr>
          <w:rStyle w:val="FootnoteReference"/>
        </w:rPr>
        <w:footnoteRef/>
      </w:r>
      <w:r>
        <w:t xml:space="preserve"> 447 to 453, </w:t>
      </w:r>
      <w:r w:rsidRPr="007F3676">
        <w:t xml:space="preserve">The Pardoner’s Tale in </w:t>
      </w:r>
      <w:r w:rsidRPr="00D0108D">
        <w:rPr>
          <w:i/>
        </w:rPr>
        <w:t>The Pardoner's Introduction, Prologue, and Tale: An Interlinear Translation</w:t>
      </w:r>
      <w:r w:rsidRPr="007F3676">
        <w:t>, http://sites.fas.harvard.edu/~chaucer/teachslf/pard-par.htm, (Accessed: 15/10/2018)</w:t>
      </w:r>
    </w:p>
  </w:footnote>
  <w:footnote w:id="9">
    <w:p w14:paraId="32C2C6E1" w14:textId="4B9F3B9E" w:rsidR="00C50210" w:rsidRDefault="00C50210">
      <w:pPr>
        <w:pStyle w:val="FootnoteText"/>
      </w:pPr>
      <w:r>
        <w:rPr>
          <w:rStyle w:val="FootnoteReference"/>
        </w:rPr>
        <w:footnoteRef/>
      </w:r>
      <w:r>
        <w:t xml:space="preserve">Medieval Attitudes to Poverty and Wealth </w:t>
      </w:r>
      <w:r w:rsidRPr="00C50210">
        <w:t xml:space="preserve">in </w:t>
      </w:r>
      <w:r w:rsidRPr="00C50210">
        <w:rPr>
          <w:i/>
        </w:rPr>
        <w:t>The Pardoner’s Prologue and Tale</w:t>
      </w:r>
      <w:r>
        <w:t xml:space="preserve">, </w:t>
      </w:r>
      <w:hyperlink r:id="rId6" w:history="1">
        <w:r w:rsidRPr="0060037D">
          <w:rPr>
            <w:rStyle w:val="Hyperlink"/>
          </w:rPr>
          <w:t>https://crossref-it.info/textguide/the-pardoners-prologue-and-tale/12/1374</w:t>
        </w:r>
      </w:hyperlink>
      <w:r>
        <w:t>, (Accessed: 15/10/2018)</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E1353E4" w14:textId="57AA1F6E" w:rsidR="00E97926" w:rsidRDefault="00E97926">
    <w:pPr>
      <w:pStyle w:val="Header"/>
    </w:pPr>
    <w:r>
      <w:t>Jonathan Goddard</w:t>
    </w:r>
    <w:r>
      <w:ptab w:relativeTo="margin" w:alignment="center" w:leader="none"/>
    </w:r>
    <w:r>
      <w:t>HPEN5001</w:t>
    </w:r>
    <w:r>
      <w:ptab w:relativeTo="margin" w:alignment="right" w:leader="none"/>
    </w:r>
    <w:r>
      <w:fldChar w:fldCharType="begin"/>
    </w:r>
    <w:r>
      <w:instrText xml:space="preserve"> DATE \@ "dd/MM/yyyy" </w:instrText>
    </w:r>
    <w:r>
      <w:fldChar w:fldCharType="separate"/>
    </w:r>
    <w:r w:rsidR="00672356">
      <w:rPr>
        <w:noProof/>
      </w:rPr>
      <w:t>15/10/2018</w:t>
    </w:r>
    <w:r>
      <w:fldChar w:fldCharType="end"/>
    </w:r>
  </w:p>
  <w:p w14:paraId="4F5E1222" w14:textId="639F18B0" w:rsidR="00E97926" w:rsidRDefault="00E97926">
    <w:pPr>
      <w:pStyle w:val="Header"/>
    </w:pPr>
    <w:r>
      <w:t>1601793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7926"/>
    <w:rsid w:val="0000607D"/>
    <w:rsid w:val="000067E1"/>
    <w:rsid w:val="0000778B"/>
    <w:rsid w:val="00013BC0"/>
    <w:rsid w:val="000267B4"/>
    <w:rsid w:val="00045FF1"/>
    <w:rsid w:val="0004794A"/>
    <w:rsid w:val="000875F8"/>
    <w:rsid w:val="00092FA2"/>
    <w:rsid w:val="000A547B"/>
    <w:rsid w:val="000B10D1"/>
    <w:rsid w:val="000B2E56"/>
    <w:rsid w:val="000B5AD3"/>
    <w:rsid w:val="000B7F1C"/>
    <w:rsid w:val="000D0981"/>
    <w:rsid w:val="000E1404"/>
    <w:rsid w:val="000E3717"/>
    <w:rsid w:val="000F29F5"/>
    <w:rsid w:val="000F5F5E"/>
    <w:rsid w:val="000F6332"/>
    <w:rsid w:val="000F747E"/>
    <w:rsid w:val="00102E5B"/>
    <w:rsid w:val="00105080"/>
    <w:rsid w:val="00106E84"/>
    <w:rsid w:val="00120F9F"/>
    <w:rsid w:val="00121877"/>
    <w:rsid w:val="0012649D"/>
    <w:rsid w:val="0013044F"/>
    <w:rsid w:val="00150F59"/>
    <w:rsid w:val="00186456"/>
    <w:rsid w:val="001C4D77"/>
    <w:rsid w:val="001C616E"/>
    <w:rsid w:val="00203AC6"/>
    <w:rsid w:val="00205514"/>
    <w:rsid w:val="002153C1"/>
    <w:rsid w:val="00223AEC"/>
    <w:rsid w:val="00231B8D"/>
    <w:rsid w:val="00243D8A"/>
    <w:rsid w:val="00243F7B"/>
    <w:rsid w:val="00244AB4"/>
    <w:rsid w:val="00264614"/>
    <w:rsid w:val="00267DD7"/>
    <w:rsid w:val="00275292"/>
    <w:rsid w:val="00285295"/>
    <w:rsid w:val="00296C3B"/>
    <w:rsid w:val="002A29BD"/>
    <w:rsid w:val="002A6011"/>
    <w:rsid w:val="002B4DFF"/>
    <w:rsid w:val="002B545E"/>
    <w:rsid w:val="002B75D6"/>
    <w:rsid w:val="002B77AF"/>
    <w:rsid w:val="002C09C3"/>
    <w:rsid w:val="002C2363"/>
    <w:rsid w:val="002D46F3"/>
    <w:rsid w:val="002D6F07"/>
    <w:rsid w:val="002E01A5"/>
    <w:rsid w:val="002F6095"/>
    <w:rsid w:val="003043F7"/>
    <w:rsid w:val="00315D35"/>
    <w:rsid w:val="003601A5"/>
    <w:rsid w:val="00361FDA"/>
    <w:rsid w:val="00366933"/>
    <w:rsid w:val="0036794B"/>
    <w:rsid w:val="003761A7"/>
    <w:rsid w:val="0038381E"/>
    <w:rsid w:val="00384D71"/>
    <w:rsid w:val="00385D03"/>
    <w:rsid w:val="00390B6B"/>
    <w:rsid w:val="003C0C7B"/>
    <w:rsid w:val="003C0FD4"/>
    <w:rsid w:val="003C14A2"/>
    <w:rsid w:val="003C64A7"/>
    <w:rsid w:val="004017EC"/>
    <w:rsid w:val="00403587"/>
    <w:rsid w:val="0040665F"/>
    <w:rsid w:val="00411959"/>
    <w:rsid w:val="0043744D"/>
    <w:rsid w:val="00440689"/>
    <w:rsid w:val="004408BF"/>
    <w:rsid w:val="004558B2"/>
    <w:rsid w:val="004651E9"/>
    <w:rsid w:val="004743FF"/>
    <w:rsid w:val="004903E4"/>
    <w:rsid w:val="004965A1"/>
    <w:rsid w:val="004C2A69"/>
    <w:rsid w:val="004C3EE7"/>
    <w:rsid w:val="004E3BF8"/>
    <w:rsid w:val="004E3DCE"/>
    <w:rsid w:val="004E7AD3"/>
    <w:rsid w:val="005043AA"/>
    <w:rsid w:val="005312C2"/>
    <w:rsid w:val="00564080"/>
    <w:rsid w:val="00571898"/>
    <w:rsid w:val="005847DA"/>
    <w:rsid w:val="00585067"/>
    <w:rsid w:val="005977DD"/>
    <w:rsid w:val="005B3961"/>
    <w:rsid w:val="005D0E18"/>
    <w:rsid w:val="005D545F"/>
    <w:rsid w:val="005E45D5"/>
    <w:rsid w:val="005E49D8"/>
    <w:rsid w:val="005E4A5A"/>
    <w:rsid w:val="005F49C5"/>
    <w:rsid w:val="005F7F01"/>
    <w:rsid w:val="006037F5"/>
    <w:rsid w:val="0060540B"/>
    <w:rsid w:val="006200F6"/>
    <w:rsid w:val="0063704D"/>
    <w:rsid w:val="00641277"/>
    <w:rsid w:val="00642BA9"/>
    <w:rsid w:val="00644697"/>
    <w:rsid w:val="00653DED"/>
    <w:rsid w:val="006569C1"/>
    <w:rsid w:val="00662A55"/>
    <w:rsid w:val="00672356"/>
    <w:rsid w:val="006812B9"/>
    <w:rsid w:val="006A1954"/>
    <w:rsid w:val="006A4787"/>
    <w:rsid w:val="006A4ECB"/>
    <w:rsid w:val="006C6629"/>
    <w:rsid w:val="006C66F2"/>
    <w:rsid w:val="006C6DE6"/>
    <w:rsid w:val="006D4135"/>
    <w:rsid w:val="006E0C54"/>
    <w:rsid w:val="006E383C"/>
    <w:rsid w:val="006E49A8"/>
    <w:rsid w:val="006E5946"/>
    <w:rsid w:val="00717AB4"/>
    <w:rsid w:val="0072709F"/>
    <w:rsid w:val="007353A2"/>
    <w:rsid w:val="007450B2"/>
    <w:rsid w:val="00753D9D"/>
    <w:rsid w:val="007860D2"/>
    <w:rsid w:val="00790251"/>
    <w:rsid w:val="007B3C6E"/>
    <w:rsid w:val="007C3158"/>
    <w:rsid w:val="007C3CFF"/>
    <w:rsid w:val="007D089B"/>
    <w:rsid w:val="007D475B"/>
    <w:rsid w:val="007D5D14"/>
    <w:rsid w:val="007E2C46"/>
    <w:rsid w:val="007E6708"/>
    <w:rsid w:val="007F23A4"/>
    <w:rsid w:val="007F3676"/>
    <w:rsid w:val="007F4230"/>
    <w:rsid w:val="008159D7"/>
    <w:rsid w:val="0083520E"/>
    <w:rsid w:val="0083735F"/>
    <w:rsid w:val="00852749"/>
    <w:rsid w:val="00861302"/>
    <w:rsid w:val="00890495"/>
    <w:rsid w:val="008914C3"/>
    <w:rsid w:val="00896A00"/>
    <w:rsid w:val="008A18F2"/>
    <w:rsid w:val="008B277C"/>
    <w:rsid w:val="008B5CCD"/>
    <w:rsid w:val="008C6001"/>
    <w:rsid w:val="008E5782"/>
    <w:rsid w:val="00923FDA"/>
    <w:rsid w:val="00930113"/>
    <w:rsid w:val="00933A50"/>
    <w:rsid w:val="00936243"/>
    <w:rsid w:val="009449E3"/>
    <w:rsid w:val="00945DE1"/>
    <w:rsid w:val="00953AD4"/>
    <w:rsid w:val="0095498E"/>
    <w:rsid w:val="00976622"/>
    <w:rsid w:val="009A3D99"/>
    <w:rsid w:val="009B046B"/>
    <w:rsid w:val="009B33BB"/>
    <w:rsid w:val="009D63AD"/>
    <w:rsid w:val="00A77E6E"/>
    <w:rsid w:val="00A9325A"/>
    <w:rsid w:val="00A95CDB"/>
    <w:rsid w:val="00AA2609"/>
    <w:rsid w:val="00AE09D5"/>
    <w:rsid w:val="00AE2582"/>
    <w:rsid w:val="00AF4B6F"/>
    <w:rsid w:val="00AF5A9A"/>
    <w:rsid w:val="00AF7DD2"/>
    <w:rsid w:val="00B142FB"/>
    <w:rsid w:val="00B1762B"/>
    <w:rsid w:val="00B17B7D"/>
    <w:rsid w:val="00B33B15"/>
    <w:rsid w:val="00B37F8A"/>
    <w:rsid w:val="00B47A84"/>
    <w:rsid w:val="00B548DA"/>
    <w:rsid w:val="00B72C0F"/>
    <w:rsid w:val="00B85BBC"/>
    <w:rsid w:val="00B95F7C"/>
    <w:rsid w:val="00BA606C"/>
    <w:rsid w:val="00BA6460"/>
    <w:rsid w:val="00BC3A4A"/>
    <w:rsid w:val="00BD6006"/>
    <w:rsid w:val="00BE1FC4"/>
    <w:rsid w:val="00BE7340"/>
    <w:rsid w:val="00C3055F"/>
    <w:rsid w:val="00C467A6"/>
    <w:rsid w:val="00C50210"/>
    <w:rsid w:val="00C53F48"/>
    <w:rsid w:val="00C6302B"/>
    <w:rsid w:val="00C77094"/>
    <w:rsid w:val="00C7784F"/>
    <w:rsid w:val="00C815EF"/>
    <w:rsid w:val="00CB2ECF"/>
    <w:rsid w:val="00CC4C2F"/>
    <w:rsid w:val="00CC5327"/>
    <w:rsid w:val="00CC6989"/>
    <w:rsid w:val="00CD0BCC"/>
    <w:rsid w:val="00CD255A"/>
    <w:rsid w:val="00CD6BBE"/>
    <w:rsid w:val="00CE7192"/>
    <w:rsid w:val="00D0108D"/>
    <w:rsid w:val="00D13189"/>
    <w:rsid w:val="00D1684B"/>
    <w:rsid w:val="00D33993"/>
    <w:rsid w:val="00D3752F"/>
    <w:rsid w:val="00D561A9"/>
    <w:rsid w:val="00D62CD1"/>
    <w:rsid w:val="00D76612"/>
    <w:rsid w:val="00D76D77"/>
    <w:rsid w:val="00D8030D"/>
    <w:rsid w:val="00D847FA"/>
    <w:rsid w:val="00D92CA3"/>
    <w:rsid w:val="00DA3726"/>
    <w:rsid w:val="00DA3B69"/>
    <w:rsid w:val="00DB162C"/>
    <w:rsid w:val="00DB792C"/>
    <w:rsid w:val="00DC1EED"/>
    <w:rsid w:val="00DD2CB2"/>
    <w:rsid w:val="00DD5280"/>
    <w:rsid w:val="00DF032E"/>
    <w:rsid w:val="00DF147D"/>
    <w:rsid w:val="00DF5A90"/>
    <w:rsid w:val="00E004B3"/>
    <w:rsid w:val="00E060A5"/>
    <w:rsid w:val="00E063F4"/>
    <w:rsid w:val="00E25A74"/>
    <w:rsid w:val="00E74F08"/>
    <w:rsid w:val="00E8119A"/>
    <w:rsid w:val="00E8345E"/>
    <w:rsid w:val="00E84F54"/>
    <w:rsid w:val="00E855CF"/>
    <w:rsid w:val="00E94C64"/>
    <w:rsid w:val="00E97926"/>
    <w:rsid w:val="00EA0EE8"/>
    <w:rsid w:val="00EB1175"/>
    <w:rsid w:val="00EB4490"/>
    <w:rsid w:val="00EB61CE"/>
    <w:rsid w:val="00EB6FD2"/>
    <w:rsid w:val="00ED28A5"/>
    <w:rsid w:val="00EF27DB"/>
    <w:rsid w:val="00EF5068"/>
    <w:rsid w:val="00EF6623"/>
    <w:rsid w:val="00F04125"/>
    <w:rsid w:val="00F155E6"/>
    <w:rsid w:val="00F15883"/>
    <w:rsid w:val="00F2183B"/>
    <w:rsid w:val="00F30867"/>
    <w:rsid w:val="00F409B8"/>
    <w:rsid w:val="00F50A8D"/>
    <w:rsid w:val="00F558C8"/>
    <w:rsid w:val="00F842EC"/>
    <w:rsid w:val="00F86B98"/>
    <w:rsid w:val="00FB2A5D"/>
    <w:rsid w:val="00FC04CB"/>
    <w:rsid w:val="00FC52EC"/>
    <w:rsid w:val="00FF49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145820"/>
  <w15:chartTrackingRefBased/>
  <w15:docId w15:val="{D3FF85B0-4767-409D-8274-8F13167069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72356"/>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979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7926"/>
  </w:style>
  <w:style w:type="paragraph" w:styleId="Footer">
    <w:name w:val="footer"/>
    <w:basedOn w:val="Normal"/>
    <w:link w:val="FooterChar"/>
    <w:uiPriority w:val="99"/>
    <w:unhideWhenUsed/>
    <w:rsid w:val="00E979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7926"/>
  </w:style>
  <w:style w:type="paragraph" w:styleId="FootnoteText">
    <w:name w:val="footnote text"/>
    <w:basedOn w:val="Normal"/>
    <w:link w:val="FootnoteTextChar"/>
    <w:uiPriority w:val="99"/>
    <w:semiHidden/>
    <w:unhideWhenUsed/>
    <w:rsid w:val="0060540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0540B"/>
    <w:rPr>
      <w:sz w:val="20"/>
      <w:szCs w:val="20"/>
    </w:rPr>
  </w:style>
  <w:style w:type="character" w:styleId="FootnoteReference">
    <w:name w:val="footnote reference"/>
    <w:basedOn w:val="DefaultParagraphFont"/>
    <w:uiPriority w:val="99"/>
    <w:semiHidden/>
    <w:unhideWhenUsed/>
    <w:rsid w:val="0060540B"/>
    <w:rPr>
      <w:vertAlign w:val="superscript"/>
    </w:rPr>
  </w:style>
  <w:style w:type="character" w:styleId="Hyperlink">
    <w:name w:val="Hyperlink"/>
    <w:basedOn w:val="DefaultParagraphFont"/>
    <w:uiPriority w:val="99"/>
    <w:unhideWhenUsed/>
    <w:rsid w:val="007B3C6E"/>
    <w:rPr>
      <w:color w:val="0563C1" w:themeColor="hyperlink"/>
      <w:u w:val="single"/>
    </w:rPr>
  </w:style>
  <w:style w:type="character" w:styleId="UnresolvedMention">
    <w:name w:val="Unresolved Mention"/>
    <w:basedOn w:val="DefaultParagraphFont"/>
    <w:uiPriority w:val="99"/>
    <w:semiHidden/>
    <w:unhideWhenUsed/>
    <w:rsid w:val="007B3C6E"/>
    <w:rPr>
      <w:color w:val="605E5C"/>
      <w:shd w:val="clear" w:color="auto" w:fill="E1DFDD"/>
    </w:rPr>
  </w:style>
  <w:style w:type="character" w:styleId="CommentReference">
    <w:name w:val="annotation reference"/>
    <w:basedOn w:val="DefaultParagraphFont"/>
    <w:uiPriority w:val="99"/>
    <w:semiHidden/>
    <w:unhideWhenUsed/>
    <w:rsid w:val="006C6629"/>
    <w:rPr>
      <w:sz w:val="16"/>
      <w:szCs w:val="16"/>
    </w:rPr>
  </w:style>
  <w:style w:type="paragraph" w:styleId="CommentText">
    <w:name w:val="annotation text"/>
    <w:basedOn w:val="Normal"/>
    <w:link w:val="CommentTextChar"/>
    <w:uiPriority w:val="99"/>
    <w:semiHidden/>
    <w:unhideWhenUsed/>
    <w:rsid w:val="006C6629"/>
    <w:pPr>
      <w:spacing w:line="240" w:lineRule="auto"/>
    </w:pPr>
    <w:rPr>
      <w:sz w:val="20"/>
      <w:szCs w:val="20"/>
    </w:rPr>
  </w:style>
  <w:style w:type="character" w:customStyle="1" w:styleId="CommentTextChar">
    <w:name w:val="Comment Text Char"/>
    <w:basedOn w:val="DefaultParagraphFont"/>
    <w:link w:val="CommentText"/>
    <w:uiPriority w:val="99"/>
    <w:semiHidden/>
    <w:rsid w:val="006C6629"/>
    <w:rPr>
      <w:sz w:val="20"/>
      <w:szCs w:val="20"/>
    </w:rPr>
  </w:style>
  <w:style w:type="paragraph" w:styleId="CommentSubject">
    <w:name w:val="annotation subject"/>
    <w:basedOn w:val="CommentText"/>
    <w:next w:val="CommentText"/>
    <w:link w:val="CommentSubjectChar"/>
    <w:uiPriority w:val="99"/>
    <w:semiHidden/>
    <w:unhideWhenUsed/>
    <w:rsid w:val="006C6629"/>
    <w:rPr>
      <w:b/>
      <w:bCs/>
    </w:rPr>
  </w:style>
  <w:style w:type="character" w:customStyle="1" w:styleId="CommentSubjectChar">
    <w:name w:val="Comment Subject Char"/>
    <w:basedOn w:val="CommentTextChar"/>
    <w:link w:val="CommentSubject"/>
    <w:uiPriority w:val="99"/>
    <w:semiHidden/>
    <w:rsid w:val="006C6629"/>
    <w:rPr>
      <w:b/>
      <w:bCs/>
      <w:sz w:val="20"/>
      <w:szCs w:val="20"/>
    </w:rPr>
  </w:style>
  <w:style w:type="paragraph" w:styleId="BalloonText">
    <w:name w:val="Balloon Text"/>
    <w:basedOn w:val="Normal"/>
    <w:link w:val="BalloonTextChar"/>
    <w:uiPriority w:val="99"/>
    <w:semiHidden/>
    <w:unhideWhenUsed/>
    <w:rsid w:val="006C662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C6629"/>
    <w:rPr>
      <w:rFonts w:ascii="Segoe UI" w:hAnsi="Segoe UI" w:cs="Segoe UI"/>
      <w:sz w:val="18"/>
      <w:szCs w:val="18"/>
    </w:rPr>
  </w:style>
  <w:style w:type="character" w:customStyle="1" w:styleId="Heading1Char">
    <w:name w:val="Heading 1 Char"/>
    <w:basedOn w:val="DefaultParagraphFont"/>
    <w:link w:val="Heading1"/>
    <w:uiPriority w:val="9"/>
    <w:rsid w:val="00672356"/>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67235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3818785">
      <w:bodyDiv w:val="1"/>
      <w:marLeft w:val="0"/>
      <w:marRight w:val="0"/>
      <w:marTop w:val="0"/>
      <w:marBottom w:val="0"/>
      <w:divBdr>
        <w:top w:val="none" w:sz="0" w:space="0" w:color="auto"/>
        <w:left w:val="none" w:sz="0" w:space="0" w:color="auto"/>
        <w:bottom w:val="none" w:sz="0" w:space="0" w:color="auto"/>
        <w:right w:val="none" w:sz="0" w:space="0" w:color="auto"/>
      </w:divBdr>
    </w:div>
    <w:div w:id="57703424">
      <w:bodyDiv w:val="1"/>
      <w:marLeft w:val="0"/>
      <w:marRight w:val="0"/>
      <w:marTop w:val="0"/>
      <w:marBottom w:val="0"/>
      <w:divBdr>
        <w:top w:val="none" w:sz="0" w:space="0" w:color="auto"/>
        <w:left w:val="none" w:sz="0" w:space="0" w:color="auto"/>
        <w:bottom w:val="none" w:sz="0" w:space="0" w:color="auto"/>
        <w:right w:val="none" w:sz="0" w:space="0" w:color="auto"/>
      </w:divBdr>
    </w:div>
    <w:div w:id="267472198">
      <w:bodyDiv w:val="1"/>
      <w:marLeft w:val="0"/>
      <w:marRight w:val="0"/>
      <w:marTop w:val="0"/>
      <w:marBottom w:val="0"/>
      <w:divBdr>
        <w:top w:val="none" w:sz="0" w:space="0" w:color="auto"/>
        <w:left w:val="none" w:sz="0" w:space="0" w:color="auto"/>
        <w:bottom w:val="none" w:sz="0" w:space="0" w:color="auto"/>
        <w:right w:val="none" w:sz="0" w:space="0" w:color="auto"/>
      </w:divBdr>
    </w:div>
    <w:div w:id="480660678">
      <w:bodyDiv w:val="1"/>
      <w:marLeft w:val="0"/>
      <w:marRight w:val="0"/>
      <w:marTop w:val="0"/>
      <w:marBottom w:val="0"/>
      <w:divBdr>
        <w:top w:val="none" w:sz="0" w:space="0" w:color="auto"/>
        <w:left w:val="none" w:sz="0" w:space="0" w:color="auto"/>
        <w:bottom w:val="none" w:sz="0" w:space="0" w:color="auto"/>
        <w:right w:val="none" w:sz="0" w:space="0" w:color="auto"/>
      </w:divBdr>
    </w:div>
    <w:div w:id="729382568">
      <w:bodyDiv w:val="1"/>
      <w:marLeft w:val="0"/>
      <w:marRight w:val="0"/>
      <w:marTop w:val="0"/>
      <w:marBottom w:val="0"/>
      <w:divBdr>
        <w:top w:val="none" w:sz="0" w:space="0" w:color="auto"/>
        <w:left w:val="none" w:sz="0" w:space="0" w:color="auto"/>
        <w:bottom w:val="none" w:sz="0" w:space="0" w:color="auto"/>
        <w:right w:val="none" w:sz="0" w:space="0" w:color="auto"/>
      </w:divBdr>
    </w:div>
    <w:div w:id="929199910">
      <w:bodyDiv w:val="1"/>
      <w:marLeft w:val="0"/>
      <w:marRight w:val="0"/>
      <w:marTop w:val="0"/>
      <w:marBottom w:val="0"/>
      <w:divBdr>
        <w:top w:val="none" w:sz="0" w:space="0" w:color="auto"/>
        <w:left w:val="none" w:sz="0" w:space="0" w:color="auto"/>
        <w:bottom w:val="none" w:sz="0" w:space="0" w:color="auto"/>
        <w:right w:val="none" w:sz="0" w:space="0" w:color="auto"/>
      </w:divBdr>
    </w:div>
    <w:div w:id="1331252685">
      <w:bodyDiv w:val="1"/>
      <w:marLeft w:val="0"/>
      <w:marRight w:val="0"/>
      <w:marTop w:val="0"/>
      <w:marBottom w:val="0"/>
      <w:divBdr>
        <w:top w:val="none" w:sz="0" w:space="0" w:color="auto"/>
        <w:left w:val="none" w:sz="0" w:space="0" w:color="auto"/>
        <w:bottom w:val="none" w:sz="0" w:space="0" w:color="auto"/>
        <w:right w:val="none" w:sz="0" w:space="0" w:color="auto"/>
      </w:divBdr>
    </w:div>
    <w:div w:id="16964232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3" Type="http://schemas.openxmlformats.org/officeDocument/2006/relationships/hyperlink" Target="http://sites.fas.harvard.edu/~chaucer/teachslf/pard-par.htm" TargetMode="External"/><Relationship Id="rId2" Type="http://schemas.openxmlformats.org/officeDocument/2006/relationships/hyperlink" Target="http://sites.fas.harvard.edu/~chaucer/teachslf/pard-par.htm" TargetMode="External"/><Relationship Id="rId1" Type="http://schemas.openxmlformats.org/officeDocument/2006/relationships/hyperlink" Target="https://crossref-it.info/textguide/the-pardoners-prologue-and-tale/12/1381" TargetMode="External"/><Relationship Id="rId6" Type="http://schemas.openxmlformats.org/officeDocument/2006/relationships/hyperlink" Target="https://crossref-it.info/textguide/the-pardoners-prologue-and-tale/12/1374" TargetMode="External"/><Relationship Id="rId5" Type="http://schemas.openxmlformats.org/officeDocument/2006/relationships/hyperlink" Target="https://crossref-it.info/textguide/the-pardoners-prologue-and-tale/12/1382" TargetMode="External"/><Relationship Id="rId4" Type="http://schemas.openxmlformats.org/officeDocument/2006/relationships/hyperlink" Target="http://sites.fas.harvard.edu/~chaucer/teachslf/pard-par.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Med18</b:Tag>
    <b:SourceType>InternetSite</b:SourceType>
    <b:Guid>{F0A9DC44-C8DA-4461-BFE3-7769D97BBEAA}</b:Guid>
    <b:Title>Medieval literary conventions and The Pardoner's Prologue</b:Title>
    <b:InternetSiteTitle>crossref-it.info</b:InternetSiteTitle>
    <b:URL>https://crossref-it.info/textguide/the-pardoners-prologue-and-tale/12/1382</b:URL>
    <b:YearAccessed>2018</b:YearAccessed>
    <b:MonthAccessed>10</b:MonthAccessed>
    <b:DayAccessed>13</b:DayAccessed>
    <b:RefOrder>1</b:RefOrder>
  </b:Source>
  <b:Source>
    <b:Tag>Dou18</b:Tag>
    <b:SourceType>InternetSite</b:SourceType>
    <b:Guid>{9B0C92FC-2F67-4B97-B3B6-8CF09EFB1C95}</b:Guid>
    <b:Title>Black Death in 'The Oxford Conpanion to Chaucer'</b:Title>
    <b:InternetSiteTitle>Oxford Reference</b:InternetSiteTitle>
    <b:URL>http://www.oxfordreference.com/view/10.1093/acref/9780198117650.001.0001/acref-9780198117650-e-247</b:URL>
    <b:Author>
      <b:Editor>
        <b:NameList>
          <b:Person>
            <b:Last>Gray</b:Last>
            <b:First>Douglas</b:First>
          </b:Person>
        </b:NameList>
      </b:Editor>
    </b:Author>
    <b:YearAccessed>2018</b:YearAccessed>
    <b:MonthAccessed>10</b:MonthAccessed>
    <b:DayAccessed>15</b:DayAccessed>
    <b:RefOrder>2</b:RefOrder>
  </b:Source>
  <b:Source>
    <b:Tag>The182</b:Tag>
    <b:SourceType>InternetSite</b:SourceType>
    <b:Guid>{CAE1B5C7-54C2-4F5B-B0C3-2D8CAEF5C41C}</b:Guid>
    <b:Title>The Pardoner's Prologue and Tale in 'The Oxford Conpanion to Chaucer'</b:Title>
    <b:InternetSiteTitle>Oxford Reference</b:InternetSiteTitle>
    <b:URL>http://www.oxfordreference.com/view/10.1093/acref/9780198117650.001.0001/acref-9780198117650-e-1311#</b:URL>
    <b:YearAccessed>2018</b:YearAccessed>
    <b:MonthAccessed>10</b:MonthAccessed>
    <b:DayAccessed>15</b:DayAccessed>
    <b:RefOrder>3</b:RefOrder>
  </b:Source>
  <b:Source>
    <b:Tag>Hud18</b:Tag>
    <b:SourceType>InternetSite</b:SourceType>
    <b:Guid>{9FBDEE24-BE72-4E6A-976B-F886255387FE}</b:Guid>
    <b:Author>
      <b:Author>
        <b:NameList>
          <b:Person>
            <b:Last>Hudson</b:Last>
            <b:First>Anne</b:First>
          </b:Person>
        </b:NameList>
      </b:Author>
    </b:Author>
    <b:Title>Pardoner in 'The Oxford Companion to Chaucer'</b:Title>
    <b:InternetSiteTitle>Oxford Reference</b:InternetSiteTitle>
    <b:URL>http://www.oxfordreference.com/view/10.1093/acref/9780198117650.001.0001/acref-9780198117650-e-1310#</b:URL>
    <b:YearAccessed>2018</b:YearAccessed>
    <b:MonthAccessed>10</b:MonthAccessed>
    <b:DayAccessed>15</b:DayAccessed>
    <b:RefOrder>4</b:RefOrder>
  </b:Source>
  <b:Source>
    <b:Tag>The183</b:Tag>
    <b:SourceType>InternetSite</b:SourceType>
    <b:Guid>{378391A8-B1DE-49F0-B3E0-49FF550DE588}</b:Guid>
    <b:Title>The Pardoner's Introduction, Prologue, and Tale: An Interlinear Translation</b:Title>
    <b:InternetSiteTitle>The Geoffrey Chaucer Page</b:InternetSiteTitle>
    <b:URL>http://sites.fas.harvard.edu/~chaucer/teachslf/pard-par.htm</b:URL>
    <b:YearAccessed>2018</b:YearAccessed>
    <b:MonthAccessed>10</b:MonthAccessed>
    <b:DayAccessed>15</b:DayAccessed>
    <b:RefOrder>5</b:RefOrder>
  </b:Source>
  <b:Source>
    <b:Tag>Cha18</b:Tag>
    <b:SourceType>InternetSite</b:SourceType>
    <b:Guid>{9D61D1AC-5409-409D-B6B5-1D863D1088B9}</b:Guid>
    <b:Title>Chaucer's style</b:Title>
    <b:InternetSiteTitle>crossref-it.info</b:InternetSiteTitle>
    <b:URL>https://crossref-it.info/textguide/the-pardoners-prologue-and-tale/12/1381</b:URL>
    <b:YearAccessed>2018</b:YearAccessed>
    <b:MonthAccessed>10</b:MonthAccessed>
    <b:DayAccessed>15</b:DayAccessed>
    <b:RefOrder>6</b:RefOrder>
  </b:Source>
</b:Sources>
</file>

<file path=customXml/itemProps1.xml><?xml version="1.0" encoding="utf-8"?>
<ds:datastoreItem xmlns:ds="http://schemas.openxmlformats.org/officeDocument/2006/customXml" ds:itemID="{264B4307-57BE-475F-A1B8-619C6835C8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1212</TotalTime>
  <Pages>3</Pages>
  <Words>1254</Words>
  <Characters>7148</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Goddard</dc:creator>
  <cp:keywords/>
  <dc:description/>
  <cp:lastModifiedBy>Jonathan Goddard</cp:lastModifiedBy>
  <cp:revision>33</cp:revision>
  <dcterms:created xsi:type="dcterms:W3CDTF">2018-10-13T10:29:00Z</dcterms:created>
  <dcterms:modified xsi:type="dcterms:W3CDTF">2018-10-15T22:28:00Z</dcterms:modified>
</cp:coreProperties>
</file>