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541B0" w14:textId="1DD18780" w:rsidR="004B21C1" w:rsidRPr="004C3966" w:rsidRDefault="00746246" w:rsidP="00746246">
      <w:pPr>
        <w:spacing w:line="360" w:lineRule="auto"/>
        <w:jc w:val="center"/>
        <w:rPr>
          <w:rFonts w:ascii="Arial" w:hAnsi="Arial" w:cs="Arial"/>
          <w:b/>
          <w:bCs/>
          <w:color w:val="000000" w:themeColor="text1"/>
          <w:sz w:val="32"/>
          <w:szCs w:val="32"/>
          <w:lang w:val="en-GB"/>
        </w:rPr>
      </w:pPr>
      <w:r>
        <w:rPr>
          <w:noProof/>
        </w:rPr>
        <w:drawing>
          <wp:inline distT="0" distB="0" distL="0" distR="0" wp14:anchorId="118213E4" wp14:editId="5DB13F06">
            <wp:extent cx="5731510" cy="1613535"/>
            <wp:effectExtent l="0" t="0" r="2540" b="5715"/>
            <wp:docPr id="72358173" name="Content Placeholder 3">
              <a:extLst xmlns:a="http://schemas.openxmlformats.org/drawingml/2006/main">
                <a:ext uri="{FF2B5EF4-FFF2-40B4-BE49-F238E27FC236}">
                  <a16:creationId xmlns:a16="http://schemas.microsoft.com/office/drawing/2014/main" id="{BC8855B5-113F-DC34-B3A7-03A23CB2B8F2}"/>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2358173" name="Content Placeholder 3">
                      <a:extLst>
                        <a:ext uri="{FF2B5EF4-FFF2-40B4-BE49-F238E27FC236}">
                          <a16:creationId xmlns:a16="http://schemas.microsoft.com/office/drawing/2014/main" id="{BC8855B5-113F-DC34-B3A7-03A23CB2B8F2}"/>
                        </a:ext>
                      </a:extLst>
                    </pic:cNvPr>
                    <pic:cNvPicPr>
                      <a:picLocks/>
                    </pic:cNvPicPr>
                  </pic:nvPicPr>
                  <pic:blipFill>
                    <a:blip r:embed="rId7"/>
                    <a:stretch>
                      <a:fillRect/>
                    </a:stretch>
                  </pic:blipFill>
                  <pic:spPr>
                    <a:xfrm>
                      <a:off x="0" y="0"/>
                      <a:ext cx="5731510" cy="1613535"/>
                    </a:xfrm>
                    <a:prstGeom prst="rect">
                      <a:avLst/>
                    </a:prstGeom>
                  </pic:spPr>
                </pic:pic>
              </a:graphicData>
            </a:graphic>
          </wp:inline>
        </w:drawing>
      </w:r>
    </w:p>
    <w:p w14:paraId="3DD05B74" w14:textId="77777777" w:rsidR="00C24F16" w:rsidRPr="001A64B1" w:rsidRDefault="00C24F16" w:rsidP="00C24F16">
      <w:pPr>
        <w:spacing w:before="240" w:line="360" w:lineRule="auto"/>
        <w:rPr>
          <w:rFonts w:eastAsia="Times New Roman"/>
          <w:b/>
          <w:bCs/>
          <w:sz w:val="28"/>
          <w:szCs w:val="28"/>
          <w:lang w:val="en-GB"/>
        </w:rPr>
      </w:pPr>
      <w:r w:rsidRPr="001A64B1">
        <w:rPr>
          <w:rFonts w:eastAsia="Times New Roman"/>
          <w:b/>
          <w:bCs/>
          <w:sz w:val="28"/>
          <w:szCs w:val="28"/>
          <w:lang w:val="en-GB"/>
        </w:rPr>
        <w:t>Student Name: Bhumikaben Rajubhai Patel</w:t>
      </w:r>
    </w:p>
    <w:p w14:paraId="7D514FC6" w14:textId="77777777" w:rsidR="00C24F16" w:rsidRPr="001A64B1" w:rsidRDefault="00C24F16" w:rsidP="00C24F16">
      <w:pPr>
        <w:spacing w:before="240" w:line="360" w:lineRule="auto"/>
        <w:rPr>
          <w:rFonts w:eastAsia="Times New Roman"/>
          <w:b/>
          <w:bCs/>
          <w:sz w:val="28"/>
          <w:szCs w:val="28"/>
          <w:lang w:val="en-GB"/>
        </w:rPr>
      </w:pPr>
      <w:r w:rsidRPr="001A64B1">
        <w:rPr>
          <w:rFonts w:eastAsia="Times New Roman"/>
          <w:b/>
          <w:bCs/>
          <w:sz w:val="28"/>
          <w:szCs w:val="28"/>
          <w:lang w:val="en-GB"/>
        </w:rPr>
        <w:t>Student ID: 2520143</w:t>
      </w:r>
    </w:p>
    <w:p w14:paraId="336E4894" w14:textId="77777777" w:rsidR="00C24F16" w:rsidRPr="001A64B1" w:rsidRDefault="00C24F16" w:rsidP="00C24F16">
      <w:pPr>
        <w:spacing w:before="240" w:line="360" w:lineRule="auto"/>
        <w:rPr>
          <w:rFonts w:eastAsia="Times New Roman"/>
          <w:b/>
          <w:bCs/>
          <w:sz w:val="28"/>
          <w:szCs w:val="28"/>
          <w:lang w:val="en-GB"/>
        </w:rPr>
      </w:pPr>
      <w:r w:rsidRPr="001A64B1">
        <w:rPr>
          <w:rFonts w:eastAsia="Times New Roman"/>
          <w:b/>
          <w:bCs/>
          <w:sz w:val="28"/>
          <w:szCs w:val="28"/>
          <w:lang w:val="en-GB"/>
        </w:rPr>
        <w:t>Programme: MSc Public Health and Social Care in Practice</w:t>
      </w:r>
    </w:p>
    <w:p w14:paraId="28E3341A" w14:textId="5818E54F" w:rsidR="00C24F16" w:rsidRPr="001A64B1" w:rsidRDefault="00C24F16" w:rsidP="00C24F16">
      <w:pPr>
        <w:spacing w:before="240" w:line="360" w:lineRule="auto"/>
        <w:rPr>
          <w:rFonts w:eastAsia="Times New Roman"/>
          <w:b/>
          <w:bCs/>
          <w:sz w:val="28"/>
          <w:szCs w:val="28"/>
          <w:lang w:val="en-GB"/>
        </w:rPr>
      </w:pPr>
      <w:r w:rsidRPr="001A64B1">
        <w:rPr>
          <w:rFonts w:eastAsia="Times New Roman"/>
          <w:b/>
          <w:bCs/>
          <w:sz w:val="28"/>
          <w:szCs w:val="28"/>
          <w:lang w:val="en-GB"/>
        </w:rPr>
        <w:t>Module Code: LCHS700</w:t>
      </w:r>
      <w:r w:rsidR="00F03D35">
        <w:rPr>
          <w:rFonts w:eastAsia="Times New Roman"/>
          <w:b/>
          <w:bCs/>
          <w:sz w:val="28"/>
          <w:szCs w:val="28"/>
          <w:lang w:val="en-GB"/>
        </w:rPr>
        <w:t>0</w:t>
      </w:r>
    </w:p>
    <w:p w14:paraId="2F529739" w14:textId="28D275D5" w:rsidR="00C24F16" w:rsidRPr="001A64B1" w:rsidRDefault="00C24F16" w:rsidP="00C24F16">
      <w:pPr>
        <w:spacing w:before="240" w:line="360" w:lineRule="auto"/>
        <w:rPr>
          <w:rFonts w:eastAsia="Times New Roman"/>
          <w:b/>
          <w:bCs/>
          <w:sz w:val="28"/>
          <w:szCs w:val="28"/>
          <w:lang w:val="en-GB"/>
        </w:rPr>
      </w:pPr>
      <w:r w:rsidRPr="001A64B1">
        <w:rPr>
          <w:rFonts w:eastAsia="Times New Roman"/>
          <w:b/>
          <w:bCs/>
          <w:sz w:val="28"/>
          <w:szCs w:val="28"/>
          <w:lang w:val="en-GB"/>
        </w:rPr>
        <w:t>Module Title:</w:t>
      </w:r>
      <w:r w:rsidR="00F03D35">
        <w:rPr>
          <w:rFonts w:eastAsia="Times New Roman"/>
          <w:b/>
          <w:bCs/>
          <w:sz w:val="28"/>
          <w:szCs w:val="28"/>
          <w:lang w:val="en-GB"/>
        </w:rPr>
        <w:t xml:space="preserve"> Social Epidemiology And Public Health Development</w:t>
      </w:r>
    </w:p>
    <w:p w14:paraId="0E802E04" w14:textId="40C14FFD" w:rsidR="00C24F16" w:rsidRPr="001A64B1" w:rsidRDefault="00C24F16" w:rsidP="00C24F16">
      <w:pPr>
        <w:spacing w:before="240" w:line="360" w:lineRule="auto"/>
        <w:rPr>
          <w:rFonts w:eastAsia="Times New Roman"/>
          <w:b/>
          <w:bCs/>
          <w:sz w:val="28"/>
          <w:szCs w:val="28"/>
          <w:lang w:val="en-GB"/>
        </w:rPr>
      </w:pPr>
      <w:r w:rsidRPr="001A64B1">
        <w:rPr>
          <w:rFonts w:eastAsia="Times New Roman"/>
          <w:b/>
          <w:bCs/>
          <w:sz w:val="28"/>
          <w:szCs w:val="28"/>
          <w:lang w:val="en-GB"/>
        </w:rPr>
        <w:t xml:space="preserve">Assessment Title: Component 2: </w:t>
      </w:r>
      <w:r w:rsidR="00D51AD9">
        <w:rPr>
          <w:rFonts w:eastAsia="Times New Roman"/>
          <w:b/>
          <w:bCs/>
          <w:sz w:val="28"/>
          <w:szCs w:val="28"/>
          <w:lang w:val="en-GB"/>
        </w:rPr>
        <w:t>A</w:t>
      </w:r>
      <w:r w:rsidR="00B95305">
        <w:rPr>
          <w:rFonts w:eastAsia="Times New Roman"/>
          <w:b/>
          <w:bCs/>
          <w:sz w:val="28"/>
          <w:szCs w:val="28"/>
          <w:lang w:val="en-GB"/>
        </w:rPr>
        <w:t>n</w:t>
      </w:r>
      <w:r w:rsidR="00D51AD9">
        <w:rPr>
          <w:rFonts w:eastAsia="Times New Roman"/>
          <w:b/>
          <w:bCs/>
          <w:sz w:val="28"/>
          <w:szCs w:val="28"/>
          <w:lang w:val="en-GB"/>
        </w:rPr>
        <w:t>alytical Report</w:t>
      </w:r>
    </w:p>
    <w:p w14:paraId="66720DCB" w14:textId="77993C08" w:rsidR="00C24F16" w:rsidRPr="001A64B1" w:rsidRDefault="00C24F16" w:rsidP="00C24F16">
      <w:pPr>
        <w:spacing w:before="240" w:line="360" w:lineRule="auto"/>
        <w:rPr>
          <w:rFonts w:eastAsia="Times New Roman"/>
          <w:b/>
          <w:bCs/>
          <w:sz w:val="28"/>
          <w:szCs w:val="28"/>
          <w:lang w:val="en-GB"/>
        </w:rPr>
      </w:pPr>
      <w:r w:rsidRPr="001A64B1">
        <w:rPr>
          <w:rFonts w:eastAsia="Times New Roman"/>
          <w:b/>
          <w:bCs/>
          <w:sz w:val="28"/>
          <w:szCs w:val="28"/>
          <w:lang w:val="en-GB"/>
        </w:rPr>
        <w:t xml:space="preserve">Lecturer: DR </w:t>
      </w:r>
      <w:r w:rsidR="00B95305">
        <w:rPr>
          <w:rFonts w:eastAsia="Times New Roman"/>
          <w:b/>
          <w:bCs/>
          <w:sz w:val="28"/>
          <w:szCs w:val="28"/>
          <w:lang w:val="en-GB"/>
        </w:rPr>
        <w:t>Hamadi Hussain</w:t>
      </w:r>
    </w:p>
    <w:p w14:paraId="40880361" w14:textId="495B7441" w:rsidR="00C24F16" w:rsidRPr="001A64B1" w:rsidRDefault="00C24F16" w:rsidP="00C24F16">
      <w:pPr>
        <w:spacing w:before="240" w:line="360" w:lineRule="auto"/>
        <w:rPr>
          <w:rFonts w:eastAsia="Times New Roman"/>
          <w:b/>
          <w:bCs/>
          <w:sz w:val="28"/>
          <w:szCs w:val="28"/>
          <w:lang w:val="en-GB"/>
        </w:rPr>
      </w:pPr>
      <w:r w:rsidRPr="001A64B1">
        <w:rPr>
          <w:rFonts w:eastAsia="Times New Roman"/>
          <w:b/>
          <w:bCs/>
          <w:sz w:val="28"/>
          <w:szCs w:val="28"/>
          <w:lang w:val="en-GB"/>
        </w:rPr>
        <w:t xml:space="preserve">Submission Date: </w:t>
      </w:r>
      <w:r w:rsidR="00746246">
        <w:rPr>
          <w:rFonts w:eastAsia="Times New Roman"/>
          <w:b/>
          <w:bCs/>
          <w:sz w:val="28"/>
          <w:szCs w:val="28"/>
          <w:lang w:val="en-GB"/>
        </w:rPr>
        <w:t>31</w:t>
      </w:r>
      <w:r w:rsidRPr="001A64B1">
        <w:rPr>
          <w:rFonts w:eastAsia="Times New Roman"/>
          <w:b/>
          <w:bCs/>
          <w:sz w:val="28"/>
          <w:szCs w:val="28"/>
          <w:lang w:val="en-GB"/>
        </w:rPr>
        <w:t xml:space="preserve"> July 2026</w:t>
      </w:r>
    </w:p>
    <w:p w14:paraId="049481E9" w14:textId="77777777" w:rsidR="00746246" w:rsidRDefault="00746246" w:rsidP="004B21C1">
      <w:pPr>
        <w:spacing w:line="360" w:lineRule="auto"/>
        <w:jc w:val="center"/>
        <w:rPr>
          <w:rFonts w:ascii="Arial" w:hAnsi="Arial" w:cs="Arial"/>
          <w:b/>
          <w:bCs/>
          <w:color w:val="000000" w:themeColor="text1"/>
          <w:sz w:val="32"/>
          <w:szCs w:val="32"/>
          <w:lang w:val="en-GB"/>
        </w:rPr>
      </w:pPr>
    </w:p>
    <w:p w14:paraId="06BC708B" w14:textId="77777777" w:rsidR="00746246" w:rsidRDefault="00746246" w:rsidP="004B21C1">
      <w:pPr>
        <w:spacing w:line="360" w:lineRule="auto"/>
        <w:jc w:val="center"/>
        <w:rPr>
          <w:rFonts w:ascii="Arial" w:hAnsi="Arial" w:cs="Arial"/>
          <w:b/>
          <w:bCs/>
          <w:color w:val="000000" w:themeColor="text1"/>
          <w:sz w:val="32"/>
          <w:szCs w:val="32"/>
          <w:lang w:val="en-GB"/>
        </w:rPr>
      </w:pPr>
    </w:p>
    <w:p w14:paraId="67E32A94" w14:textId="77777777" w:rsidR="00746246" w:rsidRDefault="00746246" w:rsidP="004B21C1">
      <w:pPr>
        <w:spacing w:line="360" w:lineRule="auto"/>
        <w:jc w:val="center"/>
        <w:rPr>
          <w:rFonts w:ascii="Arial" w:hAnsi="Arial" w:cs="Arial"/>
          <w:b/>
          <w:bCs/>
          <w:color w:val="000000" w:themeColor="text1"/>
          <w:sz w:val="32"/>
          <w:szCs w:val="32"/>
          <w:lang w:val="en-GB"/>
        </w:rPr>
      </w:pPr>
    </w:p>
    <w:p w14:paraId="7C030299" w14:textId="0636302F" w:rsidR="004B21C1" w:rsidRPr="004C3966" w:rsidRDefault="004B21C1" w:rsidP="004B21C1">
      <w:pPr>
        <w:spacing w:line="360" w:lineRule="auto"/>
        <w:jc w:val="center"/>
        <w:rPr>
          <w:rFonts w:ascii="Arial" w:hAnsi="Arial" w:cs="Arial"/>
          <w:b/>
          <w:bCs/>
          <w:color w:val="000000" w:themeColor="text1"/>
          <w:sz w:val="32"/>
          <w:szCs w:val="32"/>
          <w:lang w:val="en-GB"/>
        </w:rPr>
      </w:pPr>
      <w:r w:rsidRPr="004C3966">
        <w:rPr>
          <w:rFonts w:ascii="Arial" w:hAnsi="Arial" w:cs="Arial"/>
          <w:b/>
          <w:bCs/>
          <w:color w:val="000000" w:themeColor="text1"/>
          <w:sz w:val="32"/>
          <w:szCs w:val="32"/>
          <w:lang w:val="en-GB"/>
        </w:rPr>
        <w:t>ASSIGNMENT TITLE: DISABILITY-RELATED HEALTH INEQUALITIES AND THE</w:t>
      </w:r>
      <w:r w:rsidR="00114829" w:rsidRPr="004C3966">
        <w:rPr>
          <w:rFonts w:ascii="Arial" w:hAnsi="Arial" w:cs="Arial"/>
          <w:b/>
          <w:bCs/>
          <w:color w:val="000000" w:themeColor="text1"/>
          <w:sz w:val="32"/>
          <w:szCs w:val="32"/>
          <w:lang w:val="en-GB"/>
        </w:rPr>
        <w:t xml:space="preserve"> EPIDEMIOLOGICAL BURDEN OF TYPE-</w:t>
      </w:r>
      <w:r w:rsidRPr="004C3966">
        <w:rPr>
          <w:rFonts w:ascii="Arial" w:hAnsi="Arial" w:cs="Arial"/>
          <w:b/>
          <w:bCs/>
          <w:color w:val="000000" w:themeColor="text1"/>
          <w:sz w:val="32"/>
          <w:szCs w:val="32"/>
          <w:lang w:val="en-GB"/>
        </w:rPr>
        <w:t>2 DIABETES IN SOUTH ASIAN COMMUNITIES</w:t>
      </w:r>
      <w:r w:rsidR="000C5E84" w:rsidRPr="004C3966">
        <w:rPr>
          <w:rFonts w:ascii="Arial" w:hAnsi="Arial" w:cs="Arial"/>
          <w:b/>
          <w:bCs/>
          <w:color w:val="000000" w:themeColor="text1"/>
          <w:sz w:val="32"/>
          <w:szCs w:val="32"/>
          <w:lang w:val="en-GB"/>
        </w:rPr>
        <w:t xml:space="preserve"> OF TOWER HAMLETS</w:t>
      </w:r>
      <w:r w:rsidRPr="004C3966">
        <w:rPr>
          <w:rFonts w:ascii="Arial" w:hAnsi="Arial" w:cs="Arial"/>
          <w:b/>
          <w:bCs/>
          <w:color w:val="000000" w:themeColor="text1"/>
          <w:sz w:val="32"/>
          <w:szCs w:val="32"/>
          <w:lang w:val="en-GB"/>
        </w:rPr>
        <w:t>: A PUBLIC HEALTH ANALYSIS</w:t>
      </w:r>
    </w:p>
    <w:p w14:paraId="165F0062" w14:textId="77777777" w:rsidR="00DE6363" w:rsidRPr="004C3966" w:rsidRDefault="00DE6363" w:rsidP="00EE56A8">
      <w:pPr>
        <w:spacing w:line="360" w:lineRule="auto"/>
        <w:rPr>
          <w:rFonts w:ascii="Arial" w:hAnsi="Arial" w:cs="Arial"/>
          <w:color w:val="000000" w:themeColor="text1"/>
          <w:lang w:val="en-GB"/>
        </w:rPr>
      </w:pPr>
      <w:r w:rsidRPr="004C3966">
        <w:rPr>
          <w:rFonts w:ascii="Arial" w:hAnsi="Arial" w:cs="Arial"/>
          <w:color w:val="000000" w:themeColor="text1"/>
          <w:lang w:val="en-GB"/>
        </w:rPr>
        <w:br w:type="page"/>
      </w:r>
    </w:p>
    <w:sdt>
      <w:sdtPr>
        <w:rPr>
          <w:rFonts w:ascii="Arial" w:eastAsiaTheme="minorHAnsi" w:hAnsi="Arial" w:cs="Arial"/>
          <w:b/>
          <w:bCs/>
          <w:color w:val="000000" w:themeColor="text1"/>
          <w:kern w:val="2"/>
          <w:sz w:val="24"/>
          <w:szCs w:val="24"/>
          <w:lang w:val="en-GB"/>
          <w14:ligatures w14:val="standardContextual"/>
        </w:rPr>
        <w:id w:val="1532296042"/>
        <w:docPartObj>
          <w:docPartGallery w:val="Table of Contents"/>
          <w:docPartUnique/>
        </w:docPartObj>
      </w:sdtPr>
      <w:sdtEndPr>
        <w:rPr>
          <w:noProof/>
        </w:rPr>
      </w:sdtEndPr>
      <w:sdtContent>
        <w:p w14:paraId="372B7127" w14:textId="2E5C8015" w:rsidR="00DE6363" w:rsidRPr="004C3966" w:rsidRDefault="00DE6363" w:rsidP="00EE56A8">
          <w:pPr>
            <w:pStyle w:val="TOCHeading"/>
            <w:spacing w:line="360" w:lineRule="auto"/>
            <w:jc w:val="center"/>
            <w:rPr>
              <w:rFonts w:ascii="Arial" w:hAnsi="Arial" w:cs="Arial"/>
              <w:b/>
              <w:bCs/>
              <w:color w:val="000000" w:themeColor="text1"/>
              <w:sz w:val="24"/>
              <w:szCs w:val="24"/>
              <w:lang w:val="en-GB"/>
            </w:rPr>
          </w:pPr>
          <w:r w:rsidRPr="004C3966">
            <w:rPr>
              <w:rFonts w:ascii="Arial" w:hAnsi="Arial" w:cs="Arial"/>
              <w:b/>
              <w:bCs/>
              <w:color w:val="000000" w:themeColor="text1"/>
              <w:sz w:val="24"/>
              <w:szCs w:val="24"/>
              <w:lang w:val="en-GB"/>
            </w:rPr>
            <w:t>Table of Contents</w:t>
          </w:r>
        </w:p>
        <w:p w14:paraId="74D13F6C" w14:textId="77777777" w:rsidR="002F763A" w:rsidRPr="004C3966" w:rsidRDefault="00DE6363" w:rsidP="002F763A">
          <w:pPr>
            <w:pStyle w:val="TOC1"/>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r w:rsidRPr="004C3966">
            <w:rPr>
              <w:rFonts w:ascii="Arial" w:hAnsi="Arial" w:cs="Arial"/>
              <w:color w:val="000000" w:themeColor="text1"/>
              <w:sz w:val="22"/>
              <w:szCs w:val="22"/>
              <w:lang w:val="en-GB"/>
            </w:rPr>
            <w:fldChar w:fldCharType="begin"/>
          </w:r>
          <w:r w:rsidRPr="004C3966">
            <w:rPr>
              <w:rFonts w:ascii="Arial" w:hAnsi="Arial" w:cs="Arial"/>
              <w:color w:val="000000" w:themeColor="text1"/>
              <w:sz w:val="22"/>
              <w:szCs w:val="22"/>
              <w:lang w:val="en-GB"/>
            </w:rPr>
            <w:instrText xml:space="preserve"> TOC \o "1-3" \h \z \u </w:instrText>
          </w:r>
          <w:r w:rsidRPr="004C3966">
            <w:rPr>
              <w:rFonts w:ascii="Arial" w:hAnsi="Arial" w:cs="Arial"/>
              <w:color w:val="000000" w:themeColor="text1"/>
              <w:sz w:val="22"/>
              <w:szCs w:val="22"/>
              <w:lang w:val="en-GB"/>
            </w:rPr>
            <w:fldChar w:fldCharType="separate"/>
          </w:r>
          <w:hyperlink w:anchor="_Toc235737461" w:history="1">
            <w:r w:rsidR="002F763A" w:rsidRPr="004C3966">
              <w:rPr>
                <w:rStyle w:val="Hyperlink"/>
                <w:rFonts w:ascii="Arial" w:hAnsi="Arial" w:cs="Arial"/>
                <w:noProof/>
                <w:color w:val="000000" w:themeColor="text1"/>
                <w:sz w:val="22"/>
                <w:szCs w:val="22"/>
                <w:lang w:val="en-GB"/>
              </w:rPr>
              <w:t>Task 1: Social Epidemiological Analysis- Disability and Health Inequalities in the South Asian communities of Tower Hamlets</w:t>
            </w:r>
            <w:r w:rsidR="002F763A" w:rsidRPr="004C3966">
              <w:rPr>
                <w:rFonts w:ascii="Arial" w:hAnsi="Arial" w:cs="Arial"/>
                <w:noProof/>
                <w:webHidden/>
                <w:color w:val="000000" w:themeColor="text1"/>
                <w:sz w:val="22"/>
                <w:szCs w:val="22"/>
              </w:rPr>
              <w:tab/>
            </w:r>
            <w:r w:rsidR="002F763A" w:rsidRPr="004C3966">
              <w:rPr>
                <w:rFonts w:ascii="Arial" w:hAnsi="Arial" w:cs="Arial"/>
                <w:noProof/>
                <w:webHidden/>
                <w:color w:val="000000" w:themeColor="text1"/>
                <w:sz w:val="22"/>
                <w:szCs w:val="22"/>
              </w:rPr>
              <w:fldChar w:fldCharType="begin"/>
            </w:r>
            <w:r w:rsidR="002F763A" w:rsidRPr="004C3966">
              <w:rPr>
                <w:rFonts w:ascii="Arial" w:hAnsi="Arial" w:cs="Arial"/>
                <w:noProof/>
                <w:webHidden/>
                <w:color w:val="000000" w:themeColor="text1"/>
                <w:sz w:val="22"/>
                <w:szCs w:val="22"/>
              </w:rPr>
              <w:instrText xml:space="preserve"> PAGEREF _Toc235737461 \h </w:instrText>
            </w:r>
            <w:r w:rsidR="002F763A" w:rsidRPr="004C3966">
              <w:rPr>
                <w:rFonts w:ascii="Arial" w:hAnsi="Arial" w:cs="Arial"/>
                <w:noProof/>
                <w:webHidden/>
                <w:color w:val="000000" w:themeColor="text1"/>
                <w:sz w:val="22"/>
                <w:szCs w:val="22"/>
              </w:rPr>
            </w:r>
            <w:r w:rsidR="002F763A" w:rsidRPr="004C3966">
              <w:rPr>
                <w:rFonts w:ascii="Arial" w:hAnsi="Arial" w:cs="Arial"/>
                <w:noProof/>
                <w:webHidden/>
                <w:color w:val="000000" w:themeColor="text1"/>
                <w:sz w:val="22"/>
                <w:szCs w:val="22"/>
              </w:rPr>
              <w:fldChar w:fldCharType="separate"/>
            </w:r>
            <w:r w:rsidR="002F763A" w:rsidRPr="004C3966">
              <w:rPr>
                <w:rFonts w:ascii="Arial" w:hAnsi="Arial" w:cs="Arial"/>
                <w:noProof/>
                <w:webHidden/>
                <w:color w:val="000000" w:themeColor="text1"/>
                <w:sz w:val="22"/>
                <w:szCs w:val="22"/>
              </w:rPr>
              <w:t>3</w:t>
            </w:r>
            <w:r w:rsidR="002F763A" w:rsidRPr="004C3966">
              <w:rPr>
                <w:rFonts w:ascii="Arial" w:hAnsi="Arial" w:cs="Arial"/>
                <w:noProof/>
                <w:webHidden/>
                <w:color w:val="000000" w:themeColor="text1"/>
                <w:sz w:val="22"/>
                <w:szCs w:val="22"/>
              </w:rPr>
              <w:fldChar w:fldCharType="end"/>
            </w:r>
          </w:hyperlink>
        </w:p>
        <w:p w14:paraId="1A7B14E9"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62" w:history="1">
            <w:r w:rsidRPr="004C3966">
              <w:rPr>
                <w:rStyle w:val="Hyperlink"/>
                <w:rFonts w:ascii="Arial" w:hAnsi="Arial" w:cs="Arial"/>
                <w:noProof/>
                <w:color w:val="000000" w:themeColor="text1"/>
                <w:sz w:val="22"/>
                <w:szCs w:val="22"/>
              </w:rPr>
              <w:t>Introduction</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_Toc235737462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3</w:t>
            </w:r>
            <w:r w:rsidRPr="004C3966">
              <w:rPr>
                <w:rFonts w:ascii="Arial" w:hAnsi="Arial" w:cs="Arial"/>
                <w:noProof/>
                <w:webHidden/>
                <w:color w:val="000000" w:themeColor="text1"/>
                <w:sz w:val="22"/>
                <w:szCs w:val="22"/>
              </w:rPr>
              <w:fldChar w:fldCharType="end"/>
            </w:r>
          </w:hyperlink>
        </w:p>
        <w:p w14:paraId="7EDE0017"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63" w:history="1">
            <w:r w:rsidRPr="004C3966">
              <w:rPr>
                <w:rStyle w:val="Hyperlink"/>
                <w:rFonts w:ascii="Arial" w:hAnsi="Arial" w:cs="Arial"/>
                <w:noProof/>
                <w:color w:val="000000" w:themeColor="text1"/>
                <w:sz w:val="22"/>
                <w:szCs w:val="22"/>
              </w:rPr>
              <w:t>Contextual Background and Underlying Factor</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_Toc235737463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3</w:t>
            </w:r>
            <w:r w:rsidRPr="004C3966">
              <w:rPr>
                <w:rFonts w:ascii="Arial" w:hAnsi="Arial" w:cs="Arial"/>
                <w:noProof/>
                <w:webHidden/>
                <w:color w:val="000000" w:themeColor="text1"/>
                <w:sz w:val="22"/>
                <w:szCs w:val="22"/>
              </w:rPr>
              <w:fldChar w:fldCharType="end"/>
            </w:r>
          </w:hyperlink>
        </w:p>
        <w:p w14:paraId="25B65D35" w14:textId="77777777" w:rsidR="002F763A" w:rsidRPr="004C3966" w:rsidRDefault="002F763A" w:rsidP="002F763A">
          <w:pPr>
            <w:pStyle w:val="TOC3"/>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64" w:history="1">
            <w:r w:rsidRPr="004C3966">
              <w:rPr>
                <w:rStyle w:val="Hyperlink"/>
                <w:rFonts w:ascii="Arial" w:hAnsi="Arial" w:cs="Arial"/>
                <w:noProof/>
                <w:color w:val="000000" w:themeColor="text1"/>
                <w:sz w:val="22"/>
                <w:szCs w:val="22"/>
              </w:rPr>
              <w:t>Disease issue 1: Higher rates of cardiovascular diseases</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_Toc235737464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3</w:t>
            </w:r>
            <w:r w:rsidRPr="004C3966">
              <w:rPr>
                <w:rFonts w:ascii="Arial" w:hAnsi="Arial" w:cs="Arial"/>
                <w:noProof/>
                <w:webHidden/>
                <w:color w:val="000000" w:themeColor="text1"/>
                <w:sz w:val="22"/>
                <w:szCs w:val="22"/>
              </w:rPr>
              <w:fldChar w:fldCharType="end"/>
            </w:r>
          </w:hyperlink>
        </w:p>
        <w:p w14:paraId="60226EA1" w14:textId="77777777" w:rsidR="002F763A" w:rsidRPr="004C3966" w:rsidRDefault="002F763A" w:rsidP="002F763A">
          <w:pPr>
            <w:pStyle w:val="TOC3"/>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65" w:history="1">
            <w:r w:rsidRPr="004C3966">
              <w:rPr>
                <w:rStyle w:val="Hyperlink"/>
                <w:rFonts w:ascii="Arial" w:hAnsi="Arial" w:cs="Arial"/>
                <w:noProof/>
                <w:color w:val="000000" w:themeColor="text1"/>
                <w:sz w:val="22"/>
                <w:szCs w:val="22"/>
              </w:rPr>
              <w:t>Disease issue 2: Mental Health Challenges</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_Toc235737465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3</w:t>
            </w:r>
            <w:r w:rsidRPr="004C3966">
              <w:rPr>
                <w:rFonts w:ascii="Arial" w:hAnsi="Arial" w:cs="Arial"/>
                <w:noProof/>
                <w:webHidden/>
                <w:color w:val="000000" w:themeColor="text1"/>
                <w:sz w:val="22"/>
                <w:szCs w:val="22"/>
              </w:rPr>
              <w:fldChar w:fldCharType="end"/>
            </w:r>
          </w:hyperlink>
        </w:p>
        <w:p w14:paraId="23FAEF0E" w14:textId="77777777" w:rsidR="002F763A" w:rsidRPr="004C3966" w:rsidRDefault="002F763A" w:rsidP="002F763A">
          <w:pPr>
            <w:pStyle w:val="TOC3"/>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66" w:history="1">
            <w:r w:rsidRPr="004C3966">
              <w:rPr>
                <w:rStyle w:val="Hyperlink"/>
                <w:rFonts w:ascii="Arial" w:hAnsi="Arial" w:cs="Arial"/>
                <w:noProof/>
                <w:color w:val="000000" w:themeColor="text1"/>
                <w:sz w:val="22"/>
                <w:szCs w:val="22"/>
              </w:rPr>
              <w:t>Disease issue 3: Elevated respiratory disease and multi-morbidity</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_Toc235737466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4</w:t>
            </w:r>
            <w:r w:rsidRPr="004C3966">
              <w:rPr>
                <w:rFonts w:ascii="Arial" w:hAnsi="Arial" w:cs="Arial"/>
                <w:noProof/>
                <w:webHidden/>
                <w:color w:val="000000" w:themeColor="text1"/>
                <w:sz w:val="22"/>
                <w:szCs w:val="22"/>
              </w:rPr>
              <w:fldChar w:fldCharType="end"/>
            </w:r>
          </w:hyperlink>
        </w:p>
        <w:p w14:paraId="6CB1BA62" w14:textId="77777777" w:rsidR="002F763A" w:rsidRPr="004C3966" w:rsidRDefault="002F763A" w:rsidP="002F763A">
          <w:pPr>
            <w:pStyle w:val="TOC3"/>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67" w:history="1">
            <w:r w:rsidRPr="004C3966">
              <w:rPr>
                <w:rStyle w:val="Hyperlink"/>
                <w:rFonts w:ascii="Arial" w:hAnsi="Arial" w:cs="Arial"/>
                <w:noProof/>
                <w:color w:val="000000" w:themeColor="text1"/>
                <w:sz w:val="22"/>
                <w:szCs w:val="22"/>
              </w:rPr>
              <w:t>Social issue 1: Poverty and social inequity</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_Toc235737467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4</w:t>
            </w:r>
            <w:r w:rsidRPr="004C3966">
              <w:rPr>
                <w:rFonts w:ascii="Arial" w:hAnsi="Arial" w:cs="Arial"/>
                <w:noProof/>
                <w:webHidden/>
                <w:color w:val="000000" w:themeColor="text1"/>
                <w:sz w:val="22"/>
                <w:szCs w:val="22"/>
              </w:rPr>
              <w:fldChar w:fldCharType="end"/>
            </w:r>
          </w:hyperlink>
        </w:p>
        <w:p w14:paraId="79483AAF" w14:textId="77777777" w:rsidR="002F763A" w:rsidRPr="004C3966" w:rsidRDefault="002F763A" w:rsidP="002F763A">
          <w:pPr>
            <w:pStyle w:val="TOC3"/>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68" w:history="1">
            <w:r w:rsidRPr="004C3966">
              <w:rPr>
                <w:rStyle w:val="Hyperlink"/>
                <w:rFonts w:ascii="Arial" w:hAnsi="Arial" w:cs="Arial"/>
                <w:noProof/>
                <w:color w:val="000000" w:themeColor="text1"/>
                <w:sz w:val="22"/>
                <w:szCs w:val="22"/>
              </w:rPr>
              <w:t>Social issue 2: Structural access and transportation barriers</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_Toc235737468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4</w:t>
            </w:r>
            <w:r w:rsidRPr="004C3966">
              <w:rPr>
                <w:rFonts w:ascii="Arial" w:hAnsi="Arial" w:cs="Arial"/>
                <w:noProof/>
                <w:webHidden/>
                <w:color w:val="000000" w:themeColor="text1"/>
                <w:sz w:val="22"/>
                <w:szCs w:val="22"/>
              </w:rPr>
              <w:fldChar w:fldCharType="end"/>
            </w:r>
          </w:hyperlink>
        </w:p>
        <w:p w14:paraId="630039CB" w14:textId="77777777" w:rsidR="002F763A" w:rsidRPr="004C3966" w:rsidRDefault="002F763A" w:rsidP="002F763A">
          <w:pPr>
            <w:pStyle w:val="TOC3"/>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69" w:history="1">
            <w:r w:rsidRPr="004C3966">
              <w:rPr>
                <w:rStyle w:val="Hyperlink"/>
                <w:rFonts w:ascii="Arial" w:hAnsi="Arial" w:cs="Arial"/>
                <w:noProof/>
                <w:color w:val="000000" w:themeColor="text1"/>
                <w:sz w:val="22"/>
                <w:szCs w:val="22"/>
              </w:rPr>
              <w:t>Social issue 3: Employment disparities and workplace discrimination</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_Toc235737469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5</w:t>
            </w:r>
            <w:r w:rsidRPr="004C3966">
              <w:rPr>
                <w:rFonts w:ascii="Arial" w:hAnsi="Arial" w:cs="Arial"/>
                <w:noProof/>
                <w:webHidden/>
                <w:color w:val="000000" w:themeColor="text1"/>
                <w:sz w:val="22"/>
                <w:szCs w:val="22"/>
              </w:rPr>
              <w:fldChar w:fldCharType="end"/>
            </w:r>
          </w:hyperlink>
        </w:p>
        <w:p w14:paraId="1AB60215"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0" w:history="1">
            <w:r w:rsidRPr="004C3966">
              <w:rPr>
                <w:rStyle w:val="Hyperlink"/>
                <w:rFonts w:ascii="Arial" w:hAnsi="Arial" w:cs="Arial"/>
                <w:noProof/>
                <w:color w:val="000000" w:themeColor="text1"/>
                <w:sz w:val="22"/>
                <w:szCs w:val="22"/>
              </w:rPr>
              <w:t>National Responses and Support Organisations</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_Toc235737470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5</w:t>
            </w:r>
            <w:r w:rsidRPr="004C3966">
              <w:rPr>
                <w:rFonts w:ascii="Arial" w:hAnsi="Arial" w:cs="Arial"/>
                <w:noProof/>
                <w:webHidden/>
                <w:color w:val="000000" w:themeColor="text1"/>
                <w:sz w:val="22"/>
                <w:szCs w:val="22"/>
              </w:rPr>
              <w:fldChar w:fldCharType="end"/>
            </w:r>
          </w:hyperlink>
        </w:p>
        <w:p w14:paraId="537A913B"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1" w:history="1">
            <w:r w:rsidRPr="004C3966">
              <w:rPr>
                <w:rStyle w:val="Hyperlink"/>
                <w:rFonts w:ascii="Arial" w:hAnsi="Arial" w:cs="Arial"/>
                <w:noProof/>
                <w:color w:val="000000" w:themeColor="text1"/>
                <w:sz w:val="22"/>
                <w:szCs w:val="22"/>
              </w:rPr>
              <w:t>Conclusion</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_Toc235737471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6</w:t>
            </w:r>
            <w:r w:rsidRPr="004C3966">
              <w:rPr>
                <w:rFonts w:ascii="Arial" w:hAnsi="Arial" w:cs="Arial"/>
                <w:noProof/>
                <w:webHidden/>
                <w:color w:val="000000" w:themeColor="text1"/>
                <w:sz w:val="22"/>
                <w:szCs w:val="22"/>
              </w:rPr>
              <w:fldChar w:fldCharType="end"/>
            </w:r>
          </w:hyperlink>
        </w:p>
        <w:p w14:paraId="202267B7" w14:textId="77777777" w:rsidR="002F763A" w:rsidRPr="004C3966" w:rsidRDefault="002F763A" w:rsidP="002F763A">
          <w:pPr>
            <w:pStyle w:val="TOC1"/>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2" w:history="1">
            <w:r w:rsidRPr="004C3966">
              <w:rPr>
                <w:rStyle w:val="Hyperlink"/>
                <w:rFonts w:ascii="Arial" w:hAnsi="Arial" w:cs="Arial"/>
                <w:noProof/>
                <w:color w:val="000000" w:themeColor="text1"/>
                <w:sz w:val="22"/>
                <w:szCs w:val="22"/>
                <w:lang w:val="en-GB"/>
              </w:rPr>
              <w:t>Task 2: Epidemiological Analysis – Type 2 Diabetes in South Asian Communities</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_Toc235737472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7</w:t>
            </w:r>
            <w:r w:rsidRPr="004C3966">
              <w:rPr>
                <w:rFonts w:ascii="Arial" w:hAnsi="Arial" w:cs="Arial"/>
                <w:noProof/>
                <w:webHidden/>
                <w:color w:val="000000" w:themeColor="text1"/>
                <w:sz w:val="22"/>
                <w:szCs w:val="22"/>
              </w:rPr>
              <w:fldChar w:fldCharType="end"/>
            </w:r>
          </w:hyperlink>
        </w:p>
        <w:p w14:paraId="62F1A4CE"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3" w:history="1">
            <w:r w:rsidRPr="004C3966">
              <w:rPr>
                <w:rStyle w:val="Hyperlink"/>
                <w:rFonts w:ascii="Arial" w:hAnsi="Arial" w:cs="Arial"/>
                <w:noProof/>
                <w:color w:val="000000" w:themeColor="text1"/>
                <w:sz w:val="22"/>
                <w:szCs w:val="22"/>
              </w:rPr>
              <w:t>Introduction</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_Toc235737473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7</w:t>
            </w:r>
            <w:r w:rsidRPr="004C3966">
              <w:rPr>
                <w:rFonts w:ascii="Arial" w:hAnsi="Arial" w:cs="Arial"/>
                <w:noProof/>
                <w:webHidden/>
                <w:color w:val="000000" w:themeColor="text1"/>
                <w:sz w:val="22"/>
                <w:szCs w:val="22"/>
              </w:rPr>
              <w:fldChar w:fldCharType="end"/>
            </w:r>
          </w:hyperlink>
        </w:p>
        <w:p w14:paraId="6B4C5E0E"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4" w:history="1">
            <w:r w:rsidRPr="004C3966">
              <w:rPr>
                <w:rStyle w:val="Hyperlink"/>
                <w:rFonts w:ascii="Arial" w:hAnsi="Arial" w:cs="Arial"/>
                <w:noProof/>
                <w:color w:val="000000" w:themeColor="text1"/>
                <w:sz w:val="22"/>
                <w:szCs w:val="22"/>
              </w:rPr>
              <w:t>Public Health Measures: Prevention, Protection and Promotion</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_Toc235737474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7</w:t>
            </w:r>
            <w:r w:rsidRPr="004C3966">
              <w:rPr>
                <w:rFonts w:ascii="Arial" w:hAnsi="Arial" w:cs="Arial"/>
                <w:noProof/>
                <w:webHidden/>
                <w:color w:val="000000" w:themeColor="text1"/>
                <w:sz w:val="22"/>
                <w:szCs w:val="22"/>
              </w:rPr>
              <w:fldChar w:fldCharType="end"/>
            </w:r>
          </w:hyperlink>
        </w:p>
        <w:p w14:paraId="6BC13C83"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5" w:history="1">
            <w:r w:rsidRPr="004C3966">
              <w:rPr>
                <w:rStyle w:val="Hyperlink"/>
                <w:rFonts w:ascii="Arial" w:hAnsi="Arial" w:cs="Arial"/>
                <w:noProof/>
                <w:color w:val="000000" w:themeColor="text1"/>
                <w:sz w:val="22"/>
                <w:szCs w:val="22"/>
              </w:rPr>
              <w:t>Determinants and Risk Factors</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_Toc235737475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8</w:t>
            </w:r>
            <w:r w:rsidRPr="004C3966">
              <w:rPr>
                <w:rFonts w:ascii="Arial" w:hAnsi="Arial" w:cs="Arial"/>
                <w:noProof/>
                <w:webHidden/>
                <w:color w:val="000000" w:themeColor="text1"/>
                <w:sz w:val="22"/>
                <w:szCs w:val="22"/>
              </w:rPr>
              <w:fldChar w:fldCharType="end"/>
            </w:r>
          </w:hyperlink>
        </w:p>
        <w:p w14:paraId="6F3B707D"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6" w:history="1">
            <w:r w:rsidRPr="004C3966">
              <w:rPr>
                <w:rStyle w:val="Hyperlink"/>
                <w:rFonts w:ascii="Arial" w:hAnsi="Arial" w:cs="Arial"/>
                <w:noProof/>
                <w:color w:val="000000" w:themeColor="text1"/>
                <w:sz w:val="22"/>
                <w:szCs w:val="22"/>
              </w:rPr>
              <w:t>Population at Risk</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_Toc235737476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9</w:t>
            </w:r>
            <w:r w:rsidRPr="004C3966">
              <w:rPr>
                <w:rFonts w:ascii="Arial" w:hAnsi="Arial" w:cs="Arial"/>
                <w:noProof/>
                <w:webHidden/>
                <w:color w:val="000000" w:themeColor="text1"/>
                <w:sz w:val="22"/>
                <w:szCs w:val="22"/>
              </w:rPr>
              <w:fldChar w:fldCharType="end"/>
            </w:r>
          </w:hyperlink>
        </w:p>
        <w:p w14:paraId="565751D6"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7" w:history="1">
            <w:r w:rsidRPr="004C3966">
              <w:rPr>
                <w:rStyle w:val="Hyperlink"/>
                <w:rFonts w:ascii="Arial" w:hAnsi="Arial" w:cs="Arial"/>
                <w:noProof/>
                <w:color w:val="000000" w:themeColor="text1"/>
                <w:sz w:val="22"/>
                <w:szCs w:val="22"/>
              </w:rPr>
              <w:t>Monitoring and Surveillance Systems</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_Toc235737477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9</w:t>
            </w:r>
            <w:r w:rsidRPr="004C3966">
              <w:rPr>
                <w:rFonts w:ascii="Arial" w:hAnsi="Arial" w:cs="Arial"/>
                <w:noProof/>
                <w:webHidden/>
                <w:color w:val="000000" w:themeColor="text1"/>
                <w:sz w:val="22"/>
                <w:szCs w:val="22"/>
              </w:rPr>
              <w:fldChar w:fldCharType="end"/>
            </w:r>
          </w:hyperlink>
        </w:p>
        <w:p w14:paraId="6EEB6444"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8" w:history="1">
            <w:r w:rsidRPr="004C3966">
              <w:rPr>
                <w:rStyle w:val="Hyperlink"/>
                <w:rFonts w:ascii="Arial" w:hAnsi="Arial" w:cs="Arial"/>
                <w:noProof/>
                <w:color w:val="000000" w:themeColor="text1"/>
                <w:sz w:val="22"/>
                <w:szCs w:val="22"/>
              </w:rPr>
              <w:t>Public Health Impact</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_Toc235737478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10</w:t>
            </w:r>
            <w:r w:rsidRPr="004C3966">
              <w:rPr>
                <w:rFonts w:ascii="Arial" w:hAnsi="Arial" w:cs="Arial"/>
                <w:noProof/>
                <w:webHidden/>
                <w:color w:val="000000" w:themeColor="text1"/>
                <w:sz w:val="22"/>
                <w:szCs w:val="22"/>
              </w:rPr>
              <w:fldChar w:fldCharType="end"/>
            </w:r>
          </w:hyperlink>
        </w:p>
        <w:p w14:paraId="577289A0"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79" w:history="1">
            <w:r w:rsidRPr="004C3966">
              <w:rPr>
                <w:rStyle w:val="Hyperlink"/>
                <w:rFonts w:ascii="Arial" w:hAnsi="Arial" w:cs="Arial"/>
                <w:noProof/>
                <w:color w:val="000000" w:themeColor="text1"/>
                <w:sz w:val="22"/>
                <w:szCs w:val="22"/>
              </w:rPr>
              <w:t>Intervention Programme</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_Toc235737479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10</w:t>
            </w:r>
            <w:r w:rsidRPr="004C3966">
              <w:rPr>
                <w:rFonts w:ascii="Arial" w:hAnsi="Arial" w:cs="Arial"/>
                <w:noProof/>
                <w:webHidden/>
                <w:color w:val="000000" w:themeColor="text1"/>
                <w:sz w:val="22"/>
                <w:szCs w:val="22"/>
              </w:rPr>
              <w:fldChar w:fldCharType="end"/>
            </w:r>
          </w:hyperlink>
        </w:p>
        <w:p w14:paraId="6016A1F4"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80" w:history="1">
            <w:r w:rsidRPr="004C3966">
              <w:rPr>
                <w:rStyle w:val="Hyperlink"/>
                <w:rFonts w:ascii="Arial" w:hAnsi="Arial" w:cs="Arial"/>
                <w:noProof/>
                <w:color w:val="000000" w:themeColor="text1"/>
                <w:sz w:val="22"/>
                <w:szCs w:val="22"/>
              </w:rPr>
              <w:t>Evaluation of Intervention</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_Toc235737480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10</w:t>
            </w:r>
            <w:r w:rsidRPr="004C3966">
              <w:rPr>
                <w:rFonts w:ascii="Arial" w:hAnsi="Arial" w:cs="Arial"/>
                <w:noProof/>
                <w:webHidden/>
                <w:color w:val="000000" w:themeColor="text1"/>
                <w:sz w:val="22"/>
                <w:szCs w:val="22"/>
              </w:rPr>
              <w:fldChar w:fldCharType="end"/>
            </w:r>
          </w:hyperlink>
        </w:p>
        <w:p w14:paraId="5F4FFDE2"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81" w:history="1">
            <w:r w:rsidRPr="004C3966">
              <w:rPr>
                <w:rStyle w:val="Hyperlink"/>
                <w:rFonts w:ascii="Arial" w:hAnsi="Arial" w:cs="Arial"/>
                <w:noProof/>
                <w:color w:val="000000" w:themeColor="text1"/>
                <w:sz w:val="22"/>
                <w:szCs w:val="22"/>
              </w:rPr>
              <w:t>Strengths and Limitations of Epidemiological Approaches</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_Toc235737481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11</w:t>
            </w:r>
            <w:r w:rsidRPr="004C3966">
              <w:rPr>
                <w:rFonts w:ascii="Arial" w:hAnsi="Arial" w:cs="Arial"/>
                <w:noProof/>
                <w:webHidden/>
                <w:color w:val="000000" w:themeColor="text1"/>
                <w:sz w:val="22"/>
                <w:szCs w:val="22"/>
              </w:rPr>
              <w:fldChar w:fldCharType="end"/>
            </w:r>
          </w:hyperlink>
        </w:p>
        <w:p w14:paraId="1ACBA4B1" w14:textId="77777777" w:rsidR="002F763A" w:rsidRPr="004C3966" w:rsidRDefault="002F763A" w:rsidP="002F763A">
          <w:pPr>
            <w:pStyle w:val="TOC1"/>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82" w:history="1">
            <w:r w:rsidRPr="004C3966">
              <w:rPr>
                <w:rStyle w:val="Hyperlink"/>
                <w:rFonts w:ascii="Arial" w:hAnsi="Arial" w:cs="Arial"/>
                <w:noProof/>
                <w:color w:val="000000" w:themeColor="text1"/>
                <w:sz w:val="22"/>
                <w:szCs w:val="22"/>
                <w:lang w:val="en-GB"/>
              </w:rPr>
              <w:t>References</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_Toc235737482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12</w:t>
            </w:r>
            <w:r w:rsidRPr="004C3966">
              <w:rPr>
                <w:rFonts w:ascii="Arial" w:hAnsi="Arial" w:cs="Arial"/>
                <w:noProof/>
                <w:webHidden/>
                <w:color w:val="000000" w:themeColor="text1"/>
                <w:sz w:val="22"/>
                <w:szCs w:val="22"/>
              </w:rPr>
              <w:fldChar w:fldCharType="end"/>
            </w:r>
          </w:hyperlink>
        </w:p>
        <w:p w14:paraId="1179C8C2"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83" w:history="1">
            <w:r w:rsidRPr="004C3966">
              <w:rPr>
                <w:rStyle w:val="Hyperlink"/>
                <w:rFonts w:ascii="Arial" w:hAnsi="Arial" w:cs="Arial"/>
                <w:noProof/>
                <w:color w:val="000000" w:themeColor="text1"/>
                <w:sz w:val="22"/>
                <w:szCs w:val="22"/>
              </w:rPr>
              <w:t>References for Task 1</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_Toc235737483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12</w:t>
            </w:r>
            <w:r w:rsidRPr="004C3966">
              <w:rPr>
                <w:rFonts w:ascii="Arial" w:hAnsi="Arial" w:cs="Arial"/>
                <w:noProof/>
                <w:webHidden/>
                <w:color w:val="000000" w:themeColor="text1"/>
                <w:sz w:val="22"/>
                <w:szCs w:val="22"/>
              </w:rPr>
              <w:fldChar w:fldCharType="end"/>
            </w:r>
          </w:hyperlink>
        </w:p>
        <w:p w14:paraId="081785A2" w14:textId="77777777" w:rsidR="002F763A" w:rsidRPr="004C3966" w:rsidRDefault="002F763A" w:rsidP="002F763A">
          <w:pPr>
            <w:pStyle w:val="TOC2"/>
            <w:tabs>
              <w:tab w:val="right" w:leader="dot" w:pos="9016"/>
            </w:tabs>
            <w:spacing w:line="360" w:lineRule="auto"/>
            <w:jc w:val="both"/>
            <w:rPr>
              <w:rFonts w:ascii="Arial" w:eastAsiaTheme="minorEastAsia" w:hAnsi="Arial" w:cs="Arial"/>
              <w:noProof/>
              <w:color w:val="000000" w:themeColor="text1"/>
              <w:kern w:val="0"/>
              <w:sz w:val="22"/>
              <w:szCs w:val="22"/>
              <w:lang w:eastAsia="en-IN"/>
              <w14:ligatures w14:val="none"/>
            </w:rPr>
          </w:pPr>
          <w:hyperlink w:anchor="_Toc235737484" w:history="1">
            <w:r w:rsidRPr="004C3966">
              <w:rPr>
                <w:rStyle w:val="Hyperlink"/>
                <w:rFonts w:ascii="Arial" w:hAnsi="Arial" w:cs="Arial"/>
                <w:noProof/>
                <w:color w:val="000000" w:themeColor="text1"/>
                <w:sz w:val="22"/>
                <w:szCs w:val="22"/>
              </w:rPr>
              <w:t>References for Task 2</w:t>
            </w:r>
            <w:r w:rsidRPr="004C3966">
              <w:rPr>
                <w:rFonts w:ascii="Arial" w:hAnsi="Arial" w:cs="Arial"/>
                <w:noProof/>
                <w:webHidden/>
                <w:color w:val="000000" w:themeColor="text1"/>
                <w:sz w:val="22"/>
                <w:szCs w:val="22"/>
              </w:rPr>
              <w:tab/>
            </w:r>
            <w:r w:rsidRPr="004C3966">
              <w:rPr>
                <w:rFonts w:ascii="Arial" w:hAnsi="Arial" w:cs="Arial"/>
                <w:noProof/>
                <w:webHidden/>
                <w:color w:val="000000" w:themeColor="text1"/>
                <w:sz w:val="22"/>
                <w:szCs w:val="22"/>
              </w:rPr>
              <w:fldChar w:fldCharType="begin"/>
            </w:r>
            <w:r w:rsidRPr="004C3966">
              <w:rPr>
                <w:rFonts w:ascii="Arial" w:hAnsi="Arial" w:cs="Arial"/>
                <w:noProof/>
                <w:webHidden/>
                <w:color w:val="000000" w:themeColor="text1"/>
                <w:sz w:val="22"/>
                <w:szCs w:val="22"/>
              </w:rPr>
              <w:instrText xml:space="preserve"> PAGEREF _Toc235737484 \h </w:instrText>
            </w:r>
            <w:r w:rsidRPr="004C3966">
              <w:rPr>
                <w:rFonts w:ascii="Arial" w:hAnsi="Arial" w:cs="Arial"/>
                <w:noProof/>
                <w:webHidden/>
                <w:color w:val="000000" w:themeColor="text1"/>
                <w:sz w:val="22"/>
                <w:szCs w:val="22"/>
              </w:rPr>
            </w:r>
            <w:r w:rsidRPr="004C3966">
              <w:rPr>
                <w:rFonts w:ascii="Arial" w:hAnsi="Arial" w:cs="Arial"/>
                <w:noProof/>
                <w:webHidden/>
                <w:color w:val="000000" w:themeColor="text1"/>
                <w:sz w:val="22"/>
                <w:szCs w:val="22"/>
              </w:rPr>
              <w:fldChar w:fldCharType="separate"/>
            </w:r>
            <w:r w:rsidRPr="004C3966">
              <w:rPr>
                <w:rFonts w:ascii="Arial" w:hAnsi="Arial" w:cs="Arial"/>
                <w:noProof/>
                <w:webHidden/>
                <w:color w:val="000000" w:themeColor="text1"/>
                <w:sz w:val="22"/>
                <w:szCs w:val="22"/>
              </w:rPr>
              <w:t>13</w:t>
            </w:r>
            <w:r w:rsidRPr="004C3966">
              <w:rPr>
                <w:rFonts w:ascii="Arial" w:hAnsi="Arial" w:cs="Arial"/>
                <w:noProof/>
                <w:webHidden/>
                <w:color w:val="000000" w:themeColor="text1"/>
                <w:sz w:val="22"/>
                <w:szCs w:val="22"/>
              </w:rPr>
              <w:fldChar w:fldCharType="end"/>
            </w:r>
          </w:hyperlink>
        </w:p>
        <w:p w14:paraId="18A0AA1B" w14:textId="39D69A51" w:rsidR="00DE6363" w:rsidRPr="004C3966" w:rsidRDefault="00DE6363" w:rsidP="002F763A">
          <w:pPr>
            <w:spacing w:line="360" w:lineRule="auto"/>
            <w:jc w:val="both"/>
            <w:rPr>
              <w:rFonts w:ascii="Arial" w:hAnsi="Arial" w:cs="Arial"/>
              <w:color w:val="000000" w:themeColor="text1"/>
              <w:lang w:val="en-GB"/>
            </w:rPr>
          </w:pPr>
          <w:r w:rsidRPr="004C3966">
            <w:rPr>
              <w:rFonts w:ascii="Arial" w:hAnsi="Arial" w:cs="Arial"/>
              <w:b/>
              <w:bCs/>
              <w:noProof/>
              <w:color w:val="000000" w:themeColor="text1"/>
              <w:sz w:val="22"/>
              <w:szCs w:val="22"/>
              <w:lang w:val="en-GB"/>
            </w:rPr>
            <w:fldChar w:fldCharType="end"/>
          </w:r>
        </w:p>
      </w:sdtContent>
    </w:sdt>
    <w:p w14:paraId="01AC7E4A" w14:textId="6AD55D09" w:rsidR="00DE6363" w:rsidRPr="004C3966" w:rsidRDefault="00DE6363" w:rsidP="00DE6363">
      <w:pPr>
        <w:spacing w:line="360" w:lineRule="auto"/>
        <w:jc w:val="center"/>
        <w:rPr>
          <w:rFonts w:ascii="Arial" w:hAnsi="Arial" w:cs="Arial"/>
          <w:b/>
          <w:bCs/>
          <w:color w:val="000000" w:themeColor="text1"/>
          <w:lang w:val="en-GB"/>
        </w:rPr>
      </w:pPr>
      <w:r w:rsidRPr="004C3966">
        <w:rPr>
          <w:rFonts w:ascii="Arial" w:hAnsi="Arial" w:cs="Arial"/>
          <w:color w:val="000000" w:themeColor="text1"/>
          <w:lang w:val="en-GB"/>
        </w:rPr>
        <w:br w:type="page"/>
      </w:r>
    </w:p>
    <w:p w14:paraId="10DA63DC" w14:textId="707CC36D" w:rsidR="00191760" w:rsidRPr="004C3966" w:rsidRDefault="00B661A4" w:rsidP="00DE6363">
      <w:pPr>
        <w:pStyle w:val="Heading1"/>
        <w:spacing w:line="360" w:lineRule="auto"/>
        <w:rPr>
          <w:rFonts w:ascii="Arial" w:hAnsi="Arial" w:cs="Arial"/>
          <w:color w:val="000000" w:themeColor="text1"/>
          <w:lang w:val="en-GB"/>
        </w:rPr>
      </w:pPr>
      <w:bookmarkStart w:id="0" w:name="_Toc235737461"/>
      <w:r w:rsidRPr="004C3966">
        <w:rPr>
          <w:rFonts w:ascii="Arial" w:hAnsi="Arial" w:cs="Arial"/>
          <w:color w:val="000000" w:themeColor="text1"/>
          <w:lang w:val="en-GB"/>
        </w:rPr>
        <w:lastRenderedPageBreak/>
        <w:t xml:space="preserve">Task 1: </w:t>
      </w:r>
      <w:r w:rsidR="009B5168" w:rsidRPr="004C3966">
        <w:rPr>
          <w:rFonts w:ascii="Arial" w:hAnsi="Arial" w:cs="Arial"/>
          <w:color w:val="000000" w:themeColor="text1"/>
          <w:lang w:val="en-GB"/>
        </w:rPr>
        <w:t>Social Epidemiological Analysis</w:t>
      </w:r>
      <w:r w:rsidR="0008523F" w:rsidRPr="004C3966">
        <w:rPr>
          <w:rFonts w:ascii="Arial" w:hAnsi="Arial" w:cs="Arial"/>
          <w:color w:val="000000" w:themeColor="text1"/>
          <w:lang w:val="en-GB"/>
        </w:rPr>
        <w:t xml:space="preserve">- Disability and Health Inequalities in the </w:t>
      </w:r>
      <w:r w:rsidR="00DB05DD" w:rsidRPr="004C3966">
        <w:rPr>
          <w:rFonts w:ascii="Arial" w:hAnsi="Arial" w:cs="Arial"/>
          <w:color w:val="000000" w:themeColor="text1"/>
          <w:lang w:val="en-GB"/>
        </w:rPr>
        <w:t>South Asian communities of Tower Hamlets</w:t>
      </w:r>
      <w:bookmarkEnd w:id="0"/>
    </w:p>
    <w:p w14:paraId="4C7615C3" w14:textId="77777777" w:rsidR="0049097E" w:rsidRPr="004C3966" w:rsidRDefault="0049097E" w:rsidP="006D7CBC">
      <w:pPr>
        <w:pStyle w:val="Heading2"/>
        <w:rPr>
          <w:rFonts w:ascii="Arial" w:hAnsi="Arial" w:cs="Arial"/>
          <w:color w:val="000000" w:themeColor="text1"/>
        </w:rPr>
      </w:pPr>
      <w:bookmarkStart w:id="1" w:name="_Toc235737462"/>
      <w:r w:rsidRPr="004C3966">
        <w:rPr>
          <w:rFonts w:ascii="Arial" w:hAnsi="Arial" w:cs="Arial"/>
          <w:color w:val="000000" w:themeColor="text1"/>
        </w:rPr>
        <w:t>Introduction</w:t>
      </w:r>
      <w:bookmarkEnd w:id="1"/>
    </w:p>
    <w:p w14:paraId="692DA8F6" w14:textId="2A8C2638"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Health inequalities can be defined as the shrinking gaps in access to health and health care of different lives of people in. Individuals with disabilities </w:t>
      </w:r>
      <w:r w:rsidR="000A755A" w:rsidRPr="004C3966">
        <w:rPr>
          <w:rFonts w:ascii="Arial" w:hAnsi="Arial" w:cs="Arial"/>
          <w:color w:val="000000" w:themeColor="text1"/>
          <w:sz w:val="22"/>
          <w:lang w:val="en-GB"/>
        </w:rPr>
        <w:t xml:space="preserve">in the South Asian communities of Tower Hamlets </w:t>
      </w:r>
      <w:r w:rsidRPr="004C3966">
        <w:rPr>
          <w:rFonts w:ascii="Arial" w:hAnsi="Arial" w:cs="Arial"/>
          <w:color w:val="000000" w:themeColor="text1"/>
          <w:sz w:val="22"/>
          <w:lang w:val="en-GB"/>
        </w:rPr>
        <w:t>constitute a vulnerable group</w:t>
      </w:r>
      <w:r w:rsidR="000A755A" w:rsidRPr="004C3966">
        <w:rPr>
          <w:rFonts w:ascii="Arial" w:hAnsi="Arial" w:cs="Arial"/>
          <w:color w:val="000000" w:themeColor="text1"/>
          <w:sz w:val="22"/>
          <w:lang w:val="en-GB"/>
        </w:rPr>
        <w:t>.</w:t>
      </w:r>
      <w:r w:rsidRPr="004C3966">
        <w:rPr>
          <w:rFonts w:ascii="Arial" w:hAnsi="Arial" w:cs="Arial"/>
          <w:color w:val="000000" w:themeColor="text1"/>
          <w:sz w:val="22"/>
          <w:lang w:val="en-GB"/>
        </w:rPr>
        <w:t xml:space="preserve"> </w:t>
      </w:r>
      <w:r w:rsidR="000A755A" w:rsidRPr="004C3966">
        <w:rPr>
          <w:rFonts w:ascii="Arial" w:hAnsi="Arial" w:cs="Arial"/>
          <w:color w:val="000000" w:themeColor="text1"/>
          <w:sz w:val="22"/>
          <w:lang w:val="en-GB"/>
        </w:rPr>
        <w:t>It is the chosen target group, which</w:t>
      </w:r>
      <w:r w:rsidRPr="004C3966">
        <w:rPr>
          <w:rFonts w:ascii="Arial" w:hAnsi="Arial" w:cs="Arial"/>
          <w:color w:val="000000" w:themeColor="text1"/>
          <w:sz w:val="22"/>
          <w:lang w:val="en-GB"/>
        </w:rPr>
        <w:t xml:space="preserve"> </w:t>
      </w:r>
      <w:r w:rsidR="000A755A" w:rsidRPr="004C3966">
        <w:rPr>
          <w:rFonts w:ascii="Arial" w:hAnsi="Arial" w:cs="Arial"/>
          <w:color w:val="000000" w:themeColor="text1"/>
          <w:sz w:val="22"/>
          <w:lang w:val="en-GB"/>
        </w:rPr>
        <w:t>can be</w:t>
      </w:r>
      <w:r w:rsidRPr="004C3966">
        <w:rPr>
          <w:rFonts w:ascii="Arial" w:hAnsi="Arial" w:cs="Arial"/>
          <w:color w:val="000000" w:themeColor="text1"/>
          <w:sz w:val="22"/>
          <w:lang w:val="en-GB"/>
        </w:rPr>
        <w:t xml:space="preserve"> usually characterized by a wide gap in the level of health, accessibility to healthcare and social opportunities. The estimates conducted by global health bodies revealed that around 1.3 billion people (16% of global population) are living with disabilities worldwide (WHO, 2023). In the UK around 16.8 million people, which is 25% of the population, are disabled (UK Parliament, 2025; DWP, 2026). </w:t>
      </w:r>
      <w:r w:rsidR="00F57395" w:rsidRPr="004C3966">
        <w:rPr>
          <w:rFonts w:ascii="Arial" w:hAnsi="Arial" w:cs="Arial"/>
          <w:color w:val="000000" w:themeColor="text1"/>
          <w:sz w:val="22"/>
          <w:lang w:val="en-GB"/>
        </w:rPr>
        <w:t>The 2021 Census shows that 31,258 people are disabled under the Equality Act in Tower Hamlets</w:t>
      </w:r>
      <w:r w:rsidR="00E8156D" w:rsidRPr="004C3966">
        <w:rPr>
          <w:rFonts w:ascii="Arial" w:hAnsi="Arial" w:cs="Arial"/>
          <w:color w:val="000000" w:themeColor="text1"/>
          <w:sz w:val="22"/>
          <w:lang w:val="en-GB"/>
        </w:rPr>
        <w:t xml:space="preserve"> (Croydon Observatory, 2025)</w:t>
      </w:r>
      <w:r w:rsidR="00F57395" w:rsidRPr="004C3966">
        <w:rPr>
          <w:rFonts w:ascii="Arial" w:hAnsi="Arial" w:cs="Arial"/>
          <w:color w:val="000000" w:themeColor="text1"/>
          <w:sz w:val="22"/>
          <w:lang w:val="en-GB"/>
        </w:rPr>
        <w:t xml:space="preserve">. </w:t>
      </w:r>
      <w:r w:rsidR="00EE3845" w:rsidRPr="004C3966">
        <w:rPr>
          <w:rFonts w:ascii="Arial" w:hAnsi="Arial" w:cs="Arial"/>
          <w:color w:val="000000" w:themeColor="text1"/>
          <w:sz w:val="22"/>
          <w:lang w:val="en-GB"/>
        </w:rPr>
        <w:t xml:space="preserve">There are social, biological, structural and cultural factors which combine to create a higher risk of inequalities in health for South Asian communities in the London Borough of Tower Hamlets who have disabilities. </w:t>
      </w:r>
    </w:p>
    <w:p w14:paraId="03DAF021" w14:textId="0BCDC271" w:rsidR="0049097E" w:rsidRPr="004C3966" w:rsidRDefault="002E7629" w:rsidP="0071374C">
      <w:pPr>
        <w:pStyle w:val="Heading2"/>
        <w:rPr>
          <w:rFonts w:ascii="Arial" w:hAnsi="Arial" w:cs="Arial"/>
          <w:color w:val="000000" w:themeColor="text1"/>
        </w:rPr>
      </w:pPr>
      <w:bookmarkStart w:id="2" w:name="_Toc235737463"/>
      <w:r w:rsidRPr="004C3966">
        <w:rPr>
          <w:rFonts w:ascii="Arial" w:hAnsi="Arial" w:cs="Arial"/>
          <w:color w:val="000000" w:themeColor="text1"/>
        </w:rPr>
        <w:t>Contextual Background and Underlying Factor</w:t>
      </w:r>
      <w:bookmarkEnd w:id="2"/>
    </w:p>
    <w:p w14:paraId="700335B6" w14:textId="2906D6AC" w:rsidR="0008523F" w:rsidRPr="004C3966" w:rsidRDefault="0008523F" w:rsidP="006D7CBC">
      <w:pPr>
        <w:pStyle w:val="Heading3"/>
        <w:rPr>
          <w:rFonts w:ascii="Arial" w:hAnsi="Arial" w:cs="Arial"/>
          <w:color w:val="000000" w:themeColor="text1"/>
        </w:rPr>
      </w:pPr>
      <w:bookmarkStart w:id="3" w:name="_Toc235737464"/>
      <w:r w:rsidRPr="004C3966">
        <w:rPr>
          <w:rFonts w:ascii="Arial" w:hAnsi="Arial" w:cs="Arial"/>
          <w:color w:val="000000" w:themeColor="text1"/>
        </w:rPr>
        <w:t>Disease issue 1: Higher rates of cardiovascular diseases</w:t>
      </w:r>
      <w:bookmarkEnd w:id="3"/>
    </w:p>
    <w:p w14:paraId="78BCB122" w14:textId="5E6DE26A" w:rsidR="00665E1B" w:rsidRPr="004C3966" w:rsidRDefault="00665E1B" w:rsidP="00665E1B">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Disabled people in </w:t>
      </w:r>
      <w:r w:rsidR="00BB0DB9" w:rsidRPr="004C3966">
        <w:rPr>
          <w:rFonts w:ascii="Arial" w:hAnsi="Arial" w:cs="Arial"/>
          <w:color w:val="000000" w:themeColor="text1"/>
          <w:sz w:val="22"/>
          <w:lang w:val="en-GB"/>
        </w:rPr>
        <w:t>Tower Hamlets</w:t>
      </w:r>
      <w:r w:rsidRPr="004C3966">
        <w:rPr>
          <w:rFonts w:ascii="Arial" w:hAnsi="Arial" w:cs="Arial"/>
          <w:color w:val="000000" w:themeColor="text1"/>
          <w:sz w:val="22"/>
          <w:lang w:val="en-GB"/>
        </w:rPr>
        <w:t xml:space="preserve"> experience a heightened burden of CVD, which includes hypertension, coronary heart disease, and stroke, compared to the non-disabled population. Such disparity is primarily driven by </w:t>
      </w:r>
      <w:r w:rsidR="00BB0DB9" w:rsidRPr="004C3966">
        <w:rPr>
          <w:rFonts w:ascii="Arial" w:hAnsi="Arial" w:cs="Arial"/>
          <w:color w:val="000000" w:themeColor="text1"/>
          <w:sz w:val="22"/>
          <w:lang w:val="en-GB"/>
        </w:rPr>
        <w:t xml:space="preserve">factors like high general baseline, disability-specific risks and lifestyle factors (Aïdoud </w:t>
      </w:r>
      <w:r w:rsidR="00BB0DB9" w:rsidRPr="004C3966">
        <w:rPr>
          <w:rFonts w:ascii="Arial" w:hAnsi="Arial" w:cs="Arial"/>
          <w:i/>
          <w:iCs/>
          <w:color w:val="000000" w:themeColor="text1"/>
          <w:sz w:val="22"/>
          <w:lang w:val="en-GB"/>
        </w:rPr>
        <w:t xml:space="preserve">et al. </w:t>
      </w:r>
      <w:r w:rsidR="00BB0DB9" w:rsidRPr="004C3966">
        <w:rPr>
          <w:rFonts w:ascii="Arial" w:hAnsi="Arial" w:cs="Arial"/>
          <w:color w:val="000000" w:themeColor="text1"/>
          <w:sz w:val="22"/>
          <w:lang w:val="en-GB"/>
        </w:rPr>
        <w:t>2023)</w:t>
      </w:r>
      <w:r w:rsidRPr="004C3966">
        <w:rPr>
          <w:rFonts w:ascii="Arial" w:hAnsi="Arial" w:cs="Arial"/>
          <w:color w:val="000000" w:themeColor="text1"/>
          <w:sz w:val="22"/>
          <w:lang w:val="en-GB"/>
        </w:rPr>
        <w:t xml:space="preserve">. In such cases, clinicians attribute cardiovascular symptoms to the people's underlying disabilities, rather than assessing organic cardiac issues. It increases the chance and rate of unmanaged </w:t>
      </w:r>
      <w:r w:rsidR="00AD1B71" w:rsidRPr="004C3966">
        <w:rPr>
          <w:rFonts w:ascii="Arial" w:hAnsi="Arial" w:cs="Arial"/>
          <w:color w:val="000000" w:themeColor="text1"/>
          <w:sz w:val="22"/>
          <w:lang w:val="en-GB"/>
        </w:rPr>
        <w:t>health inequalities that disabled people experience</w:t>
      </w:r>
      <w:r w:rsidRPr="004C3966">
        <w:rPr>
          <w:rFonts w:ascii="Arial" w:hAnsi="Arial" w:cs="Arial"/>
          <w:color w:val="000000" w:themeColor="text1"/>
          <w:sz w:val="22"/>
          <w:lang w:val="en-GB"/>
        </w:rPr>
        <w:t>. </w:t>
      </w:r>
    </w:p>
    <w:p w14:paraId="1C7A2980" w14:textId="7D33F5B9" w:rsidR="006A65AB" w:rsidRPr="004C3966" w:rsidRDefault="00665E1B" w:rsidP="00665E1B">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For public health solutions, annual health checks must be tailored and mandated for their implementation in primary care networks. The check-ups will be especially designed for disabled individuals and involve baseline cardiovascular screenings (Chen </w:t>
      </w:r>
      <w:r w:rsidRPr="004C3966">
        <w:rPr>
          <w:rFonts w:ascii="Arial" w:hAnsi="Arial" w:cs="Arial"/>
          <w:i/>
          <w:iCs/>
          <w:color w:val="000000" w:themeColor="text1"/>
          <w:sz w:val="22"/>
          <w:lang w:val="en-GB"/>
        </w:rPr>
        <w:t xml:space="preserve">et al. </w:t>
      </w:r>
      <w:r w:rsidRPr="004C3966">
        <w:rPr>
          <w:rFonts w:ascii="Arial" w:hAnsi="Arial" w:cs="Arial"/>
          <w:color w:val="000000" w:themeColor="text1"/>
          <w:sz w:val="22"/>
          <w:lang w:val="en-GB"/>
        </w:rPr>
        <w:t>2023). Funding from local public health authorities must be accessible, along with community schemes to address mobility impairments.</w:t>
      </w:r>
    </w:p>
    <w:p w14:paraId="013AE102" w14:textId="4D55B0CD" w:rsidR="0049097E" w:rsidRPr="004C3966" w:rsidRDefault="0008523F" w:rsidP="006D7CBC">
      <w:pPr>
        <w:pStyle w:val="Heading3"/>
        <w:rPr>
          <w:rFonts w:ascii="Arial" w:hAnsi="Arial" w:cs="Arial"/>
          <w:color w:val="000000" w:themeColor="text1"/>
        </w:rPr>
      </w:pPr>
      <w:bookmarkStart w:id="4" w:name="_Toc235737465"/>
      <w:r w:rsidRPr="004C3966">
        <w:rPr>
          <w:rFonts w:ascii="Arial" w:hAnsi="Arial" w:cs="Arial"/>
          <w:color w:val="000000" w:themeColor="text1"/>
        </w:rPr>
        <w:t xml:space="preserve">Disease issue 2: </w:t>
      </w:r>
      <w:r w:rsidR="0049097E" w:rsidRPr="004C3966">
        <w:rPr>
          <w:rFonts w:ascii="Arial" w:hAnsi="Arial" w:cs="Arial"/>
          <w:color w:val="000000" w:themeColor="text1"/>
        </w:rPr>
        <w:t>Mental Health Challenges</w:t>
      </w:r>
      <w:bookmarkEnd w:id="4"/>
    </w:p>
    <w:p w14:paraId="4AD6B3FC" w14:textId="38E97A94" w:rsidR="0049097E" w:rsidRPr="004C3966" w:rsidRDefault="0049097E" w:rsidP="008900D2">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Studies show that people with disabilities are almost twice </w:t>
      </w:r>
      <w:r w:rsidR="00755B84" w:rsidRPr="004C3966">
        <w:rPr>
          <w:rFonts w:ascii="Arial" w:hAnsi="Arial" w:cs="Arial"/>
          <w:color w:val="000000" w:themeColor="text1"/>
          <w:sz w:val="22"/>
          <w:lang w:val="en-GB"/>
        </w:rPr>
        <w:t>as likely to experience depression and anxiety as</w:t>
      </w:r>
      <w:r w:rsidRPr="004C3966">
        <w:rPr>
          <w:rFonts w:ascii="Arial" w:hAnsi="Arial" w:cs="Arial"/>
          <w:color w:val="000000" w:themeColor="text1"/>
          <w:sz w:val="22"/>
          <w:lang w:val="en-GB"/>
        </w:rPr>
        <w:t xml:space="preserve"> the general population (WHO, 2023). In </w:t>
      </w:r>
      <w:r w:rsidR="00B71E7E" w:rsidRPr="004C3966">
        <w:rPr>
          <w:rFonts w:ascii="Arial" w:hAnsi="Arial" w:cs="Arial"/>
          <w:color w:val="000000" w:themeColor="text1"/>
          <w:sz w:val="22"/>
          <w:lang w:val="en-GB"/>
        </w:rPr>
        <w:t>Tower Hamlets, disabled people face mental health issues like depression and anxiety</w:t>
      </w:r>
      <w:r w:rsidRPr="004C3966">
        <w:rPr>
          <w:rFonts w:ascii="Arial" w:hAnsi="Arial" w:cs="Arial"/>
          <w:color w:val="000000" w:themeColor="text1"/>
          <w:sz w:val="22"/>
          <w:lang w:val="en-GB"/>
        </w:rPr>
        <w:t xml:space="preserve">. </w:t>
      </w:r>
      <w:r w:rsidR="008900D2" w:rsidRPr="004C3966">
        <w:rPr>
          <w:rFonts w:ascii="Arial" w:hAnsi="Arial" w:cs="Arial"/>
          <w:color w:val="000000" w:themeColor="text1"/>
          <w:sz w:val="22"/>
          <w:lang w:val="en-GB"/>
        </w:rPr>
        <w:t xml:space="preserve">Tower Hamlets is ranked 5th in England and Wales for hospital admission rates for mental health (towerhamlets.gov.uk, 2026). </w:t>
      </w:r>
      <w:r w:rsidRPr="004C3966">
        <w:rPr>
          <w:rFonts w:ascii="Arial" w:hAnsi="Arial" w:cs="Arial"/>
          <w:color w:val="000000" w:themeColor="text1"/>
          <w:sz w:val="22"/>
          <w:lang w:val="en-GB"/>
        </w:rPr>
        <w:t xml:space="preserve">The </w:t>
      </w:r>
      <w:r w:rsidRPr="004C3966">
        <w:rPr>
          <w:rFonts w:ascii="Arial" w:hAnsi="Arial" w:cs="Arial"/>
          <w:color w:val="000000" w:themeColor="text1"/>
          <w:sz w:val="22"/>
          <w:lang w:val="en-GB"/>
        </w:rPr>
        <w:lastRenderedPageBreak/>
        <w:t xml:space="preserve">limited social participation, discrimination and social stigma </w:t>
      </w:r>
      <w:r w:rsidR="0096553B" w:rsidRPr="004C3966">
        <w:rPr>
          <w:rFonts w:ascii="Arial" w:hAnsi="Arial" w:cs="Arial"/>
          <w:color w:val="000000" w:themeColor="text1"/>
          <w:sz w:val="22"/>
          <w:lang w:val="en-GB"/>
        </w:rPr>
        <w:t>make</w:t>
      </w:r>
      <w:r w:rsidRPr="004C3966">
        <w:rPr>
          <w:rFonts w:ascii="Arial" w:hAnsi="Arial" w:cs="Arial"/>
          <w:color w:val="000000" w:themeColor="text1"/>
          <w:sz w:val="22"/>
          <w:lang w:val="en-GB"/>
        </w:rPr>
        <w:t xml:space="preserve"> the mental wellbeing of this group poorer (Narayanan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xml:space="preserve">., 2025). This situation was exacerbated by impact on mental health outcomes in disabled populations (Kavanagh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xml:space="preserve">., 2022) as a result of the effects of the Covid-19 pandemic. </w:t>
      </w:r>
    </w:p>
    <w:p w14:paraId="3EFF0461" w14:textId="7C21D172" w:rsidR="002B4EB8" w:rsidRPr="004C3966" w:rsidRDefault="002B4EB8"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As a public health solution, trauma-informed mental health specialists need to be integrated within primary disability services </w:t>
      </w:r>
      <w:r w:rsidR="006373CF" w:rsidRPr="004C3966">
        <w:rPr>
          <w:rFonts w:ascii="Arial" w:hAnsi="Arial" w:cs="Arial"/>
          <w:color w:val="000000" w:themeColor="text1"/>
          <w:sz w:val="22"/>
          <w:lang w:val="en-GB"/>
        </w:rPr>
        <w:t xml:space="preserve">for South Asian communities </w:t>
      </w:r>
      <w:r w:rsidRPr="004C3966">
        <w:rPr>
          <w:rFonts w:ascii="Arial" w:hAnsi="Arial" w:cs="Arial"/>
          <w:color w:val="000000" w:themeColor="text1"/>
          <w:sz w:val="22"/>
          <w:lang w:val="en-GB"/>
        </w:rPr>
        <w:t xml:space="preserve">(Lewis </w:t>
      </w:r>
      <w:r w:rsidRPr="004C3966">
        <w:rPr>
          <w:rFonts w:ascii="Arial" w:hAnsi="Arial" w:cs="Arial"/>
          <w:i/>
          <w:iCs/>
          <w:color w:val="000000" w:themeColor="text1"/>
          <w:sz w:val="22"/>
          <w:lang w:val="en-GB"/>
        </w:rPr>
        <w:t xml:space="preserve">et al. </w:t>
      </w:r>
      <w:r w:rsidRPr="004C3966">
        <w:rPr>
          <w:rFonts w:ascii="Arial" w:hAnsi="Arial" w:cs="Arial"/>
          <w:color w:val="000000" w:themeColor="text1"/>
          <w:sz w:val="22"/>
          <w:lang w:val="en-GB"/>
        </w:rPr>
        <w:t>2023). Besides, Integrated Care Boards (ICBs) must enforce standards of accessibility for Improving Access to Psychological Therapies (IAPT) services.</w:t>
      </w:r>
    </w:p>
    <w:p w14:paraId="6B6C8BE6" w14:textId="057A84B2" w:rsidR="0008523F" w:rsidRPr="004C3966" w:rsidRDefault="0008523F" w:rsidP="006D7CBC">
      <w:pPr>
        <w:pStyle w:val="Heading3"/>
        <w:rPr>
          <w:rFonts w:ascii="Arial" w:hAnsi="Arial" w:cs="Arial"/>
          <w:color w:val="000000" w:themeColor="text1"/>
        </w:rPr>
      </w:pPr>
      <w:bookmarkStart w:id="5" w:name="_Toc235737466"/>
      <w:r w:rsidRPr="004C3966">
        <w:rPr>
          <w:rFonts w:ascii="Arial" w:hAnsi="Arial" w:cs="Arial"/>
          <w:color w:val="000000" w:themeColor="text1"/>
        </w:rPr>
        <w:t>Disease issue 3: Elevated respiratory disease and multi-morbidity</w:t>
      </w:r>
      <w:bookmarkEnd w:id="5"/>
    </w:p>
    <w:p w14:paraId="49A52F71" w14:textId="270F08EA" w:rsidR="002F32DB" w:rsidRPr="004C3966" w:rsidRDefault="002F32DB" w:rsidP="0049097E">
      <w:pPr>
        <w:spacing w:line="360" w:lineRule="auto"/>
        <w:jc w:val="both"/>
        <w:rPr>
          <w:rFonts w:ascii="Arial" w:hAnsi="Arial" w:cs="Arial"/>
          <w:b/>
          <w:color w:val="000000" w:themeColor="text1"/>
          <w:sz w:val="22"/>
          <w:lang w:val="en-GB"/>
        </w:rPr>
      </w:pPr>
      <w:r w:rsidRPr="004C3966">
        <w:rPr>
          <w:rFonts w:ascii="Arial" w:hAnsi="Arial" w:cs="Arial"/>
          <w:color w:val="000000" w:themeColor="text1"/>
          <w:sz w:val="22"/>
          <w:lang w:val="en-GB"/>
        </w:rPr>
        <w:t>Chronic respiratory diseases, including Chronic Obstructive Pulmonary Disease (COPD), asthma, and recurrent pneumonia, are visible at a higher rate among the disabled</w:t>
      </w:r>
      <w:r w:rsidR="00565FD8" w:rsidRPr="004C3966">
        <w:rPr>
          <w:rFonts w:ascii="Arial" w:hAnsi="Arial" w:cs="Arial"/>
          <w:color w:val="000000" w:themeColor="text1"/>
          <w:sz w:val="22"/>
          <w:lang w:val="en-GB"/>
        </w:rPr>
        <w:t xml:space="preserve"> among the population of Tower Hamlets</w:t>
      </w:r>
      <w:r w:rsidRPr="004C3966">
        <w:rPr>
          <w:rFonts w:ascii="Arial" w:hAnsi="Arial" w:cs="Arial"/>
          <w:color w:val="000000" w:themeColor="text1"/>
          <w:sz w:val="22"/>
          <w:lang w:val="en-GB"/>
        </w:rPr>
        <w:t>. These rates are even higher among those with complex physical, neurological, or intellectual disabilities. Over 18% of disabled individuals in the UK have reported a long-term health condition related to the respiratory system (Truesdale, 2021).</w:t>
      </w:r>
      <w:r w:rsidR="00565FD8" w:rsidRPr="004C3966">
        <w:rPr>
          <w:rFonts w:ascii="Arial" w:hAnsi="Arial" w:cs="Arial"/>
          <w:color w:val="000000" w:themeColor="text1"/>
          <w:sz w:val="22"/>
          <w:lang w:val="en-GB"/>
        </w:rPr>
        <w:t xml:space="preserve"> The residents of Tower Hamlets are most likely to be hospitalised and die from a lung disease in London.</w:t>
      </w:r>
      <w:r w:rsidRPr="004C3966">
        <w:rPr>
          <w:rFonts w:ascii="Arial" w:hAnsi="Arial" w:cs="Arial"/>
          <w:color w:val="000000" w:themeColor="text1"/>
          <w:sz w:val="22"/>
          <w:lang w:val="en-GB"/>
        </w:rPr>
        <w:t xml:space="preserve"> Many of these deaths could be prevented by timely clinical management. To prevent these issues, standardised respiratory risk assessments must be undertaken in social care settings. Mobile health units need to be recognised for delivering targeted winter vaccination drives </w:t>
      </w:r>
      <w:r w:rsidR="00525C97" w:rsidRPr="004C3966">
        <w:rPr>
          <w:rFonts w:ascii="Arial" w:hAnsi="Arial" w:cs="Arial"/>
          <w:color w:val="000000" w:themeColor="text1"/>
          <w:sz w:val="22"/>
          <w:lang w:val="en-GB"/>
        </w:rPr>
        <w:t>for South Asian communities living in Tower Hamlets</w:t>
      </w:r>
      <w:r w:rsidRPr="004C3966">
        <w:rPr>
          <w:rFonts w:ascii="Arial" w:hAnsi="Arial" w:cs="Arial"/>
          <w:color w:val="000000" w:themeColor="text1"/>
          <w:sz w:val="22"/>
          <w:lang w:val="en-GB"/>
        </w:rPr>
        <w:t>. Enforcement of local authority housing quality regulations is necessary to remove damp and cold living environments.</w:t>
      </w:r>
    </w:p>
    <w:p w14:paraId="0038492A" w14:textId="20189B1B" w:rsidR="00433A72" w:rsidRPr="004C3966" w:rsidRDefault="0008523F" w:rsidP="0071374C">
      <w:pPr>
        <w:pStyle w:val="Heading3"/>
        <w:rPr>
          <w:rFonts w:ascii="Arial" w:hAnsi="Arial" w:cs="Arial"/>
          <w:color w:val="000000" w:themeColor="text1"/>
        </w:rPr>
      </w:pPr>
      <w:bookmarkStart w:id="6" w:name="_Toc235737467"/>
      <w:r w:rsidRPr="004C3966">
        <w:rPr>
          <w:rFonts w:ascii="Arial" w:hAnsi="Arial" w:cs="Arial"/>
          <w:color w:val="000000" w:themeColor="text1"/>
        </w:rPr>
        <w:t>Social issue 1: Poverty and social inequity</w:t>
      </w:r>
      <w:bookmarkEnd w:id="6"/>
    </w:p>
    <w:p w14:paraId="78E1B085" w14:textId="084B3024" w:rsidR="005101F3" w:rsidRDefault="005101F3"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Disabled people are under-represented in the poorest fifth of the world's population. There is a significant economic disadvantage for disabled households in the UK. </w:t>
      </w:r>
      <w:r w:rsidR="002330F6" w:rsidRPr="004C3966">
        <w:rPr>
          <w:rFonts w:ascii="Arial" w:hAnsi="Arial" w:cs="Arial"/>
          <w:color w:val="000000" w:themeColor="text1"/>
          <w:sz w:val="22"/>
          <w:lang w:val="en-GB"/>
        </w:rPr>
        <w:t>Child poverty rate in Tower Hamlets is 50% and overall poverty rate is 40%, which is worse to all London Boroughs of 26%</w:t>
      </w:r>
      <w:r w:rsidRPr="004C3966">
        <w:rPr>
          <w:rFonts w:ascii="Arial" w:hAnsi="Arial" w:cs="Arial"/>
          <w:color w:val="000000" w:themeColor="text1"/>
          <w:sz w:val="22"/>
          <w:lang w:val="en-GB"/>
        </w:rPr>
        <w:t xml:space="preserve"> (</w:t>
      </w:r>
      <w:r w:rsidR="002330F6" w:rsidRPr="004C3966">
        <w:rPr>
          <w:rFonts w:ascii="Arial" w:hAnsi="Arial" w:cs="Arial"/>
          <w:color w:val="000000" w:themeColor="text1"/>
          <w:sz w:val="22"/>
          <w:lang w:val="en-GB"/>
        </w:rPr>
        <w:t>Trust for London</w:t>
      </w:r>
      <w:r w:rsidRPr="004C3966">
        <w:rPr>
          <w:rFonts w:ascii="Arial" w:hAnsi="Arial" w:cs="Arial"/>
          <w:color w:val="000000" w:themeColor="text1"/>
          <w:sz w:val="22"/>
          <w:lang w:val="en-GB"/>
        </w:rPr>
        <w:t>, 2</w:t>
      </w:r>
      <w:r w:rsidR="002330F6" w:rsidRPr="004C3966">
        <w:rPr>
          <w:rFonts w:ascii="Arial" w:hAnsi="Arial" w:cs="Arial"/>
          <w:color w:val="000000" w:themeColor="text1"/>
          <w:sz w:val="22"/>
          <w:lang w:val="en-GB"/>
        </w:rPr>
        <w:t>021</w:t>
      </w:r>
      <w:r w:rsidRPr="004C3966">
        <w:rPr>
          <w:rFonts w:ascii="Arial" w:hAnsi="Arial" w:cs="Arial"/>
          <w:color w:val="000000" w:themeColor="text1"/>
          <w:sz w:val="22"/>
          <w:lang w:val="en-GB"/>
        </w:rPr>
        <w:t>). Chronic health conditions are exacerbated due to financial hardship, reducing access to nutritious food, housing and self-funded care treatments. Streamlining and enhancing the administration of social security is required to remove punitive assessment regimes</w:t>
      </w:r>
      <w:r w:rsidR="00075A16" w:rsidRPr="004C3966">
        <w:rPr>
          <w:rFonts w:ascii="Arial" w:hAnsi="Arial" w:cs="Arial"/>
          <w:color w:val="000000" w:themeColor="text1"/>
          <w:sz w:val="22"/>
          <w:lang w:val="en-GB"/>
        </w:rPr>
        <w:t xml:space="preserve"> for South Asian communities</w:t>
      </w:r>
      <w:r w:rsidRPr="004C3966">
        <w:rPr>
          <w:rFonts w:ascii="Arial" w:hAnsi="Arial" w:cs="Arial"/>
          <w:color w:val="000000" w:themeColor="text1"/>
          <w:sz w:val="22"/>
          <w:lang w:val="en-GB"/>
        </w:rPr>
        <w:t>. It will increase non-means-tested disability support payments and provide targeted energy assistance for families who need life-sustaining medical support.</w:t>
      </w:r>
    </w:p>
    <w:p w14:paraId="4A96B549" w14:textId="77777777" w:rsidR="004C3966" w:rsidRDefault="004C3966" w:rsidP="0049097E">
      <w:pPr>
        <w:spacing w:line="360" w:lineRule="auto"/>
        <w:jc w:val="both"/>
        <w:rPr>
          <w:rFonts w:ascii="Arial" w:hAnsi="Arial" w:cs="Arial"/>
          <w:color w:val="000000" w:themeColor="text1"/>
          <w:sz w:val="22"/>
          <w:lang w:val="en-GB"/>
        </w:rPr>
      </w:pPr>
    </w:p>
    <w:p w14:paraId="59D57869" w14:textId="77777777" w:rsidR="004C3966" w:rsidRPr="004C3966" w:rsidRDefault="004C3966" w:rsidP="0049097E">
      <w:pPr>
        <w:spacing w:line="360" w:lineRule="auto"/>
        <w:jc w:val="both"/>
        <w:rPr>
          <w:rFonts w:ascii="Arial" w:hAnsi="Arial" w:cs="Arial"/>
          <w:b/>
          <w:color w:val="000000" w:themeColor="text1"/>
          <w:sz w:val="22"/>
          <w:lang w:val="en-GB"/>
        </w:rPr>
      </w:pPr>
    </w:p>
    <w:p w14:paraId="7D565010" w14:textId="296CB1E7" w:rsidR="0008523F" w:rsidRPr="004C3966" w:rsidRDefault="0008523F" w:rsidP="006D7CBC">
      <w:pPr>
        <w:pStyle w:val="Heading3"/>
        <w:rPr>
          <w:rFonts w:ascii="Arial" w:hAnsi="Arial" w:cs="Arial"/>
          <w:color w:val="000000" w:themeColor="text1"/>
        </w:rPr>
      </w:pPr>
      <w:bookmarkStart w:id="7" w:name="_Toc235737468"/>
      <w:r w:rsidRPr="004C3966">
        <w:rPr>
          <w:rFonts w:ascii="Arial" w:hAnsi="Arial" w:cs="Arial"/>
          <w:color w:val="000000" w:themeColor="text1"/>
        </w:rPr>
        <w:lastRenderedPageBreak/>
        <w:t>Social issue 2: Structural access and transportation barriers</w:t>
      </w:r>
      <w:bookmarkEnd w:id="7"/>
    </w:p>
    <w:p w14:paraId="19FBAD24" w14:textId="2EE66E61" w:rsidR="00591AC5" w:rsidRPr="004C3966" w:rsidRDefault="0087201E" w:rsidP="0049097E">
      <w:pPr>
        <w:spacing w:line="360" w:lineRule="auto"/>
        <w:jc w:val="both"/>
        <w:rPr>
          <w:rFonts w:ascii="Arial" w:hAnsi="Arial" w:cs="Arial"/>
          <w:b/>
          <w:color w:val="000000" w:themeColor="text1"/>
          <w:sz w:val="22"/>
          <w:lang w:val="en-GB"/>
        </w:rPr>
      </w:pPr>
      <w:r w:rsidRPr="004C3966">
        <w:rPr>
          <w:rFonts w:ascii="Arial" w:hAnsi="Arial" w:cs="Arial"/>
          <w:color w:val="000000" w:themeColor="text1"/>
          <w:sz w:val="22"/>
          <w:lang w:val="en-GB"/>
        </w:rPr>
        <w:t xml:space="preserve">Within the UK, disability rates have grown from 18% to 25%, in 2002 and 2023/24 respectively, due to growing structural challenges (UK Parliament, 2025). </w:t>
      </w:r>
      <w:r w:rsidR="00591AC5" w:rsidRPr="004C3966">
        <w:rPr>
          <w:rFonts w:ascii="Arial" w:hAnsi="Arial" w:cs="Arial"/>
          <w:color w:val="000000" w:themeColor="text1"/>
          <w:sz w:val="22"/>
          <w:lang w:val="en-GB"/>
        </w:rPr>
        <w:t xml:space="preserve">Access to </w:t>
      </w:r>
      <w:r w:rsidR="0045074C" w:rsidRPr="004C3966">
        <w:rPr>
          <w:rFonts w:ascii="Arial" w:hAnsi="Arial" w:cs="Arial"/>
          <w:color w:val="000000" w:themeColor="text1"/>
          <w:sz w:val="22"/>
          <w:lang w:val="en-GB"/>
        </w:rPr>
        <w:t>healthcare</w:t>
      </w:r>
      <w:r w:rsidR="00591AC5" w:rsidRPr="004C3966">
        <w:rPr>
          <w:rFonts w:ascii="Arial" w:hAnsi="Arial" w:cs="Arial"/>
          <w:color w:val="000000" w:themeColor="text1"/>
          <w:sz w:val="22"/>
          <w:lang w:val="en-GB"/>
        </w:rPr>
        <w:t xml:space="preserve"> may be further hindered by transportation challenges (Chimienti </w:t>
      </w:r>
      <w:r w:rsidR="00591AC5" w:rsidRPr="004C3966">
        <w:rPr>
          <w:rFonts w:ascii="Arial" w:hAnsi="Arial" w:cs="Arial"/>
          <w:i/>
          <w:iCs/>
          <w:color w:val="000000" w:themeColor="text1"/>
          <w:sz w:val="22"/>
          <w:lang w:val="en-GB"/>
        </w:rPr>
        <w:t>et al</w:t>
      </w:r>
      <w:r w:rsidR="00591AC5" w:rsidRPr="004C3966">
        <w:rPr>
          <w:rFonts w:ascii="Arial" w:hAnsi="Arial" w:cs="Arial"/>
          <w:color w:val="000000" w:themeColor="text1"/>
          <w:sz w:val="22"/>
          <w:lang w:val="en-GB"/>
        </w:rPr>
        <w:t xml:space="preserve">., 2026). To deal with these impediments, there is a need for healthcare systems to adopt accessible understanding infrastructure and non-discriminatory service delivery frameworks (Ricciardi </w:t>
      </w:r>
      <w:r w:rsidR="00591AC5" w:rsidRPr="004C3966">
        <w:rPr>
          <w:rFonts w:ascii="Arial" w:hAnsi="Arial" w:cs="Arial"/>
          <w:i/>
          <w:iCs/>
          <w:color w:val="000000" w:themeColor="text1"/>
          <w:sz w:val="22"/>
          <w:lang w:val="en-GB"/>
        </w:rPr>
        <w:t>et al</w:t>
      </w:r>
      <w:r w:rsidR="00591AC5" w:rsidRPr="004C3966">
        <w:rPr>
          <w:rFonts w:ascii="Arial" w:hAnsi="Arial" w:cs="Arial"/>
          <w:color w:val="000000" w:themeColor="text1"/>
          <w:sz w:val="22"/>
          <w:lang w:val="en-GB"/>
        </w:rPr>
        <w:t>., 2025).</w:t>
      </w:r>
      <w:r w:rsidR="005101F3" w:rsidRPr="004C3966">
        <w:rPr>
          <w:rFonts w:ascii="Arial" w:hAnsi="Arial" w:cs="Arial"/>
          <w:color w:val="000000" w:themeColor="text1"/>
          <w:sz w:val="22"/>
          <w:lang w:val="en-GB"/>
        </w:rPr>
        <w:t xml:space="preserve"> Besides, inaccessible physical infrastructure is severely restricting healthcare support and social participation of disabled people. To overcome this issue, strict compliance with the </w:t>
      </w:r>
      <w:r w:rsidR="005101F3" w:rsidRPr="004C3966">
        <w:rPr>
          <w:rFonts w:ascii="Arial" w:hAnsi="Arial" w:cs="Arial"/>
          <w:i/>
          <w:iCs/>
          <w:color w:val="000000" w:themeColor="text1"/>
          <w:sz w:val="22"/>
          <w:lang w:val="en-GB"/>
        </w:rPr>
        <w:t>Equality Act 2010</w:t>
      </w:r>
      <w:r w:rsidR="005101F3" w:rsidRPr="004C3966">
        <w:rPr>
          <w:rFonts w:ascii="Arial" w:hAnsi="Arial" w:cs="Arial"/>
          <w:color w:val="000000" w:themeColor="text1"/>
          <w:sz w:val="22"/>
          <w:lang w:val="en-GB"/>
        </w:rPr>
        <w:t xml:space="preserve"> must be mandated. It will ensure physical accessibility for disabled people across all primary care facilities and NHS trusts.</w:t>
      </w:r>
    </w:p>
    <w:p w14:paraId="49F1B0FA" w14:textId="3123BED7" w:rsidR="0008523F" w:rsidRPr="004C3966" w:rsidRDefault="0008523F" w:rsidP="006D7CBC">
      <w:pPr>
        <w:pStyle w:val="Heading3"/>
        <w:rPr>
          <w:rFonts w:ascii="Arial" w:hAnsi="Arial" w:cs="Arial"/>
          <w:color w:val="000000" w:themeColor="text1"/>
        </w:rPr>
      </w:pPr>
      <w:bookmarkStart w:id="8" w:name="_Toc235737469"/>
      <w:r w:rsidRPr="004C3966">
        <w:rPr>
          <w:rFonts w:ascii="Arial" w:hAnsi="Arial" w:cs="Arial"/>
          <w:color w:val="000000" w:themeColor="text1"/>
        </w:rPr>
        <w:t>Social issue 3: Employment disparities and workplace discrimination</w:t>
      </w:r>
      <w:bookmarkEnd w:id="8"/>
    </w:p>
    <w:p w14:paraId="03B226C9" w14:textId="42BBA004" w:rsidR="0049097E" w:rsidRPr="004C3966" w:rsidRDefault="00261242" w:rsidP="0049097E">
      <w:pPr>
        <w:spacing w:line="360" w:lineRule="auto"/>
        <w:jc w:val="both"/>
        <w:rPr>
          <w:rFonts w:ascii="Arial" w:hAnsi="Arial" w:cs="Arial"/>
          <w:b/>
          <w:color w:val="000000" w:themeColor="text1"/>
          <w:sz w:val="22"/>
          <w:lang w:val="en-GB"/>
        </w:rPr>
      </w:pPr>
      <w:r w:rsidRPr="004C3966">
        <w:rPr>
          <w:rFonts w:ascii="Arial" w:hAnsi="Arial" w:cs="Arial"/>
          <w:color w:val="000000" w:themeColor="text1"/>
          <w:sz w:val="22"/>
          <w:lang w:val="en-GB"/>
        </w:rPr>
        <w:t>U</w:t>
      </w:r>
      <w:r w:rsidR="00433A72" w:rsidRPr="004C3966">
        <w:rPr>
          <w:rFonts w:ascii="Arial" w:hAnsi="Arial" w:cs="Arial"/>
          <w:color w:val="000000" w:themeColor="text1"/>
          <w:sz w:val="22"/>
          <w:lang w:val="en-GB"/>
        </w:rPr>
        <w:t xml:space="preserve">nemployment and inadequate educational opportunities are more widespread in disabled people, with global data demonstrating that twice as many disabled people live in poverty (World Bank, 2022). </w:t>
      </w:r>
      <w:r w:rsidR="002278B1" w:rsidRPr="004C3966">
        <w:rPr>
          <w:rFonts w:ascii="Arial" w:hAnsi="Arial" w:cs="Arial"/>
          <w:color w:val="000000" w:themeColor="text1"/>
          <w:sz w:val="22"/>
          <w:lang w:val="en-GB"/>
        </w:rPr>
        <w:t>Employment rate in Tower Hamlets is only 66.2% among people aged 16 to 64, whereas economic inactivity is seen among 28.9% of its population of the same age group (ONS, 2024).</w:t>
      </w:r>
      <w:r w:rsidR="0059331C" w:rsidRPr="004C3966">
        <w:rPr>
          <w:rFonts w:ascii="Arial" w:hAnsi="Arial" w:cs="Arial"/>
          <w:color w:val="000000" w:themeColor="text1"/>
          <w:sz w:val="22"/>
          <w:lang w:val="en-GB"/>
        </w:rPr>
        <w:t xml:space="preserve"> Additionally, </w:t>
      </w:r>
      <w:r w:rsidR="00CC32E2" w:rsidRPr="004C3966">
        <w:rPr>
          <w:rFonts w:ascii="Arial" w:hAnsi="Arial" w:cs="Arial"/>
          <w:color w:val="000000" w:themeColor="text1"/>
          <w:sz w:val="22"/>
          <w:lang w:val="en-GB"/>
        </w:rPr>
        <w:t>in Tower Hamlets, pay inequality ratio is 2.59 (Trust for London, 2021)</w:t>
      </w:r>
      <w:r w:rsidR="0059331C" w:rsidRPr="004C3966">
        <w:rPr>
          <w:rFonts w:ascii="Arial" w:hAnsi="Arial" w:cs="Arial"/>
          <w:color w:val="000000" w:themeColor="text1"/>
          <w:sz w:val="22"/>
          <w:lang w:val="en-GB"/>
        </w:rPr>
        <w:t xml:space="preserve">. Social capital in </w:t>
      </w:r>
      <w:r w:rsidR="002278B1" w:rsidRPr="004C3966">
        <w:rPr>
          <w:rFonts w:ascii="Arial" w:hAnsi="Arial" w:cs="Arial"/>
          <w:color w:val="000000" w:themeColor="text1"/>
          <w:sz w:val="22"/>
          <w:lang w:val="en-GB"/>
        </w:rPr>
        <w:t>this area</w:t>
      </w:r>
      <w:r w:rsidR="0059331C" w:rsidRPr="004C3966">
        <w:rPr>
          <w:rFonts w:ascii="Arial" w:hAnsi="Arial" w:cs="Arial"/>
          <w:color w:val="000000" w:themeColor="text1"/>
          <w:sz w:val="22"/>
          <w:lang w:val="en-GB"/>
        </w:rPr>
        <w:t xml:space="preserve"> is degrading due to unemployment and underemployment that reduce income security. As a public health solution, public health bodies need to advocate for reasonable adjustment legislation. They need to expand access to the national “Access to Work” scheme and offer incentives for inclusive employer practices.</w:t>
      </w:r>
    </w:p>
    <w:p w14:paraId="6486A5D0" w14:textId="77777777" w:rsidR="0049097E" w:rsidRPr="004C3966" w:rsidRDefault="0049097E" w:rsidP="006D7CBC">
      <w:pPr>
        <w:pStyle w:val="Heading2"/>
        <w:rPr>
          <w:rFonts w:ascii="Arial" w:hAnsi="Arial" w:cs="Arial"/>
          <w:color w:val="000000" w:themeColor="text1"/>
        </w:rPr>
      </w:pPr>
      <w:bookmarkStart w:id="9" w:name="_Toc235737470"/>
      <w:r w:rsidRPr="004C3966">
        <w:rPr>
          <w:rFonts w:ascii="Arial" w:hAnsi="Arial" w:cs="Arial"/>
          <w:color w:val="000000" w:themeColor="text1"/>
        </w:rPr>
        <w:t>National Responses and Support Organisations</w:t>
      </w:r>
      <w:bookmarkEnd w:id="9"/>
    </w:p>
    <w:p w14:paraId="1C9410A1" w14:textId="796E6DA3"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Governments and healthcare institutions are becoming aware of the need for inclusive policies, especially as disability impacts almost 1 in 4 of the UK population (25%) (DWP, 2026). Disability advocacy organisations have a significant role to play in terms of increasing awareness and access to healthcare (Umucu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xml:space="preserve">., 2025). Collaboration between governments, healthcare providers and organisations can help improve inclusion and healthcare access (Gréaux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2023).</w:t>
      </w:r>
    </w:p>
    <w:p w14:paraId="66F7FFCC" w14:textId="77777777" w:rsidR="002C619B" w:rsidRPr="004C3966" w:rsidRDefault="002C619B" w:rsidP="002C619B">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b/>
          <w:bCs/>
          <w:color w:val="000000" w:themeColor="text1"/>
          <w:sz w:val="22"/>
          <w:lang w:val="en-GB"/>
        </w:rPr>
        <w:t xml:space="preserve">1. Core20PLUS5: </w:t>
      </w:r>
      <w:r w:rsidRPr="004C3966">
        <w:rPr>
          <w:rFonts w:ascii="Arial" w:hAnsi="Arial" w:cs="Arial"/>
          <w:color w:val="000000" w:themeColor="text1"/>
          <w:sz w:val="22"/>
          <w:lang w:val="en-GB"/>
        </w:rPr>
        <w:t>It is a significant policy instrument in the UK implemented by the NHS England. It can be regarded as an explicit strategy, which has been designed to make informed choices to address healthcare inequalities (NHS England, 2026). This policy has been proven to be effective as ICSs have been mandated to deliver targeted clinical interventions. For instance, it has ensured that chronic respiratory diseases, flu, and pneumonia vaccines are offered to minority groups as well (NHS England, 2026). </w:t>
      </w:r>
    </w:p>
    <w:p w14:paraId="44112507" w14:textId="1EC77B73" w:rsidR="002C619B" w:rsidRPr="004C3966" w:rsidRDefault="002C619B" w:rsidP="002C619B">
      <w:pPr>
        <w:pStyle w:val="NormalWeb"/>
        <w:spacing w:before="0" w:beforeAutospacing="0" w:after="0" w:afterAutospacing="0" w:line="360" w:lineRule="auto"/>
        <w:jc w:val="both"/>
        <w:rPr>
          <w:rFonts w:ascii="Arial" w:hAnsi="Arial" w:cs="Arial"/>
          <w:color w:val="000000" w:themeColor="text1"/>
          <w:lang w:val="en-GB"/>
        </w:rPr>
      </w:pPr>
      <w:r w:rsidRPr="004C3966">
        <w:rPr>
          <w:rFonts w:ascii="Arial" w:hAnsi="Arial" w:cs="Arial"/>
          <w:b/>
          <w:bCs/>
          <w:color w:val="000000" w:themeColor="text1"/>
          <w:sz w:val="22"/>
          <w:lang w:val="en-GB"/>
        </w:rPr>
        <w:lastRenderedPageBreak/>
        <w:t xml:space="preserve">2. Equality Act 2010: </w:t>
      </w:r>
      <w:r w:rsidRPr="004C3966">
        <w:rPr>
          <w:rFonts w:ascii="Arial" w:hAnsi="Arial" w:cs="Arial"/>
          <w:color w:val="000000" w:themeColor="text1"/>
          <w:sz w:val="22"/>
          <w:lang w:val="en-GB"/>
        </w:rPr>
        <w:t xml:space="preserve">It is a major national initiative that has placed the </w:t>
      </w:r>
      <w:r w:rsidRPr="004C3966">
        <w:rPr>
          <w:rFonts w:ascii="Arial" w:hAnsi="Arial" w:cs="Arial"/>
          <w:i/>
          <w:iCs/>
          <w:color w:val="000000" w:themeColor="text1"/>
          <w:sz w:val="22"/>
          <w:lang w:val="en-GB"/>
        </w:rPr>
        <w:t>Public Sector Equality</w:t>
      </w:r>
      <w:r w:rsidRPr="004C3966">
        <w:rPr>
          <w:rFonts w:ascii="Arial" w:hAnsi="Arial" w:cs="Arial"/>
          <w:color w:val="000000" w:themeColor="text1"/>
          <w:sz w:val="22"/>
          <w:lang w:val="en-GB"/>
        </w:rPr>
        <w:t xml:space="preserve"> </w:t>
      </w:r>
      <w:r w:rsidRPr="004C3966">
        <w:rPr>
          <w:rFonts w:ascii="Arial" w:hAnsi="Arial" w:cs="Arial"/>
          <w:i/>
          <w:iCs/>
          <w:color w:val="000000" w:themeColor="text1"/>
          <w:sz w:val="22"/>
          <w:lang w:val="en-GB"/>
        </w:rPr>
        <w:t xml:space="preserve">Duty (PSED) </w:t>
      </w:r>
      <w:r w:rsidRPr="004C3966">
        <w:rPr>
          <w:rFonts w:ascii="Arial" w:hAnsi="Arial" w:cs="Arial"/>
          <w:color w:val="000000" w:themeColor="text1"/>
          <w:sz w:val="22"/>
          <w:lang w:val="en-GB"/>
        </w:rPr>
        <w:t>on public bodies (</w:t>
      </w:r>
      <w:hyperlink r:id="rId8" w:history="1">
        <w:r w:rsidRPr="004C3966">
          <w:rPr>
            <w:rStyle w:val="Hyperlink"/>
            <w:rFonts w:ascii="Arial" w:hAnsi="Arial" w:cs="Arial"/>
            <w:color w:val="000000" w:themeColor="text1"/>
            <w:sz w:val="22"/>
            <w:lang w:val="en-GB"/>
          </w:rPr>
          <w:t>GOV.UK</w:t>
        </w:r>
      </w:hyperlink>
      <w:r w:rsidRPr="004C3966">
        <w:rPr>
          <w:rFonts w:ascii="Arial" w:hAnsi="Arial" w:cs="Arial"/>
          <w:color w:val="000000" w:themeColor="text1"/>
          <w:sz w:val="22"/>
          <w:lang w:val="en-GB"/>
        </w:rPr>
        <w:t>, 2023). It is an effective initiative to mandate public institutions to eliminate discrimination and foster a good relationship between disabled and non-disabled people. This has also worked as a catalyst to deploy Health Adjustment Passports within electronic health records across primary and secondary care.</w:t>
      </w:r>
    </w:p>
    <w:p w14:paraId="774EB1D3" w14:textId="77777777" w:rsidR="0049097E" w:rsidRPr="004C3966" w:rsidRDefault="0049097E" w:rsidP="006D7CBC">
      <w:pPr>
        <w:pStyle w:val="Heading2"/>
        <w:rPr>
          <w:rFonts w:ascii="Arial" w:hAnsi="Arial" w:cs="Arial"/>
          <w:color w:val="000000" w:themeColor="text1"/>
        </w:rPr>
      </w:pPr>
      <w:bookmarkStart w:id="10" w:name="_Toc235737471"/>
      <w:r w:rsidRPr="004C3966">
        <w:rPr>
          <w:rFonts w:ascii="Arial" w:hAnsi="Arial" w:cs="Arial"/>
          <w:color w:val="000000" w:themeColor="text1"/>
        </w:rPr>
        <w:t>Conclusion</w:t>
      </w:r>
      <w:bookmarkEnd w:id="10"/>
    </w:p>
    <w:p w14:paraId="2108D47B" w14:textId="2E36E879" w:rsidR="0049097E" w:rsidRPr="004C3966" w:rsidRDefault="00334B4A"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Disabled population in Tower Hamlets from the South Asian communities is the chosen target group for this research</w:t>
      </w:r>
      <w:r w:rsidR="00272D14" w:rsidRPr="004C3966">
        <w:rPr>
          <w:rFonts w:ascii="Arial" w:hAnsi="Arial" w:cs="Arial"/>
          <w:color w:val="000000" w:themeColor="text1"/>
          <w:sz w:val="22"/>
          <w:lang w:val="en-GB"/>
        </w:rPr>
        <w:t xml:space="preserve">. Three disease rates, such as CVD, mental health challenges, and elevated respiratory diseases, have been assessed. This was followed by exploring social issues like poverty and social inequality, structural barriers, and employment disparities, which have become exponentially significant in the UK. National responses like CORE20PLUS5 and the Equality Act 2010 have been mentioned as initiatives that have been helpful in addressing disability-related health inequalities in the UK. </w:t>
      </w:r>
      <w:r w:rsidR="0049097E" w:rsidRPr="004C3966">
        <w:rPr>
          <w:rFonts w:ascii="Arial" w:hAnsi="Arial" w:cs="Arial"/>
          <w:color w:val="000000" w:themeColor="text1"/>
          <w:sz w:val="22"/>
          <w:lang w:val="en-GB"/>
        </w:rPr>
        <w:t xml:space="preserve">Addressing these issues demands a comprehensive approach that encompasses inclusive policies and enhanced accessibility to healthcare and targeted public health interventions. </w:t>
      </w:r>
    </w:p>
    <w:p w14:paraId="6CA69E9B" w14:textId="77777777" w:rsidR="0049097E" w:rsidRPr="004C3966" w:rsidRDefault="0049097E">
      <w:pPr>
        <w:rPr>
          <w:rFonts w:ascii="Arial" w:hAnsi="Arial" w:cs="Arial"/>
          <w:b/>
          <w:bCs/>
          <w:color w:val="000000" w:themeColor="text1"/>
          <w:lang w:val="en-GB"/>
        </w:rPr>
      </w:pPr>
      <w:r w:rsidRPr="004C3966">
        <w:rPr>
          <w:rFonts w:ascii="Arial" w:hAnsi="Arial" w:cs="Arial"/>
          <w:b/>
          <w:bCs/>
          <w:color w:val="000000" w:themeColor="text1"/>
          <w:lang w:val="en-GB"/>
        </w:rPr>
        <w:br w:type="page"/>
      </w:r>
    </w:p>
    <w:p w14:paraId="6ACC2AA7" w14:textId="6C6B54F1" w:rsidR="0049097E" w:rsidRPr="004C3966" w:rsidRDefault="0049097E" w:rsidP="00E849FC">
      <w:pPr>
        <w:pStyle w:val="Heading1"/>
        <w:spacing w:line="360" w:lineRule="auto"/>
        <w:rPr>
          <w:rFonts w:ascii="Arial" w:hAnsi="Arial" w:cs="Arial"/>
          <w:color w:val="000000" w:themeColor="text1"/>
          <w:lang w:val="en-GB"/>
        </w:rPr>
      </w:pPr>
      <w:bookmarkStart w:id="11" w:name="_Toc235737472"/>
      <w:r w:rsidRPr="004C3966">
        <w:rPr>
          <w:rFonts w:ascii="Arial" w:hAnsi="Arial" w:cs="Arial"/>
          <w:color w:val="000000" w:themeColor="text1"/>
          <w:lang w:val="en-GB"/>
        </w:rPr>
        <w:lastRenderedPageBreak/>
        <w:t>Task 2: Epidemiological Analysis – Type 2 Diabetes in South Asian Communities</w:t>
      </w:r>
      <w:bookmarkEnd w:id="11"/>
      <w:r w:rsidRPr="004C3966">
        <w:rPr>
          <w:rFonts w:ascii="Arial" w:hAnsi="Arial" w:cs="Arial"/>
          <w:color w:val="000000" w:themeColor="text1"/>
          <w:lang w:val="en-GB"/>
        </w:rPr>
        <w:t xml:space="preserve"> </w:t>
      </w:r>
    </w:p>
    <w:p w14:paraId="358D3CCF" w14:textId="77777777" w:rsidR="0049097E" w:rsidRPr="004C3966" w:rsidRDefault="0049097E" w:rsidP="00FB3EF9">
      <w:pPr>
        <w:pStyle w:val="Heading2"/>
        <w:rPr>
          <w:rFonts w:ascii="Arial" w:hAnsi="Arial" w:cs="Arial"/>
          <w:color w:val="000000" w:themeColor="text1"/>
        </w:rPr>
      </w:pPr>
      <w:bookmarkStart w:id="12" w:name="_Toc235737473"/>
      <w:r w:rsidRPr="004C3966">
        <w:rPr>
          <w:rFonts w:ascii="Arial" w:hAnsi="Arial" w:cs="Arial"/>
          <w:color w:val="000000" w:themeColor="text1"/>
        </w:rPr>
        <w:t>Introduction</w:t>
      </w:r>
      <w:bookmarkEnd w:id="12"/>
    </w:p>
    <w:p w14:paraId="754A7BC5" w14:textId="6B9CF774" w:rsidR="00A20F92"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Diabetes mellitus type 2 is a chronic metabolic disease which is characterized by chronic hyperglycaemia resulting from a combination of insulin resistance and insulin secretion</w:t>
      </w:r>
      <w:r w:rsidR="0071374C" w:rsidRPr="004C3966">
        <w:rPr>
          <w:rFonts w:ascii="Arial" w:hAnsi="Arial" w:cs="Arial"/>
          <w:color w:val="000000" w:themeColor="text1"/>
          <w:sz w:val="22"/>
          <w:lang w:val="en-GB"/>
        </w:rPr>
        <w:t xml:space="preserve"> (Zhao </w:t>
      </w:r>
      <w:r w:rsidR="0071374C" w:rsidRPr="004C3966">
        <w:rPr>
          <w:rFonts w:ascii="Arial" w:hAnsi="Arial" w:cs="Arial"/>
          <w:i/>
          <w:color w:val="000000" w:themeColor="text1"/>
          <w:sz w:val="22"/>
          <w:lang w:val="en-GB"/>
        </w:rPr>
        <w:t xml:space="preserve">et al. </w:t>
      </w:r>
      <w:r w:rsidR="0071374C" w:rsidRPr="004C3966">
        <w:rPr>
          <w:rFonts w:ascii="Arial" w:hAnsi="Arial" w:cs="Arial"/>
          <w:color w:val="000000" w:themeColor="text1"/>
          <w:sz w:val="22"/>
          <w:lang w:val="en-GB"/>
        </w:rPr>
        <w:t>2023)</w:t>
      </w:r>
      <w:r w:rsidRPr="004C3966">
        <w:rPr>
          <w:rFonts w:ascii="Arial" w:hAnsi="Arial" w:cs="Arial"/>
          <w:color w:val="000000" w:themeColor="text1"/>
          <w:sz w:val="22"/>
          <w:lang w:val="en-GB"/>
        </w:rPr>
        <w:t>. It is one of the world's greatest health issues affecting more than 537 million adults worldwide and the number is projected to increase to 643 million by 2030 (IDF, 2023). Being in disproportionately high risk of developing type 2 diabetes compared to many other populations, South Asian populations have been identified which include those of India, Pakistan, Bangladesh and Sri Lanka. There is epidemiological evidence that the South Asians are more prone to develop diabetes at an earlier age and with lower Body Mass Index than the Euro</w:t>
      </w:r>
      <w:r w:rsidR="00841845" w:rsidRPr="004C3966">
        <w:rPr>
          <w:rFonts w:ascii="Arial" w:hAnsi="Arial" w:cs="Arial"/>
          <w:color w:val="000000" w:themeColor="text1"/>
          <w:sz w:val="22"/>
          <w:lang w:val="en-GB"/>
        </w:rPr>
        <w:t>pean population (Kanaya, 2024).</w:t>
      </w:r>
    </w:p>
    <w:p w14:paraId="0615A979" w14:textId="3D4D75EC" w:rsidR="00260D02" w:rsidRPr="004C3966" w:rsidRDefault="0049097E" w:rsidP="00260D02">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The social, economic and health consequences of the disease are land-shattering. </w:t>
      </w:r>
      <w:r w:rsidR="00260D02" w:rsidRPr="004C3966">
        <w:rPr>
          <w:rFonts w:ascii="Arial" w:hAnsi="Arial" w:cs="Arial"/>
          <w:color w:val="000000" w:themeColor="text1"/>
          <w:sz w:val="22"/>
          <w:lang w:val="en-GB"/>
        </w:rPr>
        <w:t xml:space="preserve">Type-2 diabetes causes a severe and multifaceted burden on South Asian communities </w:t>
      </w:r>
      <w:r w:rsidR="00124769" w:rsidRPr="004C3966">
        <w:rPr>
          <w:rFonts w:ascii="Arial" w:hAnsi="Arial" w:cs="Arial"/>
          <w:color w:val="000000" w:themeColor="text1"/>
          <w:sz w:val="22"/>
          <w:lang w:val="en-GB"/>
        </w:rPr>
        <w:t xml:space="preserve">in Tower Hamlets </w:t>
      </w:r>
      <w:r w:rsidR="00260D02" w:rsidRPr="004C3966">
        <w:rPr>
          <w:rFonts w:ascii="Arial" w:hAnsi="Arial" w:cs="Arial"/>
          <w:color w:val="000000" w:themeColor="text1"/>
          <w:sz w:val="22"/>
          <w:lang w:val="en-GB"/>
        </w:rPr>
        <w:t>who face a higher risk of developing this condition. </w:t>
      </w:r>
    </w:p>
    <w:p w14:paraId="08133112" w14:textId="77777777" w:rsidR="00260D02" w:rsidRPr="004C3966" w:rsidRDefault="00260D02" w:rsidP="00260D02">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b/>
          <w:bCs/>
          <w:color w:val="000000" w:themeColor="text1"/>
          <w:sz w:val="22"/>
          <w:lang w:val="en-GB"/>
        </w:rPr>
        <w:t xml:space="preserve">Health consequence: </w:t>
      </w:r>
      <w:r w:rsidRPr="004C3966">
        <w:rPr>
          <w:rFonts w:ascii="Arial" w:hAnsi="Arial" w:cs="Arial"/>
          <w:color w:val="000000" w:themeColor="text1"/>
          <w:sz w:val="22"/>
          <w:lang w:val="en-GB"/>
        </w:rPr>
        <w:t>South Asian populations experience increased macrovascular and microvascular complications. It includes a significantly elevated rate of premature coronary problems, diabetic nephropathy, ischaemic stroke, and heart failure. It can also lead to end-stage renal illness, whereas acute metabolic crises can also cause emergency hospitalisation frequently. </w:t>
      </w:r>
    </w:p>
    <w:p w14:paraId="634E3629" w14:textId="77777777" w:rsidR="00260D02" w:rsidRPr="004C3966" w:rsidRDefault="00260D02" w:rsidP="00260D02">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b/>
          <w:bCs/>
          <w:color w:val="000000" w:themeColor="text1"/>
          <w:sz w:val="22"/>
          <w:lang w:val="en-GB"/>
        </w:rPr>
        <w:t xml:space="preserve">Economic consequence: </w:t>
      </w:r>
      <w:r w:rsidRPr="004C3966">
        <w:rPr>
          <w:rFonts w:ascii="Arial" w:hAnsi="Arial" w:cs="Arial"/>
          <w:color w:val="000000" w:themeColor="text1"/>
          <w:sz w:val="22"/>
          <w:lang w:val="en-GB"/>
        </w:rPr>
        <w:t>Managing Type-2 diabetes comes with a massive financial strain on a country's health infrastructure. It is directly linked to the cost of consumption of roughly 10 billion Pounds of the overall budget of the NHS (NHS England, 2022). In terms of households, early detection of this disease during one's prime working age reduces their productivity and earning potential. It increases compounding existing socio-economic deprivation and economic hardship in many geographical areas like Tower Hamlets. </w:t>
      </w:r>
    </w:p>
    <w:p w14:paraId="4DE4960D" w14:textId="4A64CA20" w:rsidR="00A20F92" w:rsidRPr="004C3966" w:rsidRDefault="00260D02" w:rsidP="00260D02">
      <w:pPr>
        <w:pStyle w:val="NormalWeb"/>
        <w:spacing w:before="0" w:beforeAutospacing="0" w:after="0" w:afterAutospacing="0" w:line="360" w:lineRule="auto"/>
        <w:jc w:val="both"/>
        <w:rPr>
          <w:rFonts w:ascii="Arial" w:hAnsi="Arial" w:cs="Arial"/>
          <w:color w:val="000000" w:themeColor="text1"/>
          <w:lang w:val="en-GB"/>
        </w:rPr>
      </w:pPr>
      <w:r w:rsidRPr="004C3966">
        <w:rPr>
          <w:rFonts w:ascii="Arial" w:hAnsi="Arial" w:cs="Arial"/>
          <w:b/>
          <w:bCs/>
          <w:color w:val="000000" w:themeColor="text1"/>
          <w:sz w:val="22"/>
          <w:lang w:val="en-GB"/>
        </w:rPr>
        <w:t xml:space="preserve">Social consequence: </w:t>
      </w:r>
      <w:r w:rsidRPr="004C3966">
        <w:rPr>
          <w:rFonts w:ascii="Arial" w:hAnsi="Arial" w:cs="Arial"/>
          <w:color w:val="000000" w:themeColor="text1"/>
          <w:sz w:val="22"/>
          <w:lang w:val="en-GB"/>
        </w:rPr>
        <w:t xml:space="preserve">Constant glycemic monitoring can become a burden with complex dietary adjustments. It can result in a fear of life-altering complexities that trigger high levels of depression and diabetes distress. In addition, cultural and linguistic barriers can also hinder an individual from navigating support systems and lead to social isolation while maintaining the overall quality of life. </w:t>
      </w:r>
    </w:p>
    <w:p w14:paraId="10394318" w14:textId="77777777" w:rsidR="0049097E" w:rsidRPr="004C3966" w:rsidRDefault="0049097E" w:rsidP="00FB3EF9">
      <w:pPr>
        <w:pStyle w:val="Heading2"/>
        <w:rPr>
          <w:rFonts w:ascii="Arial" w:hAnsi="Arial" w:cs="Arial"/>
          <w:color w:val="000000" w:themeColor="text1"/>
        </w:rPr>
      </w:pPr>
      <w:bookmarkStart w:id="13" w:name="_Toc235737474"/>
      <w:r w:rsidRPr="004C3966">
        <w:rPr>
          <w:rFonts w:ascii="Arial" w:hAnsi="Arial" w:cs="Arial"/>
          <w:color w:val="000000" w:themeColor="text1"/>
        </w:rPr>
        <w:t>Public Health Measures: Prevention, Protection and Promotion</w:t>
      </w:r>
      <w:bookmarkEnd w:id="13"/>
    </w:p>
    <w:p w14:paraId="5E2FCA41" w14:textId="1F4F574D"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The prevention of diabetes has been shown through prevention programmes based around communities which include healthy diets and increased physical activity. The protection measures include timely diagnosis and treatment of pre-diabetic people or people who have </w:t>
      </w:r>
      <w:r w:rsidRPr="004C3966">
        <w:rPr>
          <w:rFonts w:ascii="Arial" w:hAnsi="Arial" w:cs="Arial"/>
          <w:color w:val="000000" w:themeColor="text1"/>
          <w:sz w:val="22"/>
          <w:lang w:val="en-GB"/>
        </w:rPr>
        <w:lastRenderedPageBreak/>
        <w:t>the first stage of diabetes. High-risk people could be detected with the help of screening programmes and frequent observation of blood glucose level to provide timely treatment interventions. Follow-up results in a large sample of the population in the United Kingdom indicate that there is a 5%-10% risk each year for patients wi</w:t>
      </w:r>
      <w:r w:rsidR="00A20F92" w:rsidRPr="004C3966">
        <w:rPr>
          <w:rFonts w:ascii="Arial" w:hAnsi="Arial" w:cs="Arial"/>
          <w:color w:val="000000" w:themeColor="text1"/>
          <w:sz w:val="22"/>
          <w:lang w:val="en-GB"/>
        </w:rPr>
        <w:t>th pre-diabetes to develop type-</w:t>
      </w:r>
      <w:r w:rsidRPr="004C3966">
        <w:rPr>
          <w:rFonts w:ascii="Arial" w:hAnsi="Arial" w:cs="Arial"/>
          <w:color w:val="000000" w:themeColor="text1"/>
          <w:sz w:val="22"/>
          <w:lang w:val="en-GB"/>
        </w:rPr>
        <w:t xml:space="preserve">2 diabetes (Gardner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2023).</w:t>
      </w:r>
    </w:p>
    <w:p w14:paraId="746B09B5" w14:textId="58E426C8" w:rsidR="00A20F92" w:rsidRPr="004C3966" w:rsidRDefault="00A20F92"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Protection strategies for Type-2 diabetes in South Asian communities concentrate on secondary prevention, clinical risk interception, and early detection. Due to a lower Body Mass Index threshold and elevated metabolic vulnerability, screening protocols need to be </w:t>
      </w:r>
      <w:r w:rsidR="007B7E82" w:rsidRPr="004C3966">
        <w:rPr>
          <w:rFonts w:ascii="Arial" w:hAnsi="Arial" w:cs="Arial"/>
          <w:color w:val="000000" w:themeColor="text1"/>
          <w:sz w:val="22"/>
          <w:lang w:val="en-GB"/>
        </w:rPr>
        <w:t>starting</w:t>
      </w:r>
      <w:r w:rsidRPr="004C3966">
        <w:rPr>
          <w:rFonts w:ascii="Arial" w:hAnsi="Arial" w:cs="Arial"/>
          <w:color w:val="000000" w:themeColor="text1"/>
          <w:sz w:val="22"/>
          <w:lang w:val="en-GB"/>
        </w:rPr>
        <w:t xml:space="preserve"> earlier (Wu </w:t>
      </w:r>
      <w:r w:rsidRPr="004C3966">
        <w:rPr>
          <w:rFonts w:ascii="Arial" w:hAnsi="Arial" w:cs="Arial"/>
          <w:i/>
          <w:iCs/>
          <w:color w:val="000000" w:themeColor="text1"/>
          <w:sz w:val="22"/>
          <w:lang w:val="en-GB"/>
        </w:rPr>
        <w:t xml:space="preserve">et al. </w:t>
      </w:r>
      <w:r w:rsidRPr="004C3966">
        <w:rPr>
          <w:rFonts w:ascii="Arial" w:hAnsi="Arial" w:cs="Arial"/>
          <w:color w:val="000000" w:themeColor="text1"/>
          <w:sz w:val="22"/>
          <w:lang w:val="en-GB"/>
        </w:rPr>
        <w:t xml:space="preserve">2024). The target of the NHS Health Check at the age of 25 must also be lowered for better outcomes. Moreover, targeted opportunistic screening can be acknowledged, using point-of-care glycated haemoglobin (HbA1c) testing in local pharmacies. These are the protective initiatives that can be initiated for early identification of pre-diabetes. As a result, lifestyle interventions and timely clinical management can help in overcoming annual progression risks for patients. </w:t>
      </w:r>
    </w:p>
    <w:p w14:paraId="6A6F030A" w14:textId="535CE5F9"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The health promotion policies include educating the general population about the risks of diabetes and make them embrace healthier lifestyles. Educational programs and interventions specific to culture are significant particularly in the South Asian societies since the dietary practices can affect the risk of diseases. It has also been shown that culturally relevant prevention programmes are</w:t>
      </w:r>
      <w:r w:rsidR="009451C5" w:rsidRPr="004C3966">
        <w:rPr>
          <w:rFonts w:ascii="Arial" w:hAnsi="Arial" w:cs="Arial"/>
          <w:color w:val="000000" w:themeColor="text1"/>
          <w:sz w:val="22"/>
          <w:lang w:val="en-GB"/>
        </w:rPr>
        <w:t xml:space="preserve"> the</w:t>
      </w:r>
      <w:r w:rsidRPr="004C3966">
        <w:rPr>
          <w:rFonts w:ascii="Arial" w:hAnsi="Arial" w:cs="Arial"/>
          <w:color w:val="000000" w:themeColor="text1"/>
          <w:sz w:val="22"/>
          <w:lang w:val="en-GB"/>
        </w:rPr>
        <w:t xml:space="preserve"> key in improving diabetes treatment and care in South Asians (Rahim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2024).</w:t>
      </w:r>
    </w:p>
    <w:p w14:paraId="3FD49842" w14:textId="77777777" w:rsidR="0049097E" w:rsidRPr="004C3966" w:rsidRDefault="0049097E" w:rsidP="00FB3EF9">
      <w:pPr>
        <w:pStyle w:val="Heading2"/>
        <w:rPr>
          <w:rFonts w:ascii="Arial" w:hAnsi="Arial" w:cs="Arial"/>
          <w:color w:val="000000" w:themeColor="text1"/>
        </w:rPr>
      </w:pPr>
      <w:bookmarkStart w:id="14" w:name="_Toc235737475"/>
      <w:r w:rsidRPr="004C3966">
        <w:rPr>
          <w:rFonts w:ascii="Arial" w:hAnsi="Arial" w:cs="Arial"/>
          <w:color w:val="000000" w:themeColor="text1"/>
        </w:rPr>
        <w:t>Determinants and Risk Factors</w:t>
      </w:r>
      <w:bookmarkEnd w:id="14"/>
    </w:p>
    <w:p w14:paraId="59E1FEF5" w14:textId="77777777"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The development of type 2 diabetes is a result of a complicated interplay between genetic, environmental and behavioural factors. One of the determinants is age as the risk of diabetes increases greatly with ageing although this risk of diabetes occurs much earlier in South Asians than other populations (Narayan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2021). South Asians have a genetic predisposition and a metabolic profile characterized by an increase in the amount of visceral fat (Kanaya, 2024), which is a determinant factor of resistance to insulin.</w:t>
      </w:r>
    </w:p>
    <w:p w14:paraId="4DFED4D2" w14:textId="77777777"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Lifestyle factors are also key factors in determining diabetes. Urbanisation, sedentary behaviour and high-calorie diets have contributed to the increasing ratios of obesity and metabolic disorders. Epidemiological research shows that in Asian countries, rapid socioeconomic growth and urbanisation have taken place, which contributed to the rise in diabetes prevalence (Ooi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xml:space="preserve">., 2025). Additionally, hypertension and dyslipidaemia are frequent co-morbidities related to diabetes and lead to an increased risk of complications (van Niel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2021).</w:t>
      </w:r>
    </w:p>
    <w:p w14:paraId="443751A2" w14:textId="120A3C67" w:rsidR="0049097E" w:rsidRPr="004C3966" w:rsidRDefault="0049097E" w:rsidP="0049097E">
      <w:pPr>
        <w:spacing w:line="360" w:lineRule="auto"/>
        <w:jc w:val="both"/>
        <w:rPr>
          <w:rFonts w:ascii="Arial" w:hAnsi="Arial" w:cs="Arial"/>
          <w:color w:val="000000" w:themeColor="text1"/>
          <w:lang w:val="en-GB"/>
        </w:rPr>
      </w:pPr>
      <w:r w:rsidRPr="004C3966">
        <w:rPr>
          <w:rFonts w:ascii="Arial" w:hAnsi="Arial" w:cs="Arial"/>
          <w:color w:val="000000" w:themeColor="text1"/>
          <w:sz w:val="22"/>
          <w:lang w:val="en-GB"/>
        </w:rPr>
        <w:lastRenderedPageBreak/>
        <w:t>Socioecon</w:t>
      </w:r>
      <w:r w:rsidR="009451C5" w:rsidRPr="004C3966">
        <w:rPr>
          <w:rFonts w:ascii="Arial" w:hAnsi="Arial" w:cs="Arial"/>
          <w:color w:val="000000" w:themeColor="text1"/>
          <w:sz w:val="22"/>
          <w:lang w:val="en-GB"/>
        </w:rPr>
        <w:t>om</w:t>
      </w:r>
      <w:r w:rsidRPr="004C3966">
        <w:rPr>
          <w:rFonts w:ascii="Arial" w:hAnsi="Arial" w:cs="Arial"/>
          <w:color w:val="000000" w:themeColor="text1"/>
          <w:sz w:val="22"/>
          <w:lang w:val="en-GB"/>
        </w:rPr>
        <w:t>ics are also a factor in diabetes risk too. Limited access to healthcare, low health literacy and financial constraints can lead to delay in diagnosis and treatment that heightens the burden of disease for vulnerable populations.</w:t>
      </w:r>
    </w:p>
    <w:p w14:paraId="1943896C" w14:textId="77777777" w:rsidR="0049097E" w:rsidRPr="004C3966" w:rsidRDefault="0049097E" w:rsidP="00FB3EF9">
      <w:pPr>
        <w:pStyle w:val="Heading2"/>
        <w:rPr>
          <w:rFonts w:ascii="Arial" w:hAnsi="Arial" w:cs="Arial"/>
          <w:color w:val="000000" w:themeColor="text1"/>
        </w:rPr>
      </w:pPr>
      <w:bookmarkStart w:id="15" w:name="_Toc235737476"/>
      <w:r w:rsidRPr="004C3966">
        <w:rPr>
          <w:rFonts w:ascii="Arial" w:hAnsi="Arial" w:cs="Arial"/>
          <w:color w:val="000000" w:themeColor="text1"/>
        </w:rPr>
        <w:t>Population at Risk</w:t>
      </w:r>
      <w:bookmarkEnd w:id="15"/>
    </w:p>
    <w:p w14:paraId="4EFBB858" w14:textId="77777777"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South Asian communities are one of the highest risk communities for type 2 diabetes worldwide. Epidemiological reports indicate that South Asians develop diabetes at a considerably higher rate than European populations, despite the correction for body mass index (Kanaya, 2024). In the United Kingdom South Asian populations are disproportionately affected, with prevalence rates 3-5 times greater than White Europeans1, Mulhem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2021.</w:t>
      </w:r>
    </w:p>
    <w:p w14:paraId="29DBE615" w14:textId="77777777"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There is also growing evidence of diabetes having an impact on younger populations. Cohort studies report that young adults in South Asia have more diabetes than other groups in high shoes (Narayan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xml:space="preserve">., 2021). Additionally, the prevalence of diabetes is on the rise in the total number of women of reproductive age, which also poses a concern for the maternal and child health outcomes, with the global data showing increasing trends in this group (Xu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2026).</w:t>
      </w:r>
    </w:p>
    <w:p w14:paraId="74166C7F" w14:textId="77777777" w:rsidR="0049097E" w:rsidRPr="004C3966" w:rsidRDefault="0049097E" w:rsidP="00FB3EF9">
      <w:pPr>
        <w:pStyle w:val="Heading2"/>
        <w:rPr>
          <w:rFonts w:ascii="Arial" w:hAnsi="Arial" w:cs="Arial"/>
          <w:color w:val="000000" w:themeColor="text1"/>
        </w:rPr>
      </w:pPr>
      <w:bookmarkStart w:id="16" w:name="_Toc235737477"/>
      <w:r w:rsidRPr="004C3966">
        <w:rPr>
          <w:rFonts w:ascii="Arial" w:hAnsi="Arial" w:cs="Arial"/>
          <w:color w:val="000000" w:themeColor="text1"/>
        </w:rPr>
        <w:t>Monitoring and Surveillance Systems</w:t>
      </w:r>
      <w:bookmarkEnd w:id="16"/>
    </w:p>
    <w:p w14:paraId="7D7D3859" w14:textId="029DDE09"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Monitoring and surveillance is essential components in understanding the epidemiology of diabetes. Public health authorities use national health surveys, clinical registries and databases from around the world to monitor trends in diseases. Epidemiological studies reveal that the prevalence of diabetes has risen markedly throughout Asia in the last few decades (Ooi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2025)</w:t>
      </w:r>
      <w:r w:rsidR="00841845" w:rsidRPr="004C3966">
        <w:rPr>
          <w:rFonts w:ascii="Arial" w:hAnsi="Arial" w:cs="Arial"/>
          <w:color w:val="000000" w:themeColor="text1"/>
          <w:sz w:val="22"/>
          <w:lang w:val="en-GB"/>
        </w:rPr>
        <w:t>.</w:t>
      </w:r>
    </w:p>
    <w:p w14:paraId="3CBC4C23" w14:textId="77777777" w:rsidR="00753323" w:rsidRPr="004C3966" w:rsidRDefault="00124769" w:rsidP="00B56AFB">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S</w:t>
      </w:r>
      <w:r w:rsidR="00B56AFB" w:rsidRPr="004C3966">
        <w:rPr>
          <w:rFonts w:ascii="Arial" w:hAnsi="Arial" w:cs="Arial"/>
          <w:color w:val="000000" w:themeColor="text1"/>
          <w:sz w:val="22"/>
          <w:lang w:val="en-GB"/>
        </w:rPr>
        <w:t xml:space="preserve">urveillance of diabetes is a combination of primary and secondary care monitoring approaches. </w:t>
      </w:r>
    </w:p>
    <w:p w14:paraId="326E1B2E" w14:textId="3C0ED0B3" w:rsidR="00753323" w:rsidRPr="004C3966" w:rsidRDefault="00753323" w:rsidP="00B56AFB">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b/>
          <w:color w:val="000000" w:themeColor="text1"/>
          <w:sz w:val="22"/>
          <w:lang w:val="en-GB"/>
        </w:rPr>
        <w:t>Quality and outcomes frameworks:</w:t>
      </w:r>
      <w:r w:rsidRPr="004C3966">
        <w:rPr>
          <w:rFonts w:ascii="Arial" w:hAnsi="Arial" w:cs="Arial"/>
          <w:color w:val="000000" w:themeColor="text1"/>
          <w:sz w:val="22"/>
          <w:lang w:val="en-GB"/>
        </w:rPr>
        <w:t xml:space="preserve"> </w:t>
      </w:r>
      <w:r w:rsidR="00B56AFB" w:rsidRPr="004C3966">
        <w:rPr>
          <w:rFonts w:ascii="Arial" w:hAnsi="Arial" w:cs="Arial"/>
          <w:color w:val="000000" w:themeColor="text1"/>
          <w:sz w:val="22"/>
          <w:lang w:val="en-GB"/>
        </w:rPr>
        <w:t xml:space="preserve">Primary care practices keep disease registers, monitor glycemic control, such as HbA1c. It also helps to report on completion of key care processes using electronic health records, like EMIS Web and Quality and Outcomes Framework (QOF) indicators. </w:t>
      </w:r>
    </w:p>
    <w:p w14:paraId="1F6933F4" w14:textId="05826F0D" w:rsidR="00753323" w:rsidRPr="004C3966" w:rsidRDefault="00753323" w:rsidP="00B56AFB">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b/>
          <w:color w:val="000000" w:themeColor="text1"/>
          <w:sz w:val="22"/>
          <w:lang w:val="en-GB"/>
        </w:rPr>
        <w:t xml:space="preserve">Electronic Health Records (EHRs): </w:t>
      </w:r>
      <w:r w:rsidR="00CD6253" w:rsidRPr="004C3966">
        <w:rPr>
          <w:rFonts w:ascii="Arial" w:hAnsi="Arial" w:cs="Arial"/>
          <w:color w:val="000000" w:themeColor="text1"/>
          <w:sz w:val="22"/>
          <w:lang w:val="en-GB"/>
        </w:rPr>
        <w:t xml:space="preserve">It operates as a foundational surveillance system among local GPs. </w:t>
      </w:r>
    </w:p>
    <w:p w14:paraId="0F525277" w14:textId="77777777" w:rsidR="00753323" w:rsidRPr="004C3966" w:rsidRDefault="00753323" w:rsidP="00B56AFB">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b/>
          <w:color w:val="000000" w:themeColor="text1"/>
          <w:sz w:val="22"/>
          <w:lang w:val="en-GB"/>
        </w:rPr>
        <w:t>National Diabetes Audit (NDA):</w:t>
      </w:r>
      <w:r w:rsidRPr="004C3966">
        <w:rPr>
          <w:rFonts w:ascii="Arial" w:hAnsi="Arial" w:cs="Arial"/>
          <w:color w:val="000000" w:themeColor="text1"/>
          <w:sz w:val="22"/>
          <w:lang w:val="en-GB"/>
        </w:rPr>
        <w:t xml:space="preserve"> It </w:t>
      </w:r>
      <w:r w:rsidR="00B56AFB" w:rsidRPr="004C3966">
        <w:rPr>
          <w:rFonts w:ascii="Arial" w:hAnsi="Arial" w:cs="Arial"/>
          <w:color w:val="000000" w:themeColor="text1"/>
          <w:sz w:val="22"/>
          <w:lang w:val="en-GB"/>
        </w:rPr>
        <w:t xml:space="preserve">tracks equity and clinical results of healthcare at the national level (NHS England Digital, 2026). </w:t>
      </w:r>
    </w:p>
    <w:p w14:paraId="548C5E27" w14:textId="77777777" w:rsidR="00753323" w:rsidRPr="004C3966" w:rsidRDefault="00B56AFB" w:rsidP="00B56AFB">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b/>
          <w:color w:val="000000" w:themeColor="text1"/>
          <w:sz w:val="22"/>
          <w:lang w:val="en-GB"/>
        </w:rPr>
        <w:t>Hospital Episode Statistics (HES)</w:t>
      </w:r>
      <w:r w:rsidR="00753323" w:rsidRPr="004C3966">
        <w:rPr>
          <w:rFonts w:ascii="Arial" w:hAnsi="Arial" w:cs="Arial"/>
          <w:b/>
          <w:color w:val="000000" w:themeColor="text1"/>
          <w:sz w:val="22"/>
          <w:lang w:val="en-GB"/>
        </w:rPr>
        <w:t>:</w:t>
      </w:r>
      <w:r w:rsidR="00753323" w:rsidRPr="004C3966">
        <w:rPr>
          <w:rFonts w:ascii="Arial" w:hAnsi="Arial" w:cs="Arial"/>
          <w:color w:val="000000" w:themeColor="text1"/>
          <w:sz w:val="22"/>
          <w:lang w:val="en-GB"/>
        </w:rPr>
        <w:t xml:space="preserve"> It</w:t>
      </w:r>
      <w:r w:rsidRPr="004C3966">
        <w:rPr>
          <w:rFonts w:ascii="Arial" w:hAnsi="Arial" w:cs="Arial"/>
          <w:color w:val="000000" w:themeColor="text1"/>
          <w:sz w:val="22"/>
          <w:lang w:val="en-GB"/>
        </w:rPr>
        <w:t xml:space="preserve"> record</w:t>
      </w:r>
      <w:r w:rsidR="00753323" w:rsidRPr="004C3966">
        <w:rPr>
          <w:rFonts w:ascii="Arial" w:hAnsi="Arial" w:cs="Arial"/>
          <w:color w:val="000000" w:themeColor="text1"/>
          <w:sz w:val="22"/>
          <w:lang w:val="en-GB"/>
        </w:rPr>
        <w:t>s</w:t>
      </w:r>
      <w:r w:rsidRPr="004C3966">
        <w:rPr>
          <w:rFonts w:ascii="Arial" w:hAnsi="Arial" w:cs="Arial"/>
          <w:color w:val="000000" w:themeColor="text1"/>
          <w:sz w:val="22"/>
          <w:lang w:val="en-GB"/>
        </w:rPr>
        <w:t xml:space="preserve"> acute admissions for ketoacidosis and stroke. </w:t>
      </w:r>
    </w:p>
    <w:p w14:paraId="0DF6BFCE" w14:textId="2804F322" w:rsidR="00B56AFB" w:rsidRPr="004C3966" w:rsidRDefault="00753323" w:rsidP="00B56AFB">
      <w:pPr>
        <w:pStyle w:val="NormalWeb"/>
        <w:spacing w:before="0" w:beforeAutospacing="0" w:after="0" w:afterAutospacing="0" w:line="360" w:lineRule="auto"/>
        <w:jc w:val="both"/>
        <w:rPr>
          <w:rFonts w:ascii="Arial" w:hAnsi="Arial" w:cs="Arial"/>
          <w:color w:val="000000" w:themeColor="text1"/>
          <w:sz w:val="22"/>
          <w:lang w:val="en-GB"/>
        </w:rPr>
      </w:pPr>
      <w:r w:rsidRPr="004C3966">
        <w:rPr>
          <w:rFonts w:ascii="Arial" w:hAnsi="Arial" w:cs="Arial"/>
          <w:b/>
          <w:color w:val="000000" w:themeColor="text1"/>
          <w:sz w:val="22"/>
          <w:lang w:val="en-GB"/>
        </w:rPr>
        <w:lastRenderedPageBreak/>
        <w:t>Diabetic Eye Screening Programme:</w:t>
      </w:r>
      <w:r w:rsidRPr="004C3966">
        <w:rPr>
          <w:rFonts w:ascii="Arial" w:hAnsi="Arial" w:cs="Arial"/>
          <w:color w:val="000000" w:themeColor="text1"/>
          <w:sz w:val="22"/>
          <w:lang w:val="en-GB"/>
        </w:rPr>
        <w:t xml:space="preserve"> </w:t>
      </w:r>
      <w:r w:rsidR="00B56AFB" w:rsidRPr="004C3966">
        <w:rPr>
          <w:rFonts w:ascii="Arial" w:hAnsi="Arial" w:cs="Arial"/>
          <w:color w:val="000000" w:themeColor="text1"/>
          <w:sz w:val="22"/>
          <w:lang w:val="en-GB"/>
        </w:rPr>
        <w:t>Certain specialised registries such as the Diabetic Eye Screening Programme document microvascular complications such as retinopathy to guide the local public health strategy.</w:t>
      </w:r>
    </w:p>
    <w:p w14:paraId="47E7A578" w14:textId="77777777" w:rsidR="0049097E" w:rsidRPr="004C3966" w:rsidRDefault="0049097E" w:rsidP="00FB3EF9">
      <w:pPr>
        <w:pStyle w:val="Heading2"/>
        <w:rPr>
          <w:rFonts w:ascii="Arial" w:hAnsi="Arial" w:cs="Arial"/>
          <w:color w:val="000000" w:themeColor="text1"/>
        </w:rPr>
      </w:pPr>
      <w:bookmarkStart w:id="17" w:name="_Toc235737478"/>
      <w:r w:rsidRPr="004C3966">
        <w:rPr>
          <w:rFonts w:ascii="Arial" w:hAnsi="Arial" w:cs="Arial"/>
          <w:color w:val="000000" w:themeColor="text1"/>
        </w:rPr>
        <w:t>Public Health Impact</w:t>
      </w:r>
      <w:bookmarkEnd w:id="17"/>
    </w:p>
    <w:p w14:paraId="1CC3BF3E" w14:textId="77777777"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Diabetes has great consequences for health and for the economy. Individuals with diabetes are at more risk of having complications like cardiovascular disease, kidney failure, neuropathy and blindness (van Niel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xml:space="preserve">., 2021). South Asians are especially at greater risk of cardiovascular complications when compared to the European population (van Niel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2021).</w:t>
      </w:r>
    </w:p>
    <w:p w14:paraId="1C8C6E6A" w14:textId="0B60D3D6"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The economic burden of diabetes is significant, and the cost of healthcare due to diabetes worldwide amounts to over USD 966 billion per year (IDF, 2023). In addition to physical complications associated with it, diabetes also takes a toll on psychological wellbeing, with the studies showing a high prevalence of distress related to diabet</w:t>
      </w:r>
      <w:r w:rsidR="00C10DB3" w:rsidRPr="004C3966">
        <w:rPr>
          <w:rFonts w:ascii="Arial" w:hAnsi="Arial" w:cs="Arial"/>
          <w:color w:val="000000" w:themeColor="text1"/>
          <w:sz w:val="22"/>
          <w:lang w:val="en-GB"/>
        </w:rPr>
        <w:t>es among patients in South Asia</w:t>
      </w:r>
      <w:r w:rsidRPr="004C3966">
        <w:rPr>
          <w:rFonts w:ascii="Arial" w:hAnsi="Arial" w:cs="Arial"/>
          <w:color w:val="000000" w:themeColor="text1"/>
          <w:sz w:val="22"/>
          <w:lang w:val="en-GB"/>
        </w:rPr>
        <w:t xml:space="preserve"> (Kamrul-Hasan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2025)</w:t>
      </w:r>
      <w:r w:rsidR="001E44AD" w:rsidRPr="004C3966">
        <w:rPr>
          <w:rFonts w:ascii="Arial" w:hAnsi="Arial" w:cs="Arial"/>
          <w:color w:val="000000" w:themeColor="text1"/>
          <w:sz w:val="22"/>
          <w:lang w:val="en-GB"/>
        </w:rPr>
        <w:t>.</w:t>
      </w:r>
    </w:p>
    <w:p w14:paraId="52749786" w14:textId="77777777" w:rsidR="0049097E" w:rsidRPr="004C3966" w:rsidRDefault="0049097E" w:rsidP="00FB3EF9">
      <w:pPr>
        <w:pStyle w:val="Heading2"/>
        <w:rPr>
          <w:rFonts w:ascii="Arial" w:hAnsi="Arial" w:cs="Arial"/>
          <w:color w:val="000000" w:themeColor="text1"/>
        </w:rPr>
      </w:pPr>
      <w:bookmarkStart w:id="18" w:name="_Toc235737479"/>
      <w:r w:rsidRPr="004C3966">
        <w:rPr>
          <w:rFonts w:ascii="Arial" w:hAnsi="Arial" w:cs="Arial"/>
          <w:color w:val="000000" w:themeColor="text1"/>
        </w:rPr>
        <w:t>Intervention Programme</w:t>
      </w:r>
      <w:bookmarkEnd w:id="18"/>
    </w:p>
    <w:p w14:paraId="5DE5C04D" w14:textId="77777777"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Effective intervention programmes work on early diagnosis, lifestyle change and better access to healthcare. Screening programmes help in identifying pre-diabetic conditions in people and enable early intervention. Lifestyle interventions such as better diet, weight management and physical activity have been found to reduce the risk of diabetes significantly (Reed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2021).</w:t>
      </w:r>
    </w:p>
    <w:p w14:paraId="520F34E5" w14:textId="376E4FEC"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Clinical management consists of pharmacological therapy and monitoring blood glucose levels. Long-term cohort studies have shown that early treatment and on</w:t>
      </w:r>
      <w:r w:rsidR="00C10DB3" w:rsidRPr="004C3966">
        <w:rPr>
          <w:rFonts w:ascii="Arial" w:hAnsi="Arial" w:cs="Arial"/>
          <w:color w:val="000000" w:themeColor="text1"/>
          <w:sz w:val="22"/>
          <w:lang w:val="en-GB"/>
        </w:rPr>
        <w:t>-</w:t>
      </w:r>
      <w:r w:rsidRPr="004C3966">
        <w:rPr>
          <w:rFonts w:ascii="Arial" w:hAnsi="Arial" w:cs="Arial"/>
          <w:color w:val="000000" w:themeColor="text1"/>
          <w:sz w:val="22"/>
          <w:lang w:val="en-GB"/>
        </w:rPr>
        <w:t xml:space="preserve">going care lead to lower complications and better outcomes (Soeatmadji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xml:space="preserve">., 2023). Additionally, culturally tailored interventions are also crucial for enhancing effectiveness among South Asian populations (Rahim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2024).</w:t>
      </w:r>
    </w:p>
    <w:p w14:paraId="2C6D16C0" w14:textId="77777777" w:rsidR="0049097E" w:rsidRPr="004C3966" w:rsidRDefault="0049097E" w:rsidP="00FB3EF9">
      <w:pPr>
        <w:pStyle w:val="Heading2"/>
        <w:rPr>
          <w:rFonts w:ascii="Arial" w:hAnsi="Arial" w:cs="Arial"/>
          <w:color w:val="000000" w:themeColor="text1"/>
        </w:rPr>
      </w:pPr>
      <w:bookmarkStart w:id="19" w:name="_Toc235737480"/>
      <w:r w:rsidRPr="004C3966">
        <w:rPr>
          <w:rFonts w:ascii="Arial" w:hAnsi="Arial" w:cs="Arial"/>
          <w:color w:val="000000" w:themeColor="text1"/>
        </w:rPr>
        <w:t>Evaluation of Intervention</w:t>
      </w:r>
      <w:bookmarkEnd w:id="19"/>
    </w:p>
    <w:p w14:paraId="354445E3" w14:textId="6C72845C" w:rsidR="00DB05DD"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The impact of intervention programmes is assessed using a change in disease outcomes, the reduction of complication rates and quality of life. Epidemiological studies including cohort and clinical trials provide evidence of effectiveness of interventions. Research has shown that early detection and management of diabetes are an effective way to reduce complications associated with diabetes (Weerasinghe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xml:space="preserve">., 2025). Public health experts emphasise on continuous evaluation and adaptation of intervention strategies based on </w:t>
      </w:r>
      <w:r w:rsidRPr="004C3966">
        <w:rPr>
          <w:rFonts w:ascii="Arial" w:hAnsi="Arial" w:cs="Arial"/>
          <w:color w:val="000000" w:themeColor="text1"/>
          <w:sz w:val="22"/>
          <w:lang w:val="en-GB"/>
        </w:rPr>
        <w:lastRenderedPageBreak/>
        <w:t>population needs. Evidence-based approaches help policymakers to optimise the available healthcare resources and enhance health outcomes.</w:t>
      </w:r>
    </w:p>
    <w:p w14:paraId="78DADCE4" w14:textId="77777777" w:rsidR="0049097E" w:rsidRPr="004C3966" w:rsidRDefault="0049097E" w:rsidP="00FB3EF9">
      <w:pPr>
        <w:pStyle w:val="Heading2"/>
        <w:rPr>
          <w:rFonts w:ascii="Arial" w:hAnsi="Arial" w:cs="Arial"/>
          <w:color w:val="000000" w:themeColor="text1"/>
        </w:rPr>
      </w:pPr>
      <w:bookmarkStart w:id="20" w:name="_Toc235737481"/>
      <w:r w:rsidRPr="004C3966">
        <w:rPr>
          <w:rFonts w:ascii="Arial" w:hAnsi="Arial" w:cs="Arial"/>
          <w:color w:val="000000" w:themeColor="text1"/>
        </w:rPr>
        <w:t>Strengths and Limitations of Epidemiological Approaches</w:t>
      </w:r>
      <w:bookmarkEnd w:id="20"/>
    </w:p>
    <w:p w14:paraId="7F590BA3" w14:textId="77777777" w:rsidR="0049097E" w:rsidRPr="004C3966" w:rsidRDefault="0049097E" w:rsidP="0049097E">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Epidemiological studies are important in our understanding of the distribution of a disease, risk factors and population health outcomes. Large-scale cohort studies and population-based research are important to provide valuable insights into trends in diabetes and to inform public health policies. However, there are limitations as well, such as underreporting of cases, variation in diagnostic criteria and disparity in healthcare access among populations. Despite these limitations, epidemiological approaches are still critical in addressing the global burden of diabetes and ensuring better health outcomes among high-risk populations such as the South Asians (Misra </w:t>
      </w:r>
      <w:r w:rsidRPr="004C3966">
        <w:rPr>
          <w:rFonts w:ascii="Arial" w:hAnsi="Arial" w:cs="Arial"/>
          <w:i/>
          <w:iCs/>
          <w:color w:val="000000" w:themeColor="text1"/>
          <w:sz w:val="22"/>
          <w:lang w:val="en-GB"/>
        </w:rPr>
        <w:t>et al</w:t>
      </w:r>
      <w:r w:rsidRPr="004C3966">
        <w:rPr>
          <w:rFonts w:ascii="Arial" w:hAnsi="Arial" w:cs="Arial"/>
          <w:color w:val="000000" w:themeColor="text1"/>
          <w:sz w:val="22"/>
          <w:lang w:val="en-GB"/>
        </w:rPr>
        <w:t>., 2025).</w:t>
      </w:r>
    </w:p>
    <w:p w14:paraId="40834607" w14:textId="77777777" w:rsidR="00C8450C" w:rsidRPr="004C3966" w:rsidRDefault="00C8450C" w:rsidP="00DE6363">
      <w:pPr>
        <w:spacing w:line="360" w:lineRule="auto"/>
        <w:rPr>
          <w:rFonts w:ascii="Arial" w:hAnsi="Arial" w:cs="Arial"/>
          <w:b/>
          <w:bCs/>
          <w:color w:val="000000" w:themeColor="text1"/>
          <w:lang w:val="en-GB"/>
        </w:rPr>
      </w:pPr>
      <w:r w:rsidRPr="004C3966">
        <w:rPr>
          <w:rFonts w:ascii="Arial" w:hAnsi="Arial" w:cs="Arial"/>
          <w:b/>
          <w:bCs/>
          <w:color w:val="000000" w:themeColor="text1"/>
          <w:lang w:val="en-GB"/>
        </w:rPr>
        <w:br w:type="page"/>
      </w:r>
    </w:p>
    <w:p w14:paraId="5D30C864" w14:textId="2EA0DC87" w:rsidR="00B661A4" w:rsidRPr="004C3966" w:rsidRDefault="00B661A4" w:rsidP="00DE6363">
      <w:pPr>
        <w:pStyle w:val="Heading1"/>
        <w:spacing w:line="360" w:lineRule="auto"/>
        <w:rPr>
          <w:rFonts w:ascii="Arial" w:hAnsi="Arial" w:cs="Arial"/>
          <w:color w:val="000000" w:themeColor="text1"/>
          <w:lang w:val="en-GB"/>
        </w:rPr>
      </w:pPr>
      <w:bookmarkStart w:id="21" w:name="_Toc235737482"/>
      <w:r w:rsidRPr="004C3966">
        <w:rPr>
          <w:rFonts w:ascii="Arial" w:hAnsi="Arial" w:cs="Arial"/>
          <w:color w:val="000000" w:themeColor="text1"/>
          <w:lang w:val="en-GB"/>
        </w:rPr>
        <w:lastRenderedPageBreak/>
        <w:t>References</w:t>
      </w:r>
      <w:bookmarkEnd w:id="21"/>
      <w:r w:rsidRPr="004C3966">
        <w:rPr>
          <w:rFonts w:ascii="Arial" w:hAnsi="Arial" w:cs="Arial"/>
          <w:color w:val="000000" w:themeColor="text1"/>
          <w:lang w:val="en-GB"/>
        </w:rPr>
        <w:t xml:space="preserve"> </w:t>
      </w:r>
    </w:p>
    <w:p w14:paraId="59B8A088" w14:textId="77777777" w:rsidR="00B661A4" w:rsidRPr="004C3966" w:rsidRDefault="00B661A4" w:rsidP="006D7CBC">
      <w:pPr>
        <w:pStyle w:val="Heading2"/>
        <w:rPr>
          <w:rFonts w:ascii="Arial" w:hAnsi="Arial" w:cs="Arial"/>
          <w:color w:val="000000" w:themeColor="text1"/>
        </w:rPr>
      </w:pPr>
      <w:bookmarkStart w:id="22" w:name="_Toc235737483"/>
      <w:r w:rsidRPr="004C3966">
        <w:rPr>
          <w:rFonts w:ascii="Arial" w:hAnsi="Arial" w:cs="Arial"/>
          <w:color w:val="000000" w:themeColor="text1"/>
        </w:rPr>
        <w:t>References for Task 1</w:t>
      </w:r>
      <w:bookmarkEnd w:id="22"/>
    </w:p>
    <w:p w14:paraId="48217726" w14:textId="343DF0E0" w:rsidR="00A47915" w:rsidRPr="004C3966" w:rsidRDefault="00A47915"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Aïdoud, A., Gana, W., Poitau, F., Debacq, C., Leroy, V., Nkodo, J.A., Poupin, P., Angoulvant, D. and Fougère, B., 2023. High prevalence of geriatric conditions among older adults with cardiovascular disease. Journal of the American Heart Association, 12(2), p.e026850. DOI: 10.1161/JAHA.122.026850</w:t>
      </w:r>
    </w:p>
    <w:p w14:paraId="46E4C6DE" w14:textId="77777777" w:rsidR="00A47915" w:rsidRPr="004C3966" w:rsidRDefault="00A47915"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Chen, Y.J., Lin, C.F., Feng, J. and Chiu, H.L., 2023. Influencing factors of participation in and satisfaction with elderly health checkups: A cross-sectional study. Frontiers in Public Health, 11, p.1104438. </w:t>
      </w:r>
      <w:hyperlink r:id="rId9" w:history="1">
        <w:r w:rsidRPr="004C3966">
          <w:rPr>
            <w:rStyle w:val="Hyperlink"/>
            <w:rFonts w:ascii="Arial" w:hAnsi="Arial" w:cs="Arial"/>
            <w:color w:val="000000" w:themeColor="text1"/>
            <w:sz w:val="22"/>
            <w:lang w:val="en-GB"/>
          </w:rPr>
          <w:t>https://doi.org/10.3389/fpubh.2023.1104438</w:t>
        </w:r>
      </w:hyperlink>
    </w:p>
    <w:p w14:paraId="51AE1939" w14:textId="77777777" w:rsidR="00A47915" w:rsidRPr="004C3966" w:rsidRDefault="00A47915" w:rsidP="00DE6363">
      <w:pPr>
        <w:spacing w:line="360" w:lineRule="auto"/>
        <w:jc w:val="both"/>
        <w:rPr>
          <w:rStyle w:val="Hyperlink"/>
          <w:rFonts w:ascii="Arial" w:hAnsi="Arial" w:cs="Arial"/>
          <w:color w:val="000000" w:themeColor="text1"/>
          <w:sz w:val="22"/>
          <w:lang w:val="en-GB"/>
        </w:rPr>
      </w:pPr>
      <w:r w:rsidRPr="004C3966">
        <w:rPr>
          <w:rFonts w:ascii="Arial" w:hAnsi="Arial" w:cs="Arial"/>
          <w:color w:val="000000" w:themeColor="text1"/>
          <w:sz w:val="22"/>
          <w:lang w:val="en-GB"/>
        </w:rPr>
        <w:t>Chimienti, M., Morlino, G., Stefanidhi, K., Ndreca, D., Shkreli, R., Zerellari, O., Gjergji, S., Leonforte, F., Nicosia, V., MISTRETTA, A. and Buonomo, E., Barriers to accessing healthcare for people with disabilities: a Systematic Review. </w:t>
      </w:r>
      <w:r w:rsidRPr="004C3966">
        <w:rPr>
          <w:rFonts w:ascii="Arial" w:hAnsi="Arial" w:cs="Arial"/>
          <w:i/>
          <w:iCs/>
          <w:color w:val="000000" w:themeColor="text1"/>
          <w:sz w:val="22"/>
          <w:lang w:val="en-GB"/>
        </w:rPr>
        <w:t>Frontiers in Public Health</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14</w:t>
      </w:r>
      <w:r w:rsidRPr="004C3966">
        <w:rPr>
          <w:rFonts w:ascii="Arial" w:hAnsi="Arial" w:cs="Arial"/>
          <w:color w:val="000000" w:themeColor="text1"/>
          <w:sz w:val="22"/>
          <w:lang w:val="en-GB"/>
        </w:rPr>
        <w:t xml:space="preserve">, p.1765145. </w:t>
      </w:r>
      <w:hyperlink r:id="rId10" w:tgtFrame="_new" w:history="1">
        <w:r w:rsidRPr="004C3966">
          <w:rPr>
            <w:rStyle w:val="Hyperlink"/>
            <w:rFonts w:ascii="Arial" w:hAnsi="Arial" w:cs="Arial"/>
            <w:color w:val="000000" w:themeColor="text1"/>
            <w:sz w:val="22"/>
            <w:lang w:val="en-GB"/>
          </w:rPr>
          <w:t>https://pmc.ncbi.nlm.nih.gov/articles/PMC12960585/</w:t>
        </w:r>
      </w:hyperlink>
    </w:p>
    <w:p w14:paraId="33FBFE9F" w14:textId="6DB0638C" w:rsidR="00742F77" w:rsidRPr="004C3966" w:rsidRDefault="00742F77" w:rsidP="00DE6363">
      <w:pPr>
        <w:spacing w:line="360" w:lineRule="auto"/>
        <w:jc w:val="both"/>
        <w:rPr>
          <w:rFonts w:ascii="Arial" w:hAnsi="Arial" w:cs="Arial"/>
          <w:color w:val="000000" w:themeColor="text1"/>
          <w:sz w:val="22"/>
          <w:lang w:val="en-GB"/>
        </w:rPr>
      </w:pPr>
      <w:r w:rsidRPr="004C3966">
        <w:rPr>
          <w:rStyle w:val="Hyperlink"/>
          <w:rFonts w:ascii="Arial" w:hAnsi="Arial" w:cs="Arial"/>
          <w:color w:val="000000" w:themeColor="text1"/>
          <w:sz w:val="22"/>
          <w:u w:val="none"/>
          <w:lang w:val="en-GB"/>
        </w:rPr>
        <w:t xml:space="preserve">Croydon Observatory 2025. Disability in Croydon 2021 (Nos) compared to London and England. </w:t>
      </w:r>
      <w:r w:rsidRPr="004C3966">
        <w:rPr>
          <w:rStyle w:val="Hyperlink"/>
          <w:rFonts w:ascii="Arial" w:hAnsi="Arial" w:cs="Arial"/>
          <w:i/>
          <w:color w:val="000000" w:themeColor="text1"/>
          <w:sz w:val="22"/>
          <w:u w:val="none"/>
          <w:lang w:val="en-GB"/>
        </w:rPr>
        <w:t>Croydon Observatory</w:t>
      </w:r>
      <w:r w:rsidRPr="004C3966">
        <w:rPr>
          <w:rStyle w:val="Hyperlink"/>
          <w:rFonts w:ascii="Arial" w:hAnsi="Arial" w:cs="Arial"/>
          <w:color w:val="000000" w:themeColor="text1"/>
          <w:sz w:val="22"/>
          <w:u w:val="none"/>
          <w:lang w:val="en-GB"/>
        </w:rPr>
        <w:t xml:space="preserve">. </w:t>
      </w:r>
      <w:r w:rsidRPr="004C3966">
        <w:rPr>
          <w:rFonts w:ascii="Arial" w:hAnsi="Arial" w:cs="Arial"/>
          <w:color w:val="000000" w:themeColor="text1"/>
          <w:sz w:val="22"/>
          <w:lang w:val="en-GB"/>
        </w:rPr>
        <w:t xml:space="preserve">Available at: </w:t>
      </w:r>
      <w:hyperlink r:id="rId11" w:history="1">
        <w:r w:rsidRPr="004C3966">
          <w:rPr>
            <w:rStyle w:val="Hyperlink"/>
            <w:rFonts w:ascii="Arial" w:hAnsi="Arial" w:cs="Arial"/>
            <w:color w:val="000000" w:themeColor="text1"/>
            <w:sz w:val="22"/>
            <w:lang w:val="en-GB"/>
          </w:rPr>
          <w:t>https://www.croydonobservatory.org/2-disability/</w:t>
        </w:r>
      </w:hyperlink>
      <w:r w:rsidRPr="004C3966">
        <w:rPr>
          <w:rFonts w:ascii="Arial" w:hAnsi="Arial" w:cs="Arial"/>
          <w:color w:val="000000" w:themeColor="text1"/>
          <w:sz w:val="22"/>
          <w:lang w:val="en-GB"/>
        </w:rPr>
        <w:t xml:space="preserve"> [Accessed: 23 July 2026]</w:t>
      </w:r>
    </w:p>
    <w:p w14:paraId="1F0A9319" w14:textId="77777777" w:rsidR="00A47915" w:rsidRPr="004C3966" w:rsidRDefault="00A47915" w:rsidP="00DD173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GOV.UK 2023. Public Sector Equality Duty: guidance for public authorities. </w:t>
      </w:r>
      <w:r w:rsidRPr="004C3966">
        <w:rPr>
          <w:rFonts w:ascii="Arial" w:hAnsi="Arial" w:cs="Arial"/>
          <w:i/>
          <w:color w:val="000000" w:themeColor="text1"/>
          <w:sz w:val="22"/>
          <w:lang w:val="en-GB"/>
        </w:rPr>
        <w:t>GOV.UK</w:t>
      </w:r>
      <w:r w:rsidRPr="004C3966">
        <w:rPr>
          <w:rFonts w:ascii="Arial" w:hAnsi="Arial" w:cs="Arial"/>
          <w:color w:val="000000" w:themeColor="text1"/>
          <w:sz w:val="22"/>
          <w:lang w:val="en-GB"/>
        </w:rPr>
        <w:t xml:space="preserve">. Available at: </w:t>
      </w:r>
      <w:hyperlink r:id="rId12" w:history="1">
        <w:r w:rsidRPr="004C3966">
          <w:rPr>
            <w:rStyle w:val="Hyperlink"/>
            <w:rFonts w:ascii="Arial" w:hAnsi="Arial" w:cs="Arial"/>
            <w:color w:val="000000" w:themeColor="text1"/>
            <w:sz w:val="22"/>
            <w:lang w:val="en-GB"/>
          </w:rPr>
          <w:t>https://www.gov.uk/government/publications/public-sector-equality-duty-guidance-for-public-authorities/public-sector-equality-duty-guidance-for-public-authorities</w:t>
        </w:r>
      </w:hyperlink>
      <w:r w:rsidRPr="004C3966">
        <w:rPr>
          <w:rFonts w:ascii="Arial" w:hAnsi="Arial" w:cs="Arial"/>
          <w:color w:val="000000" w:themeColor="text1"/>
          <w:sz w:val="22"/>
          <w:lang w:val="en-GB"/>
        </w:rPr>
        <w:t xml:space="preserve"> [Accessed: 23 July 2026]</w:t>
      </w:r>
    </w:p>
    <w:p w14:paraId="73B9F56E"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Gréaux, M., Moro, M.F., Kamenov, K., Russell, A.M., Barrett, D. and Cieza, A., 2023. Health equity for persons with disabilities: a global scoping review on barriers and interventions in healthcare services. </w:t>
      </w:r>
      <w:r w:rsidRPr="004C3966">
        <w:rPr>
          <w:rFonts w:ascii="Arial" w:hAnsi="Arial" w:cs="Arial"/>
          <w:i/>
          <w:iCs/>
          <w:color w:val="000000" w:themeColor="text1"/>
          <w:sz w:val="22"/>
          <w:lang w:val="en-GB"/>
        </w:rPr>
        <w:t>International Journal for Equity in Health</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22</w:t>
      </w:r>
      <w:r w:rsidRPr="004C3966">
        <w:rPr>
          <w:rFonts w:ascii="Arial" w:hAnsi="Arial" w:cs="Arial"/>
          <w:color w:val="000000" w:themeColor="text1"/>
          <w:sz w:val="22"/>
          <w:lang w:val="en-GB"/>
        </w:rPr>
        <w:t>(1), p.236.</w:t>
      </w:r>
      <w:r w:rsidRPr="004C3966">
        <w:rPr>
          <w:rFonts w:ascii="Arial" w:hAnsi="Arial" w:cs="Arial"/>
          <w:color w:val="000000" w:themeColor="text1"/>
          <w:sz w:val="22"/>
          <w:lang w:val="en-GB"/>
        </w:rPr>
        <w:br/>
      </w:r>
      <w:hyperlink r:id="rId13" w:tgtFrame="_new" w:history="1">
        <w:r w:rsidRPr="004C3966">
          <w:rPr>
            <w:rStyle w:val="Hyperlink"/>
            <w:rFonts w:ascii="Arial" w:hAnsi="Arial" w:cs="Arial"/>
            <w:color w:val="000000" w:themeColor="text1"/>
            <w:sz w:val="22"/>
            <w:lang w:val="en-GB"/>
          </w:rPr>
          <w:t>https://pmc.ncbi.nlm.nih.gov/articles/PMC10644565/</w:t>
        </w:r>
      </w:hyperlink>
    </w:p>
    <w:p w14:paraId="40096483"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Kavanagh, A., Hatton, C., Stancliffe, R.J., Aitken, Z., King, T., Hastings, R., Totsika, V., Llewellyn, G. and Emerson, E., 2022. Health and healthcare for people with disabilities in the UK during the COVID-19 pandemic. </w:t>
      </w:r>
      <w:r w:rsidRPr="004C3966">
        <w:rPr>
          <w:rFonts w:ascii="Arial" w:hAnsi="Arial" w:cs="Arial"/>
          <w:i/>
          <w:iCs/>
          <w:color w:val="000000" w:themeColor="text1"/>
          <w:sz w:val="22"/>
          <w:lang w:val="en-GB"/>
        </w:rPr>
        <w:t>Disability and Health Journal</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15</w:t>
      </w:r>
      <w:r w:rsidRPr="004C3966">
        <w:rPr>
          <w:rFonts w:ascii="Arial" w:hAnsi="Arial" w:cs="Arial"/>
          <w:color w:val="000000" w:themeColor="text1"/>
          <w:sz w:val="22"/>
          <w:lang w:val="en-GB"/>
        </w:rPr>
        <w:t xml:space="preserve">(1), p.101171. </w:t>
      </w:r>
      <w:hyperlink r:id="rId14" w:tgtFrame="_new" w:history="1">
        <w:r w:rsidRPr="004C3966">
          <w:rPr>
            <w:rStyle w:val="Hyperlink"/>
            <w:rFonts w:ascii="Arial" w:hAnsi="Arial" w:cs="Arial"/>
            <w:color w:val="000000" w:themeColor="text1"/>
            <w:sz w:val="22"/>
            <w:lang w:val="en-GB"/>
          </w:rPr>
          <w:t>https://www.sciencedirect.com/science/article/abs/pii/S1936657421001370</w:t>
        </w:r>
      </w:hyperlink>
    </w:p>
    <w:p w14:paraId="4361D0A1" w14:textId="77777777" w:rsidR="00A47915" w:rsidRPr="004C3966" w:rsidRDefault="00A47915"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Lewis, N.V., Bierce, A., Feder, G.S., Macleod, J., Turner, K.M., Zammit, S. and Dawson, S., 2023. Trauma</w:t>
      </w:r>
      <w:r w:rsidRPr="004C3966">
        <w:rPr>
          <w:rFonts w:ascii="Cambria Math" w:hAnsi="Cambria Math" w:cs="Cambria Math"/>
          <w:color w:val="000000" w:themeColor="text1"/>
          <w:sz w:val="22"/>
          <w:lang w:val="en-GB"/>
        </w:rPr>
        <w:t>‐</w:t>
      </w:r>
      <w:r w:rsidRPr="004C3966">
        <w:rPr>
          <w:rFonts w:ascii="Arial" w:hAnsi="Arial" w:cs="Arial"/>
          <w:color w:val="000000" w:themeColor="text1"/>
          <w:sz w:val="22"/>
          <w:lang w:val="en-GB"/>
        </w:rPr>
        <w:t xml:space="preserve">Informed Approaches in Primary Healthcare and Community Mental Healthcare: A Mixed Methods Systematic Review of Organisational Change Interventions. Health &amp; Social Care in the Community, 2023(1), p.4475114. </w:t>
      </w:r>
      <w:hyperlink r:id="rId15" w:history="1">
        <w:r w:rsidRPr="004C3966">
          <w:rPr>
            <w:rStyle w:val="Hyperlink"/>
            <w:rFonts w:ascii="Arial" w:hAnsi="Arial" w:cs="Arial"/>
            <w:color w:val="000000" w:themeColor="text1"/>
            <w:sz w:val="22"/>
            <w:lang w:val="en-GB"/>
          </w:rPr>
          <w:t>https://doi.org/10.1155/2023/4475114</w:t>
        </w:r>
      </w:hyperlink>
      <w:r w:rsidRPr="004C3966">
        <w:rPr>
          <w:rFonts w:ascii="Arial" w:hAnsi="Arial" w:cs="Arial"/>
          <w:color w:val="000000" w:themeColor="text1"/>
          <w:sz w:val="22"/>
          <w:lang w:val="en-GB"/>
        </w:rPr>
        <w:t xml:space="preserve"> </w:t>
      </w:r>
    </w:p>
    <w:p w14:paraId="1A8D7E91"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lastRenderedPageBreak/>
        <w:t>Narayanan, K., Edward, S. and Prasanth, K., 2025. Physical Disability and Its Global Impact on Quality of Life, Activities of Daily Living, and Sleep Quality: A Narrative Review. </w:t>
      </w:r>
      <w:r w:rsidRPr="004C3966">
        <w:rPr>
          <w:rFonts w:ascii="Arial" w:hAnsi="Arial" w:cs="Arial"/>
          <w:i/>
          <w:iCs/>
          <w:color w:val="000000" w:themeColor="text1"/>
          <w:sz w:val="22"/>
          <w:lang w:val="en-GB"/>
        </w:rPr>
        <w:t>Cureus</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17</w:t>
      </w:r>
      <w:r w:rsidRPr="004C3966">
        <w:rPr>
          <w:rFonts w:ascii="Arial" w:hAnsi="Arial" w:cs="Arial"/>
          <w:color w:val="000000" w:themeColor="text1"/>
          <w:sz w:val="22"/>
          <w:lang w:val="en-GB"/>
        </w:rPr>
        <w:t xml:space="preserve">(10). </w:t>
      </w:r>
      <w:hyperlink r:id="rId16" w:tgtFrame="_new" w:history="1">
        <w:r w:rsidRPr="004C3966">
          <w:rPr>
            <w:rStyle w:val="Hyperlink"/>
            <w:rFonts w:ascii="Arial" w:hAnsi="Arial" w:cs="Arial"/>
            <w:color w:val="000000" w:themeColor="text1"/>
            <w:sz w:val="22"/>
            <w:lang w:val="en-GB"/>
          </w:rPr>
          <w:t>https://pmc.ncbi.nlm.nih.gov/articles/PMC12659716/</w:t>
        </w:r>
      </w:hyperlink>
    </w:p>
    <w:p w14:paraId="65933BFE" w14:textId="69DC9610" w:rsidR="00A47915" w:rsidRPr="004C3966" w:rsidRDefault="00A47915"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NHS England 2026. Core20PLUS5 (adults) – an approach to reducing healthcare inequalities. </w:t>
      </w:r>
      <w:r w:rsidRPr="004C3966">
        <w:rPr>
          <w:rFonts w:ascii="Arial" w:hAnsi="Arial" w:cs="Arial"/>
          <w:i/>
          <w:color w:val="000000" w:themeColor="text1"/>
          <w:sz w:val="22"/>
          <w:lang w:val="en-GB"/>
        </w:rPr>
        <w:t>NHS England</w:t>
      </w:r>
      <w:r w:rsidRPr="004C3966">
        <w:rPr>
          <w:rFonts w:ascii="Arial" w:hAnsi="Arial" w:cs="Arial"/>
          <w:color w:val="000000" w:themeColor="text1"/>
          <w:sz w:val="22"/>
          <w:lang w:val="en-GB"/>
        </w:rPr>
        <w:t xml:space="preserve">. Available at: </w:t>
      </w:r>
      <w:hyperlink r:id="rId17" w:history="1">
        <w:r w:rsidRPr="004C3966">
          <w:rPr>
            <w:rStyle w:val="Hyperlink"/>
            <w:rFonts w:ascii="Arial" w:hAnsi="Arial" w:cs="Arial"/>
            <w:color w:val="000000" w:themeColor="text1"/>
            <w:sz w:val="22"/>
            <w:lang w:val="en-GB"/>
          </w:rPr>
          <w:t>https://www.england.nhs.uk/about/equality/equality-hub/national-healthcare-inequalities-improvement-programme/core20plus5/</w:t>
        </w:r>
      </w:hyperlink>
      <w:r w:rsidRPr="004C3966">
        <w:rPr>
          <w:rFonts w:ascii="Arial" w:hAnsi="Arial" w:cs="Arial"/>
          <w:color w:val="000000" w:themeColor="text1"/>
          <w:sz w:val="22"/>
          <w:lang w:val="en-GB"/>
        </w:rPr>
        <w:t xml:space="preserve"> [Accessed: 23 July 2026]</w:t>
      </w:r>
    </w:p>
    <w:p w14:paraId="32F68CA0" w14:textId="450CA4B1" w:rsidR="00DA5F2B" w:rsidRPr="004C3966" w:rsidRDefault="00DA5F2B"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ONS 2024. Employment, unemployment and economic inactivity in Tower Hamlets. </w:t>
      </w:r>
      <w:r w:rsidRPr="004C3966">
        <w:rPr>
          <w:rFonts w:ascii="Arial" w:hAnsi="Arial" w:cs="Arial"/>
          <w:i/>
          <w:color w:val="000000" w:themeColor="text1"/>
          <w:sz w:val="22"/>
          <w:lang w:val="en-GB"/>
        </w:rPr>
        <w:t>ONS</w:t>
      </w:r>
      <w:r w:rsidRPr="004C3966">
        <w:rPr>
          <w:rFonts w:ascii="Arial" w:hAnsi="Arial" w:cs="Arial"/>
          <w:color w:val="000000" w:themeColor="text1"/>
          <w:sz w:val="22"/>
          <w:lang w:val="en-GB"/>
        </w:rPr>
        <w:t xml:space="preserve">. Available at: </w:t>
      </w:r>
      <w:hyperlink r:id="rId18" w:history="1">
        <w:r w:rsidRPr="004C3966">
          <w:rPr>
            <w:rStyle w:val="Hyperlink"/>
            <w:rFonts w:ascii="Arial" w:hAnsi="Arial" w:cs="Arial"/>
            <w:color w:val="000000" w:themeColor="text1"/>
            <w:sz w:val="22"/>
            <w:lang w:val="en-GB"/>
          </w:rPr>
          <w:t>https://www.ons.gov.uk/visualisations/labourmarketlocal/E09000030/</w:t>
        </w:r>
      </w:hyperlink>
      <w:r w:rsidRPr="004C3966">
        <w:rPr>
          <w:rFonts w:ascii="Arial" w:hAnsi="Arial" w:cs="Arial"/>
          <w:color w:val="000000" w:themeColor="text1"/>
          <w:sz w:val="22"/>
          <w:lang w:val="en-GB"/>
        </w:rPr>
        <w:t xml:space="preserve"> [Accessed: 23 July 2026]</w:t>
      </w:r>
    </w:p>
    <w:p w14:paraId="5C715F68" w14:textId="77777777" w:rsidR="00A47915" w:rsidRPr="004C3966" w:rsidRDefault="00A47915" w:rsidP="00DE6363">
      <w:pPr>
        <w:spacing w:line="360" w:lineRule="auto"/>
        <w:jc w:val="both"/>
        <w:rPr>
          <w:rStyle w:val="Hyperlink"/>
          <w:rFonts w:ascii="Arial" w:hAnsi="Arial" w:cs="Arial"/>
          <w:color w:val="000000" w:themeColor="text1"/>
          <w:sz w:val="22"/>
          <w:lang w:val="en-GB"/>
        </w:rPr>
      </w:pPr>
      <w:r w:rsidRPr="004C3966">
        <w:rPr>
          <w:rFonts w:ascii="Arial" w:hAnsi="Arial" w:cs="Arial"/>
          <w:color w:val="000000" w:themeColor="text1"/>
          <w:sz w:val="22"/>
          <w:lang w:val="en-GB"/>
        </w:rPr>
        <w:t>Ricciardi, G.E., Cuciniello, R., Raimondi, V., Vaia, F., Signorelli, C. and Renzi, C., 2025, August. Preventive Healthcare and Disability: Challenges and Opportunities. In </w:t>
      </w:r>
      <w:r w:rsidRPr="004C3966">
        <w:rPr>
          <w:rFonts w:ascii="Arial" w:hAnsi="Arial" w:cs="Arial"/>
          <w:i/>
          <w:iCs/>
          <w:color w:val="000000" w:themeColor="text1"/>
          <w:sz w:val="22"/>
          <w:lang w:val="en-GB"/>
        </w:rPr>
        <w:t>Healthcare</w:t>
      </w:r>
      <w:r w:rsidRPr="004C3966">
        <w:rPr>
          <w:rFonts w:ascii="Arial" w:hAnsi="Arial" w:cs="Arial"/>
          <w:color w:val="000000" w:themeColor="text1"/>
          <w:sz w:val="22"/>
          <w:lang w:val="en-GB"/>
        </w:rPr>
        <w:t xml:space="preserve"> (Vol. 13, No. 17, p. 2099). MDPI. </w:t>
      </w:r>
      <w:hyperlink r:id="rId19" w:tgtFrame="_new" w:history="1">
        <w:r w:rsidRPr="004C3966">
          <w:rPr>
            <w:rStyle w:val="Hyperlink"/>
            <w:rFonts w:ascii="Arial" w:hAnsi="Arial" w:cs="Arial"/>
            <w:color w:val="000000" w:themeColor="text1"/>
            <w:sz w:val="22"/>
            <w:lang w:val="en-GB"/>
          </w:rPr>
          <w:t>https://pmc.ncbi.nlm.nih.gov/articles/PMC12428156/</w:t>
        </w:r>
      </w:hyperlink>
    </w:p>
    <w:p w14:paraId="0D9BE93A" w14:textId="06F4C1AF" w:rsidR="008900D2" w:rsidRPr="004C3966" w:rsidRDefault="008900D2"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towerhamlets.gov.uk 2026. Tower Hamlets Time to Act. </w:t>
      </w:r>
      <w:r w:rsidRPr="004C3966">
        <w:rPr>
          <w:rFonts w:ascii="Arial" w:hAnsi="Arial" w:cs="Arial"/>
          <w:i/>
          <w:color w:val="000000" w:themeColor="text1"/>
          <w:sz w:val="22"/>
          <w:lang w:val="en-GB"/>
        </w:rPr>
        <w:t>towerhamlets.gov.uk</w:t>
      </w:r>
      <w:r w:rsidRPr="004C3966">
        <w:rPr>
          <w:rFonts w:ascii="Arial" w:hAnsi="Arial" w:cs="Arial"/>
          <w:color w:val="000000" w:themeColor="text1"/>
          <w:sz w:val="22"/>
          <w:lang w:val="en-GB"/>
        </w:rPr>
        <w:t xml:space="preserve">. Available at: </w:t>
      </w:r>
      <w:hyperlink r:id="rId20" w:history="1">
        <w:r w:rsidRPr="004C3966">
          <w:rPr>
            <w:rStyle w:val="Hyperlink"/>
            <w:rFonts w:ascii="Arial" w:hAnsi="Arial" w:cs="Arial"/>
            <w:color w:val="000000" w:themeColor="text1"/>
            <w:sz w:val="22"/>
            <w:lang w:val="en-GB"/>
          </w:rPr>
          <w:t>https://www.towerhamlets.gov.uk/Documents/One-TH/How-can-we-look-out-for-each-other-Evidence-Pack.pdf</w:t>
        </w:r>
      </w:hyperlink>
      <w:r w:rsidRPr="004C3966">
        <w:rPr>
          <w:rFonts w:ascii="Arial" w:hAnsi="Arial" w:cs="Arial"/>
          <w:color w:val="000000" w:themeColor="text1"/>
          <w:sz w:val="22"/>
          <w:lang w:val="en-GB"/>
        </w:rPr>
        <w:t xml:space="preserve"> [Accessed: 23 July 2026]</w:t>
      </w:r>
    </w:p>
    <w:p w14:paraId="0465F459" w14:textId="77777777" w:rsidR="00A47915" w:rsidRPr="004C3966" w:rsidRDefault="00A47915"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Truesdale, M., (2021). Respiratory-associated deaths in people with intellectual disabilities. </w:t>
      </w:r>
      <w:hyperlink r:id="rId21" w:history="1">
        <w:r w:rsidRPr="004C3966">
          <w:rPr>
            <w:rStyle w:val="Hyperlink"/>
            <w:rFonts w:ascii="Arial" w:hAnsi="Arial" w:cs="Arial"/>
            <w:color w:val="000000" w:themeColor="text1"/>
            <w:sz w:val="22"/>
            <w:lang w:val="en-GB"/>
          </w:rPr>
          <w:t>https://doi.org/10.1136/bmjopen-2020-043658</w:t>
        </w:r>
      </w:hyperlink>
      <w:r w:rsidRPr="004C3966">
        <w:rPr>
          <w:rFonts w:ascii="Arial" w:hAnsi="Arial" w:cs="Arial"/>
          <w:color w:val="000000" w:themeColor="text1"/>
          <w:sz w:val="22"/>
          <w:lang w:val="en-GB"/>
        </w:rPr>
        <w:t xml:space="preserve"> </w:t>
      </w:r>
    </w:p>
    <w:p w14:paraId="4E75CE6F" w14:textId="539C1614" w:rsidR="00343E0F" w:rsidRPr="004C3966" w:rsidRDefault="00343E0F"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Trust for London 2021. The London Borough of Tower Hamlets is in East London, and forms part of Inner London. It has a population of 312,273 (Census 2021). </w:t>
      </w:r>
      <w:r w:rsidRPr="004C3966">
        <w:rPr>
          <w:rFonts w:ascii="Arial" w:hAnsi="Arial" w:cs="Arial"/>
          <w:i/>
          <w:color w:val="000000" w:themeColor="text1"/>
          <w:sz w:val="22"/>
          <w:lang w:val="en-GB"/>
        </w:rPr>
        <w:t>Trust for London</w:t>
      </w:r>
      <w:r w:rsidRPr="004C3966">
        <w:rPr>
          <w:rFonts w:ascii="Arial" w:hAnsi="Arial" w:cs="Arial"/>
          <w:color w:val="000000" w:themeColor="text1"/>
          <w:sz w:val="22"/>
          <w:lang w:val="en-GB"/>
        </w:rPr>
        <w:t xml:space="preserve">. Available at: </w:t>
      </w:r>
      <w:hyperlink r:id="rId22" w:history="1">
        <w:r w:rsidRPr="004C3966">
          <w:rPr>
            <w:rStyle w:val="Hyperlink"/>
            <w:rFonts w:ascii="Arial" w:hAnsi="Arial" w:cs="Arial"/>
            <w:color w:val="000000" w:themeColor="text1"/>
            <w:sz w:val="22"/>
            <w:lang w:val="en-GB"/>
          </w:rPr>
          <w:t>https://trustforlondon.org.uk/data/boroughs/tower-hamlets-poverty-and-inequality-indicators/</w:t>
        </w:r>
      </w:hyperlink>
      <w:r w:rsidRPr="004C3966">
        <w:rPr>
          <w:rFonts w:ascii="Arial" w:hAnsi="Arial" w:cs="Arial"/>
          <w:color w:val="000000" w:themeColor="text1"/>
          <w:sz w:val="22"/>
          <w:lang w:val="en-GB"/>
        </w:rPr>
        <w:t xml:space="preserve"> [Accessed: 23 July 2026]</w:t>
      </w:r>
    </w:p>
    <w:p w14:paraId="565BAC75"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Umucu, E., Vernon, A.A., Pan, D., Qin, S., Solis, G., Campa, R. and Lee, B., 2025. Health inequities among persons with disabilities: a global scoping review. </w:t>
      </w:r>
      <w:r w:rsidRPr="004C3966">
        <w:rPr>
          <w:rFonts w:ascii="Arial" w:hAnsi="Arial" w:cs="Arial"/>
          <w:i/>
          <w:iCs/>
          <w:color w:val="000000" w:themeColor="text1"/>
          <w:sz w:val="22"/>
          <w:lang w:val="en-GB"/>
        </w:rPr>
        <w:t>Frontiers in public health</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13</w:t>
      </w:r>
      <w:r w:rsidRPr="004C3966">
        <w:rPr>
          <w:rFonts w:ascii="Arial" w:hAnsi="Arial" w:cs="Arial"/>
          <w:color w:val="000000" w:themeColor="text1"/>
          <w:sz w:val="22"/>
          <w:lang w:val="en-GB"/>
        </w:rPr>
        <w:t>, p.1538519.</w:t>
      </w:r>
      <w:r w:rsidRPr="004C3966">
        <w:rPr>
          <w:rFonts w:ascii="Arial" w:hAnsi="Arial" w:cs="Arial"/>
          <w:color w:val="000000" w:themeColor="text1"/>
          <w:sz w:val="22"/>
          <w:lang w:val="en-GB"/>
        </w:rPr>
        <w:br/>
      </w:r>
      <w:hyperlink r:id="rId23" w:tgtFrame="_new" w:history="1">
        <w:r w:rsidRPr="004C3966">
          <w:rPr>
            <w:rStyle w:val="Hyperlink"/>
            <w:rFonts w:ascii="Arial" w:hAnsi="Arial" w:cs="Arial"/>
            <w:color w:val="000000" w:themeColor="text1"/>
            <w:sz w:val="22"/>
            <w:lang w:val="en-GB"/>
          </w:rPr>
          <w:t>https://pmc.ncbi.nlm.nih.gov/articles/PMC11849497/</w:t>
        </w:r>
      </w:hyperlink>
    </w:p>
    <w:p w14:paraId="15F3F234" w14:textId="77777777" w:rsidR="00A47915" w:rsidRPr="004C3966" w:rsidRDefault="00A47915" w:rsidP="00DD173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WHO, 2023. </w:t>
      </w:r>
      <w:r w:rsidRPr="004C3966">
        <w:rPr>
          <w:rFonts w:ascii="Arial" w:hAnsi="Arial" w:cs="Arial"/>
          <w:i/>
          <w:iCs/>
          <w:color w:val="000000" w:themeColor="text1"/>
          <w:sz w:val="22"/>
          <w:lang w:val="en-GB"/>
        </w:rPr>
        <w:t>Disability and health</w:t>
      </w:r>
      <w:r w:rsidRPr="004C3966">
        <w:rPr>
          <w:rFonts w:ascii="Arial" w:hAnsi="Arial" w:cs="Arial"/>
          <w:color w:val="000000" w:themeColor="text1"/>
          <w:sz w:val="22"/>
          <w:lang w:val="en-GB"/>
        </w:rPr>
        <w:t xml:space="preserve">. Available at: </w:t>
      </w:r>
      <w:hyperlink r:id="rId24" w:tgtFrame="_new" w:history="1">
        <w:r w:rsidRPr="004C3966">
          <w:rPr>
            <w:rStyle w:val="Hyperlink"/>
            <w:rFonts w:ascii="Arial" w:hAnsi="Arial" w:cs="Arial"/>
            <w:color w:val="000000" w:themeColor="text1"/>
            <w:sz w:val="22"/>
            <w:lang w:val="en-GB"/>
          </w:rPr>
          <w:t>https://www.who.int/news-room/fact-sheets/detail/disability-and-health</w:t>
        </w:r>
      </w:hyperlink>
      <w:r w:rsidRPr="004C3966">
        <w:rPr>
          <w:rFonts w:ascii="Arial" w:hAnsi="Arial" w:cs="Arial"/>
          <w:color w:val="000000" w:themeColor="text1"/>
          <w:sz w:val="22"/>
          <w:lang w:val="en-GB"/>
        </w:rPr>
        <w:t xml:space="preserve"> (Accessed on: 22 March 2026).</w:t>
      </w:r>
    </w:p>
    <w:p w14:paraId="4A9F655E" w14:textId="77777777" w:rsidR="00A47915" w:rsidRPr="004C3966" w:rsidRDefault="00A47915" w:rsidP="00DD1735">
      <w:pPr>
        <w:spacing w:line="360" w:lineRule="auto"/>
        <w:jc w:val="both"/>
        <w:rPr>
          <w:rFonts w:ascii="Arial" w:hAnsi="Arial" w:cs="Arial"/>
          <w:color w:val="000000" w:themeColor="text1"/>
          <w:lang w:val="en-GB"/>
        </w:rPr>
      </w:pPr>
      <w:r w:rsidRPr="004C3966">
        <w:rPr>
          <w:rFonts w:ascii="Arial" w:hAnsi="Arial" w:cs="Arial"/>
          <w:color w:val="000000" w:themeColor="text1"/>
          <w:sz w:val="22"/>
          <w:lang w:val="en-GB"/>
        </w:rPr>
        <w:t xml:space="preserve">World Bank, 2022. </w:t>
      </w:r>
      <w:r w:rsidRPr="004C3966">
        <w:rPr>
          <w:rFonts w:ascii="Arial" w:hAnsi="Arial" w:cs="Arial"/>
          <w:i/>
          <w:iCs/>
          <w:color w:val="000000" w:themeColor="text1"/>
          <w:sz w:val="22"/>
          <w:lang w:val="en-GB"/>
        </w:rPr>
        <w:t>Disability inclusion overview</w:t>
      </w:r>
      <w:r w:rsidRPr="004C3966">
        <w:rPr>
          <w:rFonts w:ascii="Arial" w:hAnsi="Arial" w:cs="Arial"/>
          <w:color w:val="000000" w:themeColor="text1"/>
          <w:sz w:val="22"/>
          <w:lang w:val="en-GB"/>
        </w:rPr>
        <w:t xml:space="preserve">. Available at: </w:t>
      </w:r>
      <w:hyperlink r:id="rId25" w:tgtFrame="_new" w:history="1">
        <w:r w:rsidRPr="004C3966">
          <w:rPr>
            <w:rStyle w:val="Hyperlink"/>
            <w:rFonts w:ascii="Arial" w:hAnsi="Arial" w:cs="Arial"/>
            <w:color w:val="000000" w:themeColor="text1"/>
            <w:sz w:val="22"/>
            <w:lang w:val="en-GB"/>
          </w:rPr>
          <w:t>https://www.worldbank.org/en/topic/disability</w:t>
        </w:r>
      </w:hyperlink>
      <w:r w:rsidRPr="004C3966">
        <w:rPr>
          <w:rFonts w:ascii="Arial" w:hAnsi="Arial" w:cs="Arial"/>
          <w:color w:val="000000" w:themeColor="text1"/>
          <w:sz w:val="22"/>
          <w:lang w:val="en-GB"/>
        </w:rPr>
        <w:t xml:space="preserve"> (Accessed on: 22 March 2026).</w:t>
      </w:r>
    </w:p>
    <w:p w14:paraId="5AC2D126" w14:textId="77777777" w:rsidR="004C3966" w:rsidRDefault="004C3966" w:rsidP="006D7CBC">
      <w:pPr>
        <w:pStyle w:val="Heading2"/>
        <w:rPr>
          <w:rFonts w:ascii="Arial" w:hAnsi="Arial" w:cs="Arial"/>
          <w:color w:val="000000" w:themeColor="text1"/>
        </w:rPr>
      </w:pPr>
      <w:bookmarkStart w:id="23" w:name="_Toc235737484"/>
    </w:p>
    <w:p w14:paraId="23ECCE1B" w14:textId="504DFBD4" w:rsidR="00C8450C" w:rsidRPr="004C3966" w:rsidRDefault="00B661A4" w:rsidP="006D7CBC">
      <w:pPr>
        <w:pStyle w:val="Heading2"/>
        <w:rPr>
          <w:rFonts w:ascii="Arial" w:hAnsi="Arial" w:cs="Arial"/>
          <w:color w:val="000000" w:themeColor="text1"/>
        </w:rPr>
      </w:pPr>
      <w:r w:rsidRPr="004C3966">
        <w:rPr>
          <w:rFonts w:ascii="Arial" w:hAnsi="Arial" w:cs="Arial"/>
          <w:color w:val="000000" w:themeColor="text1"/>
        </w:rPr>
        <w:lastRenderedPageBreak/>
        <w:t>References for Task 2</w:t>
      </w:r>
      <w:bookmarkEnd w:id="23"/>
      <w:r w:rsidR="00C8450C" w:rsidRPr="004C3966">
        <w:rPr>
          <w:rFonts w:ascii="Arial" w:hAnsi="Arial" w:cs="Arial"/>
          <w:vanish/>
          <w:color w:val="000000" w:themeColor="text1"/>
        </w:rPr>
        <w:t>Bottom of Form</w:t>
      </w:r>
    </w:p>
    <w:p w14:paraId="0DF2D953"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Asia, T.L.R.H.S., 2025. Not one-size-fits-all: diabetes in south Asia. </w:t>
      </w:r>
      <w:r w:rsidRPr="004C3966">
        <w:rPr>
          <w:rFonts w:ascii="Arial" w:hAnsi="Arial" w:cs="Arial"/>
          <w:i/>
          <w:iCs/>
          <w:color w:val="000000" w:themeColor="text1"/>
          <w:sz w:val="22"/>
          <w:lang w:val="en-GB"/>
        </w:rPr>
        <w:t>The Lancet Regional Health-Southeast Asia</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42</w:t>
      </w:r>
      <w:r w:rsidRPr="004C3966">
        <w:rPr>
          <w:rFonts w:ascii="Arial" w:hAnsi="Arial" w:cs="Arial"/>
          <w:color w:val="000000" w:themeColor="text1"/>
          <w:sz w:val="22"/>
          <w:lang w:val="en-GB"/>
        </w:rPr>
        <w:t xml:space="preserve">, p.100694. </w:t>
      </w:r>
      <w:hyperlink r:id="rId26" w:tgtFrame="_new" w:history="1">
        <w:r w:rsidRPr="004C3966">
          <w:rPr>
            <w:rStyle w:val="Hyperlink"/>
            <w:rFonts w:ascii="Arial" w:hAnsi="Arial" w:cs="Arial"/>
            <w:color w:val="000000" w:themeColor="text1"/>
            <w:sz w:val="22"/>
            <w:lang w:val="en-GB"/>
          </w:rPr>
          <w:t>https://pmc.ncbi.nlm.nih.gov/articles/PMC12676139/</w:t>
        </w:r>
      </w:hyperlink>
    </w:p>
    <w:p w14:paraId="3887F3E9"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Gardner, M.P., Wang, J., Hazlehurst, J.M., Sainsbury, C., Blissett, J., Nirantharakumar, K., Thomas, N. and Bellary, S., 2023. Risk of progression from pre</w:t>
      </w:r>
      <w:r w:rsidRPr="004C3966">
        <w:rPr>
          <w:rFonts w:ascii="Cambria Math" w:hAnsi="Cambria Math" w:cs="Cambria Math"/>
          <w:color w:val="000000" w:themeColor="text1"/>
          <w:sz w:val="22"/>
          <w:lang w:val="en-GB"/>
        </w:rPr>
        <w:t>‐</w:t>
      </w:r>
      <w:r w:rsidRPr="004C3966">
        <w:rPr>
          <w:rFonts w:ascii="Arial" w:hAnsi="Arial" w:cs="Arial"/>
          <w:color w:val="000000" w:themeColor="text1"/>
          <w:sz w:val="22"/>
          <w:lang w:val="en-GB"/>
        </w:rPr>
        <w:t>diabetes to type 2 diabetes in a large UK adult cohort. </w:t>
      </w:r>
      <w:r w:rsidRPr="004C3966">
        <w:rPr>
          <w:rFonts w:ascii="Arial" w:hAnsi="Arial" w:cs="Arial"/>
          <w:i/>
          <w:iCs/>
          <w:color w:val="000000" w:themeColor="text1"/>
          <w:sz w:val="22"/>
          <w:lang w:val="en-GB"/>
        </w:rPr>
        <w:t>Diabetic medicine</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40</w:t>
      </w:r>
      <w:r w:rsidRPr="004C3966">
        <w:rPr>
          <w:rFonts w:ascii="Arial" w:hAnsi="Arial" w:cs="Arial"/>
          <w:color w:val="000000" w:themeColor="text1"/>
          <w:sz w:val="22"/>
          <w:lang w:val="en-GB"/>
        </w:rPr>
        <w:t>(3), p.e14996.</w:t>
      </w:r>
      <w:r w:rsidRPr="004C3966">
        <w:rPr>
          <w:rFonts w:ascii="Arial" w:hAnsi="Arial" w:cs="Arial"/>
          <w:color w:val="000000" w:themeColor="text1"/>
          <w:sz w:val="22"/>
          <w:lang w:val="en-GB"/>
        </w:rPr>
        <w:br/>
      </w:r>
      <w:hyperlink r:id="rId27" w:tgtFrame="_new" w:history="1">
        <w:r w:rsidRPr="004C3966">
          <w:rPr>
            <w:rStyle w:val="Hyperlink"/>
            <w:rFonts w:ascii="Arial" w:hAnsi="Arial" w:cs="Arial"/>
            <w:color w:val="000000" w:themeColor="text1"/>
            <w:sz w:val="22"/>
            <w:lang w:val="en-GB"/>
          </w:rPr>
          <w:t>https://pmc.ncbi.nlm.nih.gov/articles/PMC10099224/</w:t>
        </w:r>
      </w:hyperlink>
    </w:p>
    <w:p w14:paraId="52A4F24F"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Ha, K.H. and Kim, D.J., 2024. Changes in the epidemiological landscape of diabetes in South Korea: trends in prevalence, incidence, and healthcare expenditures. </w:t>
      </w:r>
      <w:r w:rsidRPr="004C3966">
        <w:rPr>
          <w:rFonts w:ascii="Arial" w:hAnsi="Arial" w:cs="Arial"/>
          <w:i/>
          <w:iCs/>
          <w:color w:val="000000" w:themeColor="text1"/>
          <w:sz w:val="22"/>
          <w:lang w:val="en-GB"/>
        </w:rPr>
        <w:t>Endocrinology and Metabolism</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39</w:t>
      </w:r>
      <w:r w:rsidRPr="004C3966">
        <w:rPr>
          <w:rFonts w:ascii="Arial" w:hAnsi="Arial" w:cs="Arial"/>
          <w:color w:val="000000" w:themeColor="text1"/>
          <w:sz w:val="22"/>
          <w:lang w:val="en-GB"/>
        </w:rPr>
        <w:t>(5), pp.669-677</w:t>
      </w:r>
      <w:r w:rsidRPr="004C3966">
        <w:rPr>
          <w:rFonts w:ascii="Arial" w:hAnsi="Arial" w:cs="Arial"/>
          <w:b/>
          <w:bCs/>
          <w:color w:val="000000" w:themeColor="text1"/>
          <w:sz w:val="22"/>
          <w:lang w:val="en-GB"/>
        </w:rPr>
        <w:t>.</w:t>
      </w:r>
      <w:r w:rsidRPr="004C3966">
        <w:rPr>
          <w:rFonts w:ascii="Arial" w:hAnsi="Arial" w:cs="Arial"/>
          <w:color w:val="000000" w:themeColor="text1"/>
          <w:sz w:val="22"/>
          <w:lang w:val="en-GB"/>
        </w:rPr>
        <w:br/>
      </w:r>
      <w:hyperlink r:id="rId28" w:tgtFrame="_new" w:history="1">
        <w:r w:rsidRPr="004C3966">
          <w:rPr>
            <w:rStyle w:val="Hyperlink"/>
            <w:rFonts w:ascii="Arial" w:hAnsi="Arial" w:cs="Arial"/>
            <w:color w:val="000000" w:themeColor="text1"/>
            <w:sz w:val="22"/>
            <w:lang w:val="en-GB"/>
          </w:rPr>
          <w:t>https://www.e-enm.org/journal/view.php?doi=10.3803/EnM.2024.2073</w:t>
        </w:r>
      </w:hyperlink>
    </w:p>
    <w:p w14:paraId="1CF0912D" w14:textId="77777777" w:rsidR="00A47915" w:rsidRPr="004C3966" w:rsidRDefault="00A47915" w:rsidP="00DD173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International Diabetes Federation (2024) </w:t>
      </w:r>
      <w:r w:rsidRPr="004C3966">
        <w:rPr>
          <w:rFonts w:ascii="Arial" w:hAnsi="Arial" w:cs="Arial"/>
          <w:i/>
          <w:iCs/>
          <w:color w:val="000000" w:themeColor="text1"/>
          <w:sz w:val="22"/>
          <w:lang w:val="en-GB"/>
        </w:rPr>
        <w:t>Diabetes facts and figures</w:t>
      </w:r>
      <w:r w:rsidRPr="004C3966">
        <w:rPr>
          <w:rFonts w:ascii="Arial" w:hAnsi="Arial" w:cs="Arial"/>
          <w:color w:val="000000" w:themeColor="text1"/>
          <w:sz w:val="22"/>
          <w:lang w:val="en-GB"/>
        </w:rPr>
        <w:t xml:space="preserve">. Available at: </w:t>
      </w:r>
      <w:hyperlink r:id="rId29" w:tgtFrame="_new" w:history="1">
        <w:r w:rsidRPr="004C3966">
          <w:rPr>
            <w:rStyle w:val="Hyperlink"/>
            <w:rFonts w:ascii="Arial" w:hAnsi="Arial" w:cs="Arial"/>
            <w:color w:val="000000" w:themeColor="text1"/>
            <w:sz w:val="22"/>
            <w:lang w:val="en-GB"/>
          </w:rPr>
          <w:t>https://idf.org/about-diabetes/diabetes-facts-figures</w:t>
        </w:r>
      </w:hyperlink>
      <w:r w:rsidRPr="004C3966">
        <w:rPr>
          <w:rFonts w:ascii="Arial" w:hAnsi="Arial" w:cs="Arial"/>
          <w:color w:val="000000" w:themeColor="text1"/>
          <w:sz w:val="22"/>
          <w:lang w:val="en-GB"/>
        </w:rPr>
        <w:t xml:space="preserve"> (Accessed: 22 March 2026).</w:t>
      </w:r>
    </w:p>
    <w:p w14:paraId="53FE21F8" w14:textId="77777777" w:rsidR="00A47915" w:rsidRPr="004C3966" w:rsidRDefault="00A47915" w:rsidP="00DD173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International Diabetes Federation (2025) </w:t>
      </w:r>
      <w:r w:rsidRPr="004C3966">
        <w:rPr>
          <w:rFonts w:ascii="Arial" w:hAnsi="Arial" w:cs="Arial"/>
          <w:i/>
          <w:iCs/>
          <w:color w:val="000000" w:themeColor="text1"/>
          <w:sz w:val="22"/>
          <w:lang w:val="en-GB"/>
        </w:rPr>
        <w:t>IDF Diabetes Atlas (11th ed.)</w:t>
      </w:r>
      <w:r w:rsidRPr="004C3966">
        <w:rPr>
          <w:rFonts w:ascii="Arial" w:hAnsi="Arial" w:cs="Arial"/>
          <w:color w:val="000000" w:themeColor="text1"/>
          <w:sz w:val="22"/>
          <w:lang w:val="en-GB"/>
        </w:rPr>
        <w:t xml:space="preserve">. Available at: </w:t>
      </w:r>
      <w:hyperlink r:id="rId30" w:tgtFrame="_new" w:history="1">
        <w:r w:rsidRPr="004C3966">
          <w:rPr>
            <w:rStyle w:val="Hyperlink"/>
            <w:rFonts w:ascii="Arial" w:hAnsi="Arial" w:cs="Arial"/>
            <w:color w:val="000000" w:themeColor="text1"/>
            <w:sz w:val="22"/>
            <w:lang w:val="en-GB"/>
          </w:rPr>
          <w:t>https://diabetesatlas.org</w:t>
        </w:r>
      </w:hyperlink>
      <w:r w:rsidRPr="004C3966">
        <w:rPr>
          <w:rFonts w:ascii="Arial" w:hAnsi="Arial" w:cs="Arial"/>
          <w:color w:val="000000" w:themeColor="text1"/>
          <w:sz w:val="22"/>
          <w:lang w:val="en-GB"/>
        </w:rPr>
        <w:t xml:space="preserve"> (Accessed: 22 March 2026).</w:t>
      </w:r>
    </w:p>
    <w:p w14:paraId="576A10E4"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Kamrul-Hasan, A.B.M., Pappachan, J.M., Nagendra, L., Muthukuda, D., Dutta, D., Bhattacharya, S., Shrestha, D., Dhakal, G.P., Sumanatilleke, M., Raza, S.A. and Kalra, S., 2025. Prevalence of diabetes distress among people with type 2 diabetes in South Asia: A systematic review and meta-analysis. </w:t>
      </w:r>
      <w:r w:rsidRPr="004C3966">
        <w:rPr>
          <w:rFonts w:ascii="Arial" w:hAnsi="Arial" w:cs="Arial"/>
          <w:i/>
          <w:iCs/>
          <w:color w:val="000000" w:themeColor="text1"/>
          <w:sz w:val="22"/>
          <w:lang w:val="en-GB"/>
        </w:rPr>
        <w:t>World Journal of Diabetes</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16</w:t>
      </w:r>
      <w:r w:rsidRPr="004C3966">
        <w:rPr>
          <w:rFonts w:ascii="Arial" w:hAnsi="Arial" w:cs="Arial"/>
          <w:color w:val="000000" w:themeColor="text1"/>
          <w:sz w:val="22"/>
          <w:lang w:val="en-GB"/>
        </w:rPr>
        <w:t xml:space="preserve">(8), p.109352. </w:t>
      </w:r>
      <w:hyperlink r:id="rId31" w:tgtFrame="_new" w:history="1">
        <w:r w:rsidRPr="004C3966">
          <w:rPr>
            <w:rStyle w:val="Hyperlink"/>
            <w:rFonts w:ascii="Arial" w:hAnsi="Arial" w:cs="Arial"/>
            <w:color w:val="000000" w:themeColor="text1"/>
            <w:sz w:val="22"/>
            <w:lang w:val="en-GB"/>
          </w:rPr>
          <w:t>https://pmc.ncbi.nlm.nih.gov/articles/PMC12362461/</w:t>
        </w:r>
      </w:hyperlink>
    </w:p>
    <w:p w14:paraId="1B16E6F4"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Kanaya, A.M., 2024. Diabetes in South Asians: uncovering novel risk factors with longitudinal epidemiologic data: Kelly West Award Lecture 2023. </w:t>
      </w:r>
      <w:r w:rsidRPr="004C3966">
        <w:rPr>
          <w:rFonts w:ascii="Arial" w:hAnsi="Arial" w:cs="Arial"/>
          <w:i/>
          <w:iCs/>
          <w:color w:val="000000" w:themeColor="text1"/>
          <w:sz w:val="22"/>
          <w:lang w:val="en-GB"/>
        </w:rPr>
        <w:t>Diabetes Care</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47</w:t>
      </w:r>
      <w:r w:rsidRPr="004C3966">
        <w:rPr>
          <w:rFonts w:ascii="Arial" w:hAnsi="Arial" w:cs="Arial"/>
          <w:color w:val="000000" w:themeColor="text1"/>
          <w:sz w:val="22"/>
          <w:lang w:val="en-GB"/>
        </w:rPr>
        <w:t xml:space="preserve">(1), pp.7-16. </w:t>
      </w:r>
      <w:hyperlink r:id="rId32" w:tgtFrame="_new" w:history="1">
        <w:r w:rsidRPr="004C3966">
          <w:rPr>
            <w:rStyle w:val="Hyperlink"/>
            <w:rFonts w:ascii="Arial" w:hAnsi="Arial" w:cs="Arial"/>
            <w:color w:val="000000" w:themeColor="text1"/>
            <w:sz w:val="22"/>
            <w:lang w:val="en-GB"/>
          </w:rPr>
          <w:t>https://pmc.ncbi.nlm.nih.gov/articles/PMC10733655/</w:t>
        </w:r>
      </w:hyperlink>
    </w:p>
    <w:p w14:paraId="58A6D63C" w14:textId="77777777" w:rsidR="00A47915" w:rsidRPr="004C3966" w:rsidRDefault="00A47915" w:rsidP="00DD173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Magliano, D., Boyko, E., Balkau, B. and others (2025) </w:t>
      </w:r>
      <w:r w:rsidRPr="004C3966">
        <w:rPr>
          <w:rFonts w:ascii="Arial" w:hAnsi="Arial" w:cs="Arial"/>
          <w:i/>
          <w:iCs/>
          <w:color w:val="000000" w:themeColor="text1"/>
          <w:sz w:val="22"/>
          <w:lang w:val="en-GB"/>
        </w:rPr>
        <w:t>IDF Diabetes Atlas global estimates</w:t>
      </w:r>
      <w:r w:rsidRPr="004C3966">
        <w:rPr>
          <w:rFonts w:ascii="Arial" w:hAnsi="Arial" w:cs="Arial"/>
          <w:color w:val="000000" w:themeColor="text1"/>
          <w:sz w:val="22"/>
          <w:lang w:val="en-GB"/>
        </w:rPr>
        <w:t xml:space="preserve">. Available at: </w:t>
      </w:r>
      <w:hyperlink r:id="rId33" w:tgtFrame="_new" w:history="1">
        <w:r w:rsidRPr="004C3966">
          <w:rPr>
            <w:rStyle w:val="Hyperlink"/>
            <w:rFonts w:ascii="Arial" w:hAnsi="Arial" w:cs="Arial"/>
            <w:color w:val="000000" w:themeColor="text1"/>
            <w:sz w:val="22"/>
            <w:lang w:val="en-GB"/>
          </w:rPr>
          <w:t>https://www.ncbi.nlm.nih.gov/books/NBK618744/</w:t>
        </w:r>
      </w:hyperlink>
      <w:r w:rsidRPr="004C3966">
        <w:rPr>
          <w:rFonts w:ascii="Arial" w:hAnsi="Arial" w:cs="Arial"/>
          <w:color w:val="000000" w:themeColor="text1"/>
          <w:sz w:val="22"/>
          <w:lang w:val="en-GB"/>
        </w:rPr>
        <w:t xml:space="preserve"> (Accessed: 22 March 2026).</w:t>
      </w:r>
    </w:p>
    <w:p w14:paraId="1375B376"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Misra, A., Sattar, N., Ghosh, A., Nassar, M., Jayawardena, R. and Gupta, R., 2025. Type 2 diabetes in south Asians. </w:t>
      </w:r>
      <w:r w:rsidRPr="004C3966">
        <w:rPr>
          <w:rFonts w:ascii="Arial" w:hAnsi="Arial" w:cs="Arial"/>
          <w:i/>
          <w:iCs/>
          <w:color w:val="000000" w:themeColor="text1"/>
          <w:sz w:val="22"/>
          <w:lang w:val="en-GB"/>
        </w:rPr>
        <w:t>bmj</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390</w:t>
      </w:r>
      <w:r w:rsidRPr="004C3966">
        <w:rPr>
          <w:rFonts w:ascii="Arial" w:hAnsi="Arial" w:cs="Arial"/>
          <w:color w:val="000000" w:themeColor="text1"/>
          <w:sz w:val="22"/>
          <w:lang w:val="en-GB"/>
        </w:rPr>
        <w:t xml:space="preserve">. </w:t>
      </w:r>
      <w:hyperlink r:id="rId34" w:tgtFrame="_new" w:history="1">
        <w:r w:rsidRPr="004C3966">
          <w:rPr>
            <w:rStyle w:val="Hyperlink"/>
            <w:rFonts w:ascii="Arial" w:hAnsi="Arial" w:cs="Arial"/>
            <w:color w:val="000000" w:themeColor="text1"/>
            <w:sz w:val="22"/>
            <w:lang w:val="en-GB"/>
          </w:rPr>
          <w:t>https://www.researchgate.net/publication/394452127_Type_2_diabetes_in_South_Asians</w:t>
        </w:r>
      </w:hyperlink>
    </w:p>
    <w:p w14:paraId="25726C6B"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Narayan, K.V., Kondal, D., Kobes, S., Staimez, L.R., Mohan, D., Gujral, U.P., Patel, S.A., Anjana, R.M., Shivashankar, R., Ali, M.K. and Chang, H.H., 2021. Incidence of diabetes in South Asian young adults compared to Pima Indians. </w:t>
      </w:r>
      <w:r w:rsidRPr="004C3966">
        <w:rPr>
          <w:rFonts w:ascii="Arial" w:hAnsi="Arial" w:cs="Arial"/>
          <w:i/>
          <w:iCs/>
          <w:color w:val="000000" w:themeColor="text1"/>
          <w:sz w:val="22"/>
          <w:lang w:val="en-GB"/>
        </w:rPr>
        <w:t>BMJ open diabetes research &amp; care</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9</w:t>
      </w:r>
      <w:r w:rsidRPr="004C3966">
        <w:rPr>
          <w:rFonts w:ascii="Arial" w:hAnsi="Arial" w:cs="Arial"/>
          <w:color w:val="000000" w:themeColor="text1"/>
          <w:sz w:val="22"/>
          <w:lang w:val="en-GB"/>
        </w:rPr>
        <w:t xml:space="preserve">(1). </w:t>
      </w:r>
      <w:hyperlink r:id="rId35" w:tgtFrame="_new" w:history="1">
        <w:r w:rsidRPr="004C3966">
          <w:rPr>
            <w:rStyle w:val="Hyperlink"/>
            <w:rFonts w:ascii="Arial" w:hAnsi="Arial" w:cs="Arial"/>
            <w:color w:val="000000" w:themeColor="text1"/>
            <w:sz w:val="22"/>
            <w:lang w:val="en-GB"/>
          </w:rPr>
          <w:t>https://europepmc.org/article/pmc/pmc8006824</w:t>
        </w:r>
      </w:hyperlink>
    </w:p>
    <w:p w14:paraId="31B60157" w14:textId="77777777" w:rsidR="00A47915" w:rsidRPr="004C3966" w:rsidRDefault="00A47915"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lastRenderedPageBreak/>
        <w:t xml:space="preserve">NHS England 2022. NHS Prevention Programme cuts chances of Type 2 diabetes for thousands. </w:t>
      </w:r>
      <w:r w:rsidRPr="004C3966">
        <w:rPr>
          <w:rFonts w:ascii="Arial" w:hAnsi="Arial" w:cs="Arial"/>
          <w:i/>
          <w:color w:val="000000" w:themeColor="text1"/>
          <w:sz w:val="22"/>
          <w:lang w:val="en-GB"/>
        </w:rPr>
        <w:t>NHS England</w:t>
      </w:r>
      <w:r w:rsidRPr="004C3966">
        <w:rPr>
          <w:rFonts w:ascii="Arial" w:hAnsi="Arial" w:cs="Arial"/>
          <w:color w:val="000000" w:themeColor="text1"/>
          <w:sz w:val="22"/>
          <w:lang w:val="en-GB"/>
        </w:rPr>
        <w:t xml:space="preserve">. Available at: </w:t>
      </w:r>
      <w:hyperlink r:id="rId36" w:history="1">
        <w:r w:rsidRPr="004C3966">
          <w:rPr>
            <w:rStyle w:val="Hyperlink"/>
            <w:rFonts w:ascii="Arial" w:hAnsi="Arial" w:cs="Arial"/>
            <w:color w:val="000000" w:themeColor="text1"/>
            <w:sz w:val="22"/>
            <w:lang w:val="en-GB"/>
          </w:rPr>
          <w:t>https://www.england.nhs.uk/2022/03/nhs-prevention-programme-cuts-chances-of-type-2-diabetes-for-thousands/</w:t>
        </w:r>
      </w:hyperlink>
      <w:r w:rsidRPr="004C3966">
        <w:rPr>
          <w:rFonts w:ascii="Arial" w:hAnsi="Arial" w:cs="Arial"/>
          <w:color w:val="000000" w:themeColor="text1"/>
          <w:sz w:val="22"/>
          <w:lang w:val="en-GB"/>
        </w:rPr>
        <w:t xml:space="preserve"> [Accessed: 23 July 2026]</w:t>
      </w:r>
    </w:p>
    <w:p w14:paraId="2E5E307C" w14:textId="77777777" w:rsidR="00A47915" w:rsidRPr="004C3966" w:rsidRDefault="00A47915"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NHS England Digital 2026. National Diabetes Audit Core Report 1: Care Processes and Treatment Targets 2024-25 Underlying data. </w:t>
      </w:r>
      <w:r w:rsidRPr="004C3966">
        <w:rPr>
          <w:rFonts w:ascii="Arial" w:hAnsi="Arial" w:cs="Arial"/>
          <w:i/>
          <w:color w:val="000000" w:themeColor="text1"/>
          <w:sz w:val="22"/>
          <w:lang w:val="en-GB"/>
        </w:rPr>
        <w:t>NHS England Digital</w:t>
      </w:r>
      <w:r w:rsidRPr="004C3966">
        <w:rPr>
          <w:rFonts w:ascii="Arial" w:hAnsi="Arial" w:cs="Arial"/>
          <w:color w:val="000000" w:themeColor="text1"/>
          <w:sz w:val="22"/>
          <w:lang w:val="en-GB"/>
        </w:rPr>
        <w:t xml:space="preserve">. Available at: </w:t>
      </w:r>
      <w:hyperlink r:id="rId37" w:history="1">
        <w:r w:rsidRPr="004C3966">
          <w:rPr>
            <w:rStyle w:val="Hyperlink"/>
            <w:rFonts w:ascii="Arial" w:hAnsi="Arial" w:cs="Arial"/>
            <w:color w:val="000000" w:themeColor="text1"/>
            <w:sz w:val="22"/>
            <w:lang w:val="en-GB"/>
          </w:rPr>
          <w:t>https://digital.nhs.uk/data-and-information/publications/statistical/national-diabetes-audit/report-1-cp-and-tt-data-release-2024-25/nda-report-1-cp-and-tt-data-release-2024-25</w:t>
        </w:r>
      </w:hyperlink>
      <w:r w:rsidRPr="004C3966">
        <w:rPr>
          <w:rFonts w:ascii="Arial" w:hAnsi="Arial" w:cs="Arial"/>
          <w:color w:val="000000" w:themeColor="text1"/>
          <w:sz w:val="22"/>
          <w:lang w:val="en-GB"/>
        </w:rPr>
        <w:t xml:space="preserve"> [Accessed: 23 July 2026]</w:t>
      </w:r>
    </w:p>
    <w:p w14:paraId="6E76E2A1"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Ooi, C.P., Mustafa, N. and Zainudin, S.B., 2025. Epidemiology of diabetes in Asia. </w:t>
      </w:r>
      <w:r w:rsidRPr="004C3966">
        <w:rPr>
          <w:rFonts w:ascii="Arial" w:hAnsi="Arial" w:cs="Arial"/>
          <w:i/>
          <w:iCs/>
          <w:color w:val="000000" w:themeColor="text1"/>
          <w:sz w:val="22"/>
          <w:lang w:val="en-GB"/>
        </w:rPr>
        <w:t>Frontiers in Clinical Diabetes and Healthcare</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6</w:t>
      </w:r>
      <w:r w:rsidRPr="004C3966">
        <w:rPr>
          <w:rFonts w:ascii="Arial" w:hAnsi="Arial" w:cs="Arial"/>
          <w:color w:val="000000" w:themeColor="text1"/>
          <w:sz w:val="22"/>
          <w:lang w:val="en-GB"/>
        </w:rPr>
        <w:t xml:space="preserve">, p.1732167. </w:t>
      </w:r>
      <w:hyperlink r:id="rId38" w:tgtFrame="_new" w:history="1">
        <w:r w:rsidRPr="004C3966">
          <w:rPr>
            <w:rStyle w:val="Hyperlink"/>
            <w:rFonts w:ascii="Arial" w:hAnsi="Arial" w:cs="Arial"/>
            <w:color w:val="000000" w:themeColor="text1"/>
            <w:sz w:val="22"/>
            <w:lang w:val="en-GB"/>
          </w:rPr>
          <w:t>https://pmc.ncbi.nlm.nih.gov/articles/PMC12847008/</w:t>
        </w:r>
      </w:hyperlink>
    </w:p>
    <w:p w14:paraId="61E135AB"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Rahim, E., Rahim, F.O., Anzaar, H.F., Lalwani, P., Jain, B., Desai, A. and Palakodeti, S., 2024. Culturally tailored strategies to enhance type 2 diabetes care for South Asians in the United States. </w:t>
      </w:r>
      <w:r w:rsidRPr="004C3966">
        <w:rPr>
          <w:rFonts w:ascii="Arial" w:hAnsi="Arial" w:cs="Arial"/>
          <w:i/>
          <w:iCs/>
          <w:color w:val="000000" w:themeColor="text1"/>
          <w:sz w:val="22"/>
          <w:lang w:val="en-GB"/>
        </w:rPr>
        <w:t>Journal of general internal medicine</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39</w:t>
      </w:r>
      <w:r w:rsidRPr="004C3966">
        <w:rPr>
          <w:rFonts w:ascii="Arial" w:hAnsi="Arial" w:cs="Arial"/>
          <w:color w:val="000000" w:themeColor="text1"/>
          <w:sz w:val="22"/>
          <w:lang w:val="en-GB"/>
        </w:rPr>
        <w:t>(13), pp.2560-2564.</w:t>
      </w:r>
      <w:r w:rsidRPr="004C3966">
        <w:rPr>
          <w:rFonts w:ascii="Arial" w:hAnsi="Arial" w:cs="Arial"/>
          <w:color w:val="000000" w:themeColor="text1"/>
          <w:sz w:val="22"/>
          <w:lang w:val="en-GB"/>
        </w:rPr>
        <w:br/>
      </w:r>
      <w:hyperlink r:id="rId39" w:tgtFrame="_new" w:history="1">
        <w:r w:rsidRPr="004C3966">
          <w:rPr>
            <w:rStyle w:val="Hyperlink"/>
            <w:rFonts w:ascii="Arial" w:hAnsi="Arial" w:cs="Arial"/>
            <w:color w:val="000000" w:themeColor="text1"/>
            <w:sz w:val="22"/>
            <w:lang w:val="en-GB"/>
          </w:rPr>
          <w:t>https://pmc.ncbi.nlm.nih.gov/articles/PMC11436665/</w:t>
        </w:r>
      </w:hyperlink>
    </w:p>
    <w:p w14:paraId="17D4D2A4"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Reed, J., Bain, S. and Kanamarlapudi, V., 2021. A review of current trends with type 2 diabetes epidemiology, aetiology, pathogenesis, treatments and future perspectives. </w:t>
      </w:r>
      <w:r w:rsidRPr="004C3966">
        <w:rPr>
          <w:rFonts w:ascii="Arial" w:hAnsi="Arial" w:cs="Arial"/>
          <w:i/>
          <w:iCs/>
          <w:color w:val="000000" w:themeColor="text1"/>
          <w:sz w:val="22"/>
          <w:lang w:val="en-GB"/>
        </w:rPr>
        <w:t>Diabetes, Metabolic Syndrome and Obesity</w:t>
      </w:r>
      <w:r w:rsidRPr="004C3966">
        <w:rPr>
          <w:rFonts w:ascii="Arial" w:hAnsi="Arial" w:cs="Arial"/>
          <w:color w:val="000000" w:themeColor="text1"/>
          <w:sz w:val="22"/>
          <w:lang w:val="en-GB"/>
        </w:rPr>
        <w:t xml:space="preserve">, pp.3567-3602. </w:t>
      </w:r>
      <w:hyperlink r:id="rId40" w:tgtFrame="_new" w:history="1">
        <w:r w:rsidRPr="004C3966">
          <w:rPr>
            <w:rStyle w:val="Hyperlink"/>
            <w:rFonts w:ascii="Arial" w:hAnsi="Arial" w:cs="Arial"/>
            <w:color w:val="000000" w:themeColor="text1"/>
            <w:sz w:val="22"/>
            <w:lang w:val="en-GB"/>
          </w:rPr>
          <w:t>https://pmc.ncbi.nlm.nih.gov/articles/PMC8369920/</w:t>
        </w:r>
      </w:hyperlink>
    </w:p>
    <w:p w14:paraId="5AA1982C"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Soeatmadji, D.W., Rosandi, R., Saraswati, M.R., Sibarani, R.P. and Tarigan, W.O., 2023. Clinicodemographic profile and outcomes of type 2 diabetes mellitus in the Indonesian cohort of DISCOVER: A 3-year prospective cohort study. </w:t>
      </w:r>
      <w:r w:rsidRPr="004C3966">
        <w:rPr>
          <w:rFonts w:ascii="Arial" w:hAnsi="Arial" w:cs="Arial"/>
          <w:i/>
          <w:iCs/>
          <w:color w:val="000000" w:themeColor="text1"/>
          <w:sz w:val="22"/>
          <w:lang w:val="en-GB"/>
        </w:rPr>
        <w:t>Journal of the ASEAN Federation of Endocrine Societies</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38</w:t>
      </w:r>
      <w:r w:rsidRPr="004C3966">
        <w:rPr>
          <w:rFonts w:ascii="Arial" w:hAnsi="Arial" w:cs="Arial"/>
          <w:color w:val="000000" w:themeColor="text1"/>
          <w:sz w:val="22"/>
          <w:lang w:val="en-GB"/>
        </w:rPr>
        <w:t xml:space="preserve">(1), p.68. </w:t>
      </w:r>
      <w:hyperlink r:id="rId41" w:tgtFrame="_new" w:history="1">
        <w:r w:rsidRPr="004C3966">
          <w:rPr>
            <w:rStyle w:val="Hyperlink"/>
            <w:rFonts w:ascii="Arial" w:hAnsi="Arial" w:cs="Arial"/>
            <w:color w:val="000000" w:themeColor="text1"/>
            <w:sz w:val="22"/>
            <w:lang w:val="en-GB"/>
          </w:rPr>
          <w:t>https://asean-endocrinejournal.org/index.php/JAFES/article/view/1917</w:t>
        </w:r>
      </w:hyperlink>
    </w:p>
    <w:p w14:paraId="0457AB7A"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van Niel, J., Geelhoed</w:t>
      </w:r>
      <w:r w:rsidRPr="004C3966">
        <w:rPr>
          <w:rFonts w:ascii="Cambria Math" w:hAnsi="Cambria Math" w:cs="Cambria Math"/>
          <w:color w:val="000000" w:themeColor="text1"/>
          <w:sz w:val="22"/>
          <w:lang w:val="en-GB"/>
        </w:rPr>
        <w:t>‐</w:t>
      </w:r>
      <w:r w:rsidRPr="004C3966">
        <w:rPr>
          <w:rFonts w:ascii="Arial" w:hAnsi="Arial" w:cs="Arial"/>
          <w:color w:val="000000" w:themeColor="text1"/>
          <w:sz w:val="22"/>
          <w:lang w:val="en-GB"/>
        </w:rPr>
        <w:t>Duijvestijn, P.H., Numans, M.E., Kharagjitsingh, A.V. and Vos, R.C., 2021. Type 2 diabetes in South Asians compared to Europeans: Higher risk and earlier development of major cardiovascular events irrespective of the presence and degree of retinopathy. Results from The HinDu The Hague Diabetes Study. </w:t>
      </w:r>
      <w:r w:rsidRPr="004C3966">
        <w:rPr>
          <w:rFonts w:ascii="Arial" w:hAnsi="Arial" w:cs="Arial"/>
          <w:i/>
          <w:iCs/>
          <w:color w:val="000000" w:themeColor="text1"/>
          <w:sz w:val="22"/>
          <w:lang w:val="en-GB"/>
        </w:rPr>
        <w:t>Endocrinology, diabetes &amp; metabolism</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4</w:t>
      </w:r>
      <w:r w:rsidRPr="004C3966">
        <w:rPr>
          <w:rFonts w:ascii="Arial" w:hAnsi="Arial" w:cs="Arial"/>
          <w:color w:val="000000" w:themeColor="text1"/>
          <w:sz w:val="22"/>
          <w:lang w:val="en-GB"/>
        </w:rPr>
        <w:t xml:space="preserve">(3), p.e00242. </w:t>
      </w:r>
      <w:hyperlink r:id="rId42" w:tgtFrame="_new" w:history="1">
        <w:r w:rsidRPr="004C3966">
          <w:rPr>
            <w:rStyle w:val="Hyperlink"/>
            <w:rFonts w:ascii="Arial" w:hAnsi="Arial" w:cs="Arial"/>
            <w:color w:val="000000" w:themeColor="text1"/>
            <w:sz w:val="22"/>
            <w:lang w:val="en-GB"/>
          </w:rPr>
          <w:t>https://pmc.ncbi.nlm.nih.gov/articles/PMC8279625/</w:t>
        </w:r>
      </w:hyperlink>
    </w:p>
    <w:p w14:paraId="325A127B"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Weerasinghe, J., Weerasinghe, L., Thirugnanasampanthar, V., Jayasooriya, P. and Lombardi, T., 2025. Cross-sectional study on proportions of type 2 diabetic patients presenting with oral candidal lesions. </w:t>
      </w:r>
      <w:r w:rsidRPr="004C3966">
        <w:rPr>
          <w:rFonts w:ascii="Arial" w:hAnsi="Arial" w:cs="Arial"/>
          <w:i/>
          <w:iCs/>
          <w:color w:val="000000" w:themeColor="text1"/>
          <w:sz w:val="22"/>
          <w:lang w:val="en-GB"/>
        </w:rPr>
        <w:t>Applied Sciences</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15</w:t>
      </w:r>
      <w:r w:rsidRPr="004C3966">
        <w:rPr>
          <w:rFonts w:ascii="Arial" w:hAnsi="Arial" w:cs="Arial"/>
          <w:color w:val="000000" w:themeColor="text1"/>
          <w:sz w:val="22"/>
          <w:lang w:val="en-GB"/>
        </w:rPr>
        <w:t xml:space="preserve">(10), p.5539. </w:t>
      </w:r>
      <w:hyperlink r:id="rId43" w:tgtFrame="_new" w:history="1">
        <w:r w:rsidRPr="004C3966">
          <w:rPr>
            <w:rStyle w:val="Hyperlink"/>
            <w:rFonts w:ascii="Arial" w:hAnsi="Arial" w:cs="Arial"/>
            <w:color w:val="000000" w:themeColor="text1"/>
            <w:sz w:val="22"/>
            <w:lang w:val="en-GB"/>
          </w:rPr>
          <w:t>https://www.mdpi.com/2076-3417/15/10/5539</w:t>
        </w:r>
      </w:hyperlink>
    </w:p>
    <w:p w14:paraId="4483C423" w14:textId="77777777" w:rsidR="00A47915" w:rsidRPr="004C3966" w:rsidRDefault="00A47915" w:rsidP="00DD173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lastRenderedPageBreak/>
        <w:t xml:space="preserve">World Health Organization, 2024. </w:t>
      </w:r>
      <w:r w:rsidRPr="004C3966">
        <w:rPr>
          <w:rFonts w:ascii="Arial" w:hAnsi="Arial" w:cs="Arial"/>
          <w:i/>
          <w:iCs/>
          <w:color w:val="000000" w:themeColor="text1"/>
          <w:sz w:val="22"/>
          <w:lang w:val="en-GB"/>
        </w:rPr>
        <w:t>Diabetes</w:t>
      </w:r>
      <w:r w:rsidRPr="004C3966">
        <w:rPr>
          <w:rFonts w:ascii="Arial" w:hAnsi="Arial" w:cs="Arial"/>
          <w:color w:val="000000" w:themeColor="text1"/>
          <w:sz w:val="22"/>
          <w:lang w:val="en-GB"/>
        </w:rPr>
        <w:t xml:space="preserve">. Available at: </w:t>
      </w:r>
      <w:hyperlink r:id="rId44" w:tgtFrame="_new" w:history="1">
        <w:r w:rsidRPr="004C3966">
          <w:rPr>
            <w:rStyle w:val="Hyperlink"/>
            <w:rFonts w:ascii="Arial" w:hAnsi="Arial" w:cs="Arial"/>
            <w:color w:val="000000" w:themeColor="text1"/>
            <w:sz w:val="22"/>
            <w:lang w:val="en-GB"/>
          </w:rPr>
          <w:t>https://www.who.int/news-room/fact-sheets/detail/diabetes</w:t>
        </w:r>
      </w:hyperlink>
      <w:r w:rsidRPr="004C3966">
        <w:rPr>
          <w:rFonts w:ascii="Arial" w:hAnsi="Arial" w:cs="Arial"/>
          <w:color w:val="000000" w:themeColor="text1"/>
          <w:sz w:val="22"/>
          <w:lang w:val="en-GB"/>
        </w:rPr>
        <w:t xml:space="preserve"> (Accessed: 22 March 2026).</w:t>
      </w:r>
    </w:p>
    <w:p w14:paraId="0E08492F" w14:textId="77777777" w:rsidR="00A47915" w:rsidRPr="004C3966" w:rsidRDefault="00A47915" w:rsidP="00DD173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World Heart Federation, 2023. </w:t>
      </w:r>
      <w:r w:rsidRPr="004C3966">
        <w:rPr>
          <w:rFonts w:ascii="Arial" w:hAnsi="Arial" w:cs="Arial"/>
          <w:i/>
          <w:iCs/>
          <w:color w:val="000000" w:themeColor="text1"/>
          <w:sz w:val="22"/>
          <w:lang w:val="en-GB"/>
        </w:rPr>
        <w:t>Diabetes and cardiovascular disease</w:t>
      </w:r>
      <w:r w:rsidRPr="004C3966">
        <w:rPr>
          <w:rFonts w:ascii="Arial" w:hAnsi="Arial" w:cs="Arial"/>
          <w:color w:val="000000" w:themeColor="text1"/>
          <w:sz w:val="22"/>
          <w:lang w:val="en-GB"/>
        </w:rPr>
        <w:t xml:space="preserve">. Available at: </w:t>
      </w:r>
      <w:hyperlink r:id="rId45" w:tgtFrame="_new" w:history="1">
        <w:r w:rsidRPr="004C3966">
          <w:rPr>
            <w:rStyle w:val="Hyperlink"/>
            <w:rFonts w:ascii="Arial" w:hAnsi="Arial" w:cs="Arial"/>
            <w:color w:val="000000" w:themeColor="text1"/>
            <w:sz w:val="22"/>
            <w:lang w:val="en-GB"/>
          </w:rPr>
          <w:t>https://world-heart-federation.org/what-we-do/diabetes/</w:t>
        </w:r>
      </w:hyperlink>
      <w:r w:rsidRPr="004C3966">
        <w:rPr>
          <w:rFonts w:ascii="Arial" w:hAnsi="Arial" w:cs="Arial"/>
          <w:color w:val="000000" w:themeColor="text1"/>
          <w:sz w:val="22"/>
          <w:lang w:val="en-GB"/>
        </w:rPr>
        <w:t xml:space="preserve"> (Accessed: 22 March 2026).</w:t>
      </w:r>
    </w:p>
    <w:p w14:paraId="6EEC5B13" w14:textId="77777777" w:rsidR="00A47915" w:rsidRPr="004C3966" w:rsidRDefault="00A47915"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Wu, Y., Li, D. and Vermund, S.H., 2024. Advantages and limitations of the body mass index (BMI) to assess adult obesity. International journal of environmental research and public health, 21(6), p.757. </w:t>
      </w:r>
      <w:hyperlink r:id="rId46" w:history="1">
        <w:r w:rsidRPr="004C3966">
          <w:rPr>
            <w:rStyle w:val="Hyperlink"/>
            <w:rFonts w:ascii="Arial" w:hAnsi="Arial" w:cs="Arial"/>
            <w:color w:val="000000" w:themeColor="text1"/>
            <w:sz w:val="22"/>
            <w:lang w:val="en-GB"/>
          </w:rPr>
          <w:t>https://doi.org/10.3390/ijerph21060757</w:t>
        </w:r>
      </w:hyperlink>
      <w:r w:rsidRPr="004C3966">
        <w:rPr>
          <w:rFonts w:ascii="Arial" w:hAnsi="Arial" w:cs="Arial"/>
          <w:color w:val="000000" w:themeColor="text1"/>
          <w:sz w:val="22"/>
          <w:lang w:val="en-GB"/>
        </w:rPr>
        <w:t xml:space="preserve"> </w:t>
      </w:r>
    </w:p>
    <w:p w14:paraId="7C6EE148" w14:textId="77777777" w:rsidR="00A47915" w:rsidRPr="004C3966" w:rsidRDefault="00A47915" w:rsidP="00DE6363">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Xu, Z., Liu, M., Chen, M., Shen, X., Hao, X., Yun, Q., Zheng, Y., Cui, Y., Qiao, J. and Wang, F., 2026. Global, Regional, and National Prevalence for Type 2 Diabetes Among Women of Childbearing Age, 1992–2021: An Age–Period–Cohort Analysis Based on the Global Burden of Disease Study 2021. </w:t>
      </w:r>
      <w:r w:rsidRPr="004C3966">
        <w:rPr>
          <w:rFonts w:ascii="Arial" w:hAnsi="Arial" w:cs="Arial"/>
          <w:i/>
          <w:iCs/>
          <w:color w:val="000000" w:themeColor="text1"/>
          <w:sz w:val="22"/>
          <w:lang w:val="en-GB"/>
        </w:rPr>
        <w:t>Journal of Diabetes Research</w:t>
      </w:r>
      <w:r w:rsidRPr="004C3966">
        <w:rPr>
          <w:rFonts w:ascii="Arial" w:hAnsi="Arial" w:cs="Arial"/>
          <w:color w:val="000000" w:themeColor="text1"/>
          <w:sz w:val="22"/>
          <w:lang w:val="en-GB"/>
        </w:rPr>
        <w:t>, </w:t>
      </w:r>
      <w:r w:rsidRPr="004C3966">
        <w:rPr>
          <w:rFonts w:ascii="Arial" w:hAnsi="Arial" w:cs="Arial"/>
          <w:i/>
          <w:iCs/>
          <w:color w:val="000000" w:themeColor="text1"/>
          <w:sz w:val="22"/>
          <w:lang w:val="en-GB"/>
        </w:rPr>
        <w:t>2026</w:t>
      </w:r>
      <w:r w:rsidRPr="004C3966">
        <w:rPr>
          <w:rFonts w:ascii="Arial" w:hAnsi="Arial" w:cs="Arial"/>
          <w:color w:val="000000" w:themeColor="text1"/>
          <w:sz w:val="22"/>
          <w:lang w:val="en-GB"/>
        </w:rPr>
        <w:t>(1), p.2197672.</w:t>
      </w:r>
      <w:r w:rsidRPr="004C3966">
        <w:rPr>
          <w:rFonts w:ascii="Arial" w:hAnsi="Arial" w:cs="Arial"/>
          <w:color w:val="000000" w:themeColor="text1"/>
          <w:sz w:val="22"/>
          <w:lang w:val="en-GB"/>
        </w:rPr>
        <w:br/>
      </w:r>
      <w:hyperlink r:id="rId47" w:tgtFrame="_new" w:history="1">
        <w:r w:rsidRPr="004C3966">
          <w:rPr>
            <w:rStyle w:val="Hyperlink"/>
            <w:rFonts w:ascii="Arial" w:hAnsi="Arial" w:cs="Arial"/>
            <w:color w:val="000000" w:themeColor="text1"/>
            <w:sz w:val="22"/>
            <w:lang w:val="en-GB"/>
          </w:rPr>
          <w:t>https://pmc.ncbi.nlm.nih.gov/articles/PMC12853072/</w:t>
        </w:r>
      </w:hyperlink>
    </w:p>
    <w:p w14:paraId="44C59140" w14:textId="77777777" w:rsidR="00A47915" w:rsidRPr="004C3966" w:rsidRDefault="00A47915" w:rsidP="00A47915">
      <w:pPr>
        <w:spacing w:line="360" w:lineRule="auto"/>
        <w:jc w:val="both"/>
        <w:rPr>
          <w:rFonts w:ascii="Arial" w:hAnsi="Arial" w:cs="Arial"/>
          <w:color w:val="000000" w:themeColor="text1"/>
          <w:sz w:val="22"/>
          <w:lang w:val="en-GB"/>
        </w:rPr>
      </w:pPr>
      <w:r w:rsidRPr="004C3966">
        <w:rPr>
          <w:rFonts w:ascii="Arial" w:hAnsi="Arial" w:cs="Arial"/>
          <w:color w:val="000000" w:themeColor="text1"/>
          <w:sz w:val="22"/>
          <w:lang w:val="en-GB"/>
        </w:rPr>
        <w:t xml:space="preserve">Zhao, X., An, X., Yang, C., Sun, W., Ji, H. and Lian, F., 2023. The crucial role and mechanism of insulin resistance in metabolic disease. Frontiers in endocrinology, 14, p.1149239. </w:t>
      </w:r>
      <w:hyperlink r:id="rId48" w:history="1">
        <w:r w:rsidRPr="004C3966">
          <w:rPr>
            <w:rStyle w:val="Hyperlink"/>
            <w:rFonts w:ascii="Arial" w:hAnsi="Arial" w:cs="Arial"/>
            <w:color w:val="000000" w:themeColor="text1"/>
            <w:sz w:val="22"/>
            <w:lang w:val="en-GB"/>
          </w:rPr>
          <w:t>https://doi.org/10.3389/fendo.2023.1149239</w:t>
        </w:r>
      </w:hyperlink>
      <w:r w:rsidRPr="004C3966">
        <w:rPr>
          <w:rFonts w:ascii="Arial" w:hAnsi="Arial" w:cs="Arial"/>
          <w:color w:val="000000" w:themeColor="text1"/>
          <w:sz w:val="22"/>
          <w:lang w:val="en-GB"/>
        </w:rPr>
        <w:t xml:space="preserve"> </w:t>
      </w:r>
    </w:p>
    <w:p w14:paraId="0449B19C" w14:textId="77777777" w:rsidR="00DD1735" w:rsidRPr="004C3966" w:rsidRDefault="00DD1735" w:rsidP="00DE6363">
      <w:pPr>
        <w:spacing w:line="360" w:lineRule="auto"/>
        <w:jc w:val="both"/>
        <w:rPr>
          <w:rFonts w:ascii="Arial" w:hAnsi="Arial" w:cs="Arial"/>
          <w:color w:val="000000" w:themeColor="text1"/>
          <w:lang w:val="en-GB"/>
        </w:rPr>
      </w:pPr>
    </w:p>
    <w:sectPr w:rsidR="00DD1735" w:rsidRPr="004C3966" w:rsidSect="00DE6363">
      <w:footerReference w:type="default" r:id="rId4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0BE71" w14:textId="77777777" w:rsidR="003F6EC0" w:rsidRDefault="003F6EC0" w:rsidP="00DE6363">
      <w:pPr>
        <w:spacing w:after="0" w:line="240" w:lineRule="auto"/>
      </w:pPr>
      <w:r>
        <w:separator/>
      </w:r>
    </w:p>
  </w:endnote>
  <w:endnote w:type="continuationSeparator" w:id="0">
    <w:p w14:paraId="0EE751FC" w14:textId="77777777" w:rsidR="003F6EC0" w:rsidRDefault="003F6EC0" w:rsidP="00DE6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060273"/>
      <w:docPartObj>
        <w:docPartGallery w:val="Page Numbers (Bottom of Page)"/>
        <w:docPartUnique/>
      </w:docPartObj>
    </w:sdtPr>
    <w:sdtEndPr>
      <w:rPr>
        <w:rFonts w:ascii="Arial" w:hAnsi="Arial" w:cs="Arial"/>
        <w:noProof/>
        <w:sz w:val="20"/>
        <w:szCs w:val="20"/>
      </w:rPr>
    </w:sdtEndPr>
    <w:sdtContent>
      <w:p w14:paraId="0D030229" w14:textId="2AD73851" w:rsidR="006A65AB" w:rsidRPr="00E1696F" w:rsidRDefault="006A65AB">
        <w:pPr>
          <w:pStyle w:val="Footer"/>
          <w:jc w:val="right"/>
          <w:rPr>
            <w:rFonts w:ascii="Arial" w:hAnsi="Arial" w:cs="Arial"/>
            <w:sz w:val="20"/>
            <w:szCs w:val="20"/>
          </w:rPr>
        </w:pPr>
        <w:r w:rsidRPr="00E1696F">
          <w:rPr>
            <w:rFonts w:ascii="Arial" w:hAnsi="Arial" w:cs="Arial"/>
            <w:sz w:val="20"/>
            <w:szCs w:val="20"/>
          </w:rPr>
          <w:fldChar w:fldCharType="begin"/>
        </w:r>
        <w:r w:rsidRPr="00E1696F">
          <w:rPr>
            <w:rFonts w:ascii="Arial" w:hAnsi="Arial" w:cs="Arial"/>
            <w:sz w:val="20"/>
            <w:szCs w:val="20"/>
          </w:rPr>
          <w:instrText xml:space="preserve"> PAGE   \* MERGEFORMAT </w:instrText>
        </w:r>
        <w:r w:rsidRPr="00E1696F">
          <w:rPr>
            <w:rFonts w:ascii="Arial" w:hAnsi="Arial" w:cs="Arial"/>
            <w:sz w:val="20"/>
            <w:szCs w:val="20"/>
          </w:rPr>
          <w:fldChar w:fldCharType="separate"/>
        </w:r>
        <w:r w:rsidR="002F763A">
          <w:rPr>
            <w:rFonts w:ascii="Arial" w:hAnsi="Arial" w:cs="Arial"/>
            <w:noProof/>
            <w:sz w:val="20"/>
            <w:szCs w:val="20"/>
          </w:rPr>
          <w:t>2</w:t>
        </w:r>
        <w:r w:rsidRPr="00E1696F">
          <w:rPr>
            <w:rFonts w:ascii="Arial" w:hAnsi="Arial" w:cs="Arial"/>
            <w:noProof/>
            <w:sz w:val="20"/>
            <w:szCs w:val="20"/>
          </w:rPr>
          <w:fldChar w:fldCharType="end"/>
        </w:r>
      </w:p>
    </w:sdtContent>
  </w:sdt>
  <w:p w14:paraId="56B870C2" w14:textId="77777777" w:rsidR="006A65AB" w:rsidRDefault="006A65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63AD7" w14:textId="77777777" w:rsidR="003F6EC0" w:rsidRDefault="003F6EC0" w:rsidP="00DE6363">
      <w:pPr>
        <w:spacing w:after="0" w:line="240" w:lineRule="auto"/>
      </w:pPr>
      <w:r>
        <w:separator/>
      </w:r>
    </w:p>
  </w:footnote>
  <w:footnote w:type="continuationSeparator" w:id="0">
    <w:p w14:paraId="2073F5F9" w14:textId="77777777" w:rsidR="003F6EC0" w:rsidRDefault="003F6EC0" w:rsidP="00DE63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661A4"/>
    <w:rsid w:val="0003711A"/>
    <w:rsid w:val="00075A16"/>
    <w:rsid w:val="000762E2"/>
    <w:rsid w:val="0008523F"/>
    <w:rsid w:val="000A755A"/>
    <w:rsid w:val="000A7BB9"/>
    <w:rsid w:val="000C5E84"/>
    <w:rsid w:val="00114829"/>
    <w:rsid w:val="00124769"/>
    <w:rsid w:val="00130CD8"/>
    <w:rsid w:val="00172134"/>
    <w:rsid w:val="00191760"/>
    <w:rsid w:val="001C67C2"/>
    <w:rsid w:val="001E44AD"/>
    <w:rsid w:val="00213D5B"/>
    <w:rsid w:val="00221F07"/>
    <w:rsid w:val="002278B1"/>
    <w:rsid w:val="002330F6"/>
    <w:rsid w:val="00254F10"/>
    <w:rsid w:val="00260037"/>
    <w:rsid w:val="00260D02"/>
    <w:rsid w:val="00261242"/>
    <w:rsid w:val="00272D14"/>
    <w:rsid w:val="00281631"/>
    <w:rsid w:val="002B4EB8"/>
    <w:rsid w:val="002C619B"/>
    <w:rsid w:val="002E7629"/>
    <w:rsid w:val="002F32DB"/>
    <w:rsid w:val="002F763A"/>
    <w:rsid w:val="00334B4A"/>
    <w:rsid w:val="00343E0F"/>
    <w:rsid w:val="003F6EC0"/>
    <w:rsid w:val="00433A72"/>
    <w:rsid w:val="0045074C"/>
    <w:rsid w:val="00480999"/>
    <w:rsid w:val="0049097E"/>
    <w:rsid w:val="004935FE"/>
    <w:rsid w:val="004B21C1"/>
    <w:rsid w:val="004C3966"/>
    <w:rsid w:val="005101F3"/>
    <w:rsid w:val="00525C97"/>
    <w:rsid w:val="00565FD8"/>
    <w:rsid w:val="00591AC5"/>
    <w:rsid w:val="0059331C"/>
    <w:rsid w:val="005D334E"/>
    <w:rsid w:val="00624066"/>
    <w:rsid w:val="006373CF"/>
    <w:rsid w:val="00665E1B"/>
    <w:rsid w:val="00695BCF"/>
    <w:rsid w:val="006A65AB"/>
    <w:rsid w:val="006D1385"/>
    <w:rsid w:val="006D38EA"/>
    <w:rsid w:val="006D7CBC"/>
    <w:rsid w:val="006F0247"/>
    <w:rsid w:val="0071374C"/>
    <w:rsid w:val="00735C23"/>
    <w:rsid w:val="00742F77"/>
    <w:rsid w:val="00746246"/>
    <w:rsid w:val="00753323"/>
    <w:rsid w:val="00755B84"/>
    <w:rsid w:val="007B7E82"/>
    <w:rsid w:val="00841845"/>
    <w:rsid w:val="0087201E"/>
    <w:rsid w:val="008900D2"/>
    <w:rsid w:val="008E64FD"/>
    <w:rsid w:val="009451C5"/>
    <w:rsid w:val="0096553B"/>
    <w:rsid w:val="009A33A0"/>
    <w:rsid w:val="009B5168"/>
    <w:rsid w:val="009C7D9F"/>
    <w:rsid w:val="00A0216B"/>
    <w:rsid w:val="00A20F92"/>
    <w:rsid w:val="00A47915"/>
    <w:rsid w:val="00A6773A"/>
    <w:rsid w:val="00AA2411"/>
    <w:rsid w:val="00AD1B71"/>
    <w:rsid w:val="00B56AFB"/>
    <w:rsid w:val="00B661A4"/>
    <w:rsid w:val="00B71E7E"/>
    <w:rsid w:val="00B95305"/>
    <w:rsid w:val="00BB0DB9"/>
    <w:rsid w:val="00C039D1"/>
    <w:rsid w:val="00C045B1"/>
    <w:rsid w:val="00C10DB3"/>
    <w:rsid w:val="00C24F16"/>
    <w:rsid w:val="00C77785"/>
    <w:rsid w:val="00C8450C"/>
    <w:rsid w:val="00C9010E"/>
    <w:rsid w:val="00CB2D9F"/>
    <w:rsid w:val="00CC32E2"/>
    <w:rsid w:val="00CD01A9"/>
    <w:rsid w:val="00CD6253"/>
    <w:rsid w:val="00CF43BF"/>
    <w:rsid w:val="00D11451"/>
    <w:rsid w:val="00D51AD9"/>
    <w:rsid w:val="00D53D5B"/>
    <w:rsid w:val="00D60BC8"/>
    <w:rsid w:val="00D978A0"/>
    <w:rsid w:val="00DA5F2B"/>
    <w:rsid w:val="00DB05DD"/>
    <w:rsid w:val="00DD1735"/>
    <w:rsid w:val="00DE61F6"/>
    <w:rsid w:val="00DE6363"/>
    <w:rsid w:val="00E12A2F"/>
    <w:rsid w:val="00E1696F"/>
    <w:rsid w:val="00E50E72"/>
    <w:rsid w:val="00E8156D"/>
    <w:rsid w:val="00E849FC"/>
    <w:rsid w:val="00EE3845"/>
    <w:rsid w:val="00EE56A8"/>
    <w:rsid w:val="00F03D35"/>
    <w:rsid w:val="00F57395"/>
    <w:rsid w:val="00F611A0"/>
    <w:rsid w:val="00FA2FE4"/>
    <w:rsid w:val="00FB3EF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9E94"/>
  <w15:docId w15:val="{6A1DFBD2-72F3-44CC-82EA-CE2078C8B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1A4"/>
    <w:rPr>
      <w:rFonts w:ascii="Times New Roman" w:hAnsi="Times New Roman" w:cs="Times New Roman"/>
      <w:sz w:val="24"/>
      <w:szCs w:val="24"/>
    </w:rPr>
  </w:style>
  <w:style w:type="paragraph" w:styleId="Heading1">
    <w:name w:val="heading 1"/>
    <w:basedOn w:val="Normal"/>
    <w:next w:val="Normal"/>
    <w:link w:val="Heading1Char"/>
    <w:uiPriority w:val="9"/>
    <w:qFormat/>
    <w:rsid w:val="00C8450C"/>
    <w:pPr>
      <w:jc w:val="both"/>
      <w:outlineLvl w:val="0"/>
    </w:pPr>
    <w:rPr>
      <w:b/>
      <w:bCs/>
    </w:rPr>
  </w:style>
  <w:style w:type="paragraph" w:styleId="Heading2">
    <w:name w:val="heading 2"/>
    <w:basedOn w:val="Normal"/>
    <w:next w:val="Normal"/>
    <w:link w:val="Heading2Char"/>
    <w:uiPriority w:val="9"/>
    <w:unhideWhenUsed/>
    <w:qFormat/>
    <w:rsid w:val="006D7CBC"/>
    <w:pPr>
      <w:spacing w:line="360" w:lineRule="auto"/>
      <w:jc w:val="both"/>
      <w:outlineLvl w:val="1"/>
    </w:pPr>
    <w:rPr>
      <w:b/>
      <w:bCs/>
      <w:lang w:val="en-GB"/>
    </w:rPr>
  </w:style>
  <w:style w:type="paragraph" w:styleId="Heading3">
    <w:name w:val="heading 3"/>
    <w:basedOn w:val="Heading2"/>
    <w:next w:val="Normal"/>
    <w:link w:val="Heading3Char"/>
    <w:uiPriority w:val="9"/>
    <w:unhideWhenUsed/>
    <w:qFormat/>
    <w:rsid w:val="006D7CBC"/>
    <w:pPr>
      <w:outlineLvl w:val="2"/>
    </w:pPr>
  </w:style>
  <w:style w:type="paragraph" w:styleId="Heading4">
    <w:name w:val="heading 4"/>
    <w:basedOn w:val="Normal"/>
    <w:next w:val="Normal"/>
    <w:link w:val="Heading4Char"/>
    <w:uiPriority w:val="9"/>
    <w:semiHidden/>
    <w:unhideWhenUsed/>
    <w:qFormat/>
    <w:rsid w:val="00B661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61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61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1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1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1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50C"/>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6D7CBC"/>
    <w:rPr>
      <w:rFonts w:ascii="Times New Roman" w:hAnsi="Times New Roman" w:cs="Times New Roman"/>
      <w:b/>
      <w:bCs/>
      <w:sz w:val="24"/>
      <w:szCs w:val="24"/>
      <w:lang w:val="en-GB"/>
    </w:rPr>
  </w:style>
  <w:style w:type="character" w:customStyle="1" w:styleId="Heading3Char">
    <w:name w:val="Heading 3 Char"/>
    <w:basedOn w:val="DefaultParagraphFont"/>
    <w:link w:val="Heading3"/>
    <w:uiPriority w:val="9"/>
    <w:rsid w:val="006D7CBC"/>
    <w:rPr>
      <w:rFonts w:ascii="Times New Roman" w:hAnsi="Times New Roman" w:cs="Times New Roman"/>
      <w:b/>
      <w:bCs/>
      <w:sz w:val="24"/>
      <w:szCs w:val="24"/>
      <w:lang w:val="en-GB"/>
    </w:rPr>
  </w:style>
  <w:style w:type="character" w:customStyle="1" w:styleId="Heading4Char">
    <w:name w:val="Heading 4 Char"/>
    <w:basedOn w:val="DefaultParagraphFont"/>
    <w:link w:val="Heading4"/>
    <w:uiPriority w:val="9"/>
    <w:semiHidden/>
    <w:rsid w:val="00B661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61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61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1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1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1A4"/>
    <w:rPr>
      <w:rFonts w:eastAsiaTheme="majorEastAsia" w:cstheme="majorBidi"/>
      <w:color w:val="272727" w:themeColor="text1" w:themeTint="D8"/>
    </w:rPr>
  </w:style>
  <w:style w:type="paragraph" w:styleId="Title">
    <w:name w:val="Title"/>
    <w:basedOn w:val="Normal"/>
    <w:next w:val="Normal"/>
    <w:link w:val="TitleChar"/>
    <w:uiPriority w:val="10"/>
    <w:qFormat/>
    <w:rsid w:val="00B661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1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1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1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1A4"/>
    <w:pPr>
      <w:spacing w:before="160"/>
      <w:jc w:val="center"/>
    </w:pPr>
    <w:rPr>
      <w:i/>
      <w:iCs/>
      <w:color w:val="404040" w:themeColor="text1" w:themeTint="BF"/>
    </w:rPr>
  </w:style>
  <w:style w:type="character" w:customStyle="1" w:styleId="QuoteChar">
    <w:name w:val="Quote Char"/>
    <w:basedOn w:val="DefaultParagraphFont"/>
    <w:link w:val="Quote"/>
    <w:uiPriority w:val="29"/>
    <w:rsid w:val="00B661A4"/>
    <w:rPr>
      <w:i/>
      <w:iCs/>
      <w:color w:val="404040" w:themeColor="text1" w:themeTint="BF"/>
    </w:rPr>
  </w:style>
  <w:style w:type="paragraph" w:styleId="ListParagraph">
    <w:name w:val="List Paragraph"/>
    <w:basedOn w:val="Normal"/>
    <w:uiPriority w:val="34"/>
    <w:qFormat/>
    <w:rsid w:val="00B661A4"/>
    <w:pPr>
      <w:ind w:left="720"/>
      <w:contextualSpacing/>
    </w:pPr>
  </w:style>
  <w:style w:type="character" w:styleId="IntenseEmphasis">
    <w:name w:val="Intense Emphasis"/>
    <w:basedOn w:val="DefaultParagraphFont"/>
    <w:uiPriority w:val="21"/>
    <w:qFormat/>
    <w:rsid w:val="00B661A4"/>
    <w:rPr>
      <w:i/>
      <w:iCs/>
      <w:color w:val="2F5496" w:themeColor="accent1" w:themeShade="BF"/>
    </w:rPr>
  </w:style>
  <w:style w:type="paragraph" w:styleId="IntenseQuote">
    <w:name w:val="Intense Quote"/>
    <w:basedOn w:val="Normal"/>
    <w:next w:val="Normal"/>
    <w:link w:val="IntenseQuoteChar"/>
    <w:uiPriority w:val="30"/>
    <w:qFormat/>
    <w:rsid w:val="00B661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61A4"/>
    <w:rPr>
      <w:i/>
      <w:iCs/>
      <w:color w:val="2F5496" w:themeColor="accent1" w:themeShade="BF"/>
    </w:rPr>
  </w:style>
  <w:style w:type="character" w:styleId="IntenseReference">
    <w:name w:val="Intense Reference"/>
    <w:basedOn w:val="DefaultParagraphFont"/>
    <w:uiPriority w:val="32"/>
    <w:qFormat/>
    <w:rsid w:val="00B661A4"/>
    <w:rPr>
      <w:b/>
      <w:bCs/>
      <w:smallCaps/>
      <w:color w:val="2F5496" w:themeColor="accent1" w:themeShade="BF"/>
      <w:spacing w:val="5"/>
    </w:rPr>
  </w:style>
  <w:style w:type="character" w:styleId="Hyperlink">
    <w:name w:val="Hyperlink"/>
    <w:basedOn w:val="DefaultParagraphFont"/>
    <w:uiPriority w:val="99"/>
    <w:unhideWhenUsed/>
    <w:rsid w:val="00B661A4"/>
    <w:rPr>
      <w:color w:val="0563C1" w:themeColor="hyperlink"/>
      <w:u w:val="single"/>
    </w:rPr>
  </w:style>
  <w:style w:type="paragraph" w:styleId="TOCHeading">
    <w:name w:val="TOC Heading"/>
    <w:basedOn w:val="Heading1"/>
    <w:next w:val="Normal"/>
    <w:uiPriority w:val="39"/>
    <w:unhideWhenUsed/>
    <w:qFormat/>
    <w:rsid w:val="00DE6363"/>
    <w:pPr>
      <w:keepNext/>
      <w:keepLines/>
      <w:spacing w:before="240" w:after="0"/>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E6363"/>
    <w:pPr>
      <w:spacing w:after="100"/>
    </w:pPr>
  </w:style>
  <w:style w:type="paragraph" w:styleId="TOC2">
    <w:name w:val="toc 2"/>
    <w:basedOn w:val="Normal"/>
    <w:next w:val="Normal"/>
    <w:autoRedefine/>
    <w:uiPriority w:val="39"/>
    <w:unhideWhenUsed/>
    <w:rsid w:val="00DE6363"/>
    <w:pPr>
      <w:spacing w:after="100"/>
      <w:ind w:left="240"/>
    </w:pPr>
  </w:style>
  <w:style w:type="paragraph" w:styleId="Header">
    <w:name w:val="header"/>
    <w:basedOn w:val="Normal"/>
    <w:link w:val="HeaderChar"/>
    <w:uiPriority w:val="99"/>
    <w:unhideWhenUsed/>
    <w:rsid w:val="00DE6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363"/>
    <w:rPr>
      <w:rFonts w:ascii="Times New Roman" w:hAnsi="Times New Roman" w:cs="Times New Roman"/>
      <w:sz w:val="24"/>
      <w:szCs w:val="24"/>
    </w:rPr>
  </w:style>
  <w:style w:type="paragraph" w:styleId="Footer">
    <w:name w:val="footer"/>
    <w:basedOn w:val="Normal"/>
    <w:link w:val="FooterChar"/>
    <w:uiPriority w:val="99"/>
    <w:unhideWhenUsed/>
    <w:rsid w:val="00DE6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363"/>
    <w:rPr>
      <w:rFonts w:ascii="Times New Roman" w:hAnsi="Times New Roman" w:cs="Times New Roman"/>
      <w:sz w:val="24"/>
      <w:szCs w:val="24"/>
    </w:rPr>
  </w:style>
  <w:style w:type="character" w:customStyle="1" w:styleId="UnresolvedMention1">
    <w:name w:val="Unresolved Mention1"/>
    <w:basedOn w:val="DefaultParagraphFont"/>
    <w:uiPriority w:val="99"/>
    <w:semiHidden/>
    <w:unhideWhenUsed/>
    <w:rsid w:val="00DD1735"/>
    <w:rPr>
      <w:color w:val="605E5C"/>
      <w:shd w:val="clear" w:color="auto" w:fill="E1DFDD"/>
    </w:rPr>
  </w:style>
  <w:style w:type="character" w:styleId="CommentReference">
    <w:name w:val="annotation reference"/>
    <w:basedOn w:val="DefaultParagraphFont"/>
    <w:uiPriority w:val="99"/>
    <w:semiHidden/>
    <w:unhideWhenUsed/>
    <w:rsid w:val="00260037"/>
    <w:rPr>
      <w:sz w:val="16"/>
      <w:szCs w:val="16"/>
    </w:rPr>
  </w:style>
  <w:style w:type="paragraph" w:styleId="CommentText">
    <w:name w:val="annotation text"/>
    <w:basedOn w:val="Normal"/>
    <w:link w:val="CommentTextChar"/>
    <w:uiPriority w:val="99"/>
    <w:unhideWhenUsed/>
    <w:rsid w:val="00260037"/>
    <w:pPr>
      <w:spacing w:line="240" w:lineRule="auto"/>
    </w:pPr>
    <w:rPr>
      <w:sz w:val="20"/>
      <w:szCs w:val="20"/>
    </w:rPr>
  </w:style>
  <w:style w:type="character" w:customStyle="1" w:styleId="CommentTextChar">
    <w:name w:val="Comment Text Char"/>
    <w:basedOn w:val="DefaultParagraphFont"/>
    <w:link w:val="CommentText"/>
    <w:uiPriority w:val="99"/>
    <w:rsid w:val="00260037"/>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60037"/>
    <w:rPr>
      <w:b/>
      <w:bCs/>
    </w:rPr>
  </w:style>
  <w:style w:type="character" w:customStyle="1" w:styleId="CommentSubjectChar">
    <w:name w:val="Comment Subject Char"/>
    <w:basedOn w:val="CommentTextChar"/>
    <w:link w:val="CommentSubject"/>
    <w:uiPriority w:val="99"/>
    <w:semiHidden/>
    <w:rsid w:val="00260037"/>
    <w:rPr>
      <w:rFonts w:ascii="Times New Roman" w:hAnsi="Times New Roman" w:cs="Times New Roman"/>
      <w:b/>
      <w:bCs/>
      <w:sz w:val="20"/>
      <w:szCs w:val="20"/>
    </w:rPr>
  </w:style>
  <w:style w:type="paragraph" w:styleId="BalloonText">
    <w:name w:val="Balloon Text"/>
    <w:basedOn w:val="Normal"/>
    <w:link w:val="BalloonTextChar"/>
    <w:uiPriority w:val="99"/>
    <w:semiHidden/>
    <w:unhideWhenUsed/>
    <w:rsid w:val="002E76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7629"/>
    <w:rPr>
      <w:rFonts w:ascii="Tahoma" w:hAnsi="Tahoma" w:cs="Tahoma"/>
      <w:sz w:val="16"/>
      <w:szCs w:val="16"/>
    </w:rPr>
  </w:style>
  <w:style w:type="paragraph" w:styleId="NormalWeb">
    <w:name w:val="Normal (Web)"/>
    <w:basedOn w:val="Normal"/>
    <w:uiPriority w:val="99"/>
    <w:unhideWhenUsed/>
    <w:rsid w:val="00665E1B"/>
    <w:pPr>
      <w:spacing w:before="100" w:beforeAutospacing="1" w:after="100" w:afterAutospacing="1" w:line="240" w:lineRule="auto"/>
    </w:pPr>
    <w:rPr>
      <w:rFonts w:eastAsia="Times New Roman"/>
      <w:kern w:val="0"/>
      <w:lang w:eastAsia="en-IN"/>
      <w14:ligatures w14:val="none"/>
    </w:rPr>
  </w:style>
  <w:style w:type="paragraph" w:styleId="TOC3">
    <w:name w:val="toc 3"/>
    <w:basedOn w:val="Normal"/>
    <w:next w:val="Normal"/>
    <w:autoRedefine/>
    <w:uiPriority w:val="39"/>
    <w:unhideWhenUsed/>
    <w:rsid w:val="008E64F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150202">
      <w:bodyDiv w:val="1"/>
      <w:marLeft w:val="0"/>
      <w:marRight w:val="0"/>
      <w:marTop w:val="0"/>
      <w:marBottom w:val="0"/>
      <w:divBdr>
        <w:top w:val="none" w:sz="0" w:space="0" w:color="auto"/>
        <w:left w:val="none" w:sz="0" w:space="0" w:color="auto"/>
        <w:bottom w:val="none" w:sz="0" w:space="0" w:color="auto"/>
        <w:right w:val="none" w:sz="0" w:space="0" w:color="auto"/>
      </w:divBdr>
    </w:div>
    <w:div w:id="186918783">
      <w:bodyDiv w:val="1"/>
      <w:marLeft w:val="0"/>
      <w:marRight w:val="0"/>
      <w:marTop w:val="0"/>
      <w:marBottom w:val="0"/>
      <w:divBdr>
        <w:top w:val="none" w:sz="0" w:space="0" w:color="auto"/>
        <w:left w:val="none" w:sz="0" w:space="0" w:color="auto"/>
        <w:bottom w:val="none" w:sz="0" w:space="0" w:color="auto"/>
        <w:right w:val="none" w:sz="0" w:space="0" w:color="auto"/>
      </w:divBdr>
    </w:div>
    <w:div w:id="209079918">
      <w:bodyDiv w:val="1"/>
      <w:marLeft w:val="0"/>
      <w:marRight w:val="0"/>
      <w:marTop w:val="0"/>
      <w:marBottom w:val="0"/>
      <w:divBdr>
        <w:top w:val="none" w:sz="0" w:space="0" w:color="auto"/>
        <w:left w:val="none" w:sz="0" w:space="0" w:color="auto"/>
        <w:bottom w:val="none" w:sz="0" w:space="0" w:color="auto"/>
        <w:right w:val="none" w:sz="0" w:space="0" w:color="auto"/>
      </w:divBdr>
    </w:div>
    <w:div w:id="387919115">
      <w:bodyDiv w:val="1"/>
      <w:marLeft w:val="0"/>
      <w:marRight w:val="0"/>
      <w:marTop w:val="0"/>
      <w:marBottom w:val="0"/>
      <w:divBdr>
        <w:top w:val="none" w:sz="0" w:space="0" w:color="auto"/>
        <w:left w:val="none" w:sz="0" w:space="0" w:color="auto"/>
        <w:bottom w:val="none" w:sz="0" w:space="0" w:color="auto"/>
        <w:right w:val="none" w:sz="0" w:space="0" w:color="auto"/>
      </w:divBdr>
    </w:div>
    <w:div w:id="531693958">
      <w:bodyDiv w:val="1"/>
      <w:marLeft w:val="0"/>
      <w:marRight w:val="0"/>
      <w:marTop w:val="0"/>
      <w:marBottom w:val="0"/>
      <w:divBdr>
        <w:top w:val="none" w:sz="0" w:space="0" w:color="auto"/>
        <w:left w:val="none" w:sz="0" w:space="0" w:color="auto"/>
        <w:bottom w:val="none" w:sz="0" w:space="0" w:color="auto"/>
        <w:right w:val="none" w:sz="0" w:space="0" w:color="auto"/>
      </w:divBdr>
    </w:div>
    <w:div w:id="618531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0644565/" TargetMode="External"/><Relationship Id="rId18" Type="http://schemas.openxmlformats.org/officeDocument/2006/relationships/hyperlink" Target="https://www.ons.gov.uk/visualisations/labourmarketlocal/E09000030/" TargetMode="External"/><Relationship Id="rId26" Type="http://schemas.openxmlformats.org/officeDocument/2006/relationships/hyperlink" Target="https://pmc.ncbi.nlm.nih.gov/articles/PMC12676139/" TargetMode="External"/><Relationship Id="rId39" Type="http://schemas.openxmlformats.org/officeDocument/2006/relationships/hyperlink" Target="https://pmc.ncbi.nlm.nih.gov/articles/PMC11436665/" TargetMode="External"/><Relationship Id="rId21" Type="http://schemas.openxmlformats.org/officeDocument/2006/relationships/hyperlink" Target="https://doi.org/10.1136/bmjopen-2020-043658" TargetMode="External"/><Relationship Id="rId34" Type="http://schemas.openxmlformats.org/officeDocument/2006/relationships/hyperlink" Target="https://www.researchgate.net/publication/394452127_Type_2_diabetes_in_South_Asians" TargetMode="External"/><Relationship Id="rId42" Type="http://schemas.openxmlformats.org/officeDocument/2006/relationships/hyperlink" Target="https://pmc.ncbi.nlm.nih.gov/articles/PMC8279625/" TargetMode="External"/><Relationship Id="rId47" Type="http://schemas.openxmlformats.org/officeDocument/2006/relationships/hyperlink" Target="https://pmc.ncbi.nlm.nih.gov/articles/PMC12853072/" TargetMode="External"/><Relationship Id="rId50" Type="http://schemas.openxmlformats.org/officeDocument/2006/relationships/fontTable" Target="fontTable.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pmc.ncbi.nlm.nih.gov/articles/PMC12659716/" TargetMode="External"/><Relationship Id="rId29" Type="http://schemas.openxmlformats.org/officeDocument/2006/relationships/hyperlink" Target="https://idf.org/about-diabetes/diabetes-facts-figures" TargetMode="External"/><Relationship Id="rId11" Type="http://schemas.openxmlformats.org/officeDocument/2006/relationships/hyperlink" Target="https://www.croydonobservatory.org/2-disability/" TargetMode="External"/><Relationship Id="rId24" Type="http://schemas.openxmlformats.org/officeDocument/2006/relationships/hyperlink" Target="https://www.who.int/news-room/fact-sheets/detail/disability-and-health" TargetMode="External"/><Relationship Id="rId32" Type="http://schemas.openxmlformats.org/officeDocument/2006/relationships/hyperlink" Target="https://pmc.ncbi.nlm.nih.gov/articles/PMC10733655/" TargetMode="External"/><Relationship Id="rId37" Type="http://schemas.openxmlformats.org/officeDocument/2006/relationships/hyperlink" Target="https://digital.nhs.uk/data-and-information/publications/statistical/national-diabetes-audit/report-1-cp-and-tt-data-release-2024-25/nda-report-1-cp-and-tt-data-release-2024-25" TargetMode="External"/><Relationship Id="rId40" Type="http://schemas.openxmlformats.org/officeDocument/2006/relationships/hyperlink" Target="https://pmc.ncbi.nlm.nih.gov/articles/PMC8369920/" TargetMode="External"/><Relationship Id="rId45" Type="http://schemas.openxmlformats.org/officeDocument/2006/relationships/hyperlink" Target="https://world-heart-federation.org/what-we-do/diabetes/" TargetMode="External"/><Relationship Id="rId5" Type="http://schemas.openxmlformats.org/officeDocument/2006/relationships/footnotes" Target="footnotes.xml"/><Relationship Id="rId15" Type="http://schemas.openxmlformats.org/officeDocument/2006/relationships/hyperlink" Target="https://doi.org/10.1155/2023/4475114" TargetMode="External"/><Relationship Id="rId23" Type="http://schemas.openxmlformats.org/officeDocument/2006/relationships/hyperlink" Target="https://pmc.ncbi.nlm.nih.gov/articles/PMC11849497/" TargetMode="External"/><Relationship Id="rId28" Type="http://schemas.openxmlformats.org/officeDocument/2006/relationships/hyperlink" Target="https://www.e-enm.org/journal/view.php?doi=10.3803/EnM.2024.2073" TargetMode="External"/><Relationship Id="rId36" Type="http://schemas.openxmlformats.org/officeDocument/2006/relationships/hyperlink" Target="https://www.england.nhs.uk/2022/03/nhs-prevention-programme-cuts-chances-of-type-2-diabetes-for-thousands/" TargetMode="External"/><Relationship Id="rId49" Type="http://schemas.openxmlformats.org/officeDocument/2006/relationships/footer" Target="footer1.xml"/><Relationship Id="rId10" Type="http://schemas.openxmlformats.org/officeDocument/2006/relationships/hyperlink" Target="https://pmc.ncbi.nlm.nih.gov/articles/PMC12960585/" TargetMode="External"/><Relationship Id="rId19" Type="http://schemas.openxmlformats.org/officeDocument/2006/relationships/hyperlink" Target="https://pmc.ncbi.nlm.nih.gov/articles/PMC12428156/" TargetMode="External"/><Relationship Id="rId31" Type="http://schemas.openxmlformats.org/officeDocument/2006/relationships/hyperlink" Target="https://pmc.ncbi.nlm.nih.gov/articles/PMC12362461/" TargetMode="External"/><Relationship Id="rId44" Type="http://schemas.openxmlformats.org/officeDocument/2006/relationships/hyperlink" Target="https://www.who.int/news-room/fact-sheets/detail/diabetes?utm_source=chatgpt.com" TargetMode="External"/><Relationship Id="rId4" Type="http://schemas.openxmlformats.org/officeDocument/2006/relationships/webSettings" Target="webSettings.xml"/><Relationship Id="rId9" Type="http://schemas.openxmlformats.org/officeDocument/2006/relationships/hyperlink" Target="https://doi.org/10.3389/fpubh.2023.1104438" TargetMode="External"/><Relationship Id="rId14" Type="http://schemas.openxmlformats.org/officeDocument/2006/relationships/hyperlink" Target="https://www.sciencedirect.com/science/article/abs/pii/S1936657421001370" TargetMode="External"/><Relationship Id="rId22" Type="http://schemas.openxmlformats.org/officeDocument/2006/relationships/hyperlink" Target="https://trustforlondon.org.uk/data/boroughs/tower-hamlets-poverty-and-inequality-indicators/" TargetMode="External"/><Relationship Id="rId27" Type="http://schemas.openxmlformats.org/officeDocument/2006/relationships/hyperlink" Target="https://pmc.ncbi.nlm.nih.gov/articles/PMC10099224/" TargetMode="External"/><Relationship Id="rId30" Type="http://schemas.openxmlformats.org/officeDocument/2006/relationships/hyperlink" Target="https://diabetesatlas.org?utm_source=chatgpt.com" TargetMode="External"/><Relationship Id="rId35" Type="http://schemas.openxmlformats.org/officeDocument/2006/relationships/hyperlink" Target="https://europepmc.org/article/pmc/pmc8006824?utm_source=chatgpt.com" TargetMode="External"/><Relationship Id="rId43" Type="http://schemas.openxmlformats.org/officeDocument/2006/relationships/hyperlink" Target="https://www.mdpi.com/2076-3417/15/10/5539?utm_source=chatgpt.com" TargetMode="External"/><Relationship Id="rId48" Type="http://schemas.openxmlformats.org/officeDocument/2006/relationships/hyperlink" Target="https://doi.org/10.3389/fendo.2023.1149239" TargetMode="External"/><Relationship Id="rId8" Type="http://schemas.openxmlformats.org/officeDocument/2006/relationships/hyperlink" Target="http://gov.uk"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gov.uk/government/publications/public-sector-equality-duty-guidance-for-public-authorities/public-sector-equality-duty-guidance-for-public-authorities" TargetMode="External"/><Relationship Id="rId17" Type="http://schemas.openxmlformats.org/officeDocument/2006/relationships/hyperlink" Target="https://www.england.nhs.uk/about/equality/equality-hub/national-healthcare-inequalities-improvement-programme/core20plus5/" TargetMode="External"/><Relationship Id="rId25" Type="http://schemas.openxmlformats.org/officeDocument/2006/relationships/hyperlink" Target="https://www.worldbank.org/en/topic/disability?utm_source=chatgpt.com" TargetMode="External"/><Relationship Id="rId33" Type="http://schemas.openxmlformats.org/officeDocument/2006/relationships/hyperlink" Target="https://www.ncbi.nlm.nih.gov/books/NBK618744/" TargetMode="External"/><Relationship Id="rId38" Type="http://schemas.openxmlformats.org/officeDocument/2006/relationships/hyperlink" Target="https://pmc.ncbi.nlm.nih.gov/articles/PMC12847008/" TargetMode="External"/><Relationship Id="rId46" Type="http://schemas.openxmlformats.org/officeDocument/2006/relationships/hyperlink" Target="https://doi.org/10.3390/ijerph21060757" TargetMode="External"/><Relationship Id="rId20" Type="http://schemas.openxmlformats.org/officeDocument/2006/relationships/hyperlink" Target="https://www.towerhamlets.gov.uk/Documents/One-TH/How-can-we-look-out-for-each-other-Evidence-Pack.pdf" TargetMode="External"/><Relationship Id="rId41" Type="http://schemas.openxmlformats.org/officeDocument/2006/relationships/hyperlink" Target="https://asean-endocrinejournal.org/index.php/JAFES/article/view/1917?utm_source=chatgpt.com"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811C74-1856-4B42-ADE8-7D0F45760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16</Pages>
  <Words>5581</Words>
  <Characters>31815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bhumi patel</cp:lastModifiedBy>
  <cp:revision>76</cp:revision>
  <dcterms:created xsi:type="dcterms:W3CDTF">2026-07-16T18:54:00Z</dcterms:created>
  <dcterms:modified xsi:type="dcterms:W3CDTF">2026-07-31T09:47:00Z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27919f0e-cc35-4c3f-a7ad-721697f9242e</vt:lpwstr>
  </property>
</Properties>
</file>