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543B6" w:rsidRDefault="002543B6" w:rsidP="009D12DF">
      <w:pPr>
        <w:jc w:val="center"/>
        <w:rPr>
          <w:noProof/>
        </w:rPr>
      </w:pPr>
      <w:bookmarkStart w:id="0" w:name="_GoBack"/>
      <w:bookmarkEnd w:id="0"/>
    </w:p>
    <w:p w:rsidR="002543B6" w:rsidRDefault="002543B6" w:rsidP="002543B6">
      <w:pPr>
        <w:rPr>
          <w:noProof/>
        </w:rPr>
      </w:pPr>
    </w:p>
    <w:p w:rsidR="002543B6" w:rsidRDefault="002543B6" w:rsidP="009D12DF">
      <w:pPr>
        <w:jc w:val="center"/>
        <w:rPr>
          <w:noProof/>
        </w:rPr>
      </w:pPr>
    </w:p>
    <w:p w:rsidR="002543B6" w:rsidRDefault="002543B6" w:rsidP="002543B6">
      <w:pPr>
        <w:rPr>
          <w:noProof/>
        </w:rPr>
      </w:pPr>
    </w:p>
    <w:p w:rsidR="002543B6" w:rsidRDefault="002543B6" w:rsidP="009D12DF">
      <w:pPr>
        <w:jc w:val="center"/>
        <w:rPr>
          <w:noProof/>
        </w:rPr>
      </w:pPr>
    </w:p>
    <w:p w:rsidR="002543B6" w:rsidRDefault="002543B6" w:rsidP="009D12DF">
      <w:pPr>
        <w:jc w:val="center"/>
        <w:rPr>
          <w:noProof/>
        </w:rPr>
      </w:pPr>
    </w:p>
    <w:p w:rsidR="002543B6" w:rsidRDefault="002543B6" w:rsidP="002543B6">
      <w:pPr>
        <w:jc w:val="center"/>
        <w:rPr>
          <w:b/>
          <w:sz w:val="48"/>
          <w:szCs w:val="48"/>
        </w:rPr>
      </w:pPr>
      <w:r>
        <w:rPr>
          <w:b/>
          <w:sz w:val="48"/>
          <w:szCs w:val="48"/>
        </w:rPr>
        <w:t>Deborah Ann Lloyd</w:t>
      </w:r>
    </w:p>
    <w:p w:rsidR="002543B6" w:rsidRDefault="002543B6" w:rsidP="002543B6">
      <w:pPr>
        <w:jc w:val="center"/>
        <w:rPr>
          <w:b/>
          <w:sz w:val="48"/>
          <w:szCs w:val="48"/>
        </w:rPr>
      </w:pPr>
      <w:r>
        <w:rPr>
          <w:b/>
          <w:sz w:val="48"/>
          <w:szCs w:val="48"/>
        </w:rPr>
        <w:t>1803701</w:t>
      </w:r>
    </w:p>
    <w:p w:rsidR="002543B6" w:rsidRDefault="002543B6" w:rsidP="002543B6">
      <w:pPr>
        <w:jc w:val="center"/>
        <w:rPr>
          <w:b/>
          <w:sz w:val="48"/>
          <w:szCs w:val="48"/>
        </w:rPr>
      </w:pPr>
      <w:r>
        <w:rPr>
          <w:b/>
          <w:sz w:val="48"/>
          <w:szCs w:val="48"/>
        </w:rPr>
        <w:t>An Academic Critique</w:t>
      </w:r>
    </w:p>
    <w:p w:rsidR="002543B6" w:rsidRDefault="002543B6" w:rsidP="002543B6">
      <w:pPr>
        <w:jc w:val="center"/>
        <w:rPr>
          <w:b/>
          <w:sz w:val="48"/>
          <w:szCs w:val="48"/>
        </w:rPr>
      </w:pPr>
      <w:r>
        <w:rPr>
          <w:b/>
          <w:sz w:val="48"/>
          <w:szCs w:val="48"/>
        </w:rPr>
        <w:t>ECPT 6002</w:t>
      </w:r>
    </w:p>
    <w:p w:rsidR="002543B6" w:rsidRDefault="002543B6" w:rsidP="002543B6">
      <w:pPr>
        <w:jc w:val="center"/>
        <w:rPr>
          <w:b/>
          <w:sz w:val="48"/>
          <w:szCs w:val="48"/>
        </w:rPr>
      </w:pPr>
      <w:r>
        <w:rPr>
          <w:b/>
          <w:sz w:val="48"/>
          <w:szCs w:val="48"/>
        </w:rPr>
        <w:t>Tutor – Mark Flagg</w:t>
      </w:r>
    </w:p>
    <w:p w:rsidR="002543B6" w:rsidRDefault="002543B6" w:rsidP="002543B6">
      <w:pPr>
        <w:jc w:val="center"/>
        <w:rPr>
          <w:b/>
          <w:sz w:val="48"/>
          <w:szCs w:val="48"/>
        </w:rPr>
      </w:pPr>
      <w:r>
        <w:rPr>
          <w:b/>
          <w:sz w:val="48"/>
          <w:szCs w:val="48"/>
        </w:rPr>
        <w:t>Submission Date – 24 May</w:t>
      </w:r>
    </w:p>
    <w:p w:rsidR="002543B6" w:rsidRDefault="00E479ED" w:rsidP="002543B6">
      <w:pPr>
        <w:jc w:val="center"/>
        <w:rPr>
          <w:b/>
          <w:sz w:val="48"/>
          <w:szCs w:val="48"/>
        </w:rPr>
      </w:pPr>
      <w:r>
        <w:rPr>
          <w:b/>
          <w:sz w:val="48"/>
          <w:szCs w:val="48"/>
        </w:rPr>
        <w:t>Word Count - 1500</w:t>
      </w:r>
    </w:p>
    <w:p w:rsidR="002543B6" w:rsidRDefault="002543B6" w:rsidP="009D12DF">
      <w:pPr>
        <w:jc w:val="center"/>
        <w:rPr>
          <w:noProof/>
        </w:rPr>
      </w:pPr>
    </w:p>
    <w:p w:rsidR="002543B6" w:rsidRDefault="002543B6" w:rsidP="009D12DF">
      <w:pPr>
        <w:jc w:val="center"/>
        <w:rPr>
          <w:noProof/>
        </w:rPr>
      </w:pPr>
    </w:p>
    <w:p w:rsidR="002543B6" w:rsidRDefault="002543B6" w:rsidP="009D12DF">
      <w:pPr>
        <w:jc w:val="center"/>
        <w:rPr>
          <w:noProof/>
        </w:rPr>
      </w:pPr>
    </w:p>
    <w:p w:rsidR="002543B6" w:rsidRDefault="002543B6" w:rsidP="009D12DF">
      <w:pPr>
        <w:jc w:val="center"/>
        <w:rPr>
          <w:noProof/>
        </w:rPr>
      </w:pPr>
    </w:p>
    <w:p w:rsidR="002543B6" w:rsidRDefault="002543B6" w:rsidP="009D12DF">
      <w:pPr>
        <w:jc w:val="center"/>
        <w:rPr>
          <w:noProof/>
        </w:rPr>
      </w:pPr>
    </w:p>
    <w:p w:rsidR="002543B6" w:rsidRDefault="002543B6" w:rsidP="009D12DF">
      <w:pPr>
        <w:jc w:val="center"/>
        <w:rPr>
          <w:noProof/>
        </w:rPr>
      </w:pPr>
    </w:p>
    <w:p w:rsidR="002543B6" w:rsidRDefault="002543B6" w:rsidP="009D12DF">
      <w:pPr>
        <w:jc w:val="center"/>
        <w:rPr>
          <w:noProof/>
        </w:rPr>
      </w:pPr>
    </w:p>
    <w:p w:rsidR="002543B6" w:rsidRDefault="002543B6" w:rsidP="002543B6">
      <w:pPr>
        <w:jc w:val="center"/>
        <w:rPr>
          <w:noProof/>
          <w:sz w:val="28"/>
          <w:szCs w:val="28"/>
        </w:rPr>
      </w:pPr>
    </w:p>
    <w:p w:rsidR="002543B6" w:rsidRDefault="002543B6" w:rsidP="002543B6">
      <w:pPr>
        <w:jc w:val="center"/>
        <w:rPr>
          <w:noProof/>
          <w:sz w:val="28"/>
          <w:szCs w:val="28"/>
        </w:rPr>
      </w:pPr>
    </w:p>
    <w:p w:rsidR="002543B6" w:rsidRDefault="002543B6" w:rsidP="002543B6">
      <w:pPr>
        <w:jc w:val="center"/>
        <w:rPr>
          <w:noProof/>
          <w:sz w:val="28"/>
          <w:szCs w:val="28"/>
        </w:rPr>
      </w:pPr>
    </w:p>
    <w:p w:rsidR="002543B6" w:rsidRDefault="002543B6" w:rsidP="002543B6">
      <w:pPr>
        <w:jc w:val="center"/>
        <w:rPr>
          <w:noProof/>
          <w:sz w:val="28"/>
          <w:szCs w:val="28"/>
        </w:rPr>
      </w:pPr>
    </w:p>
    <w:p w:rsidR="002543B6" w:rsidRDefault="002543B6" w:rsidP="002543B6">
      <w:pPr>
        <w:jc w:val="center"/>
        <w:rPr>
          <w:noProof/>
          <w:sz w:val="28"/>
          <w:szCs w:val="28"/>
        </w:rPr>
      </w:pPr>
    </w:p>
    <w:p w:rsidR="002543B6" w:rsidRDefault="002543B6" w:rsidP="002543B6">
      <w:pPr>
        <w:jc w:val="center"/>
        <w:rPr>
          <w:noProof/>
          <w:sz w:val="28"/>
          <w:szCs w:val="28"/>
        </w:rPr>
      </w:pPr>
    </w:p>
    <w:p w:rsidR="002543B6" w:rsidRDefault="002543B6" w:rsidP="002543B6">
      <w:pPr>
        <w:jc w:val="center"/>
        <w:rPr>
          <w:noProof/>
          <w:sz w:val="28"/>
          <w:szCs w:val="28"/>
        </w:rPr>
      </w:pPr>
    </w:p>
    <w:p w:rsidR="009D12DF" w:rsidRDefault="009D12DF" w:rsidP="002543B6">
      <w:pPr>
        <w:pStyle w:val="Heading1"/>
        <w:jc w:val="center"/>
        <w:rPr>
          <w:noProof/>
        </w:rPr>
      </w:pPr>
      <w:r w:rsidRPr="009D12DF">
        <w:rPr>
          <w:noProof/>
        </w:rPr>
        <w:t>Introduction</w:t>
      </w:r>
    </w:p>
    <w:p w:rsidR="00B917EA" w:rsidRPr="00B917EA" w:rsidRDefault="00B917EA" w:rsidP="00B917EA"/>
    <w:p w:rsidR="00AA68FF" w:rsidRDefault="00AA68FF" w:rsidP="009C47E5">
      <w:pPr>
        <w:rPr>
          <w:noProof/>
        </w:rPr>
      </w:pPr>
      <w:r>
        <w:t>Reflection itself is not a new concept</w:t>
      </w:r>
      <w:r w:rsidR="00002DF3">
        <w:t xml:space="preserve"> (</w:t>
      </w:r>
      <w:proofErr w:type="spellStart"/>
      <w:r w:rsidR="00002DF3">
        <w:rPr>
          <w:noProof/>
        </w:rPr>
        <w:t>Ghaye</w:t>
      </w:r>
      <w:proofErr w:type="spellEnd"/>
      <w:r w:rsidR="00002DF3">
        <w:rPr>
          <w:noProof/>
        </w:rPr>
        <w:t>, 2011; Bassot, 2016; Sellars 2017)</w:t>
      </w:r>
      <w:r>
        <w:t>. However, what is evident</w:t>
      </w:r>
      <w:r w:rsidR="00C12C51">
        <w:t xml:space="preserve"> from the following review</w:t>
      </w:r>
      <w:r>
        <w:t xml:space="preserve"> is that it became more prevalent during the 1980s when Schon (1983) further developed the idea that reflection</w:t>
      </w:r>
      <w:r w:rsidR="00653D63" w:rsidRPr="00653D63">
        <w:rPr>
          <w:noProof/>
        </w:rPr>
        <w:t xml:space="preserve"> </w:t>
      </w:r>
      <w:r w:rsidR="00653D63">
        <w:rPr>
          <w:noProof/>
        </w:rPr>
        <w:t>should encompass a continuous cycle of events. This was</w:t>
      </w:r>
      <w:r>
        <w:t xml:space="preserve"> closely followed by similar theorists Kolb (1984) and Gibbs (1988).</w:t>
      </w:r>
    </w:p>
    <w:p w:rsidR="009D12DF" w:rsidRDefault="00490CF5" w:rsidP="009C47E5">
      <w:r>
        <w:t>The purpose of this paper is to critically review and analyse reflective practice in teaching and learning</w:t>
      </w:r>
      <w:r w:rsidR="00E90B29">
        <w:t xml:space="preserve">. </w:t>
      </w:r>
      <w:r w:rsidR="001D2176">
        <w:t xml:space="preserve">The paper will begin with </w:t>
      </w:r>
      <w:r w:rsidR="00AA68FF">
        <w:t>a critical review</w:t>
      </w:r>
      <w:r w:rsidR="001D2176">
        <w:t xml:space="preserve"> be</w:t>
      </w:r>
      <w:r w:rsidR="00002DF3">
        <w:t>fore concluding with an analysis of t</w:t>
      </w:r>
      <w:r w:rsidR="001D2176">
        <w:t>he benefits and values of this practice</w:t>
      </w:r>
      <w:r w:rsidR="00002DF3">
        <w:t>. The paper will be</w:t>
      </w:r>
      <w:r w:rsidR="001D2176">
        <w:t xml:space="preserve"> supported by theories</w:t>
      </w:r>
      <w:r w:rsidR="002543B6">
        <w:t xml:space="preserve"> and frameworks </w:t>
      </w:r>
      <w:r w:rsidR="00EF375E">
        <w:t>from</w:t>
      </w:r>
      <w:r w:rsidR="001D2176">
        <w:t xml:space="preserve"> key authors</w:t>
      </w:r>
      <w:r w:rsidR="002543B6">
        <w:t xml:space="preserve">. </w:t>
      </w:r>
    </w:p>
    <w:p w:rsidR="009D12DF" w:rsidRDefault="009D12DF" w:rsidP="009C47E5">
      <w:pPr>
        <w:rPr>
          <w:noProof/>
        </w:rPr>
      </w:pPr>
    </w:p>
    <w:p w:rsidR="002543B6" w:rsidRDefault="002543B6" w:rsidP="009C47E5">
      <w:pPr>
        <w:rPr>
          <w:noProof/>
        </w:rPr>
      </w:pPr>
    </w:p>
    <w:p w:rsidR="002543B6" w:rsidRDefault="002543B6" w:rsidP="009C47E5">
      <w:pPr>
        <w:rPr>
          <w:noProof/>
        </w:rPr>
      </w:pPr>
    </w:p>
    <w:p w:rsidR="002543B6" w:rsidRDefault="002543B6" w:rsidP="009C47E5">
      <w:pPr>
        <w:rPr>
          <w:noProof/>
        </w:rPr>
      </w:pPr>
    </w:p>
    <w:p w:rsidR="002543B6" w:rsidRDefault="002543B6" w:rsidP="009C47E5">
      <w:pPr>
        <w:rPr>
          <w:noProof/>
        </w:rPr>
      </w:pPr>
    </w:p>
    <w:p w:rsidR="002543B6" w:rsidRDefault="002543B6" w:rsidP="009C47E5">
      <w:pPr>
        <w:rPr>
          <w:noProof/>
        </w:rPr>
      </w:pPr>
    </w:p>
    <w:p w:rsidR="002543B6" w:rsidRDefault="002543B6" w:rsidP="009C47E5">
      <w:pPr>
        <w:rPr>
          <w:noProof/>
        </w:rPr>
      </w:pPr>
    </w:p>
    <w:p w:rsidR="002543B6" w:rsidRDefault="002543B6" w:rsidP="009C47E5">
      <w:pPr>
        <w:rPr>
          <w:noProof/>
        </w:rPr>
      </w:pPr>
    </w:p>
    <w:p w:rsidR="002543B6" w:rsidRDefault="002543B6" w:rsidP="009C47E5">
      <w:pPr>
        <w:rPr>
          <w:noProof/>
        </w:rPr>
      </w:pPr>
    </w:p>
    <w:p w:rsidR="002543B6" w:rsidRDefault="002543B6" w:rsidP="009C47E5">
      <w:pPr>
        <w:rPr>
          <w:noProof/>
        </w:rPr>
      </w:pPr>
    </w:p>
    <w:p w:rsidR="002543B6" w:rsidRDefault="002543B6" w:rsidP="009C47E5">
      <w:pPr>
        <w:rPr>
          <w:noProof/>
        </w:rPr>
      </w:pPr>
    </w:p>
    <w:p w:rsidR="002543B6" w:rsidRDefault="002543B6" w:rsidP="009C47E5">
      <w:pPr>
        <w:rPr>
          <w:noProof/>
        </w:rPr>
      </w:pPr>
    </w:p>
    <w:p w:rsidR="002543B6" w:rsidRDefault="002543B6" w:rsidP="009C47E5">
      <w:pPr>
        <w:rPr>
          <w:noProof/>
        </w:rPr>
      </w:pPr>
    </w:p>
    <w:p w:rsidR="002543B6" w:rsidRDefault="002543B6" w:rsidP="009C47E5">
      <w:pPr>
        <w:rPr>
          <w:noProof/>
        </w:rPr>
      </w:pPr>
    </w:p>
    <w:p w:rsidR="002543B6" w:rsidRDefault="002543B6" w:rsidP="009C47E5">
      <w:pPr>
        <w:rPr>
          <w:noProof/>
        </w:rPr>
      </w:pPr>
    </w:p>
    <w:p w:rsidR="002543B6" w:rsidRDefault="002543B6" w:rsidP="009C47E5">
      <w:pPr>
        <w:rPr>
          <w:noProof/>
        </w:rPr>
      </w:pPr>
    </w:p>
    <w:p w:rsidR="002543B6" w:rsidRDefault="002543B6" w:rsidP="009C47E5">
      <w:pPr>
        <w:rPr>
          <w:noProof/>
        </w:rPr>
      </w:pPr>
    </w:p>
    <w:p w:rsidR="002543B6" w:rsidRDefault="002543B6" w:rsidP="009C47E5">
      <w:pPr>
        <w:rPr>
          <w:noProof/>
        </w:rPr>
      </w:pPr>
    </w:p>
    <w:p w:rsidR="002543B6" w:rsidRDefault="002543B6" w:rsidP="009C47E5">
      <w:pPr>
        <w:rPr>
          <w:noProof/>
        </w:rPr>
      </w:pPr>
    </w:p>
    <w:p w:rsidR="002543B6" w:rsidRDefault="002543B6" w:rsidP="009C47E5">
      <w:pPr>
        <w:rPr>
          <w:noProof/>
        </w:rPr>
      </w:pPr>
    </w:p>
    <w:p w:rsidR="002543B6" w:rsidRDefault="002543B6" w:rsidP="009C47E5">
      <w:pPr>
        <w:rPr>
          <w:noProof/>
        </w:rPr>
      </w:pPr>
    </w:p>
    <w:p w:rsidR="009C47E5" w:rsidRPr="00581AC5" w:rsidRDefault="009C47E5" w:rsidP="00581AC5">
      <w:pPr>
        <w:rPr>
          <w:i/>
        </w:rPr>
      </w:pPr>
      <w:r w:rsidRPr="00581AC5">
        <w:rPr>
          <w:i/>
        </w:rPr>
        <w:lastRenderedPageBreak/>
        <w:t>Ther</w:t>
      </w:r>
      <w:r w:rsidR="00490CF5" w:rsidRPr="00581AC5">
        <w:rPr>
          <w:i/>
        </w:rPr>
        <w:t>e</w:t>
      </w:r>
      <w:r w:rsidRPr="00581AC5">
        <w:rPr>
          <w:i/>
        </w:rPr>
        <w:t xml:space="preserve"> are many</w:t>
      </w:r>
      <w:r w:rsidR="00B0174D" w:rsidRPr="00581AC5">
        <w:rPr>
          <w:i/>
        </w:rPr>
        <w:t xml:space="preserve"> simi</w:t>
      </w:r>
      <w:r w:rsidR="002E3654" w:rsidRPr="00581AC5">
        <w:rPr>
          <w:i/>
        </w:rPr>
        <w:t>lar</w:t>
      </w:r>
      <w:r w:rsidRPr="00581AC5">
        <w:rPr>
          <w:i/>
        </w:rPr>
        <w:t xml:space="preserve"> definitio</w:t>
      </w:r>
      <w:r w:rsidR="00FC560E" w:rsidRPr="00581AC5">
        <w:rPr>
          <w:i/>
        </w:rPr>
        <w:t>n</w:t>
      </w:r>
      <w:r w:rsidRPr="00581AC5">
        <w:rPr>
          <w:i/>
        </w:rPr>
        <w:t>s of reflection</w:t>
      </w:r>
      <w:r w:rsidR="00A424F0" w:rsidRPr="00581AC5">
        <w:rPr>
          <w:i/>
        </w:rPr>
        <w:t xml:space="preserve"> </w:t>
      </w:r>
      <w:r w:rsidR="00AA4377" w:rsidRPr="00581AC5">
        <w:rPr>
          <w:i/>
        </w:rPr>
        <w:t>(</w:t>
      </w:r>
      <w:proofErr w:type="spellStart"/>
      <w:r w:rsidR="00A424F0" w:rsidRPr="00581AC5">
        <w:rPr>
          <w:i/>
        </w:rPr>
        <w:t>G</w:t>
      </w:r>
      <w:r w:rsidR="00AA4377" w:rsidRPr="00581AC5">
        <w:rPr>
          <w:i/>
        </w:rPr>
        <w:t>haye</w:t>
      </w:r>
      <w:proofErr w:type="spellEnd"/>
      <w:r w:rsidR="00AA4377" w:rsidRPr="00581AC5">
        <w:rPr>
          <w:i/>
        </w:rPr>
        <w:t xml:space="preserve">, 2011; </w:t>
      </w:r>
      <w:proofErr w:type="spellStart"/>
      <w:r w:rsidR="00AA4377" w:rsidRPr="00581AC5">
        <w:rPr>
          <w:i/>
        </w:rPr>
        <w:t>Bassot</w:t>
      </w:r>
      <w:proofErr w:type="spellEnd"/>
      <w:r w:rsidR="00AA4377" w:rsidRPr="00581AC5">
        <w:rPr>
          <w:i/>
        </w:rPr>
        <w:t>, 2016; Sellars 2017)</w:t>
      </w:r>
      <w:r w:rsidR="00000281" w:rsidRPr="00581AC5">
        <w:rPr>
          <w:i/>
        </w:rPr>
        <w:t>.</w:t>
      </w:r>
      <w:r w:rsidRPr="00581AC5">
        <w:rPr>
          <w:i/>
        </w:rPr>
        <w:t xml:space="preserve"> Due to limitations, the following have been chosen for this paper:</w:t>
      </w:r>
      <w:r w:rsidR="00FC560E" w:rsidRPr="00581AC5">
        <w:rPr>
          <w:i/>
        </w:rPr>
        <w:t xml:space="preserve"> </w:t>
      </w:r>
    </w:p>
    <w:p w:rsidR="002F5C27" w:rsidRDefault="002F5C27" w:rsidP="002F5C27">
      <w:pPr>
        <w:ind w:left="720"/>
        <w:rPr>
          <w:noProof/>
        </w:rPr>
      </w:pPr>
      <w:r>
        <w:rPr>
          <w:noProof/>
        </w:rPr>
        <w:t xml:space="preserve">Reflection is </w:t>
      </w:r>
      <w:r w:rsidR="009C47E5">
        <w:rPr>
          <w:noProof/>
        </w:rPr>
        <w:t>the active, persistent and careful consideration of any belief or supposed form of knowledge in the light of the grounds that support it and the further conclusions to which it tends</w:t>
      </w:r>
      <w:r>
        <w:rPr>
          <w:noProof/>
        </w:rPr>
        <w:t xml:space="preserve"> (Dewey, 1933, p.</w:t>
      </w:r>
      <w:r w:rsidR="00880503">
        <w:rPr>
          <w:noProof/>
        </w:rPr>
        <w:t xml:space="preserve"> </w:t>
      </w:r>
      <w:r>
        <w:rPr>
          <w:noProof/>
        </w:rPr>
        <w:t>9).</w:t>
      </w:r>
    </w:p>
    <w:p w:rsidR="009C47E5" w:rsidRDefault="002F5C27" w:rsidP="002F5C27">
      <w:pPr>
        <w:ind w:left="720"/>
        <w:rPr>
          <w:noProof/>
        </w:rPr>
      </w:pPr>
      <w:r>
        <w:rPr>
          <w:noProof/>
        </w:rPr>
        <w:t>R</w:t>
      </w:r>
      <w:r w:rsidR="009C47E5">
        <w:rPr>
          <w:noProof/>
        </w:rPr>
        <w:t>eflection</w:t>
      </w:r>
      <w:r>
        <w:rPr>
          <w:noProof/>
        </w:rPr>
        <w:t xml:space="preserve"> is clearly pu</w:t>
      </w:r>
      <w:r w:rsidR="00880503">
        <w:rPr>
          <w:noProof/>
        </w:rPr>
        <w:t>r</w:t>
      </w:r>
      <w:r>
        <w:rPr>
          <w:noProof/>
        </w:rPr>
        <w:t>poseful</w:t>
      </w:r>
      <w:r w:rsidR="009C47E5">
        <w:rPr>
          <w:noProof/>
        </w:rPr>
        <w:t xml:space="preserve"> because it aims at a conclusion. The pu</w:t>
      </w:r>
      <w:r w:rsidR="00880503">
        <w:rPr>
          <w:noProof/>
        </w:rPr>
        <w:t>r</w:t>
      </w:r>
      <w:r w:rsidR="009C47E5">
        <w:rPr>
          <w:noProof/>
        </w:rPr>
        <w:t>pose of reflecting is</w:t>
      </w:r>
      <w:r w:rsidR="00BA7AAD">
        <w:rPr>
          <w:noProof/>
        </w:rPr>
        <w:t xml:space="preserve"> </w:t>
      </w:r>
      <w:r w:rsidR="009C47E5">
        <w:rPr>
          <w:noProof/>
        </w:rPr>
        <w:t>to untangle a problem or to make more sense of a puzzling situation; reflection involves working towards a better understanding of the problem and ways of solving it</w:t>
      </w:r>
      <w:r w:rsidRPr="002F5C27">
        <w:rPr>
          <w:noProof/>
        </w:rPr>
        <w:t xml:space="preserve"> </w:t>
      </w:r>
      <w:r>
        <w:rPr>
          <w:noProof/>
        </w:rPr>
        <w:t>(Loughran, 1996, p. 14).</w:t>
      </w:r>
    </w:p>
    <w:p w:rsidR="00132835" w:rsidRDefault="00946EBE" w:rsidP="00DF2875">
      <w:r>
        <w:t>The p</w:t>
      </w:r>
      <w:r w:rsidR="002F5C27">
        <w:t xml:space="preserve">urpose of this paper is to critically evaluate reflective practice in teaching and learning. </w:t>
      </w:r>
      <w:r w:rsidR="003C65BF">
        <w:t>The concept of reflecti</w:t>
      </w:r>
      <w:r w:rsidR="003A4B9D">
        <w:t>on</w:t>
      </w:r>
      <w:r w:rsidR="003C65BF">
        <w:t xml:space="preserve"> in education was initially </w:t>
      </w:r>
      <w:r w:rsidR="00153653">
        <w:t>introduced</w:t>
      </w:r>
      <w:r w:rsidR="003C65BF">
        <w:t xml:space="preserve"> by</w:t>
      </w:r>
      <w:r w:rsidR="00C55ED6">
        <w:t xml:space="preserve"> Dewey (1933)</w:t>
      </w:r>
      <w:r w:rsidR="003C65BF">
        <w:t xml:space="preserve"> who believed</w:t>
      </w:r>
      <w:r w:rsidR="00C55ED6">
        <w:t xml:space="preserve"> that</w:t>
      </w:r>
      <w:r w:rsidR="00F85D15">
        <w:t xml:space="preserve"> merely</w:t>
      </w:r>
      <w:r w:rsidR="00C55ED6">
        <w:t xml:space="preserve"> acquiring information</w:t>
      </w:r>
      <w:r w:rsidR="007F5262">
        <w:t xml:space="preserve"> about an issue</w:t>
      </w:r>
      <w:r w:rsidR="00C55ED6">
        <w:t xml:space="preserve"> is not</w:t>
      </w:r>
      <w:r w:rsidR="00474D2D">
        <w:t xml:space="preserve"> knowledge</w:t>
      </w:r>
      <w:r w:rsidR="00F85D15">
        <w:t>. Knowled</w:t>
      </w:r>
      <w:r w:rsidR="00B5485F">
        <w:t>ge</w:t>
      </w:r>
      <w:r w:rsidR="00F85D15">
        <w:t xml:space="preserve"> comes from analysing and evaluating</w:t>
      </w:r>
      <w:r w:rsidR="00557FD8">
        <w:t>.</w:t>
      </w:r>
      <w:r w:rsidR="007F5262">
        <w:t xml:space="preserve"> The individual becomes an active inquirer, seeking a conclusion that could be open for further </w:t>
      </w:r>
      <w:r w:rsidR="00E30547">
        <w:t>study.</w:t>
      </w:r>
      <w:r w:rsidR="007F5262">
        <w:t xml:space="preserve"> </w:t>
      </w:r>
      <w:r w:rsidR="003C65BF">
        <w:t xml:space="preserve"> </w:t>
      </w:r>
      <w:r w:rsidR="00B133D0">
        <w:t>It is more of a creative than scientific venture. In a</w:t>
      </w:r>
      <w:r w:rsidR="00F2667A">
        <w:t>ddition,</w:t>
      </w:r>
      <w:r w:rsidR="00B133D0">
        <w:t xml:space="preserve"> Stenhouse (1979) </w:t>
      </w:r>
      <w:r w:rsidR="00F2667A">
        <w:t>explains</w:t>
      </w:r>
      <w:r w:rsidR="00B133D0">
        <w:t xml:space="preserve"> that reflective thinking is not about predictions, possibilities and disciplines it concerns itself with comparative education: “Thus we need to tutor our judgement, not simply to discipline it</w:t>
      </w:r>
      <w:r w:rsidR="002F5C27">
        <w:t>”.</w:t>
      </w:r>
      <w:r w:rsidR="00B133D0">
        <w:t xml:space="preserve">  </w:t>
      </w:r>
      <w:r w:rsidR="00153653">
        <w:t xml:space="preserve">Locke </w:t>
      </w:r>
      <w:r w:rsidR="00153653" w:rsidRPr="00D55C9C">
        <w:t>(1690) as cited in Frazer (1959)</w:t>
      </w:r>
      <w:r w:rsidR="00153653">
        <w:t xml:space="preserve"> assert</w:t>
      </w:r>
      <w:r w:rsidR="00F34244">
        <w:t>s</w:t>
      </w:r>
      <w:r w:rsidR="00153653">
        <w:t xml:space="preserve"> that i</w:t>
      </w:r>
      <w:r w:rsidR="00B133D0" w:rsidRPr="00D55C9C">
        <w:t>t is not enough to simply understand something</w:t>
      </w:r>
      <w:r w:rsidR="00B133D0">
        <w:t>.</w:t>
      </w:r>
      <w:r w:rsidR="00B133D0" w:rsidRPr="00D55C9C">
        <w:t xml:space="preserve"> </w:t>
      </w:r>
      <w:r w:rsidR="00153653">
        <w:t>W</w:t>
      </w:r>
      <w:r w:rsidR="00B133D0" w:rsidRPr="00D55C9C">
        <w:t>e should be applying our own thoughts to enable us to effectively judge and grasp a deeper level of knowledge and understanding of a given situation</w:t>
      </w:r>
      <w:r w:rsidR="00153653">
        <w:t>.</w:t>
      </w:r>
      <w:r>
        <w:t xml:space="preserve"> </w:t>
      </w:r>
      <w:r w:rsidR="00F2667A">
        <w:t>Moreover</w:t>
      </w:r>
      <w:r w:rsidR="0059193D">
        <w:t xml:space="preserve">, </w:t>
      </w:r>
      <w:proofErr w:type="spellStart"/>
      <w:r w:rsidR="0059193D">
        <w:t>Bourner</w:t>
      </w:r>
      <w:proofErr w:type="spellEnd"/>
      <w:r w:rsidR="0059193D">
        <w:t xml:space="preserve"> (2003) </w:t>
      </w:r>
      <w:r w:rsidR="00F2667A">
        <w:t>states</w:t>
      </w:r>
      <w:r w:rsidR="0059193D">
        <w:t xml:space="preserve">: “For </w:t>
      </w:r>
      <w:r w:rsidR="0059193D" w:rsidRPr="00B434AD">
        <w:t xml:space="preserve">reflection to lead to learning </w:t>
      </w:r>
      <w:r w:rsidR="0059193D">
        <w:t xml:space="preserve">there needs to be </w:t>
      </w:r>
      <w:r w:rsidR="0059193D" w:rsidRPr="00B434AD">
        <w:t>an exploration of facts, feelings or emotions, behaviours and thoughts which is precipitated by interrogating some past experience by asking searching questions</w:t>
      </w:r>
      <w:r w:rsidR="0059193D">
        <w:t xml:space="preserve">”. </w:t>
      </w:r>
    </w:p>
    <w:p w:rsidR="00160824" w:rsidRDefault="0042353B" w:rsidP="00D753B9">
      <w:r>
        <w:t xml:space="preserve">Examples of </w:t>
      </w:r>
      <w:r w:rsidR="00F2667A">
        <w:t>‘</w:t>
      </w:r>
      <w:r>
        <w:t>searching questions</w:t>
      </w:r>
      <w:r w:rsidR="00F2667A">
        <w:t>’</w:t>
      </w:r>
      <w:r>
        <w:t xml:space="preserve"> are shown in</w:t>
      </w:r>
      <w:r w:rsidR="001E075B">
        <w:t xml:space="preserve"> figure</w:t>
      </w:r>
      <w:r>
        <w:t xml:space="preserve"> 1</w:t>
      </w:r>
      <w:r w:rsidR="00F2667A">
        <w:t>,</w:t>
      </w:r>
      <w:r>
        <w:t xml:space="preserve"> Gibbs</w:t>
      </w:r>
      <w:r w:rsidR="0093411E">
        <w:t xml:space="preserve"> </w:t>
      </w:r>
      <w:r>
        <w:t xml:space="preserve">reflective cycle (1988). </w:t>
      </w:r>
      <w:r w:rsidR="00097B0A">
        <w:t>This</w:t>
      </w:r>
      <w:r w:rsidR="00FA7805">
        <w:t xml:space="preserve"> was designed </w:t>
      </w:r>
      <w:r w:rsidR="00097B0A">
        <w:t>to</w:t>
      </w:r>
      <w:r w:rsidR="00FA7805">
        <w:t xml:space="preserve"> encourag</w:t>
      </w:r>
      <w:r w:rsidR="0093411E">
        <w:t>e</w:t>
      </w:r>
      <w:r w:rsidR="00FA7805">
        <w:t xml:space="preserve"> individuals to reflect and evaluate all the phases involved in an experience or activity. According to Gibbs: “It is not sufficient to have an experience in order to learn. Without reflecting on this experience, it may quickly be forgotten, or its learning potential lost.”</w:t>
      </w:r>
      <w:r w:rsidR="00900A12">
        <w:t xml:space="preserve"> </w:t>
      </w:r>
    </w:p>
    <w:p w:rsidR="00753779" w:rsidRDefault="00900A12" w:rsidP="00D753B9">
      <w:r>
        <w:t xml:space="preserve">Figure </w:t>
      </w:r>
      <w:r w:rsidR="0042353B">
        <w:t>1</w:t>
      </w:r>
      <w:r>
        <w:t xml:space="preserve">: </w:t>
      </w:r>
      <w:r w:rsidR="00753779">
        <w:t>Gibbs Reflective Cycle</w:t>
      </w:r>
      <w:r>
        <w:t xml:space="preserve"> (1988)</w:t>
      </w:r>
      <w:r w:rsidR="00753779">
        <w:t>:</w:t>
      </w:r>
    </w:p>
    <w:p w:rsidR="001E075B" w:rsidRDefault="001E075B" w:rsidP="001E075B">
      <w:pPr>
        <w:jc w:val="center"/>
      </w:pPr>
      <w:r>
        <w:rPr>
          <w:noProof/>
        </w:rPr>
        <w:drawing>
          <wp:inline distT="0" distB="0" distL="0" distR="0" wp14:anchorId="54DBE998" wp14:editId="139D5E0A">
            <wp:extent cx="3048000" cy="2438400"/>
            <wp:effectExtent l="0" t="0" r="0" b="0"/>
            <wp:docPr id="15" name="Picture 15" descr="Screen Clipping"/>
            <wp:cNvGraphicFramePr/>
            <a:graphic xmlns:a="http://schemas.openxmlformats.org/drawingml/2006/main">
              <a:graphicData uri="http://schemas.openxmlformats.org/drawingml/2006/picture">
                <pic:pic xmlns:pic="http://schemas.openxmlformats.org/drawingml/2006/picture">
                  <pic:nvPicPr>
                    <pic:cNvPr id="3" name="Picture 3" descr="Screen Clipping"/>
                    <pic:cNvPicPr/>
                  </pic:nvPicPr>
                  <pic:blipFill rotWithShape="1">
                    <a:blip r:embed="rId5">
                      <a:extLst>
                        <a:ext uri="{BEBA8EAE-BF5A-486C-A8C5-ECC9F3942E4B}">
                          <a14:imgProps xmlns:a14="http://schemas.microsoft.com/office/drawing/2010/main">
                            <a14:imgLayer r:embed="rId6">
                              <a14:imgEffect>
                                <a14:sharpenSoften amount="50000"/>
                              </a14:imgEffect>
                            </a14:imgLayer>
                          </a14:imgProps>
                        </a:ext>
                        <a:ext uri="{28A0092B-C50C-407E-A947-70E740481C1C}">
                          <a14:useLocalDpi xmlns:a14="http://schemas.microsoft.com/office/drawing/2010/main" val="0"/>
                        </a:ext>
                      </a:extLst>
                    </a:blip>
                    <a:srcRect t="10119"/>
                    <a:stretch/>
                  </pic:blipFill>
                  <pic:spPr bwMode="auto">
                    <a:xfrm>
                      <a:off x="0" y="0"/>
                      <a:ext cx="3048000" cy="2438400"/>
                    </a:xfrm>
                    <a:prstGeom prst="rect">
                      <a:avLst/>
                    </a:prstGeom>
                    <a:ln>
                      <a:noFill/>
                    </a:ln>
                    <a:extLst>
                      <a:ext uri="{53640926-AAD7-44D8-BBD7-CCE9431645EC}">
                        <a14:shadowObscured xmlns:a14="http://schemas.microsoft.com/office/drawing/2010/main"/>
                      </a:ext>
                    </a:extLst>
                  </pic:spPr>
                </pic:pic>
              </a:graphicData>
            </a:graphic>
          </wp:inline>
        </w:drawing>
      </w:r>
    </w:p>
    <w:p w:rsidR="00097B0A" w:rsidRDefault="00900A12" w:rsidP="0042353B">
      <w:r>
        <w:t>However, Roffey-</w:t>
      </w:r>
      <w:proofErr w:type="spellStart"/>
      <w:r>
        <w:t>Barentsen</w:t>
      </w:r>
      <w:proofErr w:type="spellEnd"/>
      <w:r>
        <w:t xml:space="preserve"> and Malthouse (2013) argue that, although this model was developed to encourage reflecti</w:t>
      </w:r>
      <w:r w:rsidR="00E24D8E">
        <w:t>on</w:t>
      </w:r>
      <w:r>
        <w:t xml:space="preserve"> by asking questions it is restrictive as it suggests to the individual that this is all they need to consider.</w:t>
      </w:r>
      <w:r w:rsidR="00984C08">
        <w:t xml:space="preserve"> </w:t>
      </w:r>
      <w:r w:rsidR="001E2AA7">
        <w:t>In contrast</w:t>
      </w:r>
      <w:r w:rsidR="00984C08">
        <w:t>,</w:t>
      </w:r>
      <w:r w:rsidR="00F2667A">
        <w:t xml:space="preserve"> the</w:t>
      </w:r>
      <w:r w:rsidR="009B0673">
        <w:t xml:space="preserve"> CIPD</w:t>
      </w:r>
      <w:r w:rsidR="00984C08">
        <w:t xml:space="preserve"> (n.d.) suggest</w:t>
      </w:r>
      <w:r w:rsidR="00613DF1">
        <w:t xml:space="preserve"> looking at the situation and expanding on the questions in more detail</w:t>
      </w:r>
      <w:r w:rsidR="009B0673">
        <w:t xml:space="preserve"> as shown in table </w:t>
      </w:r>
      <w:r w:rsidR="000774A1">
        <w:t>1</w:t>
      </w:r>
      <w:r w:rsidR="009B0673">
        <w:t>:</w:t>
      </w:r>
    </w:p>
    <w:p w:rsidR="009B0673" w:rsidRDefault="009B0673" w:rsidP="0042353B">
      <w:r>
        <w:lastRenderedPageBreak/>
        <w:t>Table 1 (Source: CIPD, n.d.)</w:t>
      </w:r>
    </w:p>
    <w:tbl>
      <w:tblPr>
        <w:tblStyle w:val="PlainTable1"/>
        <w:tblW w:w="8459" w:type="dxa"/>
        <w:tblInd w:w="608" w:type="dxa"/>
        <w:tblLook w:val="04A0" w:firstRow="1" w:lastRow="0" w:firstColumn="1" w:lastColumn="0" w:noHBand="0" w:noVBand="1"/>
      </w:tblPr>
      <w:tblGrid>
        <w:gridCol w:w="1980"/>
        <w:gridCol w:w="6479"/>
      </w:tblGrid>
      <w:tr w:rsidR="009B0673" w:rsidTr="00F2667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rsidR="009B0673" w:rsidRDefault="009B0673" w:rsidP="00B3013D">
            <w:r>
              <w:t xml:space="preserve">Description </w:t>
            </w:r>
          </w:p>
        </w:tc>
        <w:tc>
          <w:tcPr>
            <w:tcW w:w="6479" w:type="dxa"/>
          </w:tcPr>
          <w:p w:rsidR="009B0673" w:rsidRPr="00B91BEA" w:rsidRDefault="009B0673" w:rsidP="00B3013D">
            <w:pPr>
              <w:cnfStyle w:val="100000000000" w:firstRow="1" w:lastRow="0" w:firstColumn="0" w:lastColumn="0" w:oddVBand="0" w:evenVBand="0" w:oddHBand="0" w:evenHBand="0" w:firstRowFirstColumn="0" w:firstRowLastColumn="0" w:lastRowFirstColumn="0" w:lastRowLastColumn="0"/>
              <w:rPr>
                <w:b w:val="0"/>
              </w:rPr>
            </w:pPr>
            <w:r w:rsidRPr="00B91BEA">
              <w:rPr>
                <w:b w:val="0"/>
              </w:rPr>
              <w:t>When and where did this happen?</w:t>
            </w:r>
          </w:p>
          <w:p w:rsidR="009B0673" w:rsidRPr="00B91BEA" w:rsidRDefault="009B0673" w:rsidP="00B3013D">
            <w:pPr>
              <w:cnfStyle w:val="100000000000" w:firstRow="1" w:lastRow="0" w:firstColumn="0" w:lastColumn="0" w:oddVBand="0" w:evenVBand="0" w:oddHBand="0" w:evenHBand="0" w:firstRowFirstColumn="0" w:firstRowLastColumn="0" w:lastRowFirstColumn="0" w:lastRowLastColumn="0"/>
              <w:rPr>
                <w:b w:val="0"/>
              </w:rPr>
            </w:pPr>
            <w:r w:rsidRPr="00B91BEA">
              <w:rPr>
                <w:b w:val="0"/>
              </w:rPr>
              <w:t>Why were you there and who were you with?</w:t>
            </w:r>
          </w:p>
          <w:p w:rsidR="009B0673" w:rsidRDefault="009B0673" w:rsidP="00B3013D">
            <w:pPr>
              <w:cnfStyle w:val="100000000000" w:firstRow="1" w:lastRow="0" w:firstColumn="0" w:lastColumn="0" w:oddVBand="0" w:evenVBand="0" w:oddHBand="0" w:evenHBand="0" w:firstRowFirstColumn="0" w:firstRowLastColumn="0" w:lastRowFirstColumn="0" w:lastRowLastColumn="0"/>
            </w:pPr>
            <w:r w:rsidRPr="00B91BEA">
              <w:rPr>
                <w:b w:val="0"/>
              </w:rPr>
              <w:t>What did you/they do – or not do?</w:t>
            </w:r>
          </w:p>
        </w:tc>
      </w:tr>
      <w:tr w:rsidR="009B0673" w:rsidTr="00F266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rsidR="009B0673" w:rsidRDefault="009B0673" w:rsidP="00B3013D">
            <w:r>
              <w:t>Feelings</w:t>
            </w:r>
          </w:p>
        </w:tc>
        <w:tc>
          <w:tcPr>
            <w:tcW w:w="6479" w:type="dxa"/>
          </w:tcPr>
          <w:p w:rsidR="009B0673" w:rsidRDefault="009B0673" w:rsidP="00B3013D">
            <w:pPr>
              <w:cnfStyle w:val="000000100000" w:firstRow="0" w:lastRow="0" w:firstColumn="0" w:lastColumn="0" w:oddVBand="0" w:evenVBand="0" w:oddHBand="1" w:evenHBand="0" w:firstRowFirstColumn="0" w:firstRowLastColumn="0" w:lastRowFirstColumn="0" w:lastRowLastColumn="0"/>
            </w:pPr>
            <w:r>
              <w:t>What were your feelings before, during and after the situation? What do you think the others in the situation were feeling?</w:t>
            </w:r>
          </w:p>
        </w:tc>
      </w:tr>
      <w:tr w:rsidR="009B0673" w:rsidTr="00F2667A">
        <w:tc>
          <w:tcPr>
            <w:cnfStyle w:val="001000000000" w:firstRow="0" w:lastRow="0" w:firstColumn="1" w:lastColumn="0" w:oddVBand="0" w:evenVBand="0" w:oddHBand="0" w:evenHBand="0" w:firstRowFirstColumn="0" w:firstRowLastColumn="0" w:lastRowFirstColumn="0" w:lastRowLastColumn="0"/>
            <w:tcW w:w="1980" w:type="dxa"/>
          </w:tcPr>
          <w:p w:rsidR="009B0673" w:rsidRDefault="009B0673" w:rsidP="00B3013D">
            <w:r>
              <w:t>Evaluation</w:t>
            </w:r>
          </w:p>
        </w:tc>
        <w:tc>
          <w:tcPr>
            <w:tcW w:w="6479" w:type="dxa"/>
          </w:tcPr>
          <w:p w:rsidR="009B0673" w:rsidRDefault="009B0673" w:rsidP="00B3013D">
            <w:pPr>
              <w:cnfStyle w:val="000000000000" w:firstRow="0" w:lastRow="0" w:firstColumn="0" w:lastColumn="0" w:oddVBand="0" w:evenVBand="0" w:oddHBand="0" w:evenHBand="0" w:firstRowFirstColumn="0" w:firstRowLastColumn="0" w:lastRowFirstColumn="0" w:lastRowLastColumn="0"/>
            </w:pPr>
            <w:r>
              <w:t>What was positive/negative about the situation. How did you contribute? How did others contribute?</w:t>
            </w:r>
          </w:p>
        </w:tc>
      </w:tr>
      <w:tr w:rsidR="009B0673" w:rsidTr="00F266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rsidR="009B0673" w:rsidRDefault="009B0673" w:rsidP="00B3013D">
            <w:r>
              <w:t>Analysis</w:t>
            </w:r>
          </w:p>
          <w:p w:rsidR="009B0673" w:rsidRDefault="009B0673" w:rsidP="00B3013D"/>
        </w:tc>
        <w:tc>
          <w:tcPr>
            <w:tcW w:w="6479" w:type="dxa"/>
          </w:tcPr>
          <w:p w:rsidR="009B0673" w:rsidRDefault="009B0673" w:rsidP="00B3013D">
            <w:pPr>
              <w:cnfStyle w:val="000000100000" w:firstRow="0" w:lastRow="0" w:firstColumn="0" w:lastColumn="0" w:oddVBand="0" w:evenVBand="0" w:oddHBand="1" w:evenHBand="0" w:firstRowFirstColumn="0" w:firstRowLastColumn="0" w:lastRowFirstColumn="0" w:lastRowLastColumn="0"/>
            </w:pPr>
            <w:r>
              <w:t>What are your assumptions/insights?</w:t>
            </w:r>
          </w:p>
        </w:tc>
      </w:tr>
      <w:tr w:rsidR="009B0673" w:rsidTr="00F2667A">
        <w:tc>
          <w:tcPr>
            <w:cnfStyle w:val="001000000000" w:firstRow="0" w:lastRow="0" w:firstColumn="1" w:lastColumn="0" w:oddVBand="0" w:evenVBand="0" w:oddHBand="0" w:evenHBand="0" w:firstRowFirstColumn="0" w:firstRowLastColumn="0" w:lastRowFirstColumn="0" w:lastRowLastColumn="0"/>
            <w:tcW w:w="1980" w:type="dxa"/>
          </w:tcPr>
          <w:p w:rsidR="009B0673" w:rsidRDefault="009B0673" w:rsidP="00B3013D">
            <w:r>
              <w:t>Conclusion</w:t>
            </w:r>
          </w:p>
        </w:tc>
        <w:tc>
          <w:tcPr>
            <w:tcW w:w="6479" w:type="dxa"/>
          </w:tcPr>
          <w:p w:rsidR="009B0673" w:rsidRDefault="009B0673" w:rsidP="00B3013D">
            <w:pPr>
              <w:cnfStyle w:val="000000000000" w:firstRow="0" w:lastRow="0" w:firstColumn="0" w:lastColumn="0" w:oddVBand="0" w:evenVBand="0" w:oddHBand="0" w:evenHBand="0" w:firstRowFirstColumn="0" w:firstRowLastColumn="0" w:lastRowFirstColumn="0" w:lastRowLastColumn="0"/>
            </w:pPr>
            <w:r>
              <w:t>What could you do differently? What skills do you need to develop?</w:t>
            </w:r>
          </w:p>
        </w:tc>
      </w:tr>
      <w:tr w:rsidR="009B0673" w:rsidTr="00F266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rsidR="009B0673" w:rsidRDefault="009B0673" w:rsidP="00B3013D">
            <w:r>
              <w:t>Action Plan</w:t>
            </w:r>
          </w:p>
          <w:p w:rsidR="009B0673" w:rsidRDefault="009B0673" w:rsidP="00B3013D"/>
        </w:tc>
        <w:tc>
          <w:tcPr>
            <w:tcW w:w="6479" w:type="dxa"/>
          </w:tcPr>
          <w:p w:rsidR="009B0673" w:rsidRDefault="009B0673" w:rsidP="00B3013D">
            <w:pPr>
              <w:cnfStyle w:val="000000100000" w:firstRow="0" w:lastRow="0" w:firstColumn="0" w:lastColumn="0" w:oddVBand="0" w:evenVBand="0" w:oddHBand="1" w:evenHBand="0" w:firstRowFirstColumn="0" w:firstRowLastColumn="0" w:lastRowFirstColumn="0" w:lastRowLastColumn="0"/>
            </w:pPr>
            <w:r>
              <w:t>How will you progress? Who will support you?</w:t>
            </w:r>
          </w:p>
        </w:tc>
      </w:tr>
    </w:tbl>
    <w:p w:rsidR="009B0673" w:rsidRDefault="009B0673" w:rsidP="0042353B"/>
    <w:p w:rsidR="0060629E" w:rsidRDefault="0042353B" w:rsidP="0042353B">
      <w:pPr>
        <w:rPr>
          <w:noProof/>
        </w:rPr>
      </w:pPr>
      <w:r>
        <w:rPr>
          <w:noProof/>
        </w:rPr>
        <w:t>Schon (1983,1987) suggests that</w:t>
      </w:r>
      <w:r w:rsidR="001C308B">
        <w:rPr>
          <w:noProof/>
        </w:rPr>
        <w:t xml:space="preserve"> life is about trial and error. Ther</w:t>
      </w:r>
      <w:r w:rsidR="009B0673">
        <w:rPr>
          <w:noProof/>
        </w:rPr>
        <w:t>e</w:t>
      </w:r>
      <w:r w:rsidR="001C308B">
        <w:rPr>
          <w:noProof/>
        </w:rPr>
        <w:t>fore,</w:t>
      </w:r>
      <w:r>
        <w:rPr>
          <w:noProof/>
        </w:rPr>
        <w:t xml:space="preserve"> reflection should encompass a continuous cycle of events to include past and present experiences refering to this as reflective practice:</w:t>
      </w:r>
    </w:p>
    <w:p w:rsidR="0060629E" w:rsidRDefault="0060629E" w:rsidP="0060629E">
      <w:pPr>
        <w:pStyle w:val="ListParagraph"/>
        <w:numPr>
          <w:ilvl w:val="0"/>
          <w:numId w:val="2"/>
        </w:numPr>
      </w:pPr>
      <w:r>
        <w:rPr>
          <w:noProof/>
        </w:rPr>
        <w:t>R</w:t>
      </w:r>
      <w:r w:rsidR="0042353B">
        <w:rPr>
          <w:noProof/>
        </w:rPr>
        <w:t>eflection-in-action</w:t>
      </w:r>
      <w:r>
        <w:rPr>
          <w:noProof/>
        </w:rPr>
        <w:t xml:space="preserve"> – U</w:t>
      </w:r>
      <w:r w:rsidR="0042353B">
        <w:rPr>
          <w:noProof/>
        </w:rPr>
        <w:t xml:space="preserve">sing past experiences to enable one to ‘think on their feet’ </w:t>
      </w:r>
    </w:p>
    <w:p w:rsidR="0060629E" w:rsidRDefault="0060629E" w:rsidP="0060629E">
      <w:pPr>
        <w:pStyle w:val="ListParagraph"/>
        <w:numPr>
          <w:ilvl w:val="0"/>
          <w:numId w:val="2"/>
        </w:numPr>
      </w:pPr>
      <w:r>
        <w:rPr>
          <w:noProof/>
        </w:rPr>
        <w:t>R</w:t>
      </w:r>
      <w:r w:rsidR="0042353B">
        <w:rPr>
          <w:noProof/>
        </w:rPr>
        <w:t>eflection-on-action</w:t>
      </w:r>
      <w:r>
        <w:rPr>
          <w:noProof/>
        </w:rPr>
        <w:t xml:space="preserve"> – </w:t>
      </w:r>
      <w:r w:rsidR="0042353B">
        <w:rPr>
          <w:noProof/>
        </w:rPr>
        <w:t xml:space="preserve"> </w:t>
      </w:r>
      <w:r>
        <w:rPr>
          <w:noProof/>
        </w:rPr>
        <w:t>T</w:t>
      </w:r>
      <w:r w:rsidR="0042353B">
        <w:rPr>
          <w:noProof/>
        </w:rPr>
        <w:t>hinking about the experience after the event took place and learning from it.</w:t>
      </w:r>
      <w:r w:rsidR="001C308B">
        <w:rPr>
          <w:noProof/>
        </w:rPr>
        <w:t xml:space="preserve"> </w:t>
      </w:r>
      <w:r w:rsidR="0042353B">
        <w:rPr>
          <w:noProof/>
        </w:rPr>
        <w:t xml:space="preserve"> </w:t>
      </w:r>
    </w:p>
    <w:p w:rsidR="0042353B" w:rsidRDefault="0042353B" w:rsidP="0060629E">
      <w:r>
        <w:rPr>
          <w:noProof/>
        </w:rPr>
        <w:t>As Schon did not offer a model or diagram of his work (</w:t>
      </w:r>
      <w:r>
        <w:t>Roffey-</w:t>
      </w:r>
      <w:proofErr w:type="spellStart"/>
      <w:r>
        <w:t>Barentsen</w:t>
      </w:r>
      <w:proofErr w:type="spellEnd"/>
      <w:r>
        <w:t xml:space="preserve"> and Malthouse, 2013)</w:t>
      </w:r>
      <w:r w:rsidR="00771D8F">
        <w:t>,</w:t>
      </w:r>
      <w:r w:rsidR="001C308B">
        <w:t xml:space="preserve"> </w:t>
      </w:r>
      <w:r>
        <w:rPr>
          <w:noProof/>
        </w:rPr>
        <w:t>Kolb’s learning cycle (1984) as shown in figure 2 is an example of how Schon</w:t>
      </w:r>
      <w:r w:rsidR="000774A1">
        <w:rPr>
          <w:noProof/>
        </w:rPr>
        <w:t>’</w:t>
      </w:r>
      <w:r>
        <w:rPr>
          <w:noProof/>
        </w:rPr>
        <w:t xml:space="preserve">s continuous cycle could be perceived. </w:t>
      </w:r>
    </w:p>
    <w:p w:rsidR="0042353B" w:rsidRDefault="0042353B" w:rsidP="0042353B">
      <w:r>
        <w:t>Figure 2: Kolb’s learning cycle (1984)</w:t>
      </w:r>
    </w:p>
    <w:p w:rsidR="00762338" w:rsidRDefault="0042353B" w:rsidP="0042353B">
      <w:pPr>
        <w:jc w:val="center"/>
      </w:pPr>
      <w:r>
        <w:rPr>
          <w:noProof/>
        </w:rPr>
        <w:drawing>
          <wp:inline distT="0" distB="0" distL="0" distR="0" wp14:anchorId="535F797B" wp14:editId="10C45414">
            <wp:extent cx="2486025" cy="2019137"/>
            <wp:effectExtent l="0" t="0" r="0" b="635"/>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3F482E8.tmp"/>
                    <pic:cNvPicPr/>
                  </pic:nvPicPr>
                  <pic:blipFill rotWithShape="1">
                    <a:blip r:embed="rId7">
                      <a:extLst>
                        <a:ext uri="{28A0092B-C50C-407E-A947-70E740481C1C}">
                          <a14:useLocalDpi xmlns:a14="http://schemas.microsoft.com/office/drawing/2010/main" val="0"/>
                        </a:ext>
                      </a:extLst>
                    </a:blip>
                    <a:srcRect l="5100" t="4336" r="3991" b="5421"/>
                    <a:stretch/>
                  </pic:blipFill>
                  <pic:spPr bwMode="auto">
                    <a:xfrm>
                      <a:off x="0" y="0"/>
                      <a:ext cx="2509488" cy="2038193"/>
                    </a:xfrm>
                    <a:prstGeom prst="rect">
                      <a:avLst/>
                    </a:prstGeom>
                    <a:ln>
                      <a:noFill/>
                    </a:ln>
                    <a:extLst>
                      <a:ext uri="{53640926-AAD7-44D8-BBD7-CCE9431645EC}">
                        <a14:shadowObscured xmlns:a14="http://schemas.microsoft.com/office/drawing/2010/main"/>
                      </a:ext>
                    </a:extLst>
                  </pic:spPr>
                </pic:pic>
              </a:graphicData>
            </a:graphic>
          </wp:inline>
        </w:drawing>
      </w:r>
    </w:p>
    <w:p w:rsidR="00DF2875" w:rsidRDefault="00DF2875" w:rsidP="001E075B"/>
    <w:p w:rsidR="0042353B" w:rsidRDefault="0042353B" w:rsidP="0042353B">
      <w:r>
        <w:t>According to</w:t>
      </w:r>
      <w:r w:rsidR="0060629E">
        <w:t xml:space="preserve"> Kolb</w:t>
      </w:r>
      <w:r>
        <w:t xml:space="preserve"> </w:t>
      </w:r>
      <w:r w:rsidR="0060629E">
        <w:t>(</w:t>
      </w:r>
      <w:r>
        <w:t>1984, p. 38): “Learning is the process whereby knowledge is created through the transformation of experience”</w:t>
      </w:r>
      <w:r w:rsidR="0060629E">
        <w:t>.</w:t>
      </w:r>
      <w:r>
        <w:t xml:space="preserve">  Roffey-</w:t>
      </w:r>
      <w:proofErr w:type="spellStart"/>
      <w:r>
        <w:t>Barentsen</w:t>
      </w:r>
      <w:proofErr w:type="spellEnd"/>
      <w:r>
        <w:t xml:space="preserve"> and Malthouse (2013) describe Kolb’s learning cycle as “combining reflection with experience”, an ongoing process to improve continued professional development that can be applied to any activity. Table </w:t>
      </w:r>
      <w:r w:rsidR="000774A1">
        <w:t>2</w:t>
      </w:r>
      <w:r>
        <w:t xml:space="preserve"> is an example of how Kolb’s learning cycle could be used for teaching a lesson.</w:t>
      </w:r>
    </w:p>
    <w:p w:rsidR="0042353B" w:rsidRDefault="0042353B" w:rsidP="0042353B">
      <w:r>
        <w:t xml:space="preserve">Table </w:t>
      </w:r>
      <w:r w:rsidR="009B0673">
        <w:t>2</w:t>
      </w:r>
      <w:r>
        <w:t>: Teaching a lesson (Source: Roffey-</w:t>
      </w:r>
      <w:proofErr w:type="spellStart"/>
      <w:r>
        <w:t>Barentsen</w:t>
      </w:r>
      <w:proofErr w:type="spellEnd"/>
      <w:r>
        <w:t xml:space="preserve"> and Malthouse, 2013).</w:t>
      </w:r>
    </w:p>
    <w:p w:rsidR="0042353B" w:rsidRDefault="0042353B" w:rsidP="0042353B">
      <w:pPr>
        <w:jc w:val="center"/>
      </w:pPr>
      <w:r>
        <w:rPr>
          <w:noProof/>
        </w:rPr>
        <w:lastRenderedPageBreak/>
        <w:drawing>
          <wp:inline distT="0" distB="0" distL="0" distR="0" wp14:anchorId="7787FCE5" wp14:editId="36FDD8D3">
            <wp:extent cx="5105400" cy="1514475"/>
            <wp:effectExtent l="0" t="0" r="0" b="9525"/>
            <wp:docPr id="13" name="Picture 1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E0CE17.tmp"/>
                    <pic:cNvPicPr/>
                  </pic:nvPicPr>
                  <pic:blipFill rotWithShape="1">
                    <a:blip r:embed="rId8">
                      <a:duotone>
                        <a:schemeClr val="accent1">
                          <a:shade val="45000"/>
                          <a:satMod val="135000"/>
                        </a:schemeClr>
                        <a:prstClr val="white"/>
                      </a:duotone>
                      <a:extLst>
                        <a:ext uri="{BEBA8EAE-BF5A-486C-A8C5-ECC9F3942E4B}">
                          <a14:imgProps xmlns:a14="http://schemas.microsoft.com/office/drawing/2010/main">
                            <a14:imgLayer r:embed="rId9">
                              <a14:imgEffect>
                                <a14:sharpenSoften amount="25000"/>
                              </a14:imgEffect>
                            </a14:imgLayer>
                          </a14:imgProps>
                        </a:ext>
                        <a:ext uri="{28A0092B-C50C-407E-A947-70E740481C1C}">
                          <a14:useLocalDpi xmlns:a14="http://schemas.microsoft.com/office/drawing/2010/main" val="0"/>
                        </a:ext>
                      </a:extLst>
                    </a:blip>
                    <a:srcRect l="3293" t="8621" r="3813"/>
                    <a:stretch/>
                  </pic:blipFill>
                  <pic:spPr bwMode="auto">
                    <a:xfrm>
                      <a:off x="0" y="0"/>
                      <a:ext cx="5106112" cy="1514686"/>
                    </a:xfrm>
                    <a:prstGeom prst="rect">
                      <a:avLst/>
                    </a:prstGeom>
                    <a:ln>
                      <a:noFill/>
                    </a:ln>
                    <a:extLst>
                      <a:ext uri="{53640926-AAD7-44D8-BBD7-CCE9431645EC}">
                        <a14:shadowObscured xmlns:a14="http://schemas.microsoft.com/office/drawing/2010/main"/>
                      </a:ext>
                    </a:extLst>
                  </pic:spPr>
                </pic:pic>
              </a:graphicData>
            </a:graphic>
          </wp:inline>
        </w:drawing>
      </w:r>
    </w:p>
    <w:p w:rsidR="000F2FAF" w:rsidRDefault="000F2FAF" w:rsidP="00DF2875"/>
    <w:p w:rsidR="005E4CAA" w:rsidRDefault="00C217E3" w:rsidP="00DF2875">
      <w:r>
        <w:rPr>
          <w:noProof/>
        </w:rPr>
        <w:drawing>
          <wp:anchor distT="0" distB="0" distL="114300" distR="114300" simplePos="0" relativeHeight="251658240" behindDoc="0" locked="0" layoutInCell="1" allowOverlap="1" wp14:anchorId="568A8F73">
            <wp:simplePos x="0" y="0"/>
            <wp:positionH relativeFrom="margin">
              <wp:posOffset>3893185</wp:posOffset>
            </wp:positionH>
            <wp:positionV relativeFrom="margin">
              <wp:posOffset>2898140</wp:posOffset>
            </wp:positionV>
            <wp:extent cx="1828165" cy="1057275"/>
            <wp:effectExtent l="0" t="0" r="635" b="9525"/>
            <wp:wrapSquare wrapText="bothSides"/>
            <wp:docPr id="20" name="Picture 20"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43870C8.tmp"/>
                    <pic:cNvPicPr/>
                  </pic:nvPicPr>
                  <pic:blipFill rotWithShape="1">
                    <a:blip r:embed="rId10">
                      <a:extLst>
                        <a:ext uri="{28A0092B-C50C-407E-A947-70E740481C1C}">
                          <a14:useLocalDpi xmlns:a14="http://schemas.microsoft.com/office/drawing/2010/main" val="0"/>
                        </a:ext>
                      </a:extLst>
                    </a:blip>
                    <a:srcRect l="24000" t="18749" r="21143" b="4168"/>
                    <a:stretch/>
                  </pic:blipFill>
                  <pic:spPr bwMode="auto">
                    <a:xfrm>
                      <a:off x="0" y="0"/>
                      <a:ext cx="1828165" cy="1057275"/>
                    </a:xfrm>
                    <a:prstGeom prst="rect">
                      <a:avLst/>
                    </a:prstGeom>
                    <a:ln>
                      <a:noFill/>
                    </a:ln>
                    <a:extLst>
                      <a:ext uri="{53640926-AAD7-44D8-BBD7-CCE9431645EC}">
                        <a14:shadowObscured xmlns:a14="http://schemas.microsoft.com/office/drawing/2010/main"/>
                      </a:ext>
                    </a:extLst>
                  </pic:spPr>
                </pic:pic>
              </a:graphicData>
            </a:graphic>
          </wp:anchor>
        </w:drawing>
      </w:r>
      <w:r w:rsidR="005E4CAA">
        <w:t xml:space="preserve">In </w:t>
      </w:r>
      <w:r w:rsidR="00735D1D">
        <w:t>addition</w:t>
      </w:r>
      <w:r w:rsidR="005E4CAA">
        <w:t xml:space="preserve"> to Gibbs</w:t>
      </w:r>
      <w:r w:rsidR="0042353B">
        <w:t xml:space="preserve"> and Kolb</w:t>
      </w:r>
      <w:r w:rsidR="005E4CAA">
        <w:t xml:space="preserve">, </w:t>
      </w:r>
      <w:proofErr w:type="spellStart"/>
      <w:r w:rsidR="005E4CAA">
        <w:t>Ghaye</w:t>
      </w:r>
      <w:proofErr w:type="spellEnd"/>
      <w:r w:rsidR="00D5530C">
        <w:t xml:space="preserve"> (2011)</w:t>
      </w:r>
      <w:r w:rsidR="005E4CAA">
        <w:t xml:space="preserve"> asserts that</w:t>
      </w:r>
      <w:r w:rsidR="00D5530C">
        <w:t xml:space="preserve"> reflection and practice are linked</w:t>
      </w:r>
      <w:r w:rsidR="00BD79B5">
        <w:t xml:space="preserve"> as it</w:t>
      </w:r>
      <w:r w:rsidR="00D5530C">
        <w:t xml:space="preserve"> is not just about self-improvement and how we develop ourselves in the workplace. </w:t>
      </w:r>
      <w:r w:rsidR="00BD79B5">
        <w:t>Reflective practice is</w:t>
      </w:r>
      <w:r w:rsidR="00D5530C">
        <w:t xml:space="preserve"> also about developing positive emotions</w:t>
      </w:r>
      <w:r w:rsidR="00097B0A">
        <w:t xml:space="preserve"> </w:t>
      </w:r>
      <w:r w:rsidR="00BD79B5">
        <w:t>to enable us to make sense of a situation. These new insights and understandings can then be put into practice to improve our actions</w:t>
      </w:r>
      <w:r w:rsidR="00D5530C">
        <w:t xml:space="preserve"> allow</w:t>
      </w:r>
      <w:r w:rsidR="00BD79B5">
        <w:t>ing</w:t>
      </w:r>
      <w:r w:rsidR="00D5530C">
        <w:t xml:space="preserve"> for higher quality teaching. </w:t>
      </w:r>
      <w:proofErr w:type="spellStart"/>
      <w:r w:rsidR="00D5530C">
        <w:t>Ghaye</w:t>
      </w:r>
      <w:proofErr w:type="spellEnd"/>
      <w:r w:rsidR="00D5530C">
        <w:t xml:space="preserve"> suggests asking</w:t>
      </w:r>
      <w:r w:rsidR="00DF2875">
        <w:t xml:space="preserve"> oneself</w:t>
      </w:r>
      <w:r w:rsidR="00D5530C">
        <w:t xml:space="preserve"> the following</w:t>
      </w:r>
      <w:r w:rsidR="00097B0A">
        <w:t xml:space="preserve"> reflective</w:t>
      </w:r>
      <w:r w:rsidR="00D5530C">
        <w:t xml:space="preserve"> questions</w:t>
      </w:r>
      <w:r w:rsidR="00735D1D">
        <w:t>:</w:t>
      </w:r>
    </w:p>
    <w:p w:rsidR="0029383B" w:rsidRDefault="0029383B" w:rsidP="0029383B">
      <w:pPr>
        <w:pStyle w:val="ListParagraph"/>
        <w:numPr>
          <w:ilvl w:val="0"/>
          <w:numId w:val="1"/>
        </w:numPr>
      </w:pPr>
      <w:bookmarkStart w:id="1" w:name="_Hlk7321455"/>
      <w:r>
        <w:t>Awareness - What am I trying to do?</w:t>
      </w:r>
    </w:p>
    <w:p w:rsidR="0029383B" w:rsidRDefault="0029383B" w:rsidP="0029383B">
      <w:pPr>
        <w:pStyle w:val="ListParagraph"/>
        <w:numPr>
          <w:ilvl w:val="0"/>
          <w:numId w:val="1"/>
        </w:numPr>
      </w:pPr>
      <w:r>
        <w:t>Appreciation – How successful am I?</w:t>
      </w:r>
      <w:r w:rsidR="00BD79B5" w:rsidRPr="00BD79B5">
        <w:rPr>
          <w:noProof/>
        </w:rPr>
        <w:t xml:space="preserve"> </w:t>
      </w:r>
    </w:p>
    <w:p w:rsidR="0029383B" w:rsidRDefault="0029383B" w:rsidP="0029383B">
      <w:pPr>
        <w:pStyle w:val="ListParagraph"/>
        <w:numPr>
          <w:ilvl w:val="0"/>
          <w:numId w:val="1"/>
        </w:numPr>
      </w:pPr>
      <w:r>
        <w:t>Imagine – Is there a better way to achieve this?</w:t>
      </w:r>
    </w:p>
    <w:p w:rsidR="0029383B" w:rsidRDefault="0029383B" w:rsidP="0029383B">
      <w:pPr>
        <w:pStyle w:val="ListParagraph"/>
        <w:numPr>
          <w:ilvl w:val="0"/>
          <w:numId w:val="1"/>
        </w:numPr>
      </w:pPr>
      <w:r>
        <w:t>Design – What do I need to do to achieve this?</w:t>
      </w:r>
    </w:p>
    <w:p w:rsidR="00BB74D0" w:rsidRDefault="0029383B" w:rsidP="00BB74D0">
      <w:pPr>
        <w:pStyle w:val="ListParagraph"/>
        <w:numPr>
          <w:ilvl w:val="0"/>
          <w:numId w:val="1"/>
        </w:numPr>
      </w:pPr>
      <w:r>
        <w:t>Judgement – Should I be doing this?</w:t>
      </w:r>
      <w:bookmarkEnd w:id="1"/>
    </w:p>
    <w:p w:rsidR="00BB74D0" w:rsidRDefault="00BB74D0" w:rsidP="00BB74D0">
      <w:pPr>
        <w:pStyle w:val="ListParagraph"/>
      </w:pPr>
    </w:p>
    <w:p w:rsidR="00735D1D" w:rsidRDefault="00735D1D" w:rsidP="00BB74D0">
      <w:pPr>
        <w:pStyle w:val="ListParagraph"/>
        <w:jc w:val="right"/>
      </w:pPr>
      <w:r>
        <w:t xml:space="preserve">(Source: </w:t>
      </w:r>
      <w:proofErr w:type="spellStart"/>
      <w:r>
        <w:t>Ghaye</w:t>
      </w:r>
      <w:proofErr w:type="spellEnd"/>
      <w:r>
        <w:t xml:space="preserve"> 2011)</w:t>
      </w:r>
    </w:p>
    <w:p w:rsidR="000F2FAF" w:rsidRDefault="000F2FAF" w:rsidP="0060629E"/>
    <w:p w:rsidR="00525F9E" w:rsidRPr="0060629E" w:rsidRDefault="00557FD8" w:rsidP="0060629E">
      <w:pPr>
        <w:rPr>
          <w:b/>
        </w:rPr>
      </w:pPr>
      <w:r>
        <w:t xml:space="preserve">However, Schon (1983) suggests that reflection is not </w:t>
      </w:r>
      <w:r w:rsidR="00AB3F41">
        <w:t>always</w:t>
      </w:r>
      <w:r>
        <w:t xml:space="preserve"> about the individual</w:t>
      </w:r>
      <w:r w:rsidR="0060629E">
        <w:t>,</w:t>
      </w:r>
      <w:r>
        <w:t xml:space="preserve"> it can also involve trying to understand the situation through the eyes of others, for example</w:t>
      </w:r>
      <w:r w:rsidR="00AB3F41">
        <w:t>;</w:t>
      </w:r>
      <w:r>
        <w:t xml:space="preserve"> a student, colleague or mentor. Schon refers to this as re-framing. Brookfield (2017) describes this as critically reflective teaching. Taking time to identify and analyse the assumptions that outline our teaching practice allows us to keep</w:t>
      </w:r>
      <w:r w:rsidR="00ED7466">
        <w:t>-</w:t>
      </w:r>
      <w:r>
        <w:t>up</w:t>
      </w:r>
      <w:r w:rsidR="00ED7466">
        <w:t>-</w:t>
      </w:r>
      <w:r>
        <w:t>to</w:t>
      </w:r>
      <w:r w:rsidR="00ED7466">
        <w:t>-</w:t>
      </w:r>
      <w:r>
        <w:t>date</w:t>
      </w:r>
      <w:r w:rsidR="00ED7466">
        <w:t>,</w:t>
      </w:r>
      <w:r>
        <w:t xml:space="preserve"> leading to more effective teaching. According to Bolton and </w:t>
      </w:r>
      <w:proofErr w:type="spellStart"/>
      <w:r>
        <w:t>Delderfield</w:t>
      </w:r>
      <w:proofErr w:type="spellEnd"/>
      <w:r>
        <w:t xml:space="preserve"> (2018) reflective practice changes the way professionals think and relate to the wider society. This plays a key part in terms of employability as today’s professionals “face so many complex and unpredictable situations”. The ability to act reflectively and spontaneously not only improves the quality of their work it allows for unity, leading to a decrease in work-related stress and an increase in job satisfaction. </w:t>
      </w:r>
      <w:r w:rsidR="00AB3F41">
        <w:t xml:space="preserve">Moreover, </w:t>
      </w:r>
      <w:r>
        <w:t xml:space="preserve">Sellars (2017) </w:t>
      </w:r>
      <w:r w:rsidR="00AB3F41">
        <w:t>states</w:t>
      </w:r>
      <w:r>
        <w:t xml:space="preserve"> that teaching is not an easy profession. Often there are no right or wrong answers to the strategies we use and there is not always time to liaise with colleagues. Therefore, teach</w:t>
      </w:r>
      <w:r w:rsidR="00AB3F41">
        <w:t>ers will often be required to “reflect critically on a number of interactions”</w:t>
      </w:r>
      <w:r>
        <w:t xml:space="preserve">. Teaching involves many different aspects. It is not just about formative and summative assessment criteria it is also about change in terms of keeping up with the key issues the profession is currently facing such as globalisation and emerging technology. As teachers we need to be well informed. Developing teaching strategies to accommodate diversity and integrating technology to support the learning is essential in today’s climate.  In addition, Robins </w:t>
      </w:r>
      <w:r w:rsidRPr="00624EBA">
        <w:rPr>
          <w:i/>
        </w:rPr>
        <w:t>et al</w:t>
      </w:r>
      <w:r>
        <w:t xml:space="preserve"> (2003) </w:t>
      </w:r>
      <w:r w:rsidR="00AB3F41">
        <w:t>describe t</w:t>
      </w:r>
      <w:r>
        <w:t xml:space="preserve">he classroom </w:t>
      </w:r>
      <w:r w:rsidR="00AB3F41">
        <w:t>as</w:t>
      </w:r>
      <w:r>
        <w:t xml:space="preserve"> a “fast moving environme</w:t>
      </w:r>
      <w:r w:rsidR="00AB3F41">
        <w:t>nt”</w:t>
      </w:r>
      <w:r w:rsidR="000A6180">
        <w:t xml:space="preserve"> so</w:t>
      </w:r>
      <w:r>
        <w:t xml:space="preserve"> taking the time to think about the skills we need to develop allow</w:t>
      </w:r>
      <w:r w:rsidR="000A6180">
        <w:t>s</w:t>
      </w:r>
      <w:r>
        <w:t xml:space="preserve"> us to make “more informed judgements and professional decisions”.</w:t>
      </w:r>
    </w:p>
    <w:p w:rsidR="00525F9E" w:rsidRDefault="00525F9E" w:rsidP="00BB74D0">
      <w:pPr>
        <w:pStyle w:val="Heading3"/>
      </w:pPr>
    </w:p>
    <w:p w:rsidR="00BB74D0" w:rsidRPr="00BB74D0" w:rsidRDefault="00BB74D0" w:rsidP="003D6789">
      <w:pPr>
        <w:pStyle w:val="Heading1"/>
      </w:pPr>
      <w:r w:rsidRPr="00BB74D0">
        <w:t>Conclusion</w:t>
      </w:r>
    </w:p>
    <w:p w:rsidR="00F651C9" w:rsidRDefault="00C25957" w:rsidP="001E075B">
      <w:r>
        <w:t>The purpose of this paper was to critically review and analyse reflective practice in teaching and learning. Reflecti</w:t>
      </w:r>
      <w:r w:rsidR="001C76D6">
        <w:t>on itself</w:t>
      </w:r>
      <w:r w:rsidR="00525F9E">
        <w:t xml:space="preserve"> is not</w:t>
      </w:r>
      <w:r>
        <w:t xml:space="preserve"> a new concept</w:t>
      </w:r>
      <w:r w:rsidR="00525F9E">
        <w:t xml:space="preserve"> </w:t>
      </w:r>
      <w:r>
        <w:t>as the theorists utilised in this paper date from 1690 to the present day.</w:t>
      </w:r>
      <w:r w:rsidR="00F651C9">
        <w:t xml:space="preserve"> However, the evidence suggests that Schon was</w:t>
      </w:r>
      <w:r w:rsidR="00AD3083">
        <w:t xml:space="preserve"> accurate</w:t>
      </w:r>
      <w:r w:rsidR="00F651C9">
        <w:t xml:space="preserve"> in terms of life being about trial and error</w:t>
      </w:r>
      <w:r w:rsidR="00AD3083">
        <w:t xml:space="preserve"> and that</w:t>
      </w:r>
      <w:r w:rsidR="00F651C9">
        <w:t xml:space="preserve"> </w:t>
      </w:r>
      <w:r w:rsidR="00AD3083">
        <w:rPr>
          <w:noProof/>
        </w:rPr>
        <w:t>reflection should encompass a continuous cycle of events to include past and present experiences, particularly</w:t>
      </w:r>
      <w:r w:rsidR="00F651C9">
        <w:t xml:space="preserve"> </w:t>
      </w:r>
      <w:r w:rsidR="00AD3083">
        <w:t xml:space="preserve">professionals as they are facing intricate and unpredictable situations. </w:t>
      </w:r>
      <w:r w:rsidR="007A5AE7">
        <w:t>Also, t</w:t>
      </w:r>
      <w:r w:rsidR="00AD3083">
        <w:t>he frameworks by Kolb and Gibbs complement Schon’s work in terms of the reflective process</w:t>
      </w:r>
      <w:r w:rsidR="00BA76E2">
        <w:t>.  In addition, t</w:t>
      </w:r>
      <w:r w:rsidR="00AD3083">
        <w:t>he examples provided by Roffey-</w:t>
      </w:r>
      <w:proofErr w:type="spellStart"/>
      <w:r w:rsidR="00AD3083">
        <w:t>Barentsen</w:t>
      </w:r>
      <w:proofErr w:type="spellEnd"/>
      <w:r w:rsidR="00AD3083">
        <w:t xml:space="preserve"> and Malthouse, and the CIPD give an excellent insight to how</w:t>
      </w:r>
      <w:r w:rsidR="001521A3">
        <w:t xml:space="preserve"> Kolb’s and Gibbs’ work</w:t>
      </w:r>
      <w:r w:rsidR="00AD3083">
        <w:t xml:space="preserve"> can be useful in teaching</w:t>
      </w:r>
      <w:r w:rsidR="00EA1590">
        <w:t xml:space="preserve"> as it has been said that there is not always time to liaise with colleagues which results in having to think on one’s feet in a </w:t>
      </w:r>
      <w:r w:rsidR="00BA76E2">
        <w:t>fast-moving</w:t>
      </w:r>
      <w:r w:rsidR="00EA1590">
        <w:t xml:space="preserve"> environment.</w:t>
      </w:r>
    </w:p>
    <w:p w:rsidR="00D81087" w:rsidRDefault="00EA1590" w:rsidP="0054359D">
      <w:r>
        <w:t>Moreover, what is clear is that reflective practice is of significant benefit to teaching and learning</w:t>
      </w:r>
      <w:r w:rsidR="000734AB">
        <w:t>;</w:t>
      </w:r>
      <w:r>
        <w:t xml:space="preserve"> not just for self-improvement but the context in which </w:t>
      </w:r>
      <w:r w:rsidR="0054359D">
        <w:t xml:space="preserve">teaching, </w:t>
      </w:r>
      <w:r>
        <w:t>and learning takes place, particularly in terms of diversity, integrated technology and globalisation</w:t>
      </w:r>
      <w:r w:rsidR="00B907AD">
        <w:t xml:space="preserve">. </w:t>
      </w:r>
      <w:r w:rsidR="0054359D">
        <w:t xml:space="preserve"> </w:t>
      </w:r>
      <w:proofErr w:type="spellStart"/>
      <w:r w:rsidR="00D81087">
        <w:t>Ghaye’s</w:t>
      </w:r>
      <w:proofErr w:type="spellEnd"/>
      <w:r w:rsidR="00D81087">
        <w:t xml:space="preserve"> reflective questions could be useful for this.</w:t>
      </w:r>
    </w:p>
    <w:p w:rsidR="00D81087" w:rsidRDefault="00D81087" w:rsidP="00D81087">
      <w:pPr>
        <w:pStyle w:val="Heading1"/>
      </w:pPr>
      <w:r>
        <w:t xml:space="preserve">Recommendation </w:t>
      </w:r>
    </w:p>
    <w:p w:rsidR="00F34244" w:rsidRPr="0054359D" w:rsidRDefault="00EA1590" w:rsidP="0054359D">
      <w:r>
        <w:t xml:space="preserve">What is surprising is </w:t>
      </w:r>
      <w:r w:rsidR="00A912F9">
        <w:t>how reflective practice</w:t>
      </w:r>
      <w:r w:rsidR="007A5AE7">
        <w:t xml:space="preserve"> plays a key part in employability as it</w:t>
      </w:r>
      <w:r w:rsidR="00A912F9">
        <w:t xml:space="preserve"> </w:t>
      </w:r>
      <w:r w:rsidR="0054359D">
        <w:t>is linked</w:t>
      </w:r>
      <w:r w:rsidR="00A912F9">
        <w:t xml:space="preserve"> to a</w:t>
      </w:r>
      <w:r w:rsidR="007A5AE7">
        <w:t xml:space="preserve"> higher quality of work, a</w:t>
      </w:r>
      <w:r w:rsidR="00A912F9">
        <w:t xml:space="preserve"> decrease in work-related stress and an increase in job satisfaction</w:t>
      </w:r>
      <w:r w:rsidR="00904BDA">
        <w:t xml:space="preserve"> (Bolton and </w:t>
      </w:r>
      <w:proofErr w:type="spellStart"/>
      <w:r w:rsidR="00904BDA">
        <w:t>Delderfield</w:t>
      </w:r>
      <w:proofErr w:type="spellEnd"/>
      <w:r w:rsidR="00904BDA">
        <w:t>, 2018). This</w:t>
      </w:r>
      <w:r w:rsidR="0054359D" w:rsidRPr="0054359D">
        <w:t xml:space="preserve"> leads to the </w:t>
      </w:r>
      <w:r w:rsidR="00904BDA">
        <w:t>recommendation</w:t>
      </w:r>
      <w:r w:rsidR="00D8380F">
        <w:t xml:space="preserve">: </w:t>
      </w:r>
      <w:r w:rsidR="0054359D" w:rsidRPr="0054359D">
        <w:t xml:space="preserve">if reflective </w:t>
      </w:r>
      <w:r w:rsidR="000F2FAF">
        <w:t>practice plays a key part in employability</w:t>
      </w:r>
      <w:r w:rsidR="0054359D" w:rsidRPr="0054359D">
        <w:t xml:space="preserve">, </w:t>
      </w:r>
      <w:r w:rsidR="00904BDA">
        <w:t>it must be</w:t>
      </w:r>
      <w:r w:rsidR="0054359D" w:rsidRPr="0054359D">
        <w:t xml:space="preserve"> worthy of further research in terms of human capital and</w:t>
      </w:r>
      <w:r w:rsidR="000F2FAF">
        <w:t xml:space="preserve"> sustained</w:t>
      </w:r>
      <w:r w:rsidR="0054359D" w:rsidRPr="0054359D">
        <w:t xml:space="preserve"> competitive advantag</w:t>
      </w:r>
      <w:r w:rsidR="00904BDA">
        <w:t>e.</w:t>
      </w:r>
      <w:r w:rsidR="00D81087">
        <w:t xml:space="preserve"> “…the empires of the future will be empires of the mind.”</w:t>
      </w:r>
      <w:r w:rsidR="00904BDA">
        <w:t xml:space="preserve">  (Churchill, 1943) as cited in The Economist (2006).</w:t>
      </w:r>
      <w:r w:rsidR="000F2FAF">
        <w:t xml:space="preserve"> </w:t>
      </w:r>
    </w:p>
    <w:p w:rsidR="00F34244" w:rsidRPr="0054359D" w:rsidRDefault="00F34244" w:rsidP="0054359D"/>
    <w:p w:rsidR="00F34244" w:rsidRDefault="00F34244" w:rsidP="003D6789">
      <w:pPr>
        <w:pStyle w:val="Heading1"/>
        <w:jc w:val="center"/>
      </w:pPr>
    </w:p>
    <w:p w:rsidR="00F34244" w:rsidRDefault="00F34244" w:rsidP="003D6789">
      <w:pPr>
        <w:pStyle w:val="Heading1"/>
        <w:jc w:val="center"/>
      </w:pPr>
    </w:p>
    <w:p w:rsidR="00F34244" w:rsidRDefault="00F34244" w:rsidP="00F34244"/>
    <w:p w:rsidR="00F34244" w:rsidRDefault="00F34244" w:rsidP="00F34244"/>
    <w:p w:rsidR="00F34244" w:rsidRDefault="00F34244" w:rsidP="00F34244"/>
    <w:p w:rsidR="00F34244" w:rsidRDefault="00F34244" w:rsidP="00F34244"/>
    <w:p w:rsidR="0054359D" w:rsidRDefault="0054359D" w:rsidP="00904BDA">
      <w:pPr>
        <w:pStyle w:val="Heading1"/>
      </w:pPr>
    </w:p>
    <w:p w:rsidR="00904BDA" w:rsidRDefault="00904BDA" w:rsidP="00904BDA"/>
    <w:p w:rsidR="00904BDA" w:rsidRDefault="00904BDA" w:rsidP="00904BDA"/>
    <w:p w:rsidR="00904BDA" w:rsidRPr="00904BDA" w:rsidRDefault="00904BDA" w:rsidP="00904BDA"/>
    <w:p w:rsidR="0054359D" w:rsidRDefault="0054359D" w:rsidP="00F34244">
      <w:pPr>
        <w:pStyle w:val="Heading1"/>
        <w:jc w:val="center"/>
      </w:pPr>
    </w:p>
    <w:p w:rsidR="00C639F3" w:rsidRDefault="00C639F3" w:rsidP="00C639F3"/>
    <w:p w:rsidR="00C639F3" w:rsidRDefault="00C639F3" w:rsidP="00C639F3"/>
    <w:p w:rsidR="0029041C" w:rsidRDefault="00BB74D0" w:rsidP="00C639F3">
      <w:pPr>
        <w:pStyle w:val="Heading1"/>
        <w:jc w:val="center"/>
      </w:pPr>
      <w:r w:rsidRPr="00C639F3">
        <w:t>References</w:t>
      </w:r>
    </w:p>
    <w:p w:rsidR="00C639F3" w:rsidRPr="00C639F3" w:rsidRDefault="00C639F3" w:rsidP="00C639F3"/>
    <w:p w:rsidR="003F2DC0" w:rsidRDefault="003F2DC0" w:rsidP="00B133D0">
      <w:proofErr w:type="spellStart"/>
      <w:r>
        <w:t>Bassot</w:t>
      </w:r>
      <w:proofErr w:type="spellEnd"/>
      <w:r>
        <w:t xml:space="preserve">, B (2016) </w:t>
      </w:r>
      <w:r w:rsidRPr="003F2DC0">
        <w:rPr>
          <w:i/>
        </w:rPr>
        <w:t>The reflective practice guide: An interdisciplinary approach to critical reflection.</w:t>
      </w:r>
      <w:r>
        <w:t xml:space="preserve"> Routledge: Oxon</w:t>
      </w:r>
      <w:r w:rsidR="00B454D9">
        <w:t>.</w:t>
      </w:r>
    </w:p>
    <w:p w:rsidR="0029041C" w:rsidRDefault="0029041C" w:rsidP="00B133D0">
      <w:r>
        <w:t xml:space="preserve">Bolton, G and </w:t>
      </w:r>
      <w:proofErr w:type="spellStart"/>
      <w:r>
        <w:t>Delderfield</w:t>
      </w:r>
      <w:proofErr w:type="spellEnd"/>
      <w:r>
        <w:t xml:space="preserve">, R (2018) </w:t>
      </w:r>
      <w:r w:rsidRPr="0013177D">
        <w:rPr>
          <w:i/>
        </w:rPr>
        <w:t>Reflective practice: Writing and professional development</w:t>
      </w:r>
      <w:r>
        <w:t>. 5</w:t>
      </w:r>
      <w:r w:rsidRPr="0013177D">
        <w:rPr>
          <w:vertAlign w:val="superscript"/>
        </w:rPr>
        <w:t>th</w:t>
      </w:r>
      <w:r>
        <w:t xml:space="preserve"> </w:t>
      </w:r>
      <w:proofErr w:type="spellStart"/>
      <w:r>
        <w:t>edn</w:t>
      </w:r>
      <w:proofErr w:type="spellEnd"/>
      <w:r>
        <w:t>. London</w:t>
      </w:r>
      <w:r w:rsidR="00B454D9">
        <w:t>:</w:t>
      </w:r>
      <w:r>
        <w:t xml:space="preserve"> Sage Publications.</w:t>
      </w:r>
    </w:p>
    <w:p w:rsidR="009D7BAC" w:rsidRPr="0059193D" w:rsidRDefault="0077366C" w:rsidP="0059193D">
      <w:proofErr w:type="spellStart"/>
      <w:r>
        <w:t>Bourner</w:t>
      </w:r>
      <w:proofErr w:type="spellEnd"/>
      <w:r>
        <w:t>, T. (2003) ‘</w:t>
      </w:r>
      <w:r w:rsidRPr="00110087">
        <w:t>Assessing reflective learning</w:t>
      </w:r>
      <w:r>
        <w:t xml:space="preserve">’, </w:t>
      </w:r>
      <w:r w:rsidRPr="00110087">
        <w:rPr>
          <w:i/>
        </w:rPr>
        <w:t>Education and Training; London,</w:t>
      </w:r>
      <w:r>
        <w:t xml:space="preserve"> 45 (4.5) pp.267-272. </w:t>
      </w:r>
      <w:proofErr w:type="spellStart"/>
      <w:r>
        <w:t>Proquest</w:t>
      </w:r>
      <w:proofErr w:type="spellEnd"/>
      <w:r>
        <w:t xml:space="preserve">. [Online]. Available at: </w:t>
      </w:r>
      <w:hyperlink r:id="rId11" w:history="1">
        <w:r w:rsidRPr="00110087">
          <w:rPr>
            <w:rStyle w:val="Hyperlink"/>
          </w:rPr>
          <w:t>https://search-proquest-com.ezproxy.uwtsd.ac.uk/docview/237069318?accountid=130472&amp;rfr_id=info%3Axri%2Fsid%3Aprimo</w:t>
        </w:r>
      </w:hyperlink>
      <w:r w:rsidRPr="00110087">
        <w:t xml:space="preserve"> (Accessed: 16 April 2019).</w:t>
      </w:r>
    </w:p>
    <w:p w:rsidR="00F12A71" w:rsidRDefault="00EB1783" w:rsidP="00EB1783">
      <w:r>
        <w:t xml:space="preserve">Brookfield, D. S. (2017) </w:t>
      </w:r>
      <w:r w:rsidRPr="00EB1783">
        <w:rPr>
          <w:i/>
        </w:rPr>
        <w:t>Becoming a critically reflective teacher</w:t>
      </w:r>
      <w:r>
        <w:t>. 2</w:t>
      </w:r>
      <w:r w:rsidRPr="00EB1783">
        <w:rPr>
          <w:vertAlign w:val="superscript"/>
        </w:rPr>
        <w:t>nd</w:t>
      </w:r>
      <w:r>
        <w:t xml:space="preserve"> </w:t>
      </w:r>
      <w:proofErr w:type="spellStart"/>
      <w:r>
        <w:t>edn</w:t>
      </w:r>
      <w:proofErr w:type="spellEnd"/>
      <w:r>
        <w:t xml:space="preserve">. </w:t>
      </w:r>
      <w:r w:rsidRPr="00EB1783">
        <w:t>Jossey-Bass</w:t>
      </w:r>
      <w:r>
        <w:t xml:space="preserve">: </w:t>
      </w:r>
      <w:r w:rsidRPr="00EB1783">
        <w:t>California</w:t>
      </w:r>
      <w:r>
        <w:t>.</w:t>
      </w:r>
    </w:p>
    <w:p w:rsidR="006148AC" w:rsidRPr="00EB1783" w:rsidRDefault="006148AC" w:rsidP="00EB1783">
      <w:pPr>
        <w:rPr>
          <w:noProof/>
        </w:rPr>
      </w:pPr>
      <w:r>
        <w:t>C</w:t>
      </w:r>
      <w:r w:rsidR="00B454D9">
        <w:t>I</w:t>
      </w:r>
      <w:r>
        <w:t xml:space="preserve">PD (n.d.) </w:t>
      </w:r>
      <w:r w:rsidRPr="00C63AA8">
        <w:rPr>
          <w:i/>
        </w:rPr>
        <w:t>Reflective practice guide.</w:t>
      </w:r>
      <w:r>
        <w:t xml:space="preserve"> [Online] Available at: </w:t>
      </w:r>
      <w:hyperlink r:id="rId12" w:history="1">
        <w:r w:rsidRPr="00E727A2">
          <w:rPr>
            <w:rStyle w:val="Hyperlink"/>
          </w:rPr>
          <w:t>https://www.cipd.co.uk/Images/reflective-practice-guide_tcm18-12524.pdf</w:t>
        </w:r>
      </w:hyperlink>
      <w:r>
        <w:t xml:space="preserve"> (Accessed: 30 April 2019). </w:t>
      </w:r>
    </w:p>
    <w:p w:rsidR="009D7BAC" w:rsidRDefault="009D7BAC" w:rsidP="009D7BAC">
      <w:r w:rsidRPr="00D648E9">
        <w:t xml:space="preserve">Dewey J (1933) </w:t>
      </w:r>
      <w:r w:rsidRPr="00D648E9">
        <w:rPr>
          <w:i/>
        </w:rPr>
        <w:t>How We Think: a restatement of the relation of reflective thinking to the educative process.</w:t>
      </w:r>
      <w:r>
        <w:t xml:space="preserve"> </w:t>
      </w:r>
      <w:r w:rsidRPr="00D648E9">
        <w:t xml:space="preserve">Revised </w:t>
      </w:r>
      <w:proofErr w:type="spellStart"/>
      <w:r w:rsidR="00B454D9">
        <w:t>e</w:t>
      </w:r>
      <w:r w:rsidRPr="00D648E9">
        <w:t>dn</w:t>
      </w:r>
      <w:proofErr w:type="spellEnd"/>
      <w:r>
        <w:t>.</w:t>
      </w:r>
      <w:r w:rsidRPr="00D648E9">
        <w:t xml:space="preserve"> Boston</w:t>
      </w:r>
      <w:r w:rsidR="00B454D9">
        <w:t xml:space="preserve">: </w:t>
      </w:r>
      <w:r w:rsidRPr="00D648E9">
        <w:t>D C Heath &amp; Co.</w:t>
      </w:r>
    </w:p>
    <w:p w:rsidR="00D81087" w:rsidRDefault="00904BDA" w:rsidP="009D7BAC">
      <w:r>
        <w:t xml:space="preserve">The Economist (2006) ‘The battle for brainpower’, </w:t>
      </w:r>
      <w:r w:rsidRPr="00904BDA">
        <w:rPr>
          <w:i/>
        </w:rPr>
        <w:t>The Economist</w:t>
      </w:r>
      <w:r>
        <w:t xml:space="preserve">, 7 October [Online] Available at: </w:t>
      </w:r>
      <w:hyperlink r:id="rId13" w:history="1">
        <w:r w:rsidRPr="003E538B">
          <w:rPr>
            <w:rStyle w:val="Hyperlink"/>
          </w:rPr>
          <w:t>https://www.economist.com/special-report/2006/10/07/the-battle-for-brainpower</w:t>
        </w:r>
      </w:hyperlink>
      <w:r w:rsidR="00D81087">
        <w:t xml:space="preserve"> (Accessed: 2 May 2019). </w:t>
      </w:r>
    </w:p>
    <w:p w:rsidR="004D262F" w:rsidRDefault="004D262F" w:rsidP="009D7BAC">
      <w:r>
        <w:t xml:space="preserve">Frazer, A. (ed.) (1959) </w:t>
      </w:r>
      <w:r w:rsidRPr="00D55C9C">
        <w:t>Locke</w:t>
      </w:r>
      <w:r w:rsidR="00B454D9">
        <w:t>,</w:t>
      </w:r>
      <w:r w:rsidRPr="00D55C9C">
        <w:t xml:space="preserve"> J</w:t>
      </w:r>
      <w:r w:rsidR="00B454D9">
        <w:t>.</w:t>
      </w:r>
      <w:r w:rsidRPr="00D55C9C">
        <w:t xml:space="preserve"> [1690]</w:t>
      </w:r>
      <w:r>
        <w:t xml:space="preserve">: </w:t>
      </w:r>
      <w:r w:rsidRPr="00D648E9">
        <w:rPr>
          <w:i/>
        </w:rPr>
        <w:t>An essay concerning human understanding, two vols.</w:t>
      </w:r>
      <w:r w:rsidRPr="00D55C9C">
        <w:t xml:space="preserve"> New York: Dover.</w:t>
      </w:r>
    </w:p>
    <w:p w:rsidR="00E06214" w:rsidRPr="00D648E9" w:rsidRDefault="00E06214" w:rsidP="009D7BAC">
      <w:proofErr w:type="spellStart"/>
      <w:r>
        <w:t>Ghaye</w:t>
      </w:r>
      <w:proofErr w:type="spellEnd"/>
      <w:r>
        <w:t xml:space="preserve">, T. (2011) </w:t>
      </w:r>
      <w:r w:rsidRPr="00E06214">
        <w:rPr>
          <w:i/>
        </w:rPr>
        <w:t>Teaching and learning through reflective practice: A practical guide for positive actio</w:t>
      </w:r>
      <w:r>
        <w:rPr>
          <w:i/>
        </w:rPr>
        <w:t>n</w:t>
      </w:r>
      <w:r>
        <w:t>. 2</w:t>
      </w:r>
      <w:r w:rsidRPr="00E06214">
        <w:rPr>
          <w:vertAlign w:val="superscript"/>
        </w:rPr>
        <w:t>nd</w:t>
      </w:r>
      <w:r>
        <w:t xml:space="preserve"> </w:t>
      </w:r>
      <w:proofErr w:type="spellStart"/>
      <w:r>
        <w:t>edn</w:t>
      </w:r>
      <w:proofErr w:type="spellEnd"/>
      <w:r>
        <w:t>. Oxon: Routledge.</w:t>
      </w:r>
    </w:p>
    <w:p w:rsidR="009D7BAC" w:rsidRDefault="009D7BAC" w:rsidP="009D7BAC">
      <w:r w:rsidRPr="00356B6F">
        <w:t xml:space="preserve">Gibbs, G. (1988) </w:t>
      </w:r>
      <w:r w:rsidRPr="00B454D9">
        <w:rPr>
          <w:i/>
        </w:rPr>
        <w:t>Learning</w:t>
      </w:r>
      <w:r w:rsidRPr="00D648E9">
        <w:rPr>
          <w:i/>
        </w:rPr>
        <w:t xml:space="preserve"> by doing: A guide to teaching and learning methods</w:t>
      </w:r>
      <w:r w:rsidRPr="00356B6F">
        <w:t>. Oxford: Oxford Brookes Further Education Unit.</w:t>
      </w:r>
    </w:p>
    <w:p w:rsidR="009D7BAC" w:rsidRDefault="009D7BAC" w:rsidP="009D7BAC">
      <w:r w:rsidRPr="00230A17">
        <w:t xml:space="preserve">Kolb, D. A. (1984). </w:t>
      </w:r>
      <w:r w:rsidRPr="00D648E9">
        <w:rPr>
          <w:i/>
        </w:rPr>
        <w:t xml:space="preserve">Experiential learning: Experience as the source of learning and development </w:t>
      </w:r>
      <w:r w:rsidRPr="00230A17">
        <w:t>(Vol. 1). Englewood Cliffs, NJ: Prentice-Hall.</w:t>
      </w:r>
    </w:p>
    <w:p w:rsidR="00DF3C21" w:rsidRPr="00DF3C21" w:rsidRDefault="00DF3C21" w:rsidP="00DF3C21">
      <w:pPr>
        <w:shd w:val="clear" w:color="auto" w:fill="FFFFFF"/>
        <w:rPr>
          <w:rFonts w:ascii="Helvetica" w:hAnsi="Helvetica" w:cs="Helvetica"/>
          <w:color w:val="555555"/>
          <w:sz w:val="21"/>
          <w:szCs w:val="21"/>
        </w:rPr>
      </w:pPr>
      <w:r>
        <w:t>Loughran, J</w:t>
      </w:r>
      <w:r w:rsidR="002C4925">
        <w:t>. J.</w:t>
      </w:r>
      <w:r>
        <w:t xml:space="preserve"> (1996) </w:t>
      </w:r>
      <w:r w:rsidRPr="00DF3C21">
        <w:rPr>
          <w:i/>
        </w:rPr>
        <w:t>Developing reflective practice: Learning about teaching and learning through modelling</w:t>
      </w:r>
      <w:r>
        <w:t>. London: Falmer Press.</w:t>
      </w:r>
    </w:p>
    <w:p w:rsidR="00D80A48" w:rsidRDefault="00D80A48" w:rsidP="009D7BAC">
      <w:r>
        <w:t xml:space="preserve">Robins, A., </w:t>
      </w:r>
      <w:proofErr w:type="spellStart"/>
      <w:r>
        <w:t>Ashbaker</w:t>
      </w:r>
      <w:proofErr w:type="spellEnd"/>
      <w:r>
        <w:t xml:space="preserve">, B., Enriquez, J. and Morgan, J. (2003) ‘Learning to reflect: professional practice for professionals and paraprofessionals’, </w:t>
      </w:r>
      <w:r w:rsidRPr="00D80A48">
        <w:rPr>
          <w:i/>
        </w:rPr>
        <w:t>International Journal of Learning,</w:t>
      </w:r>
      <w:r>
        <w:t xml:space="preserve"> 10</w:t>
      </w:r>
      <w:r w:rsidR="002C4925">
        <w:t>,</w:t>
      </w:r>
      <w:r>
        <w:t xml:space="preserve"> </w:t>
      </w:r>
      <w:r w:rsidR="002C4925">
        <w:t xml:space="preserve">pp. </w:t>
      </w:r>
      <w:r>
        <w:t>2555–2565.</w:t>
      </w:r>
    </w:p>
    <w:p w:rsidR="00810A58" w:rsidRDefault="00810A58" w:rsidP="00810A58">
      <w:pPr>
        <w:shd w:val="clear" w:color="auto" w:fill="FFFFFF"/>
        <w:spacing w:after="150" w:line="240" w:lineRule="auto"/>
      </w:pPr>
      <w:bookmarkStart w:id="2" w:name="_Hlk7311021"/>
      <w:r>
        <w:t>Roffey-Barentsen. J. and Malthouse, R. (2013)</w:t>
      </w:r>
      <w:bookmarkEnd w:id="2"/>
      <w:r>
        <w:t xml:space="preserve"> </w:t>
      </w:r>
      <w:r w:rsidRPr="00437953">
        <w:rPr>
          <w:i/>
        </w:rPr>
        <w:t>Reflective practice in education and training</w:t>
      </w:r>
      <w:r>
        <w:t>. 2</w:t>
      </w:r>
      <w:r w:rsidRPr="00542B07">
        <w:rPr>
          <w:vertAlign w:val="superscript"/>
        </w:rPr>
        <w:t>nd</w:t>
      </w:r>
      <w:r>
        <w:t xml:space="preserve"> </w:t>
      </w:r>
      <w:proofErr w:type="spellStart"/>
      <w:r>
        <w:t>edn</w:t>
      </w:r>
      <w:proofErr w:type="spellEnd"/>
      <w:r>
        <w:t>. Sage Publications: London.</w:t>
      </w:r>
    </w:p>
    <w:p w:rsidR="009C47E5" w:rsidRDefault="009C47E5" w:rsidP="00D753B9">
      <w:pPr>
        <w:rPr>
          <w:noProof/>
        </w:rPr>
      </w:pPr>
      <w:r>
        <w:rPr>
          <w:noProof/>
        </w:rPr>
        <w:t xml:space="preserve">Schon, D (1983) </w:t>
      </w:r>
      <w:r w:rsidRPr="00825D3E">
        <w:rPr>
          <w:i/>
          <w:noProof/>
        </w:rPr>
        <w:t>The reflective practioner: How professionals think in action.</w:t>
      </w:r>
      <w:r>
        <w:rPr>
          <w:noProof/>
        </w:rPr>
        <w:t xml:space="preserve"> New York: NY Basic Books.</w:t>
      </w:r>
    </w:p>
    <w:p w:rsidR="00A00552" w:rsidRPr="00DA21D6" w:rsidRDefault="00A00552" w:rsidP="00D753B9">
      <w:r>
        <w:t xml:space="preserve">Schon, D. (1987) </w:t>
      </w:r>
      <w:r w:rsidRPr="001961F5">
        <w:rPr>
          <w:i/>
        </w:rPr>
        <w:t>Educating the reflective practitioner</w:t>
      </w:r>
      <w:r>
        <w:t>, London: Jossey Bass.</w:t>
      </w:r>
    </w:p>
    <w:p w:rsidR="003F50E8" w:rsidRDefault="003F50E8" w:rsidP="009D7BAC">
      <w:r>
        <w:lastRenderedPageBreak/>
        <w:t xml:space="preserve">Sellars, M. (2017) </w:t>
      </w:r>
      <w:r w:rsidRPr="007D13B7">
        <w:rPr>
          <w:i/>
        </w:rPr>
        <w:t>Reflective practice for teachers</w:t>
      </w:r>
      <w:r>
        <w:t>. 2</w:t>
      </w:r>
      <w:r w:rsidRPr="007D13B7">
        <w:rPr>
          <w:vertAlign w:val="superscript"/>
        </w:rPr>
        <w:t>nd</w:t>
      </w:r>
      <w:r>
        <w:t xml:space="preserve"> </w:t>
      </w:r>
      <w:proofErr w:type="spellStart"/>
      <w:r>
        <w:t>edn</w:t>
      </w:r>
      <w:proofErr w:type="spellEnd"/>
      <w:r>
        <w:t>. London: Sage Publications.</w:t>
      </w:r>
      <w:r w:rsidR="00C639F3">
        <w:t xml:space="preserve"> </w:t>
      </w:r>
    </w:p>
    <w:p w:rsidR="0011798E" w:rsidRDefault="009D7BAC" w:rsidP="009D7BAC">
      <w:r w:rsidRPr="00B949AA">
        <w:t>Stenhouse, L. (1979). ‘Case study in comparative education: particularity and generalisation. </w:t>
      </w:r>
      <w:r w:rsidRPr="002C4925">
        <w:rPr>
          <w:i/>
        </w:rPr>
        <w:t>Comparative Education</w:t>
      </w:r>
      <w:r w:rsidRPr="00B949AA">
        <w:t>, 15 (1), pp. 5-10.</w:t>
      </w:r>
      <w:r>
        <w:t xml:space="preserve"> </w:t>
      </w:r>
      <w:r w:rsidRPr="00B949AA">
        <w:rPr>
          <w:i/>
        </w:rPr>
        <w:t>Taylor Francis</w:t>
      </w:r>
      <w:r>
        <w:t xml:space="preserve"> [Online]</w:t>
      </w:r>
      <w:r w:rsidRPr="00B949AA">
        <w:t xml:space="preserve"> Available at: </w:t>
      </w:r>
      <w:hyperlink r:id="rId14" w:history="1">
        <w:r w:rsidRPr="00B949AA">
          <w:rPr>
            <w:rStyle w:val="Hyperlink"/>
          </w:rPr>
          <w:t>http://www.jstor.org.ezproxy.uwtsd.ac.uk/stable/3098839</w:t>
        </w:r>
      </w:hyperlink>
      <w:r w:rsidRPr="00B949AA">
        <w:t xml:space="preserve"> (Accessed: 24 April 2019).</w:t>
      </w:r>
    </w:p>
    <w:sectPr w:rsidR="0011798E" w:rsidSect="002543B6">
      <w:pgSz w:w="11906" w:h="16838"/>
      <w:pgMar w:top="1440" w:right="1440" w:bottom="1440" w:left="1440" w:header="708" w:footer="708" w:gutter="0"/>
      <w:pgBorders w:display="firstPage" w:offsetFrom="page">
        <w:top w:val="single" w:sz="12" w:space="24" w:color="auto"/>
        <w:left w:val="single" w:sz="12" w:space="24" w:color="auto"/>
        <w:bottom w:val="single" w:sz="12" w:space="24" w:color="auto"/>
        <w:right w:val="single"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3809E6"/>
    <w:multiLevelType w:val="hybridMultilevel"/>
    <w:tmpl w:val="F2E030C8"/>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 w15:restartNumberingAfterBreak="0">
    <w:nsid w:val="778A2BC6"/>
    <w:multiLevelType w:val="hybridMultilevel"/>
    <w:tmpl w:val="2124B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0FFA"/>
    <w:rsid w:val="00000281"/>
    <w:rsid w:val="00002DF3"/>
    <w:rsid w:val="00016181"/>
    <w:rsid w:val="000734AB"/>
    <w:rsid w:val="000774A1"/>
    <w:rsid w:val="00097B0A"/>
    <w:rsid w:val="000A6180"/>
    <w:rsid w:val="000B73FE"/>
    <w:rsid w:val="000F2FAF"/>
    <w:rsid w:val="000F5DB1"/>
    <w:rsid w:val="00101500"/>
    <w:rsid w:val="00105638"/>
    <w:rsid w:val="00111C7F"/>
    <w:rsid w:val="0011798E"/>
    <w:rsid w:val="00132835"/>
    <w:rsid w:val="00136096"/>
    <w:rsid w:val="001521A3"/>
    <w:rsid w:val="00153653"/>
    <w:rsid w:val="001558E0"/>
    <w:rsid w:val="00160824"/>
    <w:rsid w:val="00192C4B"/>
    <w:rsid w:val="001942EF"/>
    <w:rsid w:val="001A024F"/>
    <w:rsid w:val="001B28D9"/>
    <w:rsid w:val="001C308B"/>
    <w:rsid w:val="001C3EBD"/>
    <w:rsid w:val="001C76D6"/>
    <w:rsid w:val="001D2176"/>
    <w:rsid w:val="001E075B"/>
    <w:rsid w:val="001E2AA7"/>
    <w:rsid w:val="001E74FD"/>
    <w:rsid w:val="001F31C3"/>
    <w:rsid w:val="00223A48"/>
    <w:rsid w:val="00230A17"/>
    <w:rsid w:val="002543B6"/>
    <w:rsid w:val="00265EF2"/>
    <w:rsid w:val="0029041C"/>
    <w:rsid w:val="0029383B"/>
    <w:rsid w:val="00293972"/>
    <w:rsid w:val="002A0869"/>
    <w:rsid w:val="002B584B"/>
    <w:rsid w:val="002C4925"/>
    <w:rsid w:val="002E3654"/>
    <w:rsid w:val="002F5C27"/>
    <w:rsid w:val="003753E2"/>
    <w:rsid w:val="003947A4"/>
    <w:rsid w:val="003A4B9D"/>
    <w:rsid w:val="003C65BF"/>
    <w:rsid w:val="003D6789"/>
    <w:rsid w:val="003F2DC0"/>
    <w:rsid w:val="003F4C03"/>
    <w:rsid w:val="003F50E8"/>
    <w:rsid w:val="0041235D"/>
    <w:rsid w:val="0042353B"/>
    <w:rsid w:val="00474D2D"/>
    <w:rsid w:val="00490CF5"/>
    <w:rsid w:val="004C5D8A"/>
    <w:rsid w:val="004C7BF2"/>
    <w:rsid w:val="004D262F"/>
    <w:rsid w:val="004F1D06"/>
    <w:rsid w:val="00525F9E"/>
    <w:rsid w:val="0054359D"/>
    <w:rsid w:val="00552EAE"/>
    <w:rsid w:val="005561C6"/>
    <w:rsid w:val="005578BE"/>
    <w:rsid w:val="00557FD8"/>
    <w:rsid w:val="00581AC5"/>
    <w:rsid w:val="0059193D"/>
    <w:rsid w:val="005E4CAA"/>
    <w:rsid w:val="0060629E"/>
    <w:rsid w:val="00610D06"/>
    <w:rsid w:val="00613DF1"/>
    <w:rsid w:val="006148AC"/>
    <w:rsid w:val="00644FA6"/>
    <w:rsid w:val="00653D63"/>
    <w:rsid w:val="006832B8"/>
    <w:rsid w:val="0069663E"/>
    <w:rsid w:val="00696EBA"/>
    <w:rsid w:val="006A307F"/>
    <w:rsid w:val="006D12D6"/>
    <w:rsid w:val="006F55FF"/>
    <w:rsid w:val="0072323C"/>
    <w:rsid w:val="00735D1D"/>
    <w:rsid w:val="00741192"/>
    <w:rsid w:val="00753779"/>
    <w:rsid w:val="00762338"/>
    <w:rsid w:val="00771D8F"/>
    <w:rsid w:val="0077366C"/>
    <w:rsid w:val="007A5AE7"/>
    <w:rsid w:val="007F5262"/>
    <w:rsid w:val="00802741"/>
    <w:rsid w:val="0080734A"/>
    <w:rsid w:val="00810A58"/>
    <w:rsid w:val="00866774"/>
    <w:rsid w:val="00880222"/>
    <w:rsid w:val="00880503"/>
    <w:rsid w:val="00895D76"/>
    <w:rsid w:val="008B0F1B"/>
    <w:rsid w:val="008C03D5"/>
    <w:rsid w:val="008E7200"/>
    <w:rsid w:val="00900A12"/>
    <w:rsid w:val="00904BDA"/>
    <w:rsid w:val="0090792E"/>
    <w:rsid w:val="009179DB"/>
    <w:rsid w:val="0093411E"/>
    <w:rsid w:val="00946EBE"/>
    <w:rsid w:val="00976E9D"/>
    <w:rsid w:val="00982EE2"/>
    <w:rsid w:val="00984C08"/>
    <w:rsid w:val="00993850"/>
    <w:rsid w:val="009A3925"/>
    <w:rsid w:val="009B0673"/>
    <w:rsid w:val="009C47E5"/>
    <w:rsid w:val="009D12DF"/>
    <w:rsid w:val="009D55B7"/>
    <w:rsid w:val="009D7BAC"/>
    <w:rsid w:val="009E4E6D"/>
    <w:rsid w:val="009F5C03"/>
    <w:rsid w:val="00A00552"/>
    <w:rsid w:val="00A2183C"/>
    <w:rsid w:val="00A424F0"/>
    <w:rsid w:val="00A42BB8"/>
    <w:rsid w:val="00A50FFA"/>
    <w:rsid w:val="00A84445"/>
    <w:rsid w:val="00A912F9"/>
    <w:rsid w:val="00AA23D2"/>
    <w:rsid w:val="00AA402A"/>
    <w:rsid w:val="00AA4377"/>
    <w:rsid w:val="00AA68FF"/>
    <w:rsid w:val="00AB326F"/>
    <w:rsid w:val="00AB3F41"/>
    <w:rsid w:val="00AD3083"/>
    <w:rsid w:val="00B0174D"/>
    <w:rsid w:val="00B11409"/>
    <w:rsid w:val="00B133D0"/>
    <w:rsid w:val="00B173E4"/>
    <w:rsid w:val="00B2768D"/>
    <w:rsid w:val="00B454D9"/>
    <w:rsid w:val="00B50733"/>
    <w:rsid w:val="00B5485F"/>
    <w:rsid w:val="00B907AD"/>
    <w:rsid w:val="00B917EA"/>
    <w:rsid w:val="00B949AA"/>
    <w:rsid w:val="00BA76E2"/>
    <w:rsid w:val="00BA7AAD"/>
    <w:rsid w:val="00BB4C0F"/>
    <w:rsid w:val="00BB74D0"/>
    <w:rsid w:val="00BD79B5"/>
    <w:rsid w:val="00C12C51"/>
    <w:rsid w:val="00C217E3"/>
    <w:rsid w:val="00C25957"/>
    <w:rsid w:val="00C43239"/>
    <w:rsid w:val="00C55ED6"/>
    <w:rsid w:val="00C639F3"/>
    <w:rsid w:val="00CB2BE4"/>
    <w:rsid w:val="00D06A62"/>
    <w:rsid w:val="00D17329"/>
    <w:rsid w:val="00D5530C"/>
    <w:rsid w:val="00D55C9C"/>
    <w:rsid w:val="00D602E7"/>
    <w:rsid w:val="00D648E9"/>
    <w:rsid w:val="00D661AE"/>
    <w:rsid w:val="00D753B9"/>
    <w:rsid w:val="00D80A48"/>
    <w:rsid w:val="00D81087"/>
    <w:rsid w:val="00D8380F"/>
    <w:rsid w:val="00D932A5"/>
    <w:rsid w:val="00DA21D6"/>
    <w:rsid w:val="00DE313C"/>
    <w:rsid w:val="00DF2875"/>
    <w:rsid w:val="00DF3C21"/>
    <w:rsid w:val="00E06214"/>
    <w:rsid w:val="00E10C02"/>
    <w:rsid w:val="00E24D8E"/>
    <w:rsid w:val="00E30547"/>
    <w:rsid w:val="00E30D13"/>
    <w:rsid w:val="00E44E33"/>
    <w:rsid w:val="00E479ED"/>
    <w:rsid w:val="00E90B29"/>
    <w:rsid w:val="00EA1590"/>
    <w:rsid w:val="00EA49B9"/>
    <w:rsid w:val="00EB1783"/>
    <w:rsid w:val="00ED7466"/>
    <w:rsid w:val="00EF375E"/>
    <w:rsid w:val="00F12A71"/>
    <w:rsid w:val="00F2667A"/>
    <w:rsid w:val="00F34244"/>
    <w:rsid w:val="00F651C9"/>
    <w:rsid w:val="00F8160C"/>
    <w:rsid w:val="00F85D15"/>
    <w:rsid w:val="00FA4238"/>
    <w:rsid w:val="00FA7805"/>
    <w:rsid w:val="00FC560E"/>
    <w:rsid w:val="00FD3E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B87594"/>
  <w15:chartTrackingRefBased/>
  <w15:docId w15:val="{8DC4A9D8-0CE8-4F0A-B713-8AB19F7433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543B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F12A71"/>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unhideWhenUsed/>
    <w:qFormat/>
    <w:rsid w:val="002543B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2543B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12A71"/>
    <w:rPr>
      <w:rFonts w:ascii="Times New Roman" w:eastAsia="Times New Roman" w:hAnsi="Times New Roman" w:cs="Times New Roman"/>
      <w:b/>
      <w:bCs/>
      <w:sz w:val="36"/>
      <w:szCs w:val="36"/>
      <w:lang w:eastAsia="en-GB"/>
    </w:rPr>
  </w:style>
  <w:style w:type="character" w:styleId="Strong">
    <w:name w:val="Strong"/>
    <w:basedOn w:val="DefaultParagraphFont"/>
    <w:uiPriority w:val="22"/>
    <w:qFormat/>
    <w:rsid w:val="00F12A71"/>
    <w:rPr>
      <w:b/>
      <w:bCs/>
    </w:rPr>
  </w:style>
  <w:style w:type="paragraph" w:styleId="BalloonText">
    <w:name w:val="Balloon Text"/>
    <w:basedOn w:val="Normal"/>
    <w:link w:val="BalloonTextChar"/>
    <w:uiPriority w:val="99"/>
    <w:semiHidden/>
    <w:unhideWhenUsed/>
    <w:rsid w:val="00F12A7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12A71"/>
    <w:rPr>
      <w:rFonts w:ascii="Segoe UI" w:hAnsi="Segoe UI" w:cs="Segoe UI"/>
      <w:sz w:val="18"/>
      <w:szCs w:val="18"/>
    </w:rPr>
  </w:style>
  <w:style w:type="character" w:styleId="Hyperlink">
    <w:name w:val="Hyperlink"/>
    <w:basedOn w:val="DefaultParagraphFont"/>
    <w:uiPriority w:val="99"/>
    <w:unhideWhenUsed/>
    <w:rsid w:val="00474D2D"/>
    <w:rPr>
      <w:color w:val="0000FF"/>
      <w:u w:val="single"/>
    </w:rPr>
  </w:style>
  <w:style w:type="character" w:styleId="UnresolvedMention">
    <w:name w:val="Unresolved Mention"/>
    <w:basedOn w:val="DefaultParagraphFont"/>
    <w:uiPriority w:val="99"/>
    <w:semiHidden/>
    <w:unhideWhenUsed/>
    <w:rsid w:val="00B949AA"/>
    <w:rPr>
      <w:color w:val="605E5C"/>
      <w:shd w:val="clear" w:color="auto" w:fill="E1DFDD"/>
    </w:rPr>
  </w:style>
  <w:style w:type="paragraph" w:styleId="NormalWeb">
    <w:name w:val="Normal (Web)"/>
    <w:basedOn w:val="Normal"/>
    <w:uiPriority w:val="99"/>
    <w:semiHidden/>
    <w:unhideWhenUsed/>
    <w:rsid w:val="001B28D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735D1D"/>
    <w:pPr>
      <w:ind w:left="720"/>
      <w:contextualSpacing/>
    </w:pPr>
  </w:style>
  <w:style w:type="table" w:styleId="TableGrid">
    <w:name w:val="Table Grid"/>
    <w:basedOn w:val="TableNormal"/>
    <w:uiPriority w:val="39"/>
    <w:rsid w:val="00900A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9B067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1Char">
    <w:name w:val="Heading 1 Char"/>
    <w:basedOn w:val="DefaultParagraphFont"/>
    <w:link w:val="Heading1"/>
    <w:uiPriority w:val="9"/>
    <w:rsid w:val="002543B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2543B6"/>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2543B6"/>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3379893">
      <w:bodyDiv w:val="1"/>
      <w:marLeft w:val="0"/>
      <w:marRight w:val="0"/>
      <w:marTop w:val="0"/>
      <w:marBottom w:val="0"/>
      <w:divBdr>
        <w:top w:val="none" w:sz="0" w:space="0" w:color="auto"/>
        <w:left w:val="none" w:sz="0" w:space="0" w:color="auto"/>
        <w:bottom w:val="none" w:sz="0" w:space="0" w:color="auto"/>
        <w:right w:val="none" w:sz="0" w:space="0" w:color="auto"/>
      </w:divBdr>
      <w:divsChild>
        <w:div w:id="1273979214">
          <w:marLeft w:val="0"/>
          <w:marRight w:val="0"/>
          <w:marTop w:val="0"/>
          <w:marBottom w:val="0"/>
          <w:divBdr>
            <w:top w:val="none" w:sz="0" w:space="0" w:color="auto"/>
            <w:left w:val="none" w:sz="0" w:space="0" w:color="auto"/>
            <w:bottom w:val="none" w:sz="0" w:space="0" w:color="auto"/>
            <w:right w:val="none" w:sz="0" w:space="0" w:color="auto"/>
          </w:divBdr>
          <w:divsChild>
            <w:div w:id="129053243">
              <w:marLeft w:val="0"/>
              <w:marRight w:val="0"/>
              <w:marTop w:val="0"/>
              <w:marBottom w:val="45"/>
              <w:divBdr>
                <w:top w:val="none" w:sz="0" w:space="0" w:color="auto"/>
                <w:left w:val="none" w:sz="0" w:space="0" w:color="auto"/>
                <w:bottom w:val="none" w:sz="0" w:space="0" w:color="auto"/>
                <w:right w:val="none" w:sz="0" w:space="0" w:color="auto"/>
              </w:divBdr>
            </w:div>
            <w:div w:id="404960678">
              <w:marLeft w:val="0"/>
              <w:marRight w:val="0"/>
              <w:marTop w:val="30"/>
              <w:marBottom w:val="150"/>
              <w:divBdr>
                <w:top w:val="none" w:sz="0" w:space="0" w:color="auto"/>
                <w:left w:val="none" w:sz="0" w:space="0" w:color="auto"/>
                <w:bottom w:val="none" w:sz="0" w:space="0" w:color="auto"/>
                <w:right w:val="none" w:sz="0" w:space="0" w:color="auto"/>
              </w:divBdr>
            </w:div>
          </w:divsChild>
        </w:div>
      </w:divsChild>
    </w:div>
    <w:div w:id="1003630468">
      <w:bodyDiv w:val="1"/>
      <w:marLeft w:val="0"/>
      <w:marRight w:val="0"/>
      <w:marTop w:val="0"/>
      <w:marBottom w:val="0"/>
      <w:divBdr>
        <w:top w:val="none" w:sz="0" w:space="0" w:color="auto"/>
        <w:left w:val="none" w:sz="0" w:space="0" w:color="auto"/>
        <w:bottom w:val="none" w:sz="0" w:space="0" w:color="auto"/>
        <w:right w:val="none" w:sz="0" w:space="0" w:color="auto"/>
      </w:divBdr>
    </w:div>
    <w:div w:id="1298148239">
      <w:bodyDiv w:val="1"/>
      <w:marLeft w:val="0"/>
      <w:marRight w:val="0"/>
      <w:marTop w:val="0"/>
      <w:marBottom w:val="0"/>
      <w:divBdr>
        <w:top w:val="none" w:sz="0" w:space="0" w:color="auto"/>
        <w:left w:val="none" w:sz="0" w:space="0" w:color="auto"/>
        <w:bottom w:val="none" w:sz="0" w:space="0" w:color="auto"/>
        <w:right w:val="none" w:sz="0" w:space="0" w:color="auto"/>
      </w:divBdr>
      <w:divsChild>
        <w:div w:id="2767206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26736493">
      <w:bodyDiv w:val="1"/>
      <w:marLeft w:val="0"/>
      <w:marRight w:val="0"/>
      <w:marTop w:val="0"/>
      <w:marBottom w:val="0"/>
      <w:divBdr>
        <w:top w:val="none" w:sz="0" w:space="0" w:color="auto"/>
        <w:left w:val="none" w:sz="0" w:space="0" w:color="auto"/>
        <w:bottom w:val="none" w:sz="0" w:space="0" w:color="auto"/>
        <w:right w:val="none" w:sz="0" w:space="0" w:color="auto"/>
      </w:divBdr>
      <w:divsChild>
        <w:div w:id="1843465592">
          <w:marLeft w:val="0"/>
          <w:marRight w:val="0"/>
          <w:marTop w:val="0"/>
          <w:marBottom w:val="300"/>
          <w:divBdr>
            <w:top w:val="none" w:sz="0" w:space="0" w:color="auto"/>
            <w:left w:val="none" w:sz="0" w:space="0" w:color="auto"/>
            <w:bottom w:val="none" w:sz="0" w:space="0" w:color="auto"/>
            <w:right w:val="none" w:sz="0" w:space="0" w:color="auto"/>
          </w:divBdr>
        </w:div>
        <w:div w:id="191037856">
          <w:marLeft w:val="0"/>
          <w:marRight w:val="0"/>
          <w:marTop w:val="0"/>
          <w:marBottom w:val="180"/>
          <w:divBdr>
            <w:top w:val="none" w:sz="0" w:space="0" w:color="auto"/>
            <w:left w:val="none" w:sz="0" w:space="0" w:color="auto"/>
            <w:bottom w:val="none" w:sz="0" w:space="0" w:color="auto"/>
            <w:right w:val="none" w:sz="0" w:space="0" w:color="auto"/>
          </w:divBdr>
          <w:divsChild>
            <w:div w:id="794450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economist.com/special-report/2006/10/07/the-battle-for-brainpower" TargetMode="External"/><Relationship Id="rId3" Type="http://schemas.openxmlformats.org/officeDocument/2006/relationships/settings" Target="settings.xml"/><Relationship Id="rId7" Type="http://schemas.openxmlformats.org/officeDocument/2006/relationships/image" Target="media/image2.tmp"/><Relationship Id="rId12" Type="http://schemas.openxmlformats.org/officeDocument/2006/relationships/hyperlink" Target="https://www.cipd.co.uk/Images/reflective-practice-guide_tcm18-12524.pdf"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microsoft.com/office/2007/relationships/hdphoto" Target="media/hdphoto1.wdp"/><Relationship Id="rId11" Type="http://schemas.openxmlformats.org/officeDocument/2006/relationships/hyperlink" Target="https://search-proquest-com.ezproxy.uwtsd.ac.uk/docview/237069318?accountid=130472&amp;rfr_id=info%3Axri%2Fsid%3Aprimo" TargetMode="External"/><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image" Target="media/image4.tmp"/><Relationship Id="rId4" Type="http://schemas.openxmlformats.org/officeDocument/2006/relationships/webSettings" Target="webSettings.xml"/><Relationship Id="rId9" Type="http://schemas.microsoft.com/office/2007/relationships/hdphoto" Target="media/hdphoto2.wdp"/><Relationship Id="rId14" Type="http://schemas.openxmlformats.org/officeDocument/2006/relationships/hyperlink" Target="http://www.jstor.org.ezproxy.uwtsd.ac.uk/stable/309883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1317</TotalTime>
  <Pages>8</Pages>
  <Words>1897</Words>
  <Characters>10816</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Lloyd</dc:creator>
  <cp:keywords/>
  <dc:description/>
  <cp:lastModifiedBy>Deborah Lloyd</cp:lastModifiedBy>
  <cp:revision>54</cp:revision>
  <dcterms:created xsi:type="dcterms:W3CDTF">2019-04-24T09:50:00Z</dcterms:created>
  <dcterms:modified xsi:type="dcterms:W3CDTF">2019-05-06T15:05:00Z</dcterms:modified>
</cp:coreProperties>
</file>