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54B7D" w14:textId="4A712F97" w:rsidR="00043C69" w:rsidRDefault="00E3193B">
      <w:r>
        <w:rPr>
          <w:noProof/>
        </w:rPr>
        <mc:AlternateContent>
          <mc:Choice Requires="wps">
            <w:drawing>
              <wp:anchor distT="0" distB="0" distL="114300" distR="114300" simplePos="0" relativeHeight="251659264" behindDoc="0" locked="0" layoutInCell="1" allowOverlap="1" wp14:anchorId="642506AF" wp14:editId="4FA36CBB">
                <wp:simplePos x="0" y="0"/>
                <wp:positionH relativeFrom="page">
                  <wp:align>right</wp:align>
                </wp:positionH>
                <wp:positionV relativeFrom="paragraph">
                  <wp:posOffset>-159016</wp:posOffset>
                </wp:positionV>
                <wp:extent cx="10685721" cy="1031358"/>
                <wp:effectExtent l="0" t="0" r="0" b="0"/>
                <wp:wrapNone/>
                <wp:docPr id="1" name="Text Box 1"/>
                <wp:cNvGraphicFramePr/>
                <a:graphic xmlns:a="http://schemas.openxmlformats.org/drawingml/2006/main">
                  <a:graphicData uri="http://schemas.microsoft.com/office/word/2010/wordprocessingShape">
                    <wps:wsp>
                      <wps:cNvSpPr txBox="1"/>
                      <wps:spPr>
                        <a:xfrm>
                          <a:off x="0" y="0"/>
                          <a:ext cx="10685721" cy="1031358"/>
                        </a:xfrm>
                        <a:prstGeom prst="rect">
                          <a:avLst/>
                        </a:prstGeom>
                        <a:noFill/>
                        <a:ln>
                          <a:noFill/>
                        </a:ln>
                      </wps:spPr>
                      <wps:txbx>
                        <w:txbxContent>
                          <w:p w14:paraId="246576FD" w14:textId="61F51268" w:rsidR="00912E04" w:rsidRPr="00912E04" w:rsidRDefault="00E3193B" w:rsidP="00E3193B">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12E04">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Additional Learning Needs inequalities and awareness within post 16 education</w:t>
                            </w:r>
                          </w:p>
                          <w:p w14:paraId="11D00E87" w14:textId="3598C931" w:rsidR="00912E04" w:rsidRPr="00912E04" w:rsidRDefault="00912E04" w:rsidP="00E3193B">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12E04">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Alys Wines </w:t>
                            </w:r>
                          </w:p>
                          <w:p w14:paraId="45B73A0E" w14:textId="77777777" w:rsidR="00912E04" w:rsidRDefault="00912E04" w:rsidP="00E3193B">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3EE12E" w14:textId="63929310" w:rsidR="00E3193B" w:rsidRPr="00E3193B" w:rsidRDefault="00912E04" w:rsidP="00E3193B">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r w:rsidR="00E3193B" w:rsidRPr="00E3193B">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2506AF" id="_x0000_t202" coordsize="21600,21600" o:spt="202" path="m,l,21600r21600,l21600,xe">
                <v:stroke joinstyle="miter"/>
                <v:path gradientshapeok="t" o:connecttype="rect"/>
              </v:shapetype>
              <v:shape id="Text Box 1" o:spid="_x0000_s1026" type="#_x0000_t202" style="position:absolute;margin-left:790.2pt;margin-top:-12.5pt;width:841.4pt;height:81.2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" filled="f" stroked="f">
                <v:fill o:detectmouseclick="t"/>
                <v:textbox>
                  <w:txbxContent>
                    <w:p w14:paraId="246576FD" w14:textId="61F51268" w:rsidR="00912E04" w:rsidRPr="00912E04" w:rsidRDefault="00E3193B" w:rsidP="00E3193B">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12E04">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Additional Learning Needs inequalities and awareness within post 16 education</w:t>
                      </w:r>
                    </w:p>
                    <w:p w14:paraId="11D00E87" w14:textId="3598C931" w:rsidR="00912E04" w:rsidRPr="00912E04" w:rsidRDefault="00912E04" w:rsidP="00E3193B">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12E04">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Alys Wines </w:t>
                      </w:r>
                    </w:p>
                    <w:p w14:paraId="45B73A0E" w14:textId="77777777" w:rsidR="00912E04" w:rsidRDefault="00912E04" w:rsidP="00E3193B">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3EE12E" w14:textId="63929310" w:rsidR="00E3193B" w:rsidRPr="00E3193B" w:rsidRDefault="00912E04" w:rsidP="00E3193B">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r w:rsidR="00E3193B" w:rsidRPr="00E3193B">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xbxContent>
                </v:textbox>
                <w10:wrap anchorx="page"/>
              </v:shape>
            </w:pict>
          </mc:Fallback>
        </mc:AlternateContent>
      </w:r>
    </w:p>
    <w:p w14:paraId="450EAD4B" w14:textId="1D03C4F0" w:rsidR="00E576D5" w:rsidRPr="00E576D5" w:rsidRDefault="00E576D5" w:rsidP="00E576D5"/>
    <w:p w14:paraId="255A061C" w14:textId="4486D825" w:rsidR="00E576D5" w:rsidRPr="00E576D5" w:rsidRDefault="00D92D8E" w:rsidP="00E576D5">
      <w:r>
        <w:rPr>
          <w:noProof/>
        </w:rPr>
        <mc:AlternateContent>
          <mc:Choice Requires="wps">
            <w:drawing>
              <wp:anchor distT="45720" distB="45720" distL="114300" distR="114300" simplePos="0" relativeHeight="251661312" behindDoc="0" locked="0" layoutInCell="1" allowOverlap="1" wp14:anchorId="04CBF80B" wp14:editId="041EEA66">
                <wp:simplePos x="0" y="0"/>
                <wp:positionH relativeFrom="margin">
                  <wp:align>left</wp:align>
                </wp:positionH>
                <wp:positionV relativeFrom="paragraph">
                  <wp:posOffset>21020</wp:posOffset>
                </wp:positionV>
                <wp:extent cx="2360930" cy="1404620"/>
                <wp:effectExtent l="0" t="0" r="2667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5E3E578" w14:textId="51B1AD76" w:rsidR="00E3193B" w:rsidRPr="00E3193B" w:rsidRDefault="00E3193B">
                            <w:pPr>
                              <w:rPr>
                                <w:rFonts w:ascii="Times New Roman" w:hAnsi="Times New Roman" w:cs="Times New Roman"/>
                                <w:sz w:val="24"/>
                                <w:szCs w:val="24"/>
                              </w:rPr>
                            </w:pPr>
                            <w:r w:rsidRPr="00E3193B">
                              <w:rPr>
                                <w:rFonts w:ascii="Times New Roman" w:hAnsi="Times New Roman" w:cs="Times New Roman"/>
                                <w:sz w:val="24"/>
                                <w:szCs w:val="24"/>
                              </w:rPr>
                              <w:t xml:space="preserve">The purpose of this study and </w:t>
                            </w:r>
                            <w:r w:rsidRPr="00E3193B">
                              <w:rPr>
                                <w:rFonts w:ascii="Times New Roman" w:hAnsi="Times New Roman" w:cs="Times New Roman"/>
                                <w:sz w:val="24"/>
                                <w:szCs w:val="24"/>
                              </w:rPr>
                              <w:t>poster</w:t>
                            </w:r>
                            <w:r w:rsidRPr="00E3193B">
                              <w:rPr>
                                <w:rFonts w:ascii="Times New Roman" w:hAnsi="Times New Roman" w:cs="Times New Roman"/>
                                <w:sz w:val="24"/>
                                <w:szCs w:val="24"/>
                              </w:rPr>
                              <w:t xml:space="preserve"> is to </w:t>
                            </w:r>
                            <w:r w:rsidRPr="00E3193B">
                              <w:rPr>
                                <w:rFonts w:ascii="Times New Roman" w:hAnsi="Times New Roman" w:cs="Times New Roman"/>
                                <w:sz w:val="24"/>
                                <w:szCs w:val="24"/>
                              </w:rPr>
                              <w:t xml:space="preserve">show </w:t>
                            </w:r>
                            <w:r w:rsidRPr="00E3193B">
                              <w:rPr>
                                <w:rFonts w:ascii="Times New Roman" w:hAnsi="Times New Roman" w:cs="Times New Roman"/>
                                <w:sz w:val="24"/>
                                <w:szCs w:val="24"/>
                              </w:rPr>
                              <w:t xml:space="preserve">research </w:t>
                            </w:r>
                            <w:r w:rsidRPr="00E3193B">
                              <w:rPr>
                                <w:rFonts w:ascii="Times New Roman" w:hAnsi="Times New Roman" w:cs="Times New Roman"/>
                                <w:sz w:val="24"/>
                                <w:szCs w:val="24"/>
                              </w:rPr>
                              <w:t xml:space="preserve">into </w:t>
                            </w:r>
                            <w:r w:rsidRPr="00E3193B">
                              <w:rPr>
                                <w:rFonts w:ascii="Times New Roman" w:hAnsi="Times New Roman" w:cs="Times New Roman"/>
                                <w:sz w:val="24"/>
                                <w:szCs w:val="24"/>
                              </w:rPr>
                              <w:t>how inclusive education can affect indivudals with ALN. How should we model an effective curriculum for all learners and their needs? How are ALN inequalities and awareness raised all within post 16 education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4CBF80B" id="Text Box 2" o:spid="_x0000_s1027" type="#_x0000_t202" style="position:absolute;margin-left:0;margin-top:1.65pt;width:185.9pt;height:110.6pt;z-index:2516613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">
                <v:textbox style="mso-fit-shape-to-text:t">
                  <w:txbxContent>
                    <w:p w14:paraId="45E3E578" w14:textId="51B1AD76" w:rsidR="00E3193B" w:rsidRPr="00E3193B" w:rsidRDefault="00E3193B">
                      <w:pPr>
                        <w:rPr>
                          <w:rFonts w:ascii="Times New Roman" w:hAnsi="Times New Roman" w:cs="Times New Roman"/>
                          <w:sz w:val="24"/>
                          <w:szCs w:val="24"/>
                        </w:rPr>
                      </w:pPr>
                      <w:r w:rsidRPr="00E3193B">
                        <w:rPr>
                          <w:rFonts w:ascii="Times New Roman" w:hAnsi="Times New Roman" w:cs="Times New Roman"/>
                          <w:sz w:val="24"/>
                          <w:szCs w:val="24"/>
                        </w:rPr>
                        <w:t xml:space="preserve">The purpose of this study and </w:t>
                      </w:r>
                      <w:r w:rsidRPr="00E3193B">
                        <w:rPr>
                          <w:rFonts w:ascii="Times New Roman" w:hAnsi="Times New Roman" w:cs="Times New Roman"/>
                          <w:sz w:val="24"/>
                          <w:szCs w:val="24"/>
                        </w:rPr>
                        <w:t>poster</w:t>
                      </w:r>
                      <w:r w:rsidRPr="00E3193B">
                        <w:rPr>
                          <w:rFonts w:ascii="Times New Roman" w:hAnsi="Times New Roman" w:cs="Times New Roman"/>
                          <w:sz w:val="24"/>
                          <w:szCs w:val="24"/>
                        </w:rPr>
                        <w:t xml:space="preserve"> is to </w:t>
                      </w:r>
                      <w:r w:rsidRPr="00E3193B">
                        <w:rPr>
                          <w:rFonts w:ascii="Times New Roman" w:hAnsi="Times New Roman" w:cs="Times New Roman"/>
                          <w:sz w:val="24"/>
                          <w:szCs w:val="24"/>
                        </w:rPr>
                        <w:t xml:space="preserve">show </w:t>
                      </w:r>
                      <w:r w:rsidRPr="00E3193B">
                        <w:rPr>
                          <w:rFonts w:ascii="Times New Roman" w:hAnsi="Times New Roman" w:cs="Times New Roman"/>
                          <w:sz w:val="24"/>
                          <w:szCs w:val="24"/>
                        </w:rPr>
                        <w:t xml:space="preserve">research </w:t>
                      </w:r>
                      <w:r w:rsidRPr="00E3193B">
                        <w:rPr>
                          <w:rFonts w:ascii="Times New Roman" w:hAnsi="Times New Roman" w:cs="Times New Roman"/>
                          <w:sz w:val="24"/>
                          <w:szCs w:val="24"/>
                        </w:rPr>
                        <w:t xml:space="preserve">into </w:t>
                      </w:r>
                      <w:r w:rsidRPr="00E3193B">
                        <w:rPr>
                          <w:rFonts w:ascii="Times New Roman" w:hAnsi="Times New Roman" w:cs="Times New Roman"/>
                          <w:sz w:val="24"/>
                          <w:szCs w:val="24"/>
                        </w:rPr>
                        <w:t>how inclusive education can affect indivudals with ALN. How should we model an effective curriculum for all learners and their needs? How are ALN inequalities and awareness raised all within post 16 education</w:t>
                      </w: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4A1C1E7" wp14:editId="73F8431B">
                <wp:simplePos x="0" y="0"/>
                <wp:positionH relativeFrom="column">
                  <wp:posOffset>7529217</wp:posOffset>
                </wp:positionH>
                <wp:positionV relativeFrom="paragraph">
                  <wp:posOffset>133372</wp:posOffset>
                </wp:positionV>
                <wp:extent cx="3020301" cy="3735771"/>
                <wp:effectExtent l="0" t="0" r="27940" b="171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0301" cy="3735771"/>
                        </a:xfrm>
                        <a:prstGeom prst="rect">
                          <a:avLst/>
                        </a:prstGeom>
                        <a:solidFill>
                          <a:srgbClr val="FFFFFF"/>
                        </a:solidFill>
                        <a:ln w="9525">
                          <a:solidFill>
                            <a:srgbClr val="000000"/>
                          </a:solidFill>
                          <a:miter lim="800000"/>
                          <a:headEnd/>
                          <a:tailEnd/>
                        </a:ln>
                      </wps:spPr>
                      <wps:txbx>
                        <w:txbxContent>
                          <w:p w14:paraId="29399640" w14:textId="77777777" w:rsidR="00EB4347" w:rsidRPr="00EB4347" w:rsidRDefault="00EB4347">
                            <w:pPr>
                              <w:rPr>
                                <w:rFonts w:ascii="Times New Roman" w:hAnsi="Times New Roman" w:cs="Times New Roman"/>
                                <w:sz w:val="24"/>
                                <w:szCs w:val="24"/>
                                <w:u w:val="single"/>
                              </w:rPr>
                            </w:pPr>
                            <w:r w:rsidRPr="00EB4347">
                              <w:rPr>
                                <w:rFonts w:ascii="Times New Roman" w:hAnsi="Times New Roman" w:cs="Times New Roman"/>
                                <w:sz w:val="24"/>
                                <w:szCs w:val="24"/>
                                <w:u w:val="single"/>
                              </w:rPr>
                              <w:t>Conclusion</w:t>
                            </w:r>
                          </w:p>
                          <w:p w14:paraId="7BD4BF74" w14:textId="14E67A6D" w:rsidR="00EB4347" w:rsidRPr="00EB4347" w:rsidRDefault="00EB4347">
                            <w:pPr>
                              <w:rPr>
                                <w:rFonts w:ascii="Times New Roman" w:hAnsi="Times New Roman" w:cs="Times New Roman"/>
                                <w:sz w:val="24"/>
                                <w:szCs w:val="24"/>
                              </w:rPr>
                            </w:pPr>
                            <w:r w:rsidRPr="00EB4347">
                              <w:rPr>
                                <w:rFonts w:ascii="Times New Roman" w:hAnsi="Times New Roman" w:cs="Times New Roman"/>
                                <w:sz w:val="24"/>
                                <w:szCs w:val="24"/>
                              </w:rPr>
                              <w:t xml:space="preserve"> This poster </w:t>
                            </w:r>
                            <w:r w:rsidRPr="00EB4347">
                              <w:rPr>
                                <w:rFonts w:ascii="Times New Roman" w:hAnsi="Times New Roman" w:cs="Times New Roman"/>
                                <w:sz w:val="24"/>
                                <w:szCs w:val="24"/>
                              </w:rPr>
                              <w:t xml:space="preserve">explores the inclusivity within higher education for learners with additional learning needs (ALN) and how it can affect these indivudals. Ultimately the recommendations previous described in this review is paramount to the holistic view of higher education. By looking at the holistic view of the Bauhaus wheel diagram as explained by </w:t>
                            </w:r>
                            <w:proofErr w:type="spellStart"/>
                            <w:r w:rsidRPr="00EB4347">
                              <w:rPr>
                                <w:rFonts w:ascii="Times New Roman" w:hAnsi="Times New Roman" w:cs="Times New Roman"/>
                                <w:sz w:val="24"/>
                                <w:szCs w:val="24"/>
                              </w:rPr>
                              <w:t>Schöbe</w:t>
                            </w:r>
                            <w:proofErr w:type="spellEnd"/>
                            <w:r w:rsidRPr="00EB4347">
                              <w:rPr>
                                <w:rFonts w:ascii="Times New Roman" w:hAnsi="Times New Roman" w:cs="Times New Roman"/>
                                <w:sz w:val="24"/>
                                <w:szCs w:val="24"/>
                              </w:rPr>
                              <w:t xml:space="preserve"> </w:t>
                            </w:r>
                            <w:r w:rsidRPr="00EB4347">
                              <w:rPr>
                                <w:rFonts w:ascii="Times New Roman" w:hAnsi="Times New Roman" w:cs="Times New Roman"/>
                                <w:i/>
                                <w:iCs/>
                                <w:sz w:val="24"/>
                                <w:szCs w:val="24"/>
                              </w:rPr>
                              <w:t>et al</w:t>
                            </w:r>
                            <w:r w:rsidRPr="00EB4347">
                              <w:rPr>
                                <w:rFonts w:ascii="Times New Roman" w:hAnsi="Times New Roman" w:cs="Times New Roman"/>
                                <w:sz w:val="24"/>
                                <w:szCs w:val="24"/>
                              </w:rPr>
                              <w:t xml:space="preserve"> (2012). Also, by exploring the Bronfenbrenner Ecological systems theory (2005) of how every aspect of society can be infiltrated into higher education but the focus should always be the learner. Anon (1999) states that the common goal for higher education should be that ‘successful higher education for students with learning disabilities.</w:t>
                            </w:r>
                          </w:p>
                          <w:p w14:paraId="1CAD0A1A" w14:textId="77777777" w:rsidR="00EB4347" w:rsidRPr="00EB4347" w:rsidRDefault="00EB4347">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1C1E7" id="_x0000_s1028" type="#_x0000_t202" style="position:absolute;margin-left:592.85pt;margin-top:10.5pt;width:237.8pt;height:294.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">
                <v:textbox>
                  <w:txbxContent>
                    <w:p w14:paraId="29399640" w14:textId="77777777" w:rsidR="00EB4347" w:rsidRPr="00EB4347" w:rsidRDefault="00EB4347">
                      <w:pPr>
                        <w:rPr>
                          <w:rFonts w:ascii="Times New Roman" w:hAnsi="Times New Roman" w:cs="Times New Roman"/>
                          <w:sz w:val="24"/>
                          <w:szCs w:val="24"/>
                          <w:u w:val="single"/>
                        </w:rPr>
                      </w:pPr>
                      <w:r w:rsidRPr="00EB4347">
                        <w:rPr>
                          <w:rFonts w:ascii="Times New Roman" w:hAnsi="Times New Roman" w:cs="Times New Roman"/>
                          <w:sz w:val="24"/>
                          <w:szCs w:val="24"/>
                          <w:u w:val="single"/>
                        </w:rPr>
                        <w:t>Conclusion</w:t>
                      </w:r>
                    </w:p>
                    <w:p w14:paraId="7BD4BF74" w14:textId="14E67A6D" w:rsidR="00EB4347" w:rsidRPr="00EB4347" w:rsidRDefault="00EB4347">
                      <w:pPr>
                        <w:rPr>
                          <w:rFonts w:ascii="Times New Roman" w:hAnsi="Times New Roman" w:cs="Times New Roman"/>
                          <w:sz w:val="24"/>
                          <w:szCs w:val="24"/>
                        </w:rPr>
                      </w:pPr>
                      <w:r w:rsidRPr="00EB4347">
                        <w:rPr>
                          <w:rFonts w:ascii="Times New Roman" w:hAnsi="Times New Roman" w:cs="Times New Roman"/>
                          <w:sz w:val="24"/>
                          <w:szCs w:val="24"/>
                        </w:rPr>
                        <w:t xml:space="preserve"> This poster </w:t>
                      </w:r>
                      <w:r w:rsidRPr="00EB4347">
                        <w:rPr>
                          <w:rFonts w:ascii="Times New Roman" w:hAnsi="Times New Roman" w:cs="Times New Roman"/>
                          <w:sz w:val="24"/>
                          <w:szCs w:val="24"/>
                        </w:rPr>
                        <w:t xml:space="preserve">explores the inclusivity within higher education for learners with additional learning needs (ALN) and how it can affect these indivudals. Ultimately the recommendations previous described in this review is paramount to the holistic view of higher education. By looking at the holistic view of the Bauhaus wheel diagram as explained by </w:t>
                      </w:r>
                      <w:proofErr w:type="spellStart"/>
                      <w:r w:rsidRPr="00EB4347">
                        <w:rPr>
                          <w:rFonts w:ascii="Times New Roman" w:hAnsi="Times New Roman" w:cs="Times New Roman"/>
                          <w:sz w:val="24"/>
                          <w:szCs w:val="24"/>
                        </w:rPr>
                        <w:t>Schöbe</w:t>
                      </w:r>
                      <w:proofErr w:type="spellEnd"/>
                      <w:r w:rsidRPr="00EB4347">
                        <w:rPr>
                          <w:rFonts w:ascii="Times New Roman" w:hAnsi="Times New Roman" w:cs="Times New Roman"/>
                          <w:sz w:val="24"/>
                          <w:szCs w:val="24"/>
                        </w:rPr>
                        <w:t xml:space="preserve"> </w:t>
                      </w:r>
                      <w:r w:rsidRPr="00EB4347">
                        <w:rPr>
                          <w:rFonts w:ascii="Times New Roman" w:hAnsi="Times New Roman" w:cs="Times New Roman"/>
                          <w:i/>
                          <w:iCs/>
                          <w:sz w:val="24"/>
                          <w:szCs w:val="24"/>
                        </w:rPr>
                        <w:t>et al</w:t>
                      </w:r>
                      <w:r w:rsidRPr="00EB4347">
                        <w:rPr>
                          <w:rFonts w:ascii="Times New Roman" w:hAnsi="Times New Roman" w:cs="Times New Roman"/>
                          <w:sz w:val="24"/>
                          <w:szCs w:val="24"/>
                        </w:rPr>
                        <w:t xml:space="preserve"> (2012). Also, by exploring the Bronfenbrenner Ecological systems theory (2005) of how every aspect of society can be infiltrated into higher education but the focus should always be the learner. Anon (1999) states that the common goal for higher education should be that ‘successful higher education for students with learning disabilities.</w:t>
                      </w:r>
                    </w:p>
                    <w:p w14:paraId="1CAD0A1A" w14:textId="77777777" w:rsidR="00EB4347" w:rsidRPr="00EB4347" w:rsidRDefault="00EB4347">
                      <w:pPr>
                        <w:rPr>
                          <w:u w:val="single"/>
                        </w:rPr>
                      </w:pPr>
                    </w:p>
                  </w:txbxContent>
                </v:textbox>
                <w10:wrap type="square"/>
              </v:shape>
            </w:pict>
          </mc:Fallback>
        </mc:AlternateContent>
      </w:r>
    </w:p>
    <w:p w14:paraId="380FE5B5" w14:textId="515EFFC4" w:rsidR="00E576D5" w:rsidRPr="00E576D5" w:rsidRDefault="00E576D5" w:rsidP="00E576D5"/>
    <w:p w14:paraId="0310FC0F" w14:textId="08589986" w:rsidR="00E576D5" w:rsidRPr="00E576D5" w:rsidRDefault="00E576D5" w:rsidP="00E576D5"/>
    <w:p w14:paraId="1DA9FEC0" w14:textId="1EB0EDD0" w:rsidR="00E576D5" w:rsidRPr="00E576D5" w:rsidRDefault="00E512E6" w:rsidP="00E576D5">
      <w:r w:rsidRPr="00EB4347">
        <w:rPr>
          <w:b/>
          <w:bCs/>
          <w:noProof/>
        </w:rPr>
        <mc:AlternateContent>
          <mc:Choice Requires="wps">
            <w:drawing>
              <wp:anchor distT="45720" distB="45720" distL="114300" distR="114300" simplePos="0" relativeHeight="251671552" behindDoc="0" locked="0" layoutInCell="1" allowOverlap="1" wp14:anchorId="5F10F0A3" wp14:editId="6A5231F4">
                <wp:simplePos x="0" y="0"/>
                <wp:positionH relativeFrom="column">
                  <wp:posOffset>3114675</wp:posOffset>
                </wp:positionH>
                <wp:positionV relativeFrom="paragraph">
                  <wp:posOffset>332740</wp:posOffset>
                </wp:positionV>
                <wp:extent cx="4401820" cy="3797935"/>
                <wp:effectExtent l="0" t="0" r="17780" b="1206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1820" cy="3797935"/>
                        </a:xfrm>
                        <a:prstGeom prst="rect">
                          <a:avLst/>
                        </a:prstGeom>
                        <a:solidFill>
                          <a:srgbClr val="FFFFFF"/>
                        </a:solidFill>
                        <a:ln w="9525">
                          <a:solidFill>
                            <a:srgbClr val="000000"/>
                          </a:solidFill>
                          <a:miter lim="800000"/>
                          <a:headEnd/>
                          <a:tailEnd/>
                        </a:ln>
                      </wps:spPr>
                      <wps:txbx>
                        <w:txbxContent>
                          <w:p w14:paraId="2D8F0627" w14:textId="4EFAAAC6" w:rsidR="00EB4347" w:rsidRPr="00E512E6" w:rsidRDefault="00EB4347">
                            <w:pPr>
                              <w:rPr>
                                <w:rFonts w:ascii="Times New Roman" w:hAnsi="Times New Roman" w:cs="Times New Roman"/>
                                <w:u w:val="single"/>
                              </w:rPr>
                            </w:pPr>
                            <w:r w:rsidRPr="00E512E6">
                              <w:rPr>
                                <w:rFonts w:ascii="Times New Roman" w:hAnsi="Times New Roman" w:cs="Times New Roman"/>
                                <w:u w:val="single"/>
                              </w:rPr>
                              <w:t>Results and statistics</w:t>
                            </w:r>
                          </w:p>
                          <w:p w14:paraId="01764560" w14:textId="6934E515" w:rsidR="00EB4347" w:rsidRPr="00E512E6" w:rsidRDefault="00912E04">
                            <w:pPr>
                              <w:rPr>
                                <w:rFonts w:ascii="Times New Roman" w:hAnsi="Times New Roman" w:cs="Times New Roman"/>
                              </w:rPr>
                            </w:pPr>
                            <w:r w:rsidRPr="00E512E6">
                              <w:rPr>
                                <w:rFonts w:ascii="Times New Roman" w:hAnsi="Times New Roman" w:cs="Times New Roman"/>
                              </w:rPr>
                              <w:t>‘</w:t>
                            </w:r>
                            <w:r w:rsidR="00B108E7" w:rsidRPr="00E512E6">
                              <w:rPr>
                                <w:rFonts w:ascii="Times New Roman" w:hAnsi="Times New Roman" w:cs="Times New Roman"/>
                              </w:rPr>
                              <w:t>D</w:t>
                            </w:r>
                            <w:r w:rsidRPr="00E512E6">
                              <w:rPr>
                                <w:rFonts w:ascii="Times New Roman" w:hAnsi="Times New Roman" w:cs="Times New Roman"/>
                              </w:rPr>
                              <w:t>ata from 2013/14 shows that 10% of all students in the UK have disclosed a disability, although in many HE providers these disclosure rates sometimes are close to 20%</w:t>
                            </w:r>
                            <w:r w:rsidRPr="00E512E6">
                              <w:rPr>
                                <w:rFonts w:ascii="Times New Roman" w:hAnsi="Times New Roman" w:cs="Times New Roman"/>
                              </w:rPr>
                              <w:t xml:space="preserve">’ as suggested by Layer (2017) </w:t>
                            </w:r>
                          </w:p>
                          <w:p w14:paraId="75EC336F" w14:textId="7E52C509" w:rsidR="00B108E7" w:rsidRPr="00E512E6" w:rsidRDefault="00B108E7">
                            <w:pPr>
                              <w:rPr>
                                <w:rFonts w:ascii="Times New Roman" w:hAnsi="Times New Roman" w:cs="Times New Roman"/>
                              </w:rPr>
                            </w:pPr>
                            <w:r w:rsidRPr="00E512E6">
                              <w:rPr>
                                <w:rFonts w:ascii="Times New Roman" w:hAnsi="Times New Roman" w:cs="Times New Roman"/>
                              </w:rPr>
                              <w:t xml:space="preserve">The results found within this review and poster is that inclusivity within higher education is adaptable and can be affected through a myriad of different things shown in figure. There are various societal issues that can be affect learners within additional learning needs within higher education. it is imperative as shown in figure 2 that we view and create education in this way. Professionals should understand that there are various in which Additional learning needs can affect higher education accruing to the societal issues and pressures faced. </w:t>
                            </w:r>
                            <w:r w:rsidR="00E512E6" w:rsidRPr="00E512E6">
                              <w:rPr>
                                <w:rFonts w:ascii="Times New Roman" w:hAnsi="Times New Roman" w:cs="Times New Roman"/>
                              </w:rPr>
                              <w:t xml:space="preserve">As a connection to this, inclusivity within higher education shows that behaviourism is an added-on effect from figure 1 and 2. Therefore, professionals should be able to understand these affects and changes and adapt them according to the indivudals with Additional learning needs by creating and help learner with their own coping mechanisms such as expanding student and special services. Recognising there are different severities within the spectrum of additional learning needs and learners may often hide their ‘disability’ </w:t>
                            </w:r>
                          </w:p>
                          <w:p w14:paraId="4F9F8569" w14:textId="77777777" w:rsidR="00D92D8E" w:rsidRPr="00B108E7" w:rsidRDefault="00D92D8E">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0F0A3" id="_x0000_s1029" type="#_x0000_t202" style="position:absolute;margin-left:245.25pt;margin-top:26.2pt;width:346.6pt;height:299.0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">
                <v:textbox>
                  <w:txbxContent>
                    <w:p w14:paraId="2D8F0627" w14:textId="4EFAAAC6" w:rsidR="00EB4347" w:rsidRPr="00E512E6" w:rsidRDefault="00EB4347">
                      <w:pPr>
                        <w:rPr>
                          <w:rFonts w:ascii="Times New Roman" w:hAnsi="Times New Roman" w:cs="Times New Roman"/>
                          <w:u w:val="single"/>
                        </w:rPr>
                      </w:pPr>
                      <w:r w:rsidRPr="00E512E6">
                        <w:rPr>
                          <w:rFonts w:ascii="Times New Roman" w:hAnsi="Times New Roman" w:cs="Times New Roman"/>
                          <w:u w:val="single"/>
                        </w:rPr>
                        <w:t>Results and statistics</w:t>
                      </w:r>
                    </w:p>
                    <w:p w14:paraId="01764560" w14:textId="6934E515" w:rsidR="00EB4347" w:rsidRPr="00E512E6" w:rsidRDefault="00912E04">
                      <w:pPr>
                        <w:rPr>
                          <w:rFonts w:ascii="Times New Roman" w:hAnsi="Times New Roman" w:cs="Times New Roman"/>
                        </w:rPr>
                      </w:pPr>
                      <w:r w:rsidRPr="00E512E6">
                        <w:rPr>
                          <w:rFonts w:ascii="Times New Roman" w:hAnsi="Times New Roman" w:cs="Times New Roman"/>
                        </w:rPr>
                        <w:t>‘</w:t>
                      </w:r>
                      <w:r w:rsidR="00B108E7" w:rsidRPr="00E512E6">
                        <w:rPr>
                          <w:rFonts w:ascii="Times New Roman" w:hAnsi="Times New Roman" w:cs="Times New Roman"/>
                        </w:rPr>
                        <w:t>D</w:t>
                      </w:r>
                      <w:r w:rsidRPr="00E512E6">
                        <w:rPr>
                          <w:rFonts w:ascii="Times New Roman" w:hAnsi="Times New Roman" w:cs="Times New Roman"/>
                        </w:rPr>
                        <w:t>ata from 2013/14 shows that 10% of all students in the UK have disclosed a disability, although in many HE providers these disclosure rates sometimes are close to 20%</w:t>
                      </w:r>
                      <w:r w:rsidRPr="00E512E6">
                        <w:rPr>
                          <w:rFonts w:ascii="Times New Roman" w:hAnsi="Times New Roman" w:cs="Times New Roman"/>
                        </w:rPr>
                        <w:t xml:space="preserve">’ as suggested by Layer (2017) </w:t>
                      </w:r>
                    </w:p>
                    <w:p w14:paraId="75EC336F" w14:textId="7E52C509" w:rsidR="00B108E7" w:rsidRPr="00E512E6" w:rsidRDefault="00B108E7">
                      <w:pPr>
                        <w:rPr>
                          <w:rFonts w:ascii="Times New Roman" w:hAnsi="Times New Roman" w:cs="Times New Roman"/>
                        </w:rPr>
                      </w:pPr>
                      <w:r w:rsidRPr="00E512E6">
                        <w:rPr>
                          <w:rFonts w:ascii="Times New Roman" w:hAnsi="Times New Roman" w:cs="Times New Roman"/>
                        </w:rPr>
                        <w:t xml:space="preserve">The results found within this review and poster is that inclusivity within higher education is adaptable and can be affected through a myriad of different things shown in figure. There are various societal issues that can be affect learners within additional learning needs within higher education. it is imperative as shown in figure 2 that we view and create education in this way. Professionals should understand that there are various in which Additional learning needs can affect higher education accruing to the societal issues and pressures faced. </w:t>
                      </w:r>
                      <w:r w:rsidR="00E512E6" w:rsidRPr="00E512E6">
                        <w:rPr>
                          <w:rFonts w:ascii="Times New Roman" w:hAnsi="Times New Roman" w:cs="Times New Roman"/>
                        </w:rPr>
                        <w:t xml:space="preserve">As a connection to this, inclusivity within higher education shows that behaviourism is an added-on effect from figure 1 and 2. Therefore, professionals should be able to understand these affects and changes and adapt them according to the indivudals with Additional learning needs by creating and help learner with their own coping mechanisms such as expanding student and special services. Recognising there are different severities within the spectrum of additional learning needs and learners may often hide their ‘disability’ </w:t>
                      </w:r>
                    </w:p>
                    <w:p w14:paraId="4F9F8569" w14:textId="77777777" w:rsidR="00D92D8E" w:rsidRPr="00B108E7" w:rsidRDefault="00D92D8E">
                      <w:pPr>
                        <w:rPr>
                          <w:rFonts w:ascii="Times New Roman" w:hAnsi="Times New Roman" w:cs="Times New Roman"/>
                          <w:sz w:val="24"/>
                          <w:szCs w:val="24"/>
                        </w:rPr>
                      </w:pPr>
                    </w:p>
                  </w:txbxContent>
                </v:textbox>
                <w10:wrap type="square"/>
              </v:shape>
            </w:pict>
          </mc:Fallback>
        </mc:AlternateContent>
      </w:r>
    </w:p>
    <w:p w14:paraId="6E7121DC" w14:textId="0BD7A8F9" w:rsidR="00E576D5" w:rsidRPr="00E576D5" w:rsidRDefault="00E512E6" w:rsidP="00E576D5">
      <w:r w:rsidRPr="00B108E7">
        <w:rPr>
          <w:b/>
          <w:bCs/>
          <w:noProof/>
        </w:rPr>
        <mc:AlternateContent>
          <mc:Choice Requires="wps">
            <w:drawing>
              <wp:anchor distT="45720" distB="45720" distL="114300" distR="114300" simplePos="0" relativeHeight="251675648" behindDoc="0" locked="0" layoutInCell="1" allowOverlap="1" wp14:anchorId="0453EC1D" wp14:editId="4518A6B3">
                <wp:simplePos x="0" y="0"/>
                <wp:positionH relativeFrom="margin">
                  <wp:posOffset>2176780</wp:posOffset>
                </wp:positionH>
                <wp:positionV relativeFrom="paragraph">
                  <wp:posOffset>2719070</wp:posOffset>
                </wp:positionV>
                <wp:extent cx="913765" cy="320040"/>
                <wp:effectExtent l="0" t="0" r="19685" b="228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765" cy="320040"/>
                        </a:xfrm>
                        <a:prstGeom prst="rect">
                          <a:avLst/>
                        </a:prstGeom>
                        <a:solidFill>
                          <a:srgbClr val="FFFFFF"/>
                        </a:solidFill>
                        <a:ln w="9525">
                          <a:solidFill>
                            <a:srgbClr val="000000"/>
                          </a:solidFill>
                          <a:miter lim="800000"/>
                          <a:headEnd/>
                          <a:tailEnd/>
                        </a:ln>
                      </wps:spPr>
                      <wps:txbx>
                        <w:txbxContent>
                          <w:p w14:paraId="4FAE6413" w14:textId="28316E5C" w:rsidR="00B108E7" w:rsidRPr="00B108E7" w:rsidRDefault="00B108E7" w:rsidP="00B108E7">
                            <w:pPr>
                              <w:jc w:val="right"/>
                              <w:rPr>
                                <w:rFonts w:ascii="Times New Roman" w:hAnsi="Times New Roman" w:cs="Times New Roman"/>
                                <w:sz w:val="24"/>
                                <w:szCs w:val="24"/>
                              </w:rPr>
                            </w:pPr>
                            <w:r w:rsidRPr="00B108E7">
                              <w:rPr>
                                <w:rFonts w:ascii="Times New Roman" w:hAnsi="Times New Roman" w:cs="Times New Roman"/>
                                <w:sz w:val="24"/>
                                <w:szCs w:val="24"/>
                              </w:rPr>
                              <w:t xml:space="preserve">Figure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3EC1D" id="_x0000_s1030" type="#_x0000_t202" style="position:absolute;margin-left:171.4pt;margin-top:214.1pt;width:71.95pt;height:25.2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">
                <v:textbox>
                  <w:txbxContent>
                    <w:p w14:paraId="4FAE6413" w14:textId="28316E5C" w:rsidR="00B108E7" w:rsidRPr="00B108E7" w:rsidRDefault="00B108E7" w:rsidP="00B108E7">
                      <w:pPr>
                        <w:jc w:val="right"/>
                        <w:rPr>
                          <w:rFonts w:ascii="Times New Roman" w:hAnsi="Times New Roman" w:cs="Times New Roman"/>
                          <w:sz w:val="24"/>
                          <w:szCs w:val="24"/>
                        </w:rPr>
                      </w:pPr>
                      <w:r w:rsidRPr="00B108E7">
                        <w:rPr>
                          <w:rFonts w:ascii="Times New Roman" w:hAnsi="Times New Roman" w:cs="Times New Roman"/>
                          <w:sz w:val="24"/>
                          <w:szCs w:val="24"/>
                        </w:rPr>
                        <w:t xml:space="preserve">Figure 2 </w:t>
                      </w:r>
                    </w:p>
                  </w:txbxContent>
                </v:textbox>
                <w10:wrap type="square" anchorx="margin"/>
              </v:shape>
            </w:pict>
          </mc:Fallback>
        </mc:AlternateContent>
      </w:r>
      <w:r w:rsidR="00B108E7" w:rsidRPr="00EB4347">
        <w:rPr>
          <w:b/>
          <w:bCs/>
        </w:rPr>
        <w:drawing>
          <wp:anchor distT="0" distB="0" distL="114300" distR="114300" simplePos="0" relativeHeight="251662336" behindDoc="0" locked="0" layoutInCell="1" allowOverlap="1" wp14:anchorId="0B44A67A" wp14:editId="1C410CE3">
            <wp:simplePos x="0" y="0"/>
            <wp:positionH relativeFrom="page">
              <wp:posOffset>63500</wp:posOffset>
            </wp:positionH>
            <wp:positionV relativeFrom="paragraph">
              <wp:posOffset>478155</wp:posOffset>
            </wp:positionV>
            <wp:extent cx="3124200" cy="241236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24200" cy="2412365"/>
                    </a:xfrm>
                    <a:prstGeom prst="rect">
                      <a:avLst/>
                    </a:prstGeom>
                  </pic:spPr>
                </pic:pic>
              </a:graphicData>
            </a:graphic>
            <wp14:sizeRelH relativeFrom="page">
              <wp14:pctWidth>0</wp14:pctWidth>
            </wp14:sizeRelH>
            <wp14:sizeRelV relativeFrom="page">
              <wp14:pctHeight>0</wp14:pctHeight>
            </wp14:sizeRelV>
          </wp:anchor>
        </w:drawing>
      </w:r>
      <w:r w:rsidR="00912E04" w:rsidRPr="00EB4347">
        <w:rPr>
          <w:b/>
          <w:bCs/>
          <w:noProof/>
        </w:rPr>
        <mc:AlternateContent>
          <mc:Choice Requires="wps">
            <w:drawing>
              <wp:anchor distT="45720" distB="45720" distL="114300" distR="114300" simplePos="0" relativeHeight="251665408" behindDoc="0" locked="0" layoutInCell="1" allowOverlap="1" wp14:anchorId="0528DE21" wp14:editId="6EFD9DA1">
                <wp:simplePos x="0" y="0"/>
                <wp:positionH relativeFrom="margin">
                  <wp:align>left</wp:align>
                </wp:positionH>
                <wp:positionV relativeFrom="paragraph">
                  <wp:posOffset>3061321</wp:posOffset>
                </wp:positionV>
                <wp:extent cx="3093720" cy="2528570"/>
                <wp:effectExtent l="0" t="0" r="11430" b="241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3720" cy="2528570"/>
                        </a:xfrm>
                        <a:prstGeom prst="rect">
                          <a:avLst/>
                        </a:prstGeom>
                        <a:solidFill>
                          <a:srgbClr val="FFFFFF"/>
                        </a:solidFill>
                        <a:ln w="9525">
                          <a:solidFill>
                            <a:srgbClr val="000000"/>
                          </a:solidFill>
                          <a:miter lim="800000"/>
                          <a:headEnd/>
                          <a:tailEnd/>
                        </a:ln>
                      </wps:spPr>
                      <wps:txbx>
                        <w:txbxContent>
                          <w:p w14:paraId="29875BEA" w14:textId="4A535EC4" w:rsidR="00AB4A7F" w:rsidRPr="00AB4A7F" w:rsidRDefault="00AB4A7F">
                            <w:pPr>
                              <w:rPr>
                                <w:rFonts w:ascii="Times New Roman" w:hAnsi="Times New Roman" w:cs="Times New Roman"/>
                                <w:u w:val="single"/>
                              </w:rPr>
                            </w:pPr>
                            <w:r w:rsidRPr="00AB4A7F">
                              <w:rPr>
                                <w:rFonts w:ascii="Times New Roman" w:hAnsi="Times New Roman" w:cs="Times New Roman"/>
                                <w:u w:val="single"/>
                              </w:rPr>
                              <w:t>Literature cited</w:t>
                            </w:r>
                          </w:p>
                          <w:p w14:paraId="7B6754B3" w14:textId="77F4C59C" w:rsidR="00AB4A7F" w:rsidRDefault="00E512E6" w:rsidP="00E512E6">
                            <w:r w:rsidRPr="00E512E6">
                              <w:t>Anon (1999) Learning Disabilities: Issues in Higher Education. Learning Disability Quarterly, 22(4), pp.263–266.</w:t>
                            </w:r>
                          </w:p>
                          <w:p w14:paraId="044DDA33" w14:textId="75C3D719" w:rsidR="00E512E6" w:rsidRDefault="00E512E6" w:rsidP="00E512E6">
                            <w:r w:rsidRPr="00E512E6">
                              <w:t>Bronfenbrenner (2005) Making Human Beings Human: Biological Perspectives on Human Development. London. Sag</w:t>
                            </w:r>
                            <w:r>
                              <w:t>e.</w:t>
                            </w:r>
                          </w:p>
                          <w:p w14:paraId="751FCDC5" w14:textId="46083425" w:rsidR="00E512E6" w:rsidRDefault="00E512E6" w:rsidP="00E512E6">
                            <w:proofErr w:type="spellStart"/>
                            <w:r w:rsidRPr="00E512E6">
                              <w:t>Schöbe</w:t>
                            </w:r>
                            <w:proofErr w:type="spellEnd"/>
                            <w:r w:rsidRPr="00E512E6">
                              <w:t xml:space="preserve"> </w:t>
                            </w:r>
                            <w:r w:rsidRPr="00E512E6">
                              <w:rPr>
                                <w:i/>
                                <w:iCs/>
                              </w:rPr>
                              <w:t>et al</w:t>
                            </w:r>
                            <w:r w:rsidRPr="00E512E6">
                              <w:t xml:space="preserve"> (2012) Bauhaus.</w:t>
                            </w:r>
                          </w:p>
                          <w:p w14:paraId="43C53679" w14:textId="62B1D143" w:rsidR="00972C58" w:rsidRDefault="00972C58" w:rsidP="00E512E6">
                            <w:r w:rsidRPr="00972C58">
                              <w:t xml:space="preserve">European Commission: </w:t>
                            </w:r>
                            <w:proofErr w:type="spellStart"/>
                            <w:r w:rsidRPr="00972C58">
                              <w:rPr>
                                <w:i/>
                                <w:iCs/>
                              </w:rPr>
                              <w:t>EntreComp</w:t>
                            </w:r>
                            <w:proofErr w:type="spellEnd"/>
                            <w:r w:rsidRPr="00972C58">
                              <w:rPr>
                                <w:i/>
                                <w:iCs/>
                              </w:rPr>
                              <w:t>: The Entrepreneurship Competence Framework</w:t>
                            </w:r>
                            <w:r w:rsidRPr="00972C58">
                              <w:t xml:space="preserv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8DE21" id="_x0000_s1031" type="#_x0000_t202" style="position:absolute;margin-left:0;margin-top:241.05pt;width:243.6pt;height:199.1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">
                <v:textbox>
                  <w:txbxContent>
                    <w:p w14:paraId="29875BEA" w14:textId="4A535EC4" w:rsidR="00AB4A7F" w:rsidRPr="00AB4A7F" w:rsidRDefault="00AB4A7F">
                      <w:pPr>
                        <w:rPr>
                          <w:rFonts w:ascii="Times New Roman" w:hAnsi="Times New Roman" w:cs="Times New Roman"/>
                          <w:u w:val="single"/>
                        </w:rPr>
                      </w:pPr>
                      <w:r w:rsidRPr="00AB4A7F">
                        <w:rPr>
                          <w:rFonts w:ascii="Times New Roman" w:hAnsi="Times New Roman" w:cs="Times New Roman"/>
                          <w:u w:val="single"/>
                        </w:rPr>
                        <w:t>Literature cited</w:t>
                      </w:r>
                    </w:p>
                    <w:p w14:paraId="7B6754B3" w14:textId="77F4C59C" w:rsidR="00AB4A7F" w:rsidRDefault="00E512E6" w:rsidP="00E512E6">
                      <w:r w:rsidRPr="00E512E6">
                        <w:t>Anon (1999) Learning Disabilities: Issues in Higher Education. Learning Disability Quarterly, 22(4), pp.263–266.</w:t>
                      </w:r>
                    </w:p>
                    <w:p w14:paraId="044DDA33" w14:textId="75C3D719" w:rsidR="00E512E6" w:rsidRDefault="00E512E6" w:rsidP="00E512E6">
                      <w:r w:rsidRPr="00E512E6">
                        <w:t>Bronfenbrenner (2005) Making Human Beings Human: Biological Perspectives on Human Development. London. Sag</w:t>
                      </w:r>
                      <w:r>
                        <w:t>e.</w:t>
                      </w:r>
                    </w:p>
                    <w:p w14:paraId="751FCDC5" w14:textId="46083425" w:rsidR="00E512E6" w:rsidRDefault="00E512E6" w:rsidP="00E512E6">
                      <w:proofErr w:type="spellStart"/>
                      <w:r w:rsidRPr="00E512E6">
                        <w:t>Schöbe</w:t>
                      </w:r>
                      <w:proofErr w:type="spellEnd"/>
                      <w:r w:rsidRPr="00E512E6">
                        <w:t xml:space="preserve"> </w:t>
                      </w:r>
                      <w:r w:rsidRPr="00E512E6">
                        <w:rPr>
                          <w:i/>
                          <w:iCs/>
                        </w:rPr>
                        <w:t>et al</w:t>
                      </w:r>
                      <w:r w:rsidRPr="00E512E6">
                        <w:t xml:space="preserve"> (2012) Bauhaus.</w:t>
                      </w:r>
                    </w:p>
                    <w:p w14:paraId="43C53679" w14:textId="62B1D143" w:rsidR="00972C58" w:rsidRDefault="00972C58" w:rsidP="00E512E6">
                      <w:r w:rsidRPr="00972C58">
                        <w:t xml:space="preserve">European Commission: </w:t>
                      </w:r>
                      <w:proofErr w:type="spellStart"/>
                      <w:r w:rsidRPr="00972C58">
                        <w:rPr>
                          <w:i/>
                          <w:iCs/>
                        </w:rPr>
                        <w:t>EntreComp</w:t>
                      </w:r>
                      <w:proofErr w:type="spellEnd"/>
                      <w:r w:rsidRPr="00972C58">
                        <w:rPr>
                          <w:i/>
                          <w:iCs/>
                        </w:rPr>
                        <w:t>: The Entrepreneurship Competence Framework</w:t>
                      </w:r>
                      <w:r w:rsidRPr="00972C58">
                        <w:t xml:space="preserve"> (2019)</w:t>
                      </w:r>
                    </w:p>
                  </w:txbxContent>
                </v:textbox>
                <w10:wrap type="square" anchorx="margin"/>
              </v:shape>
            </w:pict>
          </mc:Fallback>
        </mc:AlternateContent>
      </w:r>
    </w:p>
    <w:p w14:paraId="276BADE5" w14:textId="251B2C67" w:rsidR="00E576D5" w:rsidRPr="00E576D5" w:rsidRDefault="00E576D5" w:rsidP="00E576D5"/>
    <w:p w14:paraId="7B6FD6C8" w14:textId="071C9BBA" w:rsidR="00E576D5" w:rsidRDefault="00ED78BA" w:rsidP="00E576D5">
      <w:r w:rsidRPr="00EB4347">
        <w:rPr>
          <w:b/>
          <w:bCs/>
        </w:rPr>
        <w:drawing>
          <wp:anchor distT="0" distB="0" distL="114300" distR="114300" simplePos="0" relativeHeight="251663360" behindDoc="1" locked="0" layoutInCell="1" allowOverlap="1" wp14:anchorId="41987EA3" wp14:editId="552CD2EE">
            <wp:simplePos x="0" y="0"/>
            <wp:positionH relativeFrom="page">
              <wp:align>right</wp:align>
            </wp:positionH>
            <wp:positionV relativeFrom="paragraph">
              <wp:posOffset>100611</wp:posOffset>
            </wp:positionV>
            <wp:extent cx="2505075" cy="2209165"/>
            <wp:effectExtent l="0" t="0" r="9525" b="635"/>
            <wp:wrapTight wrapText="bothSides">
              <wp:wrapPolygon edited="0">
                <wp:start x="0" y="0"/>
                <wp:lineTo x="0" y="21420"/>
                <wp:lineTo x="21518" y="21420"/>
                <wp:lineTo x="2151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505075" cy="2209165"/>
                    </a:xfrm>
                    <a:prstGeom prst="rect">
                      <a:avLst/>
                    </a:prstGeom>
                  </pic:spPr>
                </pic:pic>
              </a:graphicData>
            </a:graphic>
            <wp14:sizeRelH relativeFrom="page">
              <wp14:pctWidth>0</wp14:pctWidth>
            </wp14:sizeRelH>
            <wp14:sizeRelV relativeFrom="page">
              <wp14:pctHeight>0</wp14:pctHeight>
            </wp14:sizeRelV>
          </wp:anchor>
        </w:drawing>
      </w:r>
    </w:p>
    <w:p w14:paraId="7E6FDE39" w14:textId="6F8ED275" w:rsidR="00E576D5" w:rsidRPr="00EB4347" w:rsidRDefault="0065215C" w:rsidP="00E576D5">
      <w:pPr>
        <w:tabs>
          <w:tab w:val="left" w:pos="3165"/>
        </w:tabs>
        <w:rPr>
          <w:b/>
          <w:bCs/>
        </w:rPr>
      </w:pPr>
      <w:r w:rsidRPr="00F4163B">
        <w:drawing>
          <wp:anchor distT="0" distB="0" distL="114300" distR="114300" simplePos="0" relativeHeight="251676672" behindDoc="0" locked="0" layoutInCell="1" allowOverlap="1" wp14:anchorId="5A5292CC" wp14:editId="796ED5BE">
            <wp:simplePos x="0" y="0"/>
            <wp:positionH relativeFrom="column">
              <wp:posOffset>5501640</wp:posOffset>
            </wp:positionH>
            <wp:positionV relativeFrom="paragraph">
              <wp:posOffset>260985</wp:posOffset>
            </wp:positionV>
            <wp:extent cx="2383790" cy="198247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83790" cy="1982470"/>
                    </a:xfrm>
                    <a:prstGeom prst="rect">
                      <a:avLst/>
                    </a:prstGeom>
                  </pic:spPr>
                </pic:pic>
              </a:graphicData>
            </a:graphic>
            <wp14:sizeRelH relativeFrom="page">
              <wp14:pctWidth>0</wp14:pctWidth>
            </wp14:sizeRelH>
            <wp14:sizeRelV relativeFrom="page">
              <wp14:pctHeight>0</wp14:pctHeight>
            </wp14:sizeRelV>
          </wp:anchor>
        </w:drawing>
      </w:r>
      <w:r w:rsidRPr="00EB4347">
        <w:rPr>
          <w:b/>
          <w:bCs/>
          <w:noProof/>
        </w:rPr>
        <mc:AlternateContent>
          <mc:Choice Requires="wps">
            <w:drawing>
              <wp:anchor distT="45720" distB="45720" distL="114300" distR="114300" simplePos="0" relativeHeight="251667456" behindDoc="0" locked="0" layoutInCell="1" allowOverlap="1" wp14:anchorId="48FBF5DC" wp14:editId="1734E66A">
                <wp:simplePos x="0" y="0"/>
                <wp:positionH relativeFrom="column">
                  <wp:posOffset>3198281</wp:posOffset>
                </wp:positionH>
                <wp:positionV relativeFrom="paragraph">
                  <wp:posOffset>500586</wp:posOffset>
                </wp:positionV>
                <wp:extent cx="2173184" cy="1731769"/>
                <wp:effectExtent l="0" t="0" r="1778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3184" cy="1731769"/>
                        </a:xfrm>
                        <a:prstGeom prst="rect">
                          <a:avLst/>
                        </a:prstGeom>
                        <a:solidFill>
                          <a:srgbClr val="FFFFFF"/>
                        </a:solidFill>
                        <a:ln w="9525">
                          <a:solidFill>
                            <a:srgbClr val="000000"/>
                          </a:solidFill>
                          <a:miter lim="800000"/>
                          <a:headEnd/>
                          <a:tailEnd/>
                        </a:ln>
                      </wps:spPr>
                      <wps:txbx>
                        <w:txbxContent>
                          <w:p w14:paraId="39E726CE" w14:textId="2AF2AD7F" w:rsidR="00EB4347" w:rsidRPr="00EB4347" w:rsidRDefault="00EB4347">
                            <w:pPr>
                              <w:rPr>
                                <w:rFonts w:ascii="Times New Roman" w:hAnsi="Times New Roman" w:cs="Times New Roman"/>
                                <w:u w:val="single"/>
                              </w:rPr>
                            </w:pPr>
                            <w:r w:rsidRPr="00EB4347">
                              <w:rPr>
                                <w:rFonts w:ascii="Times New Roman" w:hAnsi="Times New Roman" w:cs="Times New Roman"/>
                                <w:u w:val="single"/>
                              </w:rPr>
                              <w:t>Further information</w:t>
                            </w:r>
                          </w:p>
                          <w:p w14:paraId="631A42D7" w14:textId="52C24DAC" w:rsidR="00EB4347" w:rsidRDefault="002A5342">
                            <w:r>
                              <w:t xml:space="preserve">For Further information and more research </w:t>
                            </w:r>
                            <w:r w:rsidR="0065215C">
                              <w:t xml:space="preserve">consider </w:t>
                            </w:r>
                            <w:r w:rsidR="0065215C" w:rsidRPr="0065215C">
                              <w:t>European Commission</w:t>
                            </w:r>
                            <w:r w:rsidR="0065215C">
                              <w:t>:</w:t>
                            </w:r>
                            <w:r w:rsidR="0065215C" w:rsidRPr="0065215C">
                              <w:t xml:space="preserve"> </w:t>
                            </w:r>
                            <w:proofErr w:type="spellStart"/>
                            <w:r w:rsidR="0065215C" w:rsidRPr="0065215C">
                              <w:t>EntreComp</w:t>
                            </w:r>
                            <w:proofErr w:type="spellEnd"/>
                            <w:r w:rsidR="0065215C" w:rsidRPr="0065215C">
                              <w:t>: The Entrepreneurship Competence Framework</w:t>
                            </w:r>
                            <w:r w:rsidR="00972C58">
                              <w:t xml:space="preserve"> (2019)</w:t>
                            </w:r>
                            <w:r w:rsidR="00D20E28">
                              <w:t xml:space="preserve"> as seen in the diagram to the right.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BF5DC" id="_x0000_s1032" type="#_x0000_t202" style="position:absolute;margin-left:251.85pt;margin-top:39.4pt;width:171.1pt;height:136.3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">
                <v:textbox>
                  <w:txbxContent>
                    <w:p w14:paraId="39E726CE" w14:textId="2AF2AD7F" w:rsidR="00EB4347" w:rsidRPr="00EB4347" w:rsidRDefault="00EB4347">
                      <w:pPr>
                        <w:rPr>
                          <w:rFonts w:ascii="Times New Roman" w:hAnsi="Times New Roman" w:cs="Times New Roman"/>
                          <w:u w:val="single"/>
                        </w:rPr>
                      </w:pPr>
                      <w:r w:rsidRPr="00EB4347">
                        <w:rPr>
                          <w:rFonts w:ascii="Times New Roman" w:hAnsi="Times New Roman" w:cs="Times New Roman"/>
                          <w:u w:val="single"/>
                        </w:rPr>
                        <w:t>Further information</w:t>
                      </w:r>
                    </w:p>
                    <w:p w14:paraId="631A42D7" w14:textId="52C24DAC" w:rsidR="00EB4347" w:rsidRDefault="002A5342">
                      <w:r>
                        <w:t xml:space="preserve">For Further information and more research </w:t>
                      </w:r>
                      <w:r w:rsidR="0065215C">
                        <w:t xml:space="preserve">consider </w:t>
                      </w:r>
                      <w:r w:rsidR="0065215C" w:rsidRPr="0065215C">
                        <w:t>European Commission</w:t>
                      </w:r>
                      <w:r w:rsidR="0065215C">
                        <w:t>:</w:t>
                      </w:r>
                      <w:r w:rsidR="0065215C" w:rsidRPr="0065215C">
                        <w:t xml:space="preserve"> </w:t>
                      </w:r>
                      <w:proofErr w:type="spellStart"/>
                      <w:r w:rsidR="0065215C" w:rsidRPr="0065215C">
                        <w:t>EntreComp</w:t>
                      </w:r>
                      <w:proofErr w:type="spellEnd"/>
                      <w:r w:rsidR="0065215C" w:rsidRPr="0065215C">
                        <w:t>: The Entrepreneurship Competence Framework</w:t>
                      </w:r>
                      <w:r w:rsidR="00972C58">
                        <w:t xml:space="preserve"> (2019)</w:t>
                      </w:r>
                      <w:r w:rsidR="00D20E28">
                        <w:t xml:space="preserve"> as seen in the diagram to the right. </w:t>
                      </w:r>
                    </w:p>
                  </w:txbxContent>
                </v:textbox>
                <w10:wrap type="square"/>
              </v:shape>
            </w:pict>
          </mc:Fallback>
        </mc:AlternateContent>
      </w:r>
      <w:r w:rsidR="00B108E7">
        <w:rPr>
          <w:noProof/>
        </w:rPr>
        <mc:AlternateContent>
          <mc:Choice Requires="wps">
            <w:drawing>
              <wp:anchor distT="45720" distB="45720" distL="114300" distR="114300" simplePos="0" relativeHeight="251673600" behindDoc="0" locked="0" layoutInCell="1" allowOverlap="1" wp14:anchorId="1E384E96" wp14:editId="54B26224">
                <wp:simplePos x="0" y="0"/>
                <wp:positionH relativeFrom="margin">
                  <wp:align>right</wp:align>
                </wp:positionH>
                <wp:positionV relativeFrom="paragraph">
                  <wp:posOffset>1921535</wp:posOffset>
                </wp:positionV>
                <wp:extent cx="1068705" cy="305435"/>
                <wp:effectExtent l="0" t="0" r="17145" b="184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8705" cy="305435"/>
                        </a:xfrm>
                        <a:prstGeom prst="rect">
                          <a:avLst/>
                        </a:prstGeom>
                        <a:solidFill>
                          <a:srgbClr val="FFFFFF"/>
                        </a:solidFill>
                        <a:ln w="9525">
                          <a:solidFill>
                            <a:srgbClr val="000000"/>
                          </a:solidFill>
                          <a:miter lim="800000"/>
                          <a:headEnd/>
                          <a:tailEnd/>
                        </a:ln>
                      </wps:spPr>
                      <wps:txbx>
                        <w:txbxContent>
                          <w:p w14:paraId="051BA756" w14:textId="32A78786" w:rsidR="00B108E7" w:rsidRPr="00B108E7" w:rsidRDefault="00B108E7" w:rsidP="00F4163B">
                            <w:pPr>
                              <w:jc w:val="right"/>
                              <w:rPr>
                                <w:rFonts w:ascii="Times New Roman" w:hAnsi="Times New Roman" w:cs="Times New Roman"/>
                                <w:b/>
                                <w:bCs/>
                                <w:sz w:val="28"/>
                                <w:szCs w:val="28"/>
                              </w:rPr>
                            </w:pPr>
                            <w:r w:rsidRPr="00B108E7">
                              <w:rPr>
                                <w:rFonts w:ascii="Times New Roman" w:hAnsi="Times New Roman" w:cs="Times New Roman"/>
                                <w:b/>
                                <w:bCs/>
                                <w:sz w:val="28"/>
                                <w:szCs w:val="28"/>
                              </w:rPr>
                              <w:t xml:space="preserve">Figure 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84E96" id="_x0000_s1033" type="#_x0000_t202" style="position:absolute;margin-left:32.95pt;margin-top:151.3pt;width:84.15pt;height:24.0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">
                <v:textbox>
                  <w:txbxContent>
                    <w:p w14:paraId="051BA756" w14:textId="32A78786" w:rsidR="00B108E7" w:rsidRPr="00B108E7" w:rsidRDefault="00B108E7" w:rsidP="00F4163B">
                      <w:pPr>
                        <w:jc w:val="right"/>
                        <w:rPr>
                          <w:rFonts w:ascii="Times New Roman" w:hAnsi="Times New Roman" w:cs="Times New Roman"/>
                          <w:b/>
                          <w:bCs/>
                          <w:sz w:val="28"/>
                          <w:szCs w:val="28"/>
                        </w:rPr>
                      </w:pPr>
                      <w:r w:rsidRPr="00B108E7">
                        <w:rPr>
                          <w:rFonts w:ascii="Times New Roman" w:hAnsi="Times New Roman" w:cs="Times New Roman"/>
                          <w:b/>
                          <w:bCs/>
                          <w:sz w:val="28"/>
                          <w:szCs w:val="28"/>
                        </w:rPr>
                        <w:t xml:space="preserve">Figure 1 </w:t>
                      </w:r>
                    </w:p>
                  </w:txbxContent>
                </v:textbox>
                <w10:wrap type="square" anchorx="margin"/>
              </v:shape>
            </w:pict>
          </mc:Fallback>
        </mc:AlternateContent>
      </w:r>
    </w:p>
    <w:sectPr w:rsidR="00E576D5" w:rsidRPr="00EB4347" w:rsidSect="00E576D5">
      <w:pgSz w:w="16838" w:h="11906" w:orient="landscape"/>
      <w:pgMar w:top="181" w:right="187" w:bottom="181" w:left="18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080719"/>
    <w:multiLevelType w:val="hybridMultilevel"/>
    <w:tmpl w:val="F95E51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C69"/>
    <w:rsid w:val="00043C69"/>
    <w:rsid w:val="002A5342"/>
    <w:rsid w:val="002F5AB4"/>
    <w:rsid w:val="0065215C"/>
    <w:rsid w:val="008E3E9C"/>
    <w:rsid w:val="00912E04"/>
    <w:rsid w:val="00972C58"/>
    <w:rsid w:val="00AB4A7F"/>
    <w:rsid w:val="00B108E7"/>
    <w:rsid w:val="00B3413E"/>
    <w:rsid w:val="00CA1E24"/>
    <w:rsid w:val="00D20E28"/>
    <w:rsid w:val="00D92D8E"/>
    <w:rsid w:val="00E3193B"/>
    <w:rsid w:val="00E512E6"/>
    <w:rsid w:val="00E576D5"/>
    <w:rsid w:val="00EB4347"/>
    <w:rsid w:val="00ED78BA"/>
    <w:rsid w:val="00F41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7F9A"/>
  <w15:chartTrackingRefBased/>
  <w15:docId w15:val="{439E38CB-F4D2-4D7F-B03A-4FF0B7301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12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1</Pages>
  <Words>3</Words>
  <Characters>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12</cp:revision>
  <dcterms:created xsi:type="dcterms:W3CDTF">2020-04-20T11:26:00Z</dcterms:created>
  <dcterms:modified xsi:type="dcterms:W3CDTF">2020-04-21T13:13:00Z</dcterms:modified>
</cp:coreProperties>
</file>