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rFonts w:cs="Times New Roman" w:eastAsia="Times New Roman"/>
          <w:b/>
          <w:szCs w:val="24"/>
        </w:rPr>
      </w:pPr>
    </w:p>
    <w:p>
      <w:pPr>
        <w:pStyle w:val="style0"/>
        <w:jc w:val="center"/>
        <w:rPr>
          <w:rFonts w:cs="Times New Roman" w:eastAsia="Times New Roman"/>
          <w:b/>
          <w:szCs w:val="24"/>
        </w:rPr>
      </w:pPr>
    </w:p>
    <w:p>
      <w:pPr>
        <w:pStyle w:val="style0"/>
        <w:jc w:val="center"/>
        <w:rPr>
          <w:rFonts w:cs="Times New Roman" w:eastAsia="Times New Roman"/>
          <w:b/>
          <w:szCs w:val="24"/>
        </w:rPr>
      </w:pPr>
    </w:p>
    <w:p>
      <w:pPr>
        <w:pStyle w:val="style0"/>
        <w:jc w:val="center"/>
        <w:rPr>
          <w:rFonts w:cs="Times New Roman" w:eastAsia="Times New Roman"/>
          <w:b/>
          <w:szCs w:val="24"/>
        </w:rPr>
      </w:pPr>
    </w:p>
    <w:p>
      <w:pPr>
        <w:pStyle w:val="style0"/>
        <w:jc w:val="center"/>
        <w:rPr>
          <w:rFonts w:cs="Times New Roman" w:eastAsia="Times New Roman"/>
          <w:b/>
          <w:szCs w:val="24"/>
        </w:rPr>
      </w:pPr>
    </w:p>
    <w:p>
      <w:pPr>
        <w:pStyle w:val="style0"/>
        <w:jc w:val="center"/>
        <w:rPr>
          <w:rFonts w:cs="Times New Roman" w:eastAsia="Times New Roman"/>
          <w:b/>
          <w:szCs w:val="24"/>
        </w:rPr>
      </w:pPr>
    </w:p>
    <w:p>
      <w:pPr>
        <w:pStyle w:val="style0"/>
        <w:jc w:val="center"/>
        <w:rPr>
          <w:rFonts w:cs="Times New Roman" w:eastAsia="Times New Roman"/>
          <w:b/>
          <w:szCs w:val="24"/>
        </w:rPr>
      </w:pPr>
    </w:p>
    <w:p>
      <w:pPr>
        <w:pStyle w:val="style0"/>
        <w:jc w:val="center"/>
        <w:rPr>
          <w:rFonts w:cs="Times New Roman" w:eastAsia="Times New Roman"/>
          <w:b/>
          <w:szCs w:val="24"/>
        </w:rPr>
      </w:pPr>
    </w:p>
    <w:p>
      <w:pPr>
        <w:pStyle w:val="style0"/>
        <w:jc w:val="center"/>
        <w:rPr>
          <w:rFonts w:cs="Times New Roman" w:eastAsia="Times New Roman"/>
          <w:b/>
          <w:szCs w:val="24"/>
        </w:rPr>
      </w:pPr>
    </w:p>
    <w:p>
      <w:pPr>
        <w:pStyle w:val="style0"/>
        <w:jc w:val="center"/>
        <w:rPr>
          <w:rFonts w:cs="Times New Roman" w:eastAsia="Times New Roman"/>
          <w:b/>
          <w:szCs w:val="24"/>
        </w:rPr>
      </w:pPr>
    </w:p>
    <w:p>
      <w:pPr>
        <w:pStyle w:val="style0"/>
        <w:jc w:val="center"/>
        <w:rPr>
          <w:rFonts w:cs="Times New Roman" w:eastAsia="Times New Roman"/>
          <w:b/>
          <w:szCs w:val="24"/>
        </w:rPr>
      </w:pPr>
    </w:p>
    <w:p>
      <w:pPr>
        <w:pStyle w:val="style0"/>
        <w:jc w:val="center"/>
        <w:rPr>
          <w:rFonts w:cs="Times New Roman" w:eastAsia="Times New Roman"/>
          <w:b/>
          <w:szCs w:val="24"/>
        </w:rPr>
      </w:pPr>
    </w:p>
    <w:p>
      <w:pPr>
        <w:pStyle w:val="style0"/>
        <w:jc w:val="center"/>
        <w:rPr>
          <w:rFonts w:cs="Times New Roman" w:eastAsia="Times New Roman"/>
          <w:b/>
          <w:szCs w:val="24"/>
        </w:rPr>
      </w:pPr>
    </w:p>
    <w:p>
      <w:pPr>
        <w:pStyle w:val="style0"/>
        <w:jc w:val="center"/>
        <w:rPr>
          <w:rFonts w:cs="Times New Roman" w:eastAsia="Times New Roman"/>
          <w:b/>
          <w:szCs w:val="24"/>
        </w:rPr>
      </w:pPr>
    </w:p>
    <w:p>
      <w:pPr>
        <w:pStyle w:val="style0"/>
        <w:jc w:val="center"/>
        <w:rPr>
          <w:rFonts w:cs="Times New Roman" w:eastAsia="Times New Roman"/>
          <w:b/>
          <w:szCs w:val="24"/>
        </w:rPr>
      </w:pPr>
    </w:p>
    <w:p>
      <w:pPr>
        <w:pStyle w:val="style0"/>
        <w:jc w:val="center"/>
        <w:rPr>
          <w:rFonts w:cs="Times New Roman" w:eastAsia="Times New Roman"/>
          <w:b/>
          <w:szCs w:val="24"/>
        </w:rPr>
      </w:pPr>
    </w:p>
    <w:p>
      <w:pPr>
        <w:pStyle w:val="style0"/>
        <w:jc w:val="center"/>
        <w:rPr>
          <w:rFonts w:cs="Times New Roman" w:eastAsia="Times New Roman"/>
          <w:b/>
          <w:szCs w:val="24"/>
        </w:rPr>
      </w:pPr>
    </w:p>
    <w:p>
      <w:pPr>
        <w:pStyle w:val="style0"/>
        <w:jc w:val="center"/>
        <w:rPr>
          <w:rFonts w:cs="Times New Roman" w:eastAsia="Times New Roman"/>
          <w:b/>
          <w:szCs w:val="24"/>
        </w:rPr>
      </w:pPr>
    </w:p>
    <w:p>
      <w:pPr>
        <w:pStyle w:val="style0"/>
        <w:jc w:val="center"/>
        <w:rPr>
          <w:rFonts w:cs="Times New Roman" w:eastAsia="Times New Roman"/>
          <w:b/>
          <w:sz w:val="28"/>
          <w:szCs w:val="28"/>
        </w:rPr>
      </w:pPr>
      <w:r>
        <w:rPr>
          <w:rFonts w:cs="Times New Roman" w:eastAsia="Times New Roman"/>
          <w:b/>
          <w:sz w:val="28"/>
          <w:szCs w:val="28"/>
        </w:rPr>
        <w:t>Title: Impact of Climate Change on Supply Chain Operation of International Business (Agriculture)</w:t>
      </w:r>
    </w:p>
    <w:p>
      <w:pPr>
        <w:pStyle w:val="style0"/>
        <w:rPr>
          <w:rFonts w:cs="Times New Roman" w:eastAsia="Times New Roman"/>
          <w:b/>
          <w:szCs w:val="24"/>
        </w:rPr>
      </w:pPr>
    </w:p>
    <w:p>
      <w:pPr>
        <w:pStyle w:val="style0"/>
        <w:rPr>
          <w:rFonts w:cs="Times New Roman" w:eastAsia="Times New Roman"/>
          <w:b/>
          <w:szCs w:val="24"/>
        </w:rPr>
      </w:pPr>
      <w:r>
        <w:br w:type="page"/>
      </w:r>
    </w:p>
    <w:p>
      <w:pPr>
        <w:pStyle w:val="style0"/>
        <w:rPr>
          <w:rFonts w:cs="Times New Roman" w:eastAsia="Times New Roman"/>
          <w:b/>
          <w:szCs w:val="24"/>
        </w:rPr>
      </w:pPr>
    </w:p>
    <w:p>
      <w:pPr>
        <w:pStyle w:val="style266"/>
        <w:jc w:val="center"/>
        <w:rPr>
          <w:rFonts w:ascii="Times New Roman" w:cs="Times New Roman" w:hAnsi="Times New Roman"/>
          <w:b/>
          <w:bCs/>
          <w:color w:val="auto"/>
        </w:rPr>
      </w:pPr>
      <w:r>
        <w:rPr>
          <w:rFonts w:ascii="Times New Roman" w:cs="Times New Roman" w:hAnsi="Times New Roman"/>
          <w:b/>
          <w:bCs/>
          <w:color w:val="auto"/>
        </w:rPr>
        <w:t>Table of Contents</w:t>
      </w:r>
    </w:p>
    <w:p>
      <w:pPr>
        <w:pStyle w:val="style19"/>
        <w:tabs>
          <w:tab w:val="right" w:leader="dot" w:pos="9019"/>
        </w:tabs>
        <w:rPr>
          <w:noProof/>
        </w:rPr>
      </w:pPr>
      <w:r>
        <w:rPr/>
        <w:fldChar w:fldCharType="begin"/>
      </w:r>
      <w:r>
        <w:instrText xml:space="preserve"> TOC \o "1-3" \h \z \u </w:instrText>
      </w:r>
      <w:r>
        <w:rPr/>
        <w:fldChar w:fldCharType="separate"/>
      </w:r>
      <w:r>
        <w:rPr/>
        <w:fldChar w:fldCharType="begin"/>
      </w:r>
      <w:r>
        <w:instrText xml:space="preserve"> HYPERLINK \l "_Toc158040589"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_Toc158040589 \h </w:instrText>
      </w:r>
      <w:r>
        <w:rPr>
          <w:noProof/>
          <w:webHidden/>
        </w:rPr>
        <w:fldChar w:fldCharType="separate"/>
      </w:r>
      <w:r>
        <w:rPr>
          <w:noProof/>
          <w:webHidden/>
        </w:rPr>
        <w:t>2</w:t>
      </w:r>
      <w:r>
        <w:rPr>
          <w:noProof/>
          <w:webHidden/>
        </w:rPr>
        <w:fldChar w:fldCharType="end"/>
      </w:r>
      <w:r>
        <w:rPr/>
        <w:fldChar w:fldCharType="end"/>
      </w:r>
    </w:p>
    <w:p>
      <w:pPr>
        <w:pStyle w:val="style20"/>
        <w:tabs>
          <w:tab w:val="right" w:leader="dot" w:pos="9019"/>
        </w:tabs>
        <w:rPr>
          <w:noProof/>
        </w:rPr>
      </w:pPr>
      <w:r>
        <w:rPr/>
        <w:fldChar w:fldCharType="begin"/>
      </w:r>
      <w:r>
        <w:instrText xml:space="preserve"> HYPERLINK \l "_Toc158040590" </w:instrText>
      </w:r>
      <w:r>
        <w:rPr/>
        <w:fldChar w:fldCharType="separate"/>
      </w:r>
      <w:r>
        <w:rPr>
          <w:rStyle w:val="style85"/>
          <w:noProof/>
        </w:rPr>
        <w:t>Background</w:t>
      </w:r>
      <w:r>
        <w:rPr>
          <w:noProof/>
          <w:webHidden/>
        </w:rPr>
        <w:tab/>
      </w:r>
      <w:r>
        <w:rPr>
          <w:noProof/>
          <w:webHidden/>
        </w:rPr>
        <w:fldChar w:fldCharType="begin"/>
      </w:r>
      <w:r>
        <w:rPr>
          <w:noProof/>
          <w:webHidden/>
        </w:rPr>
        <w:instrText xml:space="preserve"> PAGEREF _Toc158040590 \h </w:instrText>
      </w:r>
      <w:r>
        <w:rPr>
          <w:noProof/>
          <w:webHidden/>
        </w:rPr>
        <w:fldChar w:fldCharType="separate"/>
      </w:r>
      <w:r>
        <w:rPr>
          <w:noProof/>
          <w:webHidden/>
        </w:rPr>
        <w:t>2</w:t>
      </w:r>
      <w:r>
        <w:rPr>
          <w:noProof/>
          <w:webHidden/>
        </w:rPr>
        <w:fldChar w:fldCharType="end"/>
      </w:r>
      <w:r>
        <w:rPr/>
        <w:fldChar w:fldCharType="end"/>
      </w:r>
    </w:p>
    <w:p>
      <w:pPr>
        <w:pStyle w:val="style20"/>
        <w:tabs>
          <w:tab w:val="right" w:leader="dot" w:pos="9019"/>
        </w:tabs>
        <w:rPr>
          <w:noProof/>
        </w:rPr>
      </w:pPr>
      <w:r>
        <w:rPr/>
        <w:fldChar w:fldCharType="begin"/>
      </w:r>
      <w:r>
        <w:instrText xml:space="preserve"> HYPERLINK \l "_Toc158040591" </w:instrText>
      </w:r>
      <w:r>
        <w:rPr/>
        <w:fldChar w:fldCharType="separate"/>
      </w:r>
      <w:r>
        <w:rPr>
          <w:rStyle w:val="style85"/>
          <w:noProof/>
        </w:rPr>
        <w:t>Problem statement</w:t>
      </w:r>
      <w:r>
        <w:rPr>
          <w:noProof/>
          <w:webHidden/>
        </w:rPr>
        <w:tab/>
      </w:r>
      <w:r>
        <w:rPr>
          <w:noProof/>
          <w:webHidden/>
        </w:rPr>
        <w:fldChar w:fldCharType="begin"/>
      </w:r>
      <w:r>
        <w:rPr>
          <w:noProof/>
          <w:webHidden/>
        </w:rPr>
        <w:instrText xml:space="preserve"> PAGEREF _Toc158040591 \h </w:instrText>
      </w:r>
      <w:r>
        <w:rPr>
          <w:noProof/>
          <w:webHidden/>
        </w:rPr>
        <w:fldChar w:fldCharType="separate"/>
      </w:r>
      <w:r>
        <w:rPr>
          <w:noProof/>
          <w:webHidden/>
        </w:rPr>
        <w:t>2</w:t>
      </w:r>
      <w:r>
        <w:rPr>
          <w:noProof/>
          <w:webHidden/>
        </w:rPr>
        <w:fldChar w:fldCharType="end"/>
      </w:r>
      <w:r>
        <w:rPr/>
        <w:fldChar w:fldCharType="end"/>
      </w:r>
    </w:p>
    <w:p>
      <w:pPr>
        <w:pStyle w:val="style20"/>
        <w:tabs>
          <w:tab w:val="right" w:leader="dot" w:pos="9019"/>
        </w:tabs>
        <w:rPr>
          <w:noProof/>
        </w:rPr>
      </w:pPr>
      <w:r>
        <w:rPr/>
        <w:fldChar w:fldCharType="begin"/>
      </w:r>
      <w:r>
        <w:instrText xml:space="preserve"> HYPERLINK \l "_Toc158040592" </w:instrText>
      </w:r>
      <w:r>
        <w:rPr/>
        <w:fldChar w:fldCharType="separate"/>
      </w:r>
      <w:r>
        <w:rPr>
          <w:rStyle w:val="style85"/>
          <w:noProof/>
        </w:rPr>
        <w:t>Significance of Study</w:t>
      </w:r>
      <w:r>
        <w:rPr>
          <w:noProof/>
          <w:webHidden/>
        </w:rPr>
        <w:tab/>
      </w:r>
      <w:r>
        <w:rPr>
          <w:noProof/>
          <w:webHidden/>
        </w:rPr>
        <w:fldChar w:fldCharType="begin"/>
      </w:r>
      <w:r>
        <w:rPr>
          <w:noProof/>
          <w:webHidden/>
        </w:rPr>
        <w:instrText xml:space="preserve"> PAGEREF _Toc158040592 \h </w:instrText>
      </w:r>
      <w:r>
        <w:rPr>
          <w:noProof/>
          <w:webHidden/>
        </w:rPr>
        <w:fldChar w:fldCharType="separate"/>
      </w:r>
      <w:r>
        <w:rPr>
          <w:noProof/>
          <w:webHidden/>
        </w:rPr>
        <w:t>2</w:t>
      </w:r>
      <w:r>
        <w:rPr>
          <w:noProof/>
          <w:webHidden/>
        </w:rPr>
        <w:fldChar w:fldCharType="end"/>
      </w:r>
      <w:r>
        <w:rPr/>
        <w:fldChar w:fldCharType="end"/>
      </w:r>
    </w:p>
    <w:p>
      <w:pPr>
        <w:pStyle w:val="style20"/>
        <w:tabs>
          <w:tab w:val="right" w:leader="dot" w:pos="9019"/>
        </w:tabs>
        <w:rPr>
          <w:noProof/>
        </w:rPr>
      </w:pPr>
      <w:r>
        <w:rPr/>
        <w:fldChar w:fldCharType="begin"/>
      </w:r>
      <w:r>
        <w:instrText xml:space="preserve"> HYPERLINK \l "_Toc158040593" </w:instrText>
      </w:r>
      <w:r>
        <w:rPr/>
        <w:fldChar w:fldCharType="separate"/>
      </w:r>
      <w:r>
        <w:rPr>
          <w:rStyle w:val="style85"/>
          <w:noProof/>
        </w:rPr>
        <w:t>Research Aim and Objectives</w:t>
      </w:r>
      <w:r>
        <w:rPr>
          <w:noProof/>
          <w:webHidden/>
        </w:rPr>
        <w:tab/>
      </w:r>
      <w:r>
        <w:rPr>
          <w:noProof/>
          <w:webHidden/>
        </w:rPr>
        <w:fldChar w:fldCharType="begin"/>
      </w:r>
      <w:r>
        <w:rPr>
          <w:noProof/>
          <w:webHidden/>
        </w:rPr>
        <w:instrText xml:space="preserve"> PAGEREF _Toc158040593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019"/>
        </w:tabs>
        <w:rPr>
          <w:noProof/>
        </w:rPr>
      </w:pPr>
      <w:r>
        <w:rPr/>
        <w:fldChar w:fldCharType="begin"/>
      </w:r>
      <w:r>
        <w:instrText xml:space="preserve"> HYPERLINK \l "_Toc158040594" </w:instrText>
      </w:r>
      <w:r>
        <w:rPr/>
        <w:fldChar w:fldCharType="separate"/>
      </w:r>
      <w:r>
        <w:rPr>
          <w:rStyle w:val="style85"/>
          <w:noProof/>
        </w:rPr>
        <w:t>Research Questions</w:t>
      </w:r>
      <w:r>
        <w:rPr>
          <w:noProof/>
          <w:webHidden/>
        </w:rPr>
        <w:tab/>
      </w:r>
      <w:r>
        <w:rPr>
          <w:noProof/>
          <w:webHidden/>
        </w:rPr>
        <w:fldChar w:fldCharType="begin"/>
      </w:r>
      <w:r>
        <w:rPr>
          <w:noProof/>
          <w:webHidden/>
        </w:rPr>
        <w:instrText xml:space="preserve"> PAGEREF _Toc158040594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9"/>
        </w:tabs>
        <w:rPr>
          <w:noProof/>
        </w:rPr>
      </w:pPr>
      <w:r>
        <w:rPr/>
        <w:fldChar w:fldCharType="begin"/>
      </w:r>
      <w:r>
        <w:instrText xml:space="preserve"> HYPERLINK \l "_Toc158040595" </w:instrText>
      </w:r>
      <w:r>
        <w:rPr/>
        <w:fldChar w:fldCharType="separate"/>
      </w:r>
      <w:r>
        <w:rPr>
          <w:rStyle w:val="style85"/>
          <w:noProof/>
        </w:rPr>
        <w:t>Literature Review</w:t>
      </w:r>
      <w:r>
        <w:rPr>
          <w:noProof/>
          <w:webHidden/>
        </w:rPr>
        <w:tab/>
      </w:r>
      <w:r>
        <w:rPr>
          <w:noProof/>
          <w:webHidden/>
        </w:rPr>
        <w:fldChar w:fldCharType="begin"/>
      </w:r>
      <w:r>
        <w:rPr>
          <w:noProof/>
          <w:webHidden/>
        </w:rPr>
        <w:instrText xml:space="preserve"> PAGEREF _Toc158040595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019"/>
        </w:tabs>
        <w:rPr>
          <w:noProof/>
        </w:rPr>
      </w:pPr>
      <w:r>
        <w:rPr/>
        <w:fldChar w:fldCharType="begin"/>
      </w:r>
      <w:r>
        <w:instrText xml:space="preserve"> HYPERLINK \l "_Toc158040596" </w:instrText>
      </w:r>
      <w:r>
        <w:rPr/>
        <w:fldChar w:fldCharType="separate"/>
      </w:r>
      <w:r>
        <w:rPr>
          <w:rStyle w:val="style85"/>
          <w:noProof/>
        </w:rPr>
        <w:t>Theoretical discussions</w:t>
      </w:r>
      <w:r>
        <w:rPr>
          <w:noProof/>
          <w:webHidden/>
        </w:rPr>
        <w:tab/>
      </w:r>
      <w:r>
        <w:rPr>
          <w:noProof/>
          <w:webHidden/>
        </w:rPr>
        <w:fldChar w:fldCharType="begin"/>
      </w:r>
      <w:r>
        <w:rPr>
          <w:noProof/>
          <w:webHidden/>
        </w:rPr>
        <w:instrText xml:space="preserve"> PAGEREF _Toc158040596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019"/>
        </w:tabs>
        <w:rPr>
          <w:noProof/>
        </w:rPr>
      </w:pPr>
      <w:r>
        <w:rPr/>
        <w:fldChar w:fldCharType="begin"/>
      </w:r>
      <w:r>
        <w:instrText xml:space="preserve"> HYPERLINK \l "_Toc158040597" </w:instrText>
      </w:r>
      <w:r>
        <w:rPr/>
        <w:fldChar w:fldCharType="separate"/>
      </w:r>
      <w:r>
        <w:rPr>
          <w:rStyle w:val="style85"/>
          <w:noProof/>
        </w:rPr>
        <w:t>Gaps</w:t>
      </w:r>
      <w:r>
        <w:rPr>
          <w:noProof/>
          <w:webHidden/>
        </w:rPr>
        <w:tab/>
      </w:r>
      <w:r>
        <w:rPr>
          <w:noProof/>
          <w:webHidden/>
        </w:rPr>
        <w:fldChar w:fldCharType="begin"/>
      </w:r>
      <w:r>
        <w:rPr>
          <w:noProof/>
          <w:webHidden/>
        </w:rPr>
        <w:instrText xml:space="preserve"> PAGEREF _Toc158040597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9019"/>
        </w:tabs>
        <w:rPr>
          <w:noProof/>
        </w:rPr>
      </w:pPr>
      <w:r>
        <w:rPr/>
        <w:fldChar w:fldCharType="begin"/>
      </w:r>
      <w:r>
        <w:instrText xml:space="preserve"> HYPERLINK \l "_Toc158040598" </w:instrText>
      </w:r>
      <w:r>
        <w:rPr/>
        <w:fldChar w:fldCharType="separate"/>
      </w:r>
      <w:r>
        <w:rPr>
          <w:rStyle w:val="style85"/>
          <w:noProof/>
        </w:rPr>
        <w:t>Methodology</w:t>
      </w:r>
      <w:r>
        <w:rPr>
          <w:noProof/>
          <w:webHidden/>
        </w:rPr>
        <w:tab/>
      </w:r>
      <w:r>
        <w:rPr>
          <w:noProof/>
          <w:webHidden/>
        </w:rPr>
        <w:fldChar w:fldCharType="begin"/>
      </w:r>
      <w:r>
        <w:rPr>
          <w:noProof/>
          <w:webHidden/>
        </w:rPr>
        <w:instrText xml:space="preserve"> PAGEREF _Toc158040598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019"/>
        </w:tabs>
        <w:rPr>
          <w:noProof/>
        </w:rPr>
      </w:pPr>
      <w:r>
        <w:rPr/>
        <w:fldChar w:fldCharType="begin"/>
      </w:r>
      <w:r>
        <w:instrText xml:space="preserve"> HYPERLINK \l "_Toc158040599" </w:instrText>
      </w:r>
      <w:r>
        <w:rPr/>
        <w:fldChar w:fldCharType="separate"/>
      </w:r>
      <w:r>
        <w:rPr>
          <w:rStyle w:val="style85"/>
          <w:noProof/>
        </w:rPr>
        <w:t>Research Philosophy</w:t>
      </w:r>
      <w:r>
        <w:rPr>
          <w:noProof/>
          <w:webHidden/>
        </w:rPr>
        <w:tab/>
      </w:r>
      <w:r>
        <w:rPr>
          <w:noProof/>
          <w:webHidden/>
        </w:rPr>
        <w:fldChar w:fldCharType="begin"/>
      </w:r>
      <w:r>
        <w:rPr>
          <w:noProof/>
          <w:webHidden/>
        </w:rPr>
        <w:instrText xml:space="preserve"> PAGEREF _Toc158040599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019"/>
        </w:tabs>
        <w:rPr>
          <w:noProof/>
        </w:rPr>
      </w:pPr>
      <w:r>
        <w:rPr/>
        <w:fldChar w:fldCharType="begin"/>
      </w:r>
      <w:r>
        <w:instrText xml:space="preserve"> HYPERLINK \l "_Toc158040600" </w:instrText>
      </w:r>
      <w:r>
        <w:rPr/>
        <w:fldChar w:fldCharType="separate"/>
      </w:r>
      <w:r>
        <w:rPr>
          <w:rStyle w:val="style85"/>
          <w:noProof/>
        </w:rPr>
        <w:t>Research Approach</w:t>
      </w:r>
      <w:r>
        <w:rPr>
          <w:noProof/>
          <w:webHidden/>
        </w:rPr>
        <w:tab/>
      </w:r>
      <w:r>
        <w:rPr>
          <w:noProof/>
          <w:webHidden/>
        </w:rPr>
        <w:fldChar w:fldCharType="begin"/>
      </w:r>
      <w:r>
        <w:rPr>
          <w:noProof/>
          <w:webHidden/>
        </w:rPr>
        <w:instrText xml:space="preserve"> PAGEREF _Toc158040600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019"/>
        </w:tabs>
        <w:rPr>
          <w:noProof/>
        </w:rPr>
      </w:pPr>
      <w:r>
        <w:rPr/>
        <w:fldChar w:fldCharType="begin"/>
      </w:r>
      <w:r>
        <w:instrText xml:space="preserve"> HYPERLINK \l "_Toc158040601" </w:instrText>
      </w:r>
      <w:r>
        <w:rPr/>
        <w:fldChar w:fldCharType="separate"/>
      </w:r>
      <w:r>
        <w:rPr>
          <w:rStyle w:val="style85"/>
          <w:noProof/>
        </w:rPr>
        <w:t>Research Method</w:t>
      </w:r>
      <w:r>
        <w:rPr>
          <w:noProof/>
          <w:webHidden/>
        </w:rPr>
        <w:tab/>
      </w:r>
      <w:r>
        <w:rPr>
          <w:noProof/>
          <w:webHidden/>
        </w:rPr>
        <w:fldChar w:fldCharType="begin"/>
      </w:r>
      <w:r>
        <w:rPr>
          <w:noProof/>
          <w:webHidden/>
        </w:rPr>
        <w:instrText xml:space="preserve"> PAGEREF _Toc158040601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019"/>
        </w:tabs>
        <w:rPr>
          <w:noProof/>
        </w:rPr>
      </w:pPr>
      <w:r>
        <w:rPr/>
        <w:fldChar w:fldCharType="begin"/>
      </w:r>
      <w:r>
        <w:instrText xml:space="preserve"> HYPERLINK \l "_Toc158040602" </w:instrText>
      </w:r>
      <w:r>
        <w:rPr/>
        <w:fldChar w:fldCharType="separate"/>
      </w:r>
      <w:r>
        <w:rPr>
          <w:rStyle w:val="style85"/>
          <w:noProof/>
        </w:rPr>
        <w:t>Data Collection</w:t>
      </w:r>
      <w:r>
        <w:rPr>
          <w:noProof/>
          <w:webHidden/>
        </w:rPr>
        <w:tab/>
      </w:r>
      <w:r>
        <w:rPr>
          <w:noProof/>
          <w:webHidden/>
        </w:rPr>
        <w:fldChar w:fldCharType="begin"/>
      </w:r>
      <w:r>
        <w:rPr>
          <w:noProof/>
          <w:webHidden/>
        </w:rPr>
        <w:instrText xml:space="preserve"> PAGEREF _Toc158040602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019"/>
        </w:tabs>
        <w:rPr>
          <w:noProof/>
        </w:rPr>
      </w:pPr>
      <w:r>
        <w:rPr/>
        <w:fldChar w:fldCharType="begin"/>
      </w:r>
      <w:r>
        <w:instrText xml:space="preserve"> HYPERLINK \l "_Toc158040603" </w:instrText>
      </w:r>
      <w:r>
        <w:rPr/>
        <w:fldChar w:fldCharType="separate"/>
      </w:r>
      <w:r>
        <w:rPr>
          <w:rStyle w:val="style85"/>
          <w:noProof/>
        </w:rPr>
        <w:t>Sampling</w:t>
      </w:r>
      <w:r>
        <w:rPr>
          <w:noProof/>
          <w:webHidden/>
        </w:rPr>
        <w:tab/>
      </w:r>
      <w:r>
        <w:rPr>
          <w:noProof/>
          <w:webHidden/>
        </w:rPr>
        <w:fldChar w:fldCharType="begin"/>
      </w:r>
      <w:r>
        <w:rPr>
          <w:noProof/>
          <w:webHidden/>
        </w:rPr>
        <w:instrText xml:space="preserve"> PAGEREF _Toc158040603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019"/>
        </w:tabs>
        <w:rPr>
          <w:noProof/>
        </w:rPr>
      </w:pPr>
      <w:r>
        <w:rPr/>
        <w:fldChar w:fldCharType="begin"/>
      </w:r>
      <w:r>
        <w:instrText xml:space="preserve"> HYPERLINK \l "_Toc158040604" </w:instrText>
      </w:r>
      <w:r>
        <w:rPr/>
        <w:fldChar w:fldCharType="separate"/>
      </w:r>
      <w:r>
        <w:rPr>
          <w:rStyle w:val="style85"/>
          <w:noProof/>
        </w:rPr>
        <w:t>Research Rationale</w:t>
      </w:r>
      <w:r>
        <w:rPr>
          <w:noProof/>
          <w:webHidden/>
        </w:rPr>
        <w:tab/>
      </w:r>
      <w:r>
        <w:rPr>
          <w:noProof/>
          <w:webHidden/>
        </w:rPr>
        <w:fldChar w:fldCharType="begin"/>
      </w:r>
      <w:r>
        <w:rPr>
          <w:noProof/>
          <w:webHidden/>
        </w:rPr>
        <w:instrText xml:space="preserve"> PAGEREF _Toc158040604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019"/>
        </w:tabs>
        <w:rPr>
          <w:noProof/>
        </w:rPr>
      </w:pPr>
      <w:r>
        <w:rPr/>
        <w:fldChar w:fldCharType="begin"/>
      </w:r>
      <w:r>
        <w:instrText xml:space="preserve"> HYPERLINK \l "_Toc158040605" </w:instrText>
      </w:r>
      <w:r>
        <w:rPr/>
        <w:fldChar w:fldCharType="separate"/>
      </w:r>
      <w:r>
        <w:rPr>
          <w:rStyle w:val="style85"/>
          <w:noProof/>
        </w:rPr>
        <w:t>Data Analysis</w:t>
      </w:r>
      <w:r>
        <w:rPr>
          <w:noProof/>
          <w:webHidden/>
        </w:rPr>
        <w:tab/>
      </w:r>
      <w:r>
        <w:rPr>
          <w:noProof/>
          <w:webHidden/>
        </w:rPr>
        <w:fldChar w:fldCharType="begin"/>
      </w:r>
      <w:r>
        <w:rPr>
          <w:noProof/>
          <w:webHidden/>
        </w:rPr>
        <w:instrText xml:space="preserve"> PAGEREF _Toc158040605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019"/>
        </w:tabs>
        <w:rPr>
          <w:noProof/>
        </w:rPr>
      </w:pPr>
      <w:r>
        <w:rPr/>
        <w:fldChar w:fldCharType="begin"/>
      </w:r>
      <w:r>
        <w:instrText xml:space="preserve"> HYPERLINK \l "_Toc158040606" </w:instrText>
      </w:r>
      <w:r>
        <w:rPr/>
        <w:fldChar w:fldCharType="separate"/>
      </w:r>
      <w:r>
        <w:rPr>
          <w:rStyle w:val="style85"/>
          <w:noProof/>
        </w:rPr>
        <w:t>Ethical Considerations</w:t>
      </w:r>
      <w:r>
        <w:rPr>
          <w:noProof/>
          <w:webHidden/>
        </w:rPr>
        <w:tab/>
      </w:r>
      <w:r>
        <w:rPr>
          <w:noProof/>
          <w:webHidden/>
        </w:rPr>
        <w:fldChar w:fldCharType="begin"/>
      </w:r>
      <w:r>
        <w:rPr>
          <w:noProof/>
          <w:webHidden/>
        </w:rPr>
        <w:instrText xml:space="preserve"> PAGEREF _Toc158040606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019"/>
        </w:tabs>
        <w:rPr>
          <w:noProof/>
        </w:rPr>
      </w:pPr>
      <w:r>
        <w:rPr/>
        <w:fldChar w:fldCharType="begin"/>
      </w:r>
      <w:r>
        <w:instrText xml:space="preserve"> HYPERLINK \l "_Toc158040607" </w:instrText>
      </w:r>
      <w:r>
        <w:rPr/>
        <w:fldChar w:fldCharType="separate"/>
      </w:r>
      <w:r>
        <w:rPr>
          <w:rStyle w:val="style85"/>
          <w:noProof/>
        </w:rPr>
        <w:t>Project Management of the Research</w:t>
      </w:r>
      <w:r>
        <w:rPr>
          <w:noProof/>
          <w:webHidden/>
        </w:rPr>
        <w:tab/>
      </w:r>
      <w:r>
        <w:rPr>
          <w:noProof/>
          <w:webHidden/>
        </w:rPr>
        <w:fldChar w:fldCharType="begin"/>
      </w:r>
      <w:r>
        <w:rPr>
          <w:noProof/>
          <w:webHidden/>
        </w:rPr>
        <w:instrText xml:space="preserve"> PAGEREF _Toc158040607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019"/>
        </w:tabs>
        <w:rPr>
          <w:noProof/>
        </w:rPr>
      </w:pPr>
      <w:r>
        <w:rPr/>
        <w:fldChar w:fldCharType="begin"/>
      </w:r>
      <w:r>
        <w:instrText xml:space="preserve"> HYPERLINK \l "_Toc158040608" </w:instrText>
      </w:r>
      <w:r>
        <w:rPr/>
        <w:fldChar w:fldCharType="separate"/>
      </w:r>
      <w:r>
        <w:rPr>
          <w:rStyle w:val="style85"/>
          <w:noProof/>
        </w:rPr>
        <w:t>Potential Risks</w:t>
      </w:r>
      <w:r>
        <w:rPr>
          <w:noProof/>
          <w:webHidden/>
        </w:rPr>
        <w:tab/>
      </w:r>
      <w:r>
        <w:rPr>
          <w:noProof/>
          <w:webHidden/>
        </w:rPr>
        <w:fldChar w:fldCharType="begin"/>
      </w:r>
      <w:r>
        <w:rPr>
          <w:noProof/>
          <w:webHidden/>
        </w:rPr>
        <w:instrText xml:space="preserve"> PAGEREF _Toc158040608 \h </w:instrText>
      </w:r>
      <w:r>
        <w:rPr>
          <w:noProof/>
          <w:webHidden/>
        </w:rPr>
        <w:fldChar w:fldCharType="separate"/>
      </w:r>
      <w:r>
        <w:rPr>
          <w:noProof/>
          <w:webHidden/>
        </w:rPr>
        <w:t>10</w:t>
      </w:r>
      <w:r>
        <w:rPr>
          <w:noProof/>
          <w:webHidden/>
        </w:rPr>
        <w:fldChar w:fldCharType="end"/>
      </w:r>
      <w:r>
        <w:rPr/>
        <w:fldChar w:fldCharType="end"/>
      </w:r>
    </w:p>
    <w:p>
      <w:pPr>
        <w:pStyle w:val="style19"/>
        <w:tabs>
          <w:tab w:val="right" w:leader="dot" w:pos="9019"/>
        </w:tabs>
        <w:rPr>
          <w:noProof/>
        </w:rPr>
      </w:pPr>
      <w:r>
        <w:rPr/>
        <w:fldChar w:fldCharType="begin"/>
      </w:r>
      <w:r>
        <w:instrText xml:space="preserve"> HYPERLINK \l "_Toc158040609" </w:instrText>
      </w:r>
      <w:r>
        <w:rPr/>
        <w:fldChar w:fldCharType="separate"/>
      </w:r>
      <w:r>
        <w:rPr>
          <w:rStyle w:val="style85"/>
          <w:noProof/>
        </w:rPr>
        <w:t>Expected findings</w:t>
      </w:r>
      <w:r>
        <w:rPr>
          <w:noProof/>
          <w:webHidden/>
        </w:rPr>
        <w:tab/>
      </w:r>
      <w:r>
        <w:rPr>
          <w:noProof/>
          <w:webHidden/>
        </w:rPr>
        <w:fldChar w:fldCharType="begin"/>
      </w:r>
      <w:r>
        <w:rPr>
          <w:noProof/>
          <w:webHidden/>
        </w:rPr>
        <w:instrText xml:space="preserve"> PAGEREF _Toc158040609 \h </w:instrText>
      </w:r>
      <w:r>
        <w:rPr>
          <w:noProof/>
          <w:webHidden/>
        </w:rPr>
        <w:fldChar w:fldCharType="separate"/>
      </w:r>
      <w:r>
        <w:rPr>
          <w:noProof/>
          <w:webHidden/>
        </w:rPr>
        <w:t>10</w:t>
      </w:r>
      <w:r>
        <w:rPr>
          <w:noProof/>
          <w:webHidden/>
        </w:rPr>
        <w:fldChar w:fldCharType="end"/>
      </w:r>
      <w:r>
        <w:rPr/>
        <w:fldChar w:fldCharType="end"/>
      </w:r>
    </w:p>
    <w:p>
      <w:pPr>
        <w:pStyle w:val="style19"/>
        <w:tabs>
          <w:tab w:val="right" w:leader="dot" w:pos="9019"/>
        </w:tabs>
        <w:rPr>
          <w:noProof/>
        </w:rPr>
      </w:pPr>
      <w:r>
        <w:rPr/>
        <w:fldChar w:fldCharType="begin"/>
      </w:r>
      <w:r>
        <w:instrText xml:space="preserve"> HYPERLINK \l "_Toc158040610"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_Toc158040610 \h </w:instrText>
      </w:r>
      <w:r>
        <w:rPr>
          <w:noProof/>
          <w:webHidden/>
        </w:rPr>
        <w:fldChar w:fldCharType="separate"/>
      </w:r>
      <w:r>
        <w:rPr>
          <w:noProof/>
          <w:webHidden/>
        </w:rPr>
        <w:t>10</w:t>
      </w:r>
      <w:r>
        <w:rPr>
          <w:noProof/>
          <w:webHidden/>
        </w:rPr>
        <w:fldChar w:fldCharType="end"/>
      </w:r>
      <w:r>
        <w:rPr/>
        <w:fldChar w:fldCharType="end"/>
      </w:r>
    </w:p>
    <w:p>
      <w:pPr>
        <w:pStyle w:val="style19"/>
        <w:tabs>
          <w:tab w:val="right" w:leader="dot" w:pos="9019"/>
        </w:tabs>
        <w:rPr>
          <w:noProof/>
        </w:rPr>
      </w:pPr>
      <w:r>
        <w:rPr/>
        <w:fldChar w:fldCharType="begin"/>
      </w:r>
      <w:r>
        <w:instrText xml:space="preserve"> HYPERLINK \l "_Toc158040611"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_Toc158040611 \h </w:instrText>
      </w:r>
      <w:r>
        <w:rPr>
          <w:noProof/>
          <w:webHidden/>
        </w:rPr>
        <w:fldChar w:fldCharType="separate"/>
      </w:r>
      <w:r>
        <w:rPr>
          <w:noProof/>
          <w:webHidden/>
        </w:rPr>
        <w:t>11</w:t>
      </w:r>
      <w:r>
        <w:rPr>
          <w:noProof/>
          <w:webHidden/>
        </w:rPr>
        <w:fldChar w:fldCharType="end"/>
      </w:r>
      <w:r>
        <w:rPr/>
        <w:fldChar w:fldCharType="end"/>
      </w:r>
    </w:p>
    <w:p>
      <w:pPr>
        <w:pStyle w:val="style0"/>
        <w:rPr/>
      </w:pPr>
      <w:r>
        <w:rPr>
          <w:b/>
          <w:bCs/>
          <w:noProof/>
        </w:rPr>
        <w:fldChar w:fldCharType="end"/>
      </w:r>
    </w:p>
    <w:p>
      <w:pPr>
        <w:pStyle w:val="style0"/>
        <w:rPr>
          <w:rFonts w:cs="Times New Roman" w:eastAsia="Times New Roman"/>
          <w:b/>
          <w:szCs w:val="24"/>
        </w:rPr>
      </w:pPr>
    </w:p>
    <w:bookmarkStart w:id="0" w:name="_Toc158040589"/>
    <w:p>
      <w:pPr>
        <w:pStyle w:val="style1"/>
        <w:rPr/>
      </w:pPr>
      <w:r>
        <w:t>Introduction</w:t>
      </w:r>
      <w:bookmarkEnd w:id="0"/>
    </w:p>
    <w:bookmarkStart w:id="1" w:name="_Toc158040590"/>
    <w:p>
      <w:pPr>
        <w:pStyle w:val="style2"/>
        <w:rPr/>
      </w:pPr>
      <w:r>
        <w:t>Background</w:t>
      </w:r>
      <w:bookmarkEnd w:id="1"/>
    </w:p>
    <w:p>
      <w:pPr>
        <w:pStyle w:val="style0"/>
        <w:widowControl w:val="false"/>
        <w:rPr>
          <w:rFonts w:cs="Times New Roman" w:eastAsia="Times New Roman"/>
          <w:b/>
          <w:szCs w:val="24"/>
        </w:rPr>
      </w:pPr>
      <w:r>
        <w:rPr>
          <w:rFonts w:cs="Times New Roman" w:eastAsia="Times New Roman"/>
          <w:szCs w:val="24"/>
        </w:rPr>
        <w:t xml:space="preserve">Climate change alters weather patterns, leading to shifts in temperature, precipitation, and the frequency of extreme weather events (Walsh </w:t>
      </w:r>
      <w:r>
        <w:rPr>
          <w:rFonts w:cs="Times New Roman" w:eastAsia="Times New Roman"/>
          <w:i/>
          <w:szCs w:val="24"/>
        </w:rPr>
        <w:t xml:space="preserve">et al., </w:t>
      </w:r>
      <w:r>
        <w:rPr>
          <w:rFonts w:cs="Times New Roman" w:eastAsia="Times New Roman"/>
          <w:szCs w:val="24"/>
        </w:rPr>
        <w:t xml:space="preserve">2020). These changes disrupt agricultural production systems worldwide, affecting crop yields, water availability, and soil </w:t>
      </w:r>
      <w:r>
        <w:rPr>
          <w:rFonts w:cs="Times New Roman" w:eastAsia="Times New Roman"/>
          <w:szCs w:val="24"/>
        </w:rPr>
        <w:t>degradation (</w:t>
      </w:r>
      <w:r>
        <w:rPr>
          <w:rFonts w:cs="Times New Roman" w:eastAsia="Times New Roman"/>
          <w:szCs w:val="24"/>
        </w:rPr>
        <w:t>Gomez-Zavaglia</w:t>
      </w:r>
      <w:r>
        <w:rPr>
          <w:rFonts w:cs="Times New Roman" w:eastAsia="Times New Roman"/>
          <w:i/>
          <w:szCs w:val="24"/>
        </w:rPr>
        <w:t xml:space="preserve"> et al., </w:t>
      </w:r>
      <w:r>
        <w:rPr>
          <w:rFonts w:cs="Times New Roman" w:eastAsia="Times New Roman"/>
          <w:szCs w:val="24"/>
        </w:rPr>
        <w:t>2020; Lemi and Hailu, 2019). International businesses operating in agriculture are facing unprecedented challenges in managing their supply chains due to these climate-related disruptions (Cameron, 2019). Climate change impacts individuals’ daily routines and industrial operations by heightening the occurrence of extreme weather events such as typhoons and heatwaves, leading to disruptions in supply chains that reverberate across countries and industries (Nakano, 2021).</w:t>
      </w:r>
    </w:p>
    <w:bookmarkStart w:id="2" w:name="_Toc158040591"/>
    <w:p>
      <w:pPr>
        <w:pStyle w:val="style2"/>
        <w:rPr/>
      </w:pPr>
      <w:r>
        <w:t>Problem statement</w:t>
      </w:r>
      <w:bookmarkEnd w:id="2"/>
    </w:p>
    <w:p>
      <w:pPr>
        <w:pStyle w:val="style0"/>
        <w:widowControl w:val="false"/>
        <w:rPr>
          <w:rFonts w:cs="Times New Roman" w:eastAsia="Times New Roman"/>
          <w:szCs w:val="24"/>
        </w:rPr>
      </w:pPr>
      <w:r>
        <w:rPr>
          <w:rFonts w:cs="Times New Roman" w:eastAsia="Times New Roman"/>
          <w:szCs w:val="24"/>
        </w:rPr>
        <w:t xml:space="preserve">The agriculture sector plays a vital role in the global economy, supplying food, fibre, and fuel to meet the needs of a growing population (Fróna </w:t>
      </w:r>
      <w:r>
        <w:rPr>
          <w:rFonts w:cs="Times New Roman" w:eastAsia="Times New Roman"/>
          <w:i/>
          <w:szCs w:val="24"/>
        </w:rPr>
        <w:t>et al.,</w:t>
      </w:r>
      <w:r>
        <w:rPr>
          <w:rFonts w:cs="Times New Roman" w:eastAsia="Times New Roman"/>
          <w:szCs w:val="24"/>
        </w:rPr>
        <w:t xml:space="preserve"> 2019; Hemathilake and Gunathilake, 2022). However, the sector is increasingly vulnerable to the impacts of climate change, which poses significant challenges to supply chain operations for international businesses involved in agriculture (Godde </w:t>
      </w:r>
      <w:r>
        <w:rPr>
          <w:rFonts w:cs="Times New Roman" w:eastAsia="Times New Roman"/>
          <w:i/>
          <w:szCs w:val="24"/>
        </w:rPr>
        <w:t>et al.,</w:t>
      </w:r>
      <w:r>
        <w:rPr>
          <w:rFonts w:cs="Times New Roman" w:eastAsia="Times New Roman"/>
          <w:szCs w:val="24"/>
        </w:rPr>
        <w:t xml:space="preserve"> 2021). Following COVID-19, agricultural supply chains are exposed to a myriad of risks, spanning from supply and financial to demand, management, policy, logistics, and environmental factors, with varying impacts contingent upon organisational scope (Sharma </w:t>
      </w:r>
      <w:r>
        <w:rPr>
          <w:rFonts w:cs="Times New Roman" w:eastAsia="Times New Roman"/>
          <w:i/>
          <w:szCs w:val="24"/>
        </w:rPr>
        <w:t>et al.,</w:t>
      </w:r>
      <w:r>
        <w:rPr>
          <w:rFonts w:cs="Times New Roman" w:eastAsia="Times New Roman"/>
          <w:szCs w:val="24"/>
        </w:rPr>
        <w:t xml:space="preserve"> 2020). The problem arises from the increasing frequency and intensity of climate-related disruptions, which are straining the resilience of supply chain operations in the agriculture sector. International businesses face challenges in sourcing, transportation, storage, and distribution of agricultural products due to unpredictable weather patterns, extreme events, and regulatory uncertainties (Ghadge </w:t>
      </w:r>
      <w:r>
        <w:rPr>
          <w:rFonts w:cs="Times New Roman" w:eastAsia="Times New Roman"/>
          <w:i/>
          <w:szCs w:val="24"/>
        </w:rPr>
        <w:t>et al.,</w:t>
      </w:r>
      <w:r>
        <w:rPr>
          <w:rFonts w:cs="Times New Roman" w:eastAsia="Times New Roman"/>
          <w:szCs w:val="24"/>
        </w:rPr>
        <w:t xml:space="preserve"> 2020). Failure to address these challenges could lead to food shortages, price volatility, and environmental degradation, exacerbating the impacts of climate change on vulnerable communities worldwide. Understanding these challenges and developing strategies to mitigate risks is essential for ensuring the resilience and sustainability of global food systems (Savary </w:t>
      </w:r>
      <w:r>
        <w:rPr>
          <w:rFonts w:cs="Times New Roman" w:eastAsia="Times New Roman"/>
          <w:i/>
          <w:szCs w:val="24"/>
        </w:rPr>
        <w:t xml:space="preserve">et al., </w:t>
      </w:r>
      <w:r>
        <w:rPr>
          <w:rFonts w:cs="Times New Roman" w:eastAsia="Times New Roman"/>
          <w:szCs w:val="24"/>
        </w:rPr>
        <w:t>2020).</w:t>
      </w:r>
    </w:p>
    <w:bookmarkStart w:id="3" w:name="_Toc158040592"/>
    <w:p>
      <w:pPr>
        <w:pStyle w:val="style2"/>
        <w:rPr/>
      </w:pPr>
      <w:r>
        <w:t>Significance of Study</w:t>
      </w:r>
      <w:bookmarkEnd w:id="3"/>
    </w:p>
    <w:p>
      <w:pPr>
        <w:pStyle w:val="style0"/>
        <w:widowControl w:val="false"/>
        <w:rPr>
          <w:rFonts w:cs="Times New Roman" w:eastAsia="Times New Roman"/>
          <w:szCs w:val="24"/>
        </w:rPr>
      </w:pPr>
      <w:r>
        <w:rPr>
          <w:rFonts w:cs="Times New Roman" w:eastAsia="Times New Roman"/>
          <w:szCs w:val="24"/>
        </w:rPr>
        <w:t xml:space="preserve">Studying the impact of climate change on the supply chain operations of international </w:t>
      </w:r>
      <w:r>
        <w:rPr>
          <w:rFonts w:cs="Times New Roman" w:eastAsia="Times New Roman"/>
          <w:szCs w:val="24"/>
        </w:rPr>
        <w:t>businesses in agriculture lies in its implications for food security, economic stability, and environmental sustainability (Davis</w:t>
      </w:r>
      <w:r>
        <w:rPr>
          <w:rFonts w:cs="Times New Roman" w:eastAsia="Times New Roman"/>
          <w:i/>
          <w:szCs w:val="24"/>
        </w:rPr>
        <w:t xml:space="preserve"> et al.,</w:t>
      </w:r>
      <w:r>
        <w:rPr>
          <w:rFonts w:cs="Times New Roman" w:eastAsia="Times New Roman"/>
          <w:szCs w:val="24"/>
        </w:rPr>
        <w:t xml:space="preserve"> 2021; Godde </w:t>
      </w:r>
      <w:r>
        <w:rPr>
          <w:rFonts w:cs="Times New Roman" w:eastAsia="Times New Roman"/>
          <w:i/>
          <w:szCs w:val="24"/>
        </w:rPr>
        <w:t>et al.,</w:t>
      </w:r>
      <w:r>
        <w:rPr>
          <w:rFonts w:cs="Times New Roman" w:eastAsia="Times New Roman"/>
          <w:szCs w:val="24"/>
        </w:rPr>
        <w:t xml:space="preserve"> 2021). By understanding how climate change affects supply chains, policymakers, businesses, and stakeholders can develop strategies to adapt to changing conditions, minimise disruptions, and ensure the availability of food and agricultural products for future generations.</w:t>
      </w:r>
    </w:p>
    <w:bookmarkStart w:id="4" w:name="_Toc158040593"/>
    <w:p>
      <w:pPr>
        <w:pStyle w:val="style2"/>
        <w:rPr/>
      </w:pPr>
      <w:r>
        <w:t>Research Aim and Objectives</w:t>
      </w:r>
      <w:bookmarkEnd w:id="4"/>
    </w:p>
    <w:p>
      <w:pPr>
        <w:pStyle w:val="style0"/>
        <w:widowControl w:val="false"/>
        <w:rPr>
          <w:rFonts w:cs="Times New Roman" w:eastAsia="Times New Roman"/>
          <w:szCs w:val="24"/>
        </w:rPr>
      </w:pPr>
      <w:r>
        <w:rPr>
          <w:rFonts w:cs="Times New Roman" w:eastAsia="Times New Roman"/>
          <w:szCs w:val="24"/>
        </w:rPr>
        <w:t>The central aim of this research is to analyse the impact of climate change on the supply chain operations of international businesses in agriculture in the context of the United Kingdom and to identify strategies for enhancing resilience and sustainability. These objectives in this study will be explored.</w:t>
      </w:r>
    </w:p>
    <w:p>
      <w:pPr>
        <w:pStyle w:val="style0"/>
        <w:widowControl w:val="false"/>
        <w:numPr>
          <w:ilvl w:val="0"/>
          <w:numId w:val="1"/>
        </w:numPr>
        <w:rPr>
          <w:rFonts w:cs="Times New Roman" w:eastAsia="Times New Roman"/>
          <w:szCs w:val="24"/>
        </w:rPr>
      </w:pPr>
      <w:r>
        <w:rPr>
          <w:rFonts w:cs="Times New Roman" w:eastAsia="Times New Roman"/>
          <w:szCs w:val="24"/>
        </w:rPr>
        <w:t>To assess the vulnerability of supply chain operations in the agriculture sector to climate change impacts.</w:t>
      </w:r>
    </w:p>
    <w:p>
      <w:pPr>
        <w:pStyle w:val="style0"/>
        <w:widowControl w:val="false"/>
        <w:numPr>
          <w:ilvl w:val="0"/>
          <w:numId w:val="1"/>
        </w:numPr>
        <w:rPr>
          <w:rFonts w:cs="Times New Roman" w:eastAsia="Times New Roman"/>
          <w:szCs w:val="24"/>
        </w:rPr>
      </w:pPr>
      <w:r>
        <w:rPr>
          <w:rFonts w:cs="Times New Roman" w:eastAsia="Times New Roman"/>
          <w:szCs w:val="24"/>
        </w:rPr>
        <w:t>To analyse the specific challenges and disruptions faced by international businesses operating in agriculture due to climate change in the context of the UK.</w:t>
      </w:r>
    </w:p>
    <w:p>
      <w:pPr>
        <w:pStyle w:val="style0"/>
        <w:widowControl w:val="false"/>
        <w:numPr>
          <w:ilvl w:val="0"/>
          <w:numId w:val="1"/>
        </w:numPr>
        <w:rPr>
          <w:rFonts w:cs="Times New Roman" w:eastAsia="Times New Roman"/>
          <w:szCs w:val="24"/>
        </w:rPr>
      </w:pPr>
      <w:r>
        <w:rPr>
          <w:rFonts w:cs="Times New Roman" w:eastAsia="Times New Roman"/>
          <w:szCs w:val="24"/>
        </w:rPr>
        <w:t>To evaluate existing adaptation strategies and resilience measures adopted by international businesses to mitigate climate-related risks in their supply chains.</w:t>
      </w:r>
    </w:p>
    <w:p>
      <w:pPr>
        <w:pStyle w:val="style0"/>
        <w:widowControl w:val="false"/>
        <w:numPr>
          <w:ilvl w:val="0"/>
          <w:numId w:val="1"/>
        </w:numPr>
        <w:rPr>
          <w:rFonts w:cs="Times New Roman" w:eastAsia="Times New Roman"/>
          <w:szCs w:val="24"/>
        </w:rPr>
      </w:pPr>
      <w:r>
        <w:rPr>
          <w:rFonts w:cs="Times New Roman" w:eastAsia="Times New Roman"/>
          <w:szCs w:val="24"/>
        </w:rPr>
        <w:t>To identify opportunities for innovation and collaboration among stakeholders to build climate-resilient supply chains in the agriculture sector.</w:t>
      </w:r>
    </w:p>
    <w:bookmarkStart w:id="5" w:name="_Toc158040594"/>
    <w:p>
      <w:pPr>
        <w:pStyle w:val="style2"/>
        <w:rPr/>
      </w:pPr>
      <w:r>
        <w:t>Research Questions</w:t>
      </w:r>
      <w:bookmarkEnd w:id="5"/>
    </w:p>
    <w:p>
      <w:pPr>
        <w:pStyle w:val="style0"/>
        <w:widowControl w:val="false"/>
        <w:rPr>
          <w:rFonts w:cs="Times New Roman" w:eastAsia="Times New Roman"/>
          <w:szCs w:val="24"/>
        </w:rPr>
      </w:pPr>
      <w:r>
        <w:rPr>
          <w:rFonts w:cs="Times New Roman" w:eastAsia="Times New Roman"/>
          <w:szCs w:val="24"/>
        </w:rPr>
        <w:t>Q1: What are the key climate change impacts affecting the supply chain operations of international businesses in agriculture?</w:t>
      </w:r>
    </w:p>
    <w:p>
      <w:pPr>
        <w:pStyle w:val="style0"/>
        <w:widowControl w:val="false"/>
        <w:rPr>
          <w:rFonts w:cs="Times New Roman" w:eastAsia="Times New Roman"/>
          <w:szCs w:val="24"/>
        </w:rPr>
      </w:pPr>
      <w:r>
        <w:rPr>
          <w:rFonts w:cs="Times New Roman" w:eastAsia="Times New Roman"/>
          <w:szCs w:val="24"/>
        </w:rPr>
        <w:t>Q2: How do climate-related disruptions affect sourcing, transportation, storage, and distribution processes in the agricultural supply chain?</w:t>
      </w:r>
    </w:p>
    <w:p>
      <w:pPr>
        <w:pStyle w:val="style0"/>
        <w:widowControl w:val="false"/>
        <w:rPr>
          <w:rFonts w:cs="Times New Roman" w:eastAsia="Times New Roman"/>
          <w:szCs w:val="24"/>
        </w:rPr>
      </w:pPr>
      <w:r>
        <w:rPr>
          <w:rFonts w:cs="Times New Roman" w:eastAsia="Times New Roman"/>
          <w:szCs w:val="24"/>
        </w:rPr>
        <w:t>Q3: What adaptation strategies and resilience measures are being implemented by international businesses to mitigate climate-related risks in their supply chains?</w:t>
      </w:r>
    </w:p>
    <w:p>
      <w:pPr>
        <w:pStyle w:val="style0"/>
        <w:widowControl w:val="false"/>
        <w:rPr>
          <w:rFonts w:cs="Times New Roman" w:eastAsia="Times New Roman"/>
          <w:b/>
          <w:szCs w:val="24"/>
        </w:rPr>
      </w:pPr>
      <w:r>
        <w:rPr>
          <w:rFonts w:cs="Times New Roman" w:eastAsia="Times New Roman"/>
          <w:szCs w:val="24"/>
        </w:rPr>
        <w:t>Q4: What opportunities exist for collaboration among stakeholders to build climate-resilient supply chains in the agriculture sector?</w:t>
      </w:r>
    </w:p>
    <w:bookmarkStart w:id="6" w:name="_3qj3fp5wi7pm" w:colFirst="0" w:colLast="0"/>
    <w:bookmarkStart w:id="7" w:name="_Toc158040595"/>
    <w:bookmarkEnd w:id="6"/>
    <w:p>
      <w:pPr>
        <w:pStyle w:val="style1"/>
        <w:rPr>
          <w:b w:val="false"/>
        </w:rPr>
      </w:pPr>
      <w:r>
        <w:t>Literature</w:t>
      </w:r>
      <w:r>
        <w:t xml:space="preserve"> Review</w:t>
      </w:r>
      <w:bookmarkEnd w:id="7"/>
    </w:p>
    <w:p>
      <w:pPr>
        <w:pStyle w:val="style0"/>
        <w:widowControl w:val="false"/>
        <w:rPr>
          <w:rFonts w:cs="Times New Roman" w:eastAsia="Times New Roman"/>
          <w:szCs w:val="24"/>
        </w:rPr>
      </w:pPr>
      <w:r>
        <w:rPr>
          <w:rFonts w:cs="Times New Roman" w:eastAsia="Times New Roman"/>
          <w:szCs w:val="24"/>
        </w:rPr>
        <w:t xml:space="preserve">Ghadge </w:t>
      </w:r>
      <w:r>
        <w:rPr>
          <w:rFonts w:cs="Times New Roman" w:eastAsia="Times New Roman"/>
          <w:i/>
          <w:szCs w:val="24"/>
        </w:rPr>
        <w:t>et al.,</w:t>
      </w:r>
      <w:r>
        <w:rPr>
          <w:rFonts w:cs="Times New Roman" w:eastAsia="Times New Roman"/>
          <w:szCs w:val="24"/>
        </w:rPr>
        <w:t xml:space="preserve"> (2020) discussed that the imperative to prevent future catastrophe is compelling governments and businesses to devise mitigation strategies in response to climate change, </w:t>
      </w:r>
      <w:r>
        <w:rPr>
          <w:rFonts w:cs="Times New Roman" w:eastAsia="Times New Roman"/>
          <w:szCs w:val="24"/>
        </w:rPr>
        <w:t xml:space="preserve">necessitating urgent action to address climate risks within global supply chains. This urgent need for management extends to sectors such as food, mining, and logistics, with repercussions reverberating across interconnected global supply chain networks. Climate change and supply chains are found to exert reciprocal influence on each other, manifested through natural disasters and greenhouse gas emissions, respectively. Godde </w:t>
      </w:r>
      <w:r>
        <w:rPr>
          <w:rFonts w:cs="Times New Roman" w:eastAsia="Times New Roman"/>
          <w:i/>
          <w:szCs w:val="24"/>
        </w:rPr>
        <w:t>et al.,</w:t>
      </w:r>
      <w:r>
        <w:rPr>
          <w:rFonts w:cs="Times New Roman" w:eastAsia="Times New Roman"/>
          <w:szCs w:val="24"/>
        </w:rPr>
        <w:t xml:space="preserve"> (2021) opined how climate change is poised to affect the livestock sector across the entire food supply chain, spanning from farm production to consumption by humans. Risks emerge from the interplay between climate-related hazards and the exposure and vulnerability of both human and natural systems. The potential consequences of climate change on existing livestock systems globally are of significant concern. Rahman </w:t>
      </w:r>
      <w:r>
        <w:rPr>
          <w:rFonts w:cs="Times New Roman" w:eastAsia="Times New Roman"/>
          <w:i/>
          <w:szCs w:val="24"/>
        </w:rPr>
        <w:t>et al.,</w:t>
      </w:r>
      <w:r>
        <w:rPr>
          <w:rFonts w:cs="Times New Roman" w:eastAsia="Times New Roman"/>
          <w:szCs w:val="24"/>
        </w:rPr>
        <w:t xml:space="preserve"> (2022) addressed the effects of disruptive events like snowstorms and droughts vary among different stakeholders within the supply chain and across various product categories. During disruption events, the increase in the price of fresh products is significantly greater compared to processed options. This price surge prompts consumers to shift towards processed produce, which requires a larger quantity of fresh food consequently exacerbating the price increase. While non-contracted farmers benefit from additional revenues stemming from disruption events, contracted farmers experience losses due to fixed prices and lower-than-usual harvest yields. </w:t>
      </w:r>
    </w:p>
    <w:p>
      <w:pPr>
        <w:pStyle w:val="style0"/>
        <w:widowControl w:val="false"/>
        <w:rPr>
          <w:rFonts w:cs="Times New Roman" w:eastAsia="Times New Roman"/>
          <w:szCs w:val="24"/>
        </w:rPr>
      </w:pPr>
    </w:p>
    <w:p>
      <w:pPr>
        <w:pStyle w:val="style0"/>
        <w:widowControl w:val="false"/>
        <w:rPr>
          <w:rFonts w:cs="Times New Roman" w:eastAsia="Times New Roman"/>
          <w:szCs w:val="24"/>
        </w:rPr>
      </w:pPr>
      <w:r>
        <w:rPr>
          <w:rFonts w:cs="Times New Roman" w:eastAsia="Times New Roman"/>
          <w:szCs w:val="24"/>
        </w:rPr>
        <w:t xml:space="preserve">Pankratz and Schiller (2021) indicate that physical climate risks have an impact on the financial performance of firms and their management of operational risks within global supply chains. When customers perceive changes in the climate-risk exposure of suppliers, they are inclined to end current supplier relationships. This tendency is more pronounced in industries with high levels of competitiveness but decreases with greater integration within the supply chain. Customers tend to opt for alternative suppliers with lower anticipated climate risk exposure. Osumba </w:t>
      </w:r>
      <w:r>
        <w:rPr>
          <w:rFonts w:cs="Times New Roman" w:eastAsia="Times New Roman"/>
          <w:i/>
          <w:szCs w:val="24"/>
        </w:rPr>
        <w:t>et al.,</w:t>
      </w:r>
      <w:r>
        <w:rPr>
          <w:rFonts w:cs="Times New Roman" w:eastAsia="Times New Roman"/>
          <w:szCs w:val="24"/>
        </w:rPr>
        <w:t xml:space="preserve"> (2021) argued that traditional methods of agricultural extension, which rely on top-down technology transfer and information dissemination models, are insufficient for assisting smallholder farmers in addressing the growing complexity of agroclimatic challenges. While innovative service delivery options are available, they are often implemented independently, with minimal attempts at integration to reduce costs and enhance technical effectiveness. According to Dey </w:t>
      </w:r>
      <w:r>
        <w:rPr>
          <w:rFonts w:cs="Times New Roman" w:eastAsia="Times New Roman"/>
          <w:i/>
          <w:szCs w:val="24"/>
        </w:rPr>
        <w:t xml:space="preserve">et al., </w:t>
      </w:r>
      <w:r>
        <w:rPr>
          <w:rFonts w:cs="Times New Roman" w:eastAsia="Times New Roman"/>
          <w:szCs w:val="24"/>
        </w:rPr>
        <w:t xml:space="preserve">(2019), there is a necessity to establish pathways for building climate resilience. They suggest that tapping into the innovative capabilities of individuals and communities in high-risk environments offers an entrepreneurial approach. </w:t>
      </w:r>
    </w:p>
    <w:bookmarkStart w:id="8" w:name="_Toc158040596"/>
    <w:p>
      <w:pPr>
        <w:pStyle w:val="style2"/>
        <w:rPr/>
      </w:pPr>
      <w:r>
        <w:t>Theoretical discussions</w:t>
      </w:r>
      <w:bookmarkEnd w:id="8"/>
    </w:p>
    <w:p>
      <w:pPr>
        <w:pStyle w:val="style0"/>
        <w:widowControl w:val="false"/>
        <w:rPr>
          <w:rFonts w:cs="Times New Roman" w:eastAsia="Times New Roman"/>
          <w:szCs w:val="24"/>
        </w:rPr>
      </w:pPr>
      <w:r>
        <w:rPr>
          <w:rFonts w:cs="Times New Roman" w:eastAsia="Times New Roman"/>
          <w:szCs w:val="24"/>
        </w:rPr>
        <w:t>Triple Bottom Line (TBL) Theory emphasises the importance of considering economic, social, and environmental outcomes in organisational decision-making as discussed by Brin and Nehme (2019). In the context of agriculture, international businesses must balance economic profitability with social responsibility and environmental sustainability. Climate change affects all three dimensions of the triple bottom line, impacting supply chain operations through factors such as production costs, stakeholder relationships, and carbon emissions.</w:t>
      </w:r>
    </w:p>
    <w:p>
      <w:pPr>
        <w:pStyle w:val="style0"/>
        <w:widowControl w:val="false"/>
        <w:rPr>
          <w:rFonts w:cs="Times New Roman" w:eastAsia="Times New Roman"/>
          <w:szCs w:val="24"/>
        </w:rPr>
      </w:pPr>
    </w:p>
    <w:p>
      <w:pPr>
        <w:pStyle w:val="style0"/>
        <w:widowControl w:val="false"/>
        <w:jc w:val="center"/>
        <w:rPr>
          <w:rFonts w:cs="Times New Roman" w:eastAsia="Times New Roman"/>
          <w:szCs w:val="24"/>
        </w:rPr>
      </w:pPr>
      <w:r>
        <w:rPr>
          <w:rFonts w:cs="Times New Roman" w:eastAsia="Times New Roman"/>
          <w:noProof/>
          <w:szCs w:val="24"/>
        </w:rPr>
        <w:drawing>
          <wp:inline distL="0" distT="0" distB="0" distR="0">
            <wp:extent cx="2411250" cy="2259189"/>
            <wp:effectExtent l="0" t="0" r="0" b="0"/>
            <wp:docPr id="1026"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2" cstate="print"/>
                    <a:srcRect l="0" t="0" r="0" b="0"/>
                    <a:stretch/>
                  </pic:blipFill>
                  <pic:spPr>
                    <a:xfrm rot="0">
                      <a:off x="0" y="0"/>
                      <a:ext cx="2411250" cy="2259189"/>
                    </a:xfrm>
                    <a:prstGeom prst="rect"/>
                    <a:ln cmpd="sng" cap="flat" w="9525">
                      <a:solidFill>
                        <a:srgbClr val="000000"/>
                      </a:solidFill>
                      <a:prstDash val="solid"/>
                      <a:round/>
                      <a:headEnd/>
                      <a:tailEnd/>
                    </a:ln>
                  </pic:spPr>
                </pic:pic>
              </a:graphicData>
            </a:graphic>
          </wp:inline>
        </w:drawing>
      </w:r>
    </w:p>
    <w:p>
      <w:pPr>
        <w:pStyle w:val="style0"/>
        <w:widowControl w:val="false"/>
        <w:jc w:val="center"/>
        <w:rPr>
          <w:rFonts w:cs="Times New Roman" w:eastAsia="Times New Roman"/>
          <w:b/>
          <w:szCs w:val="24"/>
        </w:rPr>
      </w:pPr>
      <w:r>
        <w:rPr>
          <w:rFonts w:cs="Times New Roman" w:eastAsia="Times New Roman"/>
          <w:b/>
          <w:szCs w:val="24"/>
        </w:rPr>
        <w:t>Figure 1: 3Ps</w:t>
      </w:r>
    </w:p>
    <w:p>
      <w:pPr>
        <w:pStyle w:val="style0"/>
        <w:widowControl w:val="false"/>
        <w:jc w:val="center"/>
        <w:rPr>
          <w:rFonts w:cs="Times New Roman" w:eastAsia="Times New Roman"/>
          <w:szCs w:val="24"/>
        </w:rPr>
      </w:pPr>
      <w:r>
        <w:rPr>
          <w:rFonts w:cs="Times New Roman" w:eastAsia="Times New Roman"/>
          <w:szCs w:val="24"/>
        </w:rPr>
        <w:t>(Source: Franco and Abe, 2017)</w:t>
      </w:r>
    </w:p>
    <w:p>
      <w:pPr>
        <w:pStyle w:val="style0"/>
        <w:widowControl w:val="false"/>
        <w:rPr>
          <w:rFonts w:cs="Times New Roman" w:eastAsia="Times New Roman"/>
          <w:szCs w:val="24"/>
        </w:rPr>
      </w:pPr>
    </w:p>
    <w:p>
      <w:pPr>
        <w:pStyle w:val="style0"/>
        <w:widowControl w:val="false"/>
        <w:rPr>
          <w:rFonts w:cs="Times New Roman" w:eastAsia="Times New Roman"/>
          <w:szCs w:val="24"/>
        </w:rPr>
      </w:pPr>
      <w:r>
        <w:rPr>
          <w:rFonts w:cs="Times New Roman" w:eastAsia="Times New Roman"/>
          <w:szCs w:val="24"/>
        </w:rPr>
        <w:t xml:space="preserve">Supply Chain Risk Management (SCRM) Theory focuses on identifying, assessing, and mitigating risks in supply chain operations. According to Pournader </w:t>
      </w:r>
      <w:r>
        <w:rPr>
          <w:rFonts w:cs="Times New Roman" w:eastAsia="Times New Roman"/>
          <w:i/>
          <w:szCs w:val="24"/>
        </w:rPr>
        <w:t>et al.,</w:t>
      </w:r>
      <w:r>
        <w:rPr>
          <w:rFonts w:cs="Times New Roman" w:eastAsia="Times New Roman"/>
          <w:szCs w:val="24"/>
        </w:rPr>
        <w:t xml:space="preserve"> (2020), the changing global risk landscape is causing uncertainty in supply chains, which are navigating a challenging international trade environment with potential adverse effects on their operations. The occurrence of supply chain risks and disruptions poses significant challenges to businesses, highlighting the daunting task of effectively managing risks within such circumstances. Climate change introduces new risks to agricultural supply chains, such as disruptions to transportation networks, changes in crop yields, and regulatory uncertainty. International businesses can use SCRM strategies, such as risk mapping, scenario planning, and supply chain diversification, to proactively manage climate-related risks and ensure business continuity. </w:t>
      </w:r>
    </w:p>
    <w:bookmarkStart w:id="9" w:name="_Toc158040597"/>
    <w:p>
      <w:pPr>
        <w:pStyle w:val="style2"/>
        <w:rPr/>
      </w:pPr>
      <w:r>
        <w:t>Gaps</w:t>
      </w:r>
      <w:bookmarkEnd w:id="9"/>
    </w:p>
    <w:p>
      <w:pPr>
        <w:pStyle w:val="style0"/>
        <w:widowControl w:val="false"/>
        <w:rPr>
          <w:rFonts w:cs="Times New Roman" w:eastAsia="Times New Roman"/>
          <w:szCs w:val="24"/>
        </w:rPr>
      </w:pPr>
      <w:r>
        <w:rPr>
          <w:rFonts w:cs="Times New Roman" w:eastAsia="Times New Roman"/>
          <w:szCs w:val="24"/>
        </w:rPr>
        <w:t xml:space="preserve">Climate change impacts vary significantly across regions, yet research often focuses on broad </w:t>
      </w:r>
      <w:r>
        <w:rPr>
          <w:rFonts w:cs="Times New Roman" w:eastAsia="Times New Roman"/>
          <w:szCs w:val="24"/>
        </w:rPr>
        <w:t xml:space="preserve">global trends. There is a need for more localised studies to understand how specific regions are affected and how supply chains can adapt accordingly. While some studies may identify short-term adaptation measures, there is a gap in understanding long-term strategies for building climate resilience in agricultural supply chains. Nakano (2021) argued that the identification of vulnerable processes within supply chains due to climate-related calamities has resulted in the development of risk factors associated with climate-related disasters. Distinguishing between natural disasters and those induced by climate change poses a challenge. The ability of communities to adapt relies on institutional guarantees and a willingness to take risks, turning ecological variability into investment opportunities. It can be argued that innovations in engagement methods between formal and informal systems are just as crucial as technological advancements and other innovations (Dey </w:t>
      </w:r>
      <w:r>
        <w:rPr>
          <w:rFonts w:cs="Times New Roman" w:eastAsia="Times New Roman"/>
          <w:i/>
          <w:szCs w:val="24"/>
        </w:rPr>
        <w:t xml:space="preserve">et al., </w:t>
      </w:r>
      <w:r>
        <w:rPr>
          <w:rFonts w:cs="Times New Roman" w:eastAsia="Times New Roman"/>
          <w:szCs w:val="24"/>
        </w:rPr>
        <w:t>2019). Research could explore proactive measures that anticipate future climate scenarios and evolving market conditions. Limited research examines how climate change affects the integration of different components within agricultural supply chains. Many studies focus on large-scale agricultural enterprises, neglecting the perspectives and experiences of smallholder farmers who are often the most vulnerable to climate change impacts. Research should include the voices of small-scale producers and explore strategies to support their resilience within supply chains.</w:t>
      </w:r>
    </w:p>
    <w:bookmarkStart w:id="10" w:name="_Toc158040598"/>
    <w:p>
      <w:pPr>
        <w:pStyle w:val="style1"/>
        <w:rPr/>
      </w:pPr>
      <w:r>
        <w:t>Methodology</w:t>
      </w:r>
      <w:bookmarkEnd w:id="10"/>
    </w:p>
    <w:bookmarkStart w:id="11" w:name="_Toc158040599"/>
    <w:p>
      <w:pPr>
        <w:pStyle w:val="style2"/>
        <w:rPr/>
      </w:pPr>
      <w:r>
        <w:t>Research Philosophy</w:t>
      </w:r>
      <w:bookmarkEnd w:id="11"/>
    </w:p>
    <w:p>
      <w:pPr>
        <w:pStyle w:val="style0"/>
        <w:widowControl w:val="false"/>
        <w:rPr>
          <w:rFonts w:cs="Times New Roman" w:eastAsia="Times New Roman"/>
          <w:b/>
          <w:szCs w:val="24"/>
        </w:rPr>
      </w:pPr>
      <w:r>
        <w:rPr>
          <w:rFonts w:cs="Times New Roman" w:eastAsia="Times New Roman"/>
          <w:szCs w:val="24"/>
        </w:rPr>
        <w:t>Interpretivism emphasises understanding phenomena from the perspective of the individuals involved, recognising the subjective nature of human experiences and the importance of context (Pervin and Mokhtar, 2022). In the context of studying the impact of climate change on supply chain operations in agriculture, an interpretive approach allows for exploring the diverse perspectives of stakeholders, such as farmers, supply chain managers, policymakers, and consumers, regarding their experiences, beliefs, and decision-making processes related to climate change adaptation in supply chains.</w:t>
      </w:r>
    </w:p>
    <w:bookmarkStart w:id="12" w:name="_Toc158040600"/>
    <w:p>
      <w:pPr>
        <w:pStyle w:val="style2"/>
        <w:rPr/>
      </w:pPr>
      <w:r>
        <w:t>Research Approach</w:t>
      </w:r>
      <w:bookmarkEnd w:id="12"/>
    </w:p>
    <w:p>
      <w:pPr>
        <w:pStyle w:val="style0"/>
        <w:widowControl w:val="false"/>
        <w:rPr>
          <w:rFonts w:cs="Times New Roman" w:eastAsia="Times New Roman"/>
          <w:b/>
          <w:szCs w:val="24"/>
        </w:rPr>
      </w:pPr>
      <w:r>
        <w:rPr>
          <w:rFonts w:cs="Times New Roman" w:eastAsia="Times New Roman"/>
          <w:szCs w:val="24"/>
        </w:rPr>
        <w:t xml:space="preserve">A deductive approach involves testing hypotheses derived from existing theories or conceptual frameworks (Saunders and Bristow, 2023). In this case, the researcher starts with existing knowledge and theories related to climate change impacts on supply chain operations and </w:t>
      </w:r>
      <w:r>
        <w:rPr>
          <w:rFonts w:cs="Times New Roman" w:eastAsia="Times New Roman"/>
          <w:szCs w:val="24"/>
        </w:rPr>
        <w:t>deduces specific hypotheses to be tested through investigation. This approach is suitable for exploring causal relationships and generalising findings across different case studies.</w:t>
      </w:r>
    </w:p>
    <w:bookmarkStart w:id="13" w:name="_Toc158040601"/>
    <w:p>
      <w:pPr>
        <w:pStyle w:val="style2"/>
        <w:rPr/>
      </w:pPr>
      <w:r>
        <w:t>Research Method</w:t>
      </w:r>
      <w:bookmarkEnd w:id="13"/>
    </w:p>
    <w:p>
      <w:pPr>
        <w:pStyle w:val="style0"/>
        <w:widowControl w:val="false"/>
        <w:rPr>
          <w:rFonts w:cs="Times New Roman" w:eastAsia="Times New Roman"/>
          <w:b/>
          <w:szCs w:val="24"/>
        </w:rPr>
      </w:pPr>
      <w:r>
        <w:rPr>
          <w:rFonts w:cs="Times New Roman" w:eastAsia="Times New Roman"/>
          <w:szCs w:val="24"/>
        </w:rPr>
        <w:t xml:space="preserve">Qualitative research methods are well-suited for exploring complex phenomena in-depth, capturing rich contextual data, and understanding the perspectives and experiences of individuals (Tracy, 2019). The case study strategy involves an in-depth analysis of one or more real-life cases to gain insights into specific phenomena within their natural settings (Hancock </w:t>
      </w:r>
      <w:r>
        <w:rPr>
          <w:rFonts w:cs="Times New Roman" w:eastAsia="Times New Roman"/>
          <w:i/>
          <w:szCs w:val="24"/>
        </w:rPr>
        <w:t>et al.,</w:t>
      </w:r>
      <w:r>
        <w:rPr>
          <w:rFonts w:cs="Times New Roman" w:eastAsia="Times New Roman"/>
          <w:szCs w:val="24"/>
        </w:rPr>
        <w:t xml:space="preserve"> 2021). This method allows for a detailed examination of the complexities and dynamics of supply chain operations in agriculture affected by climate change.</w:t>
      </w:r>
    </w:p>
    <w:bookmarkStart w:id="14" w:name="_Toc158040602"/>
    <w:p>
      <w:pPr>
        <w:pStyle w:val="style2"/>
        <w:rPr/>
      </w:pPr>
      <w:r>
        <w:t>Data Collection</w:t>
      </w:r>
      <w:bookmarkEnd w:id="14"/>
    </w:p>
    <w:p>
      <w:pPr>
        <w:pStyle w:val="style0"/>
        <w:widowControl w:val="false"/>
        <w:rPr>
          <w:rFonts w:cs="Times New Roman" w:eastAsia="Times New Roman"/>
          <w:b/>
          <w:szCs w:val="24"/>
        </w:rPr>
      </w:pPr>
      <w:r>
        <w:rPr>
          <w:rFonts w:cs="Times New Roman" w:eastAsia="Times New Roman"/>
          <w:szCs w:val="24"/>
        </w:rPr>
        <w:t>Secondary data collection involves gathering and analysing existing data sources, such as academic literature, reports, industry publications, and government statistics. Google Scholar is one of the popular online databases that will be used to collect secondary data (Gusenbauer, 2019). Given the broad scope and long-term nature of climate change impacts, secondary data sources provide a rich and comprehensive basis for understanding the historical context, trends, and patterns related to climate change and its effects on agricultural supply chains. This approach also enables researchers to access a wide range of information efficiently and cost-effectively.</w:t>
      </w:r>
    </w:p>
    <w:bookmarkStart w:id="15" w:name="_Toc158040603"/>
    <w:p>
      <w:pPr>
        <w:pStyle w:val="style2"/>
        <w:rPr/>
      </w:pPr>
      <w:r>
        <w:t>Sampling</w:t>
      </w:r>
      <w:bookmarkEnd w:id="15"/>
    </w:p>
    <w:p>
      <w:pPr>
        <w:pStyle w:val="style0"/>
        <w:widowControl w:val="false"/>
        <w:rPr>
          <w:rFonts w:cs="Times New Roman" w:eastAsia="Times New Roman"/>
          <w:b/>
          <w:szCs w:val="24"/>
        </w:rPr>
      </w:pPr>
      <w:r>
        <w:rPr>
          <w:rFonts w:cs="Times New Roman" w:eastAsia="Times New Roman"/>
          <w:szCs w:val="24"/>
        </w:rPr>
        <w:t>Judgemental sampling involves selecting cases or participants based on the judgment and expertise of the researcher, aiming to include individuals or cases that are most relevant and informative for the research objectives (Reddy and Ramasamy, 2016). In the context of studying climate change impacts on supply chain operations in agriculture, judgemental sampling allows researchers to select cases representing diverse geographical regions, agricultural sectors, supply chain actors, and adaptation strategies, ensuring the richness and diversity of the data collected.</w:t>
      </w:r>
    </w:p>
    <w:bookmarkStart w:id="16" w:name="_Toc158040604"/>
    <w:p>
      <w:pPr>
        <w:pStyle w:val="style2"/>
        <w:rPr/>
      </w:pPr>
      <w:r>
        <w:t>Research Rationale</w:t>
      </w:r>
      <w:bookmarkEnd w:id="16"/>
    </w:p>
    <w:p>
      <w:pPr>
        <w:pStyle w:val="style0"/>
        <w:widowControl w:val="false"/>
        <w:rPr>
          <w:rFonts w:cs="Times New Roman" w:eastAsia="Times New Roman"/>
          <w:b/>
          <w:szCs w:val="24"/>
        </w:rPr>
      </w:pPr>
      <w:r>
        <w:rPr>
          <w:rFonts w:cs="Times New Roman" w:eastAsia="Times New Roman"/>
          <w:szCs w:val="24"/>
        </w:rPr>
        <w:t xml:space="preserve">The rationale for adopting this research design lies in its alignment with the research aim and objectives, as well as the nature of the research phenomenon. By combining interpretivism with </w:t>
      </w:r>
      <w:r>
        <w:rPr>
          <w:rFonts w:cs="Times New Roman" w:eastAsia="Times New Roman"/>
          <w:szCs w:val="24"/>
        </w:rPr>
        <w:t xml:space="preserve">a deductive approach, the research seeks to explore the subjective experiences and perspectives of stakeholders while testing specific hypotheses derived from existing theories and conceptual frameworks (Saunders </w:t>
      </w:r>
      <w:r>
        <w:rPr>
          <w:rFonts w:cs="Times New Roman" w:eastAsia="Times New Roman"/>
          <w:i/>
          <w:szCs w:val="24"/>
        </w:rPr>
        <w:t>et al.,</w:t>
      </w:r>
      <w:r>
        <w:rPr>
          <w:rFonts w:cs="Times New Roman" w:eastAsia="Times New Roman"/>
          <w:szCs w:val="24"/>
        </w:rPr>
        <w:t xml:space="preserve"> 2019). Employing qualitative case studies enables a detailed and contextually rich analysis of real-life supply chain operations in agriculture, while secondary data collection ensures comprehensive coverage of historical and contextual information. Judgemental sampling enhances the relevance and diversity of the cases selected, facilitating a holistic understanding of climate change impacts on supply chain operations across different contexts.</w:t>
      </w:r>
    </w:p>
    <w:bookmarkStart w:id="17" w:name="_Toc158040605"/>
    <w:p>
      <w:pPr>
        <w:pStyle w:val="style2"/>
        <w:rPr/>
      </w:pPr>
      <w:r>
        <w:t>Data Analysis</w:t>
      </w:r>
      <w:bookmarkEnd w:id="17"/>
    </w:p>
    <w:p>
      <w:pPr>
        <w:pStyle w:val="style0"/>
        <w:widowControl w:val="false"/>
        <w:rPr>
          <w:rFonts w:cs="Times New Roman" w:eastAsia="Times New Roman"/>
          <w:b/>
          <w:szCs w:val="24"/>
        </w:rPr>
      </w:pPr>
      <w:r>
        <w:rPr>
          <w:rFonts w:cs="Times New Roman" w:eastAsia="Times New Roman"/>
          <w:szCs w:val="24"/>
        </w:rPr>
        <w:t>Thematic analysis is a qualitative research method that involves recognising, examining, and making sense of recurring patterns or themes within the collected qualitative data (Kiger and Varpio, 2020). This method allows researchers to systematically organise and make sense of the rich and complex data collected from case studies, identifying commonalities, differences, and relationships relevant to the research objectives. By employing thematic analysis, researchers can uncover key insights, trends, and challenges related to climate change impacts on supply chain operations in agriculture, informing the development of theoretical frameworks, practical implications, and recommendations for future research and practice.</w:t>
      </w:r>
    </w:p>
    <w:bookmarkStart w:id="18" w:name="_Toc158040606"/>
    <w:p>
      <w:pPr>
        <w:pStyle w:val="style2"/>
        <w:rPr/>
      </w:pPr>
      <w:r>
        <w:t>Ethical Considerations</w:t>
      </w:r>
      <w:bookmarkEnd w:id="18"/>
    </w:p>
    <w:p>
      <w:pPr>
        <w:pStyle w:val="style0"/>
        <w:widowControl w:val="false"/>
        <w:rPr>
          <w:rFonts w:cs="Times New Roman" w:eastAsia="Times New Roman"/>
          <w:b/>
          <w:szCs w:val="24"/>
        </w:rPr>
      </w:pPr>
      <w:r>
        <w:rPr>
          <w:rFonts w:cs="Times New Roman" w:eastAsia="Times New Roman"/>
          <w:szCs w:val="24"/>
        </w:rPr>
        <w:t xml:space="preserve">Ethical considerations are vital when conducting any type of research, including secondary research. When using secondary data, the researcher must consider several ethical principles to ensure the responsible and ethical conduct of the research (Ajuwon, 2020). It is a must to respect the privacy and confidentiality of individuals whose data is being used in secondary research. The researcher should ascertain the ownership and copyright status of the secondary data they intend to use. It is essential to obtain proper permissions or licenses for accessing and using copyrighted materials, such as published articles, reports, or datasets. The researcher must critically evaluate the integrity and accuracy of the secondary data sources they intend to use. This involves verifying the credibility of the data and assessing the reliability of the sources to ensure that the data accurately represents the phenomena under investigation. The researcher must ensure that they appropriately cite and attribute the sources of secondary data to avoid plagiarism (Lipson, 2019). This includes providing proper references for all borrowed materials, such as quotes, ideas, or findings, by academic citation standards which is Harvard </w:t>
      </w:r>
      <w:r>
        <w:rPr>
          <w:rFonts w:cs="Times New Roman" w:eastAsia="Times New Roman"/>
          <w:szCs w:val="24"/>
        </w:rPr>
        <w:t>referencing.</w:t>
      </w:r>
    </w:p>
    <w:bookmarkStart w:id="19" w:name="_Toc158040607"/>
    <w:p>
      <w:pPr>
        <w:pStyle w:val="style1"/>
        <w:rPr/>
      </w:pPr>
      <w:r>
        <w:t>Project Management of the Research</w:t>
      </w:r>
      <w:bookmarkEnd w:id="19"/>
    </w:p>
    <w:p>
      <w:pPr>
        <w:pStyle w:val="style0"/>
        <w:widowControl w:val="false"/>
        <w:rPr>
          <w:rFonts w:cs="Times New Roman" w:eastAsia="Times New Roman"/>
          <w:szCs w:val="24"/>
        </w:rPr>
      </w:pPr>
      <w:r>
        <w:rPr>
          <w:rFonts w:cs="Times New Roman" w:eastAsia="Times New Roman"/>
          <w:szCs w:val="24"/>
        </w:rPr>
        <w:t xml:space="preserve">Project management ensures a systematic and well-organised approach to conducting research, facilitating the efficient dissemination of results. The timeline of the project is presented below using a Gantt chart. </w:t>
      </w:r>
    </w:p>
    <w:p>
      <w:pPr>
        <w:pStyle w:val="style0"/>
        <w:rPr>
          <w:rFonts w:cs="Times New Roman" w:eastAsia="Times New Roman"/>
          <w:b/>
          <w:sz w:val="28"/>
          <w:szCs w:val="28"/>
        </w:rPr>
      </w:pPr>
    </w:p>
    <w:tbl>
      <w:tblPr>
        <w:tblStyle w:val="style4097"/>
        <w:tblW w:w="9435" w:type="dxa"/>
        <w:tblInd w:w="-3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785"/>
        <w:gridCol w:w="473"/>
        <w:gridCol w:w="529"/>
        <w:gridCol w:w="572"/>
        <w:gridCol w:w="544"/>
        <w:gridCol w:w="572"/>
        <w:gridCol w:w="558"/>
        <w:gridCol w:w="544"/>
        <w:gridCol w:w="429"/>
        <w:gridCol w:w="429"/>
      </w:tblGrid>
      <w:tr>
        <w:trPr>
          <w:trHeight w:val="440" w:hRule="atLeast"/>
        </w:trPr>
        <w:tc>
          <w:tcPr>
            <w:tcW w:w="4781" w:type="dxa"/>
            <w:vMerge w:val="restart"/>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b/>
                <w:szCs w:val="24"/>
              </w:rPr>
            </w:pPr>
            <w:r>
              <w:rPr>
                <w:rFonts w:cs="Times New Roman" w:eastAsia="Times New Roman"/>
                <w:b/>
                <w:szCs w:val="24"/>
              </w:rPr>
              <w:t xml:space="preserve">Activities </w:t>
            </w:r>
          </w:p>
        </w:tc>
        <w:tc>
          <w:tcPr>
            <w:tcW w:w="4649" w:type="dxa"/>
            <w:gridSpan w:val="9"/>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b/>
                <w:szCs w:val="24"/>
              </w:rPr>
            </w:pPr>
            <w:r>
              <w:rPr>
                <w:rFonts w:cs="Times New Roman" w:eastAsia="Times New Roman"/>
                <w:b/>
                <w:szCs w:val="24"/>
              </w:rPr>
              <w:t>Time (in weeks)</w:t>
            </w:r>
          </w:p>
        </w:tc>
      </w:tr>
      <w:tr>
        <w:tblPrEx/>
        <w:trPr>
          <w:trHeight w:val="440" w:hRule="atLeast"/>
        </w:trPr>
        <w:tc>
          <w:tcPr>
            <w:tcW w:w="4781" w:type="dxa"/>
            <w:vMerge w:val="continue"/>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lineRule="auto" w:line="240"/>
              <w:rPr>
                <w:rFonts w:cs="Times New Roman" w:eastAsia="Times New Roman"/>
                <w:szCs w:val="24"/>
              </w:rPr>
            </w:pPr>
          </w:p>
        </w:tc>
        <w:tc>
          <w:tcPr>
            <w:tcW w:w="472"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b/>
                <w:szCs w:val="24"/>
              </w:rPr>
            </w:pPr>
            <w:r>
              <w:rPr>
                <w:rFonts w:cs="Times New Roman" w:eastAsia="Times New Roman"/>
                <w:b/>
                <w:szCs w:val="24"/>
              </w:rPr>
              <w:t>1</w:t>
            </w:r>
          </w:p>
        </w:tc>
        <w:tc>
          <w:tcPr>
            <w:tcW w:w="529"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b/>
                <w:szCs w:val="24"/>
              </w:rPr>
            </w:pPr>
            <w:r>
              <w:rPr>
                <w:rFonts w:cs="Times New Roman" w:eastAsia="Times New Roman"/>
                <w:b/>
                <w:szCs w:val="24"/>
              </w:rPr>
              <w:t>2</w:t>
            </w:r>
          </w:p>
        </w:tc>
        <w:tc>
          <w:tcPr>
            <w:tcW w:w="572"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b/>
                <w:szCs w:val="24"/>
              </w:rPr>
            </w:pPr>
            <w:r>
              <w:rPr>
                <w:rFonts w:cs="Times New Roman" w:eastAsia="Times New Roman"/>
                <w:b/>
                <w:szCs w:val="24"/>
              </w:rPr>
              <w:t>3</w:t>
            </w:r>
          </w:p>
        </w:tc>
        <w:tc>
          <w:tcPr>
            <w:tcW w:w="544"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b/>
                <w:szCs w:val="24"/>
              </w:rPr>
            </w:pPr>
            <w:r>
              <w:rPr>
                <w:rFonts w:cs="Times New Roman" w:eastAsia="Times New Roman"/>
                <w:b/>
                <w:szCs w:val="24"/>
              </w:rPr>
              <w:t>4</w:t>
            </w:r>
          </w:p>
        </w:tc>
        <w:tc>
          <w:tcPr>
            <w:tcW w:w="572"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b/>
                <w:szCs w:val="24"/>
              </w:rPr>
            </w:pPr>
            <w:r>
              <w:rPr>
                <w:rFonts w:cs="Times New Roman" w:eastAsia="Times New Roman"/>
                <w:b/>
                <w:szCs w:val="24"/>
              </w:rPr>
              <w:t>5</w:t>
            </w:r>
          </w:p>
        </w:tc>
        <w:tc>
          <w:tcPr>
            <w:tcW w:w="558"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b/>
                <w:szCs w:val="24"/>
              </w:rPr>
            </w:pPr>
            <w:r>
              <w:rPr>
                <w:rFonts w:cs="Times New Roman" w:eastAsia="Times New Roman"/>
                <w:b/>
                <w:szCs w:val="24"/>
              </w:rPr>
              <w:t>6</w:t>
            </w:r>
          </w:p>
        </w:tc>
        <w:tc>
          <w:tcPr>
            <w:tcW w:w="544"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b/>
                <w:szCs w:val="24"/>
              </w:rPr>
            </w:pPr>
            <w:r>
              <w:rPr>
                <w:rFonts w:cs="Times New Roman" w:eastAsia="Times New Roman"/>
                <w:b/>
                <w:szCs w:val="24"/>
              </w:rPr>
              <w:t>7</w:t>
            </w:r>
          </w:p>
        </w:tc>
        <w:tc>
          <w:tcPr>
            <w:tcW w:w="429" w:type="dxa"/>
            <w:tcBorders/>
            <w:shd w:val="clear" w:color="auto" w:fill="auto"/>
            <w:tcMar>
              <w:top w:w="100" w:type="dxa"/>
              <w:left w:w="100" w:type="dxa"/>
              <w:bottom w:w="100" w:type="dxa"/>
              <w:right w:w="100" w:type="dxa"/>
            </w:tcMar>
          </w:tcPr>
          <w:p>
            <w:pPr>
              <w:pStyle w:val="style0"/>
              <w:widowControl w:val="false"/>
              <w:rPr>
                <w:rFonts w:cs="Times New Roman" w:eastAsia="Times New Roman"/>
                <w:b/>
                <w:szCs w:val="24"/>
              </w:rPr>
            </w:pPr>
            <w:r>
              <w:rPr>
                <w:rFonts w:cs="Times New Roman" w:eastAsia="Times New Roman"/>
                <w:b/>
                <w:szCs w:val="24"/>
              </w:rPr>
              <w:t>8</w:t>
            </w:r>
          </w:p>
        </w:tc>
        <w:tc>
          <w:tcPr>
            <w:tcW w:w="429"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b/>
                <w:szCs w:val="24"/>
              </w:rPr>
            </w:pPr>
            <w:r>
              <w:rPr>
                <w:rFonts w:cs="Times New Roman" w:eastAsia="Times New Roman"/>
                <w:b/>
                <w:szCs w:val="24"/>
              </w:rPr>
              <w:t>9</w:t>
            </w:r>
          </w:p>
        </w:tc>
      </w:tr>
      <w:tr>
        <w:tblPrEx/>
        <w:trPr/>
        <w:tc>
          <w:tcPr>
            <w:tcW w:w="4781" w:type="dxa"/>
            <w:tcBorders/>
            <w:shd w:val="clear" w:color="auto" w:fill="auto"/>
            <w:tcMar>
              <w:top w:w="100" w:type="dxa"/>
              <w:left w:w="100" w:type="dxa"/>
              <w:bottom w:w="100" w:type="dxa"/>
              <w:right w:w="100" w:type="dxa"/>
            </w:tcMar>
          </w:tcPr>
          <w:p>
            <w:pPr>
              <w:pStyle w:val="style0"/>
              <w:widowControl w:val="false"/>
              <w:rPr>
                <w:rFonts w:cs="Times New Roman" w:eastAsia="Times New Roman"/>
                <w:szCs w:val="24"/>
              </w:rPr>
            </w:pPr>
            <w:r>
              <w:rPr>
                <w:rFonts w:cs="Times New Roman" w:eastAsia="Times New Roman"/>
                <w:szCs w:val="24"/>
              </w:rPr>
              <w:t xml:space="preserve">Groundwork and searching for topic of interest along with background work/ Getting permission </w:t>
            </w:r>
          </w:p>
        </w:tc>
        <w:tc>
          <w:tcPr>
            <w:tcW w:w="472" w:type="dxa"/>
            <w:tcBorders/>
            <w:shd w:val="clear" w:color="auto" w:fill="ff9900"/>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b/>
                <w:szCs w:val="24"/>
              </w:rPr>
            </w:pPr>
          </w:p>
        </w:tc>
        <w:tc>
          <w:tcPr>
            <w:tcW w:w="529"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b/>
                <w:szCs w:val="24"/>
              </w:rPr>
            </w:pPr>
          </w:p>
        </w:tc>
        <w:tc>
          <w:tcPr>
            <w:tcW w:w="572"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b/>
                <w:szCs w:val="24"/>
              </w:rPr>
            </w:pPr>
          </w:p>
        </w:tc>
        <w:tc>
          <w:tcPr>
            <w:tcW w:w="544"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b/>
                <w:szCs w:val="24"/>
              </w:rPr>
            </w:pPr>
          </w:p>
        </w:tc>
        <w:tc>
          <w:tcPr>
            <w:tcW w:w="572"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b/>
                <w:szCs w:val="24"/>
              </w:rPr>
            </w:pPr>
          </w:p>
        </w:tc>
        <w:tc>
          <w:tcPr>
            <w:tcW w:w="558"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b/>
                <w:szCs w:val="24"/>
              </w:rPr>
            </w:pPr>
          </w:p>
        </w:tc>
        <w:tc>
          <w:tcPr>
            <w:tcW w:w="544"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b/>
                <w:szCs w:val="24"/>
              </w:rPr>
            </w:pPr>
          </w:p>
        </w:tc>
        <w:tc>
          <w:tcPr>
            <w:tcW w:w="429" w:type="dxa"/>
            <w:tcBorders/>
            <w:shd w:val="clear" w:color="auto" w:fill="auto"/>
            <w:tcMar>
              <w:top w:w="100" w:type="dxa"/>
              <w:left w:w="100" w:type="dxa"/>
              <w:bottom w:w="100" w:type="dxa"/>
              <w:right w:w="100" w:type="dxa"/>
            </w:tcMar>
          </w:tcPr>
          <w:p>
            <w:pPr>
              <w:pStyle w:val="style0"/>
              <w:widowControl w:val="false"/>
              <w:rPr>
                <w:rFonts w:cs="Times New Roman" w:eastAsia="Times New Roman"/>
                <w:b/>
                <w:szCs w:val="24"/>
              </w:rPr>
            </w:pPr>
          </w:p>
        </w:tc>
        <w:tc>
          <w:tcPr>
            <w:tcW w:w="429"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b/>
                <w:szCs w:val="24"/>
              </w:rPr>
            </w:pPr>
          </w:p>
        </w:tc>
      </w:tr>
      <w:tr>
        <w:tblPrEx/>
        <w:trPr/>
        <w:tc>
          <w:tcPr>
            <w:tcW w:w="4781"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r>
              <w:rPr>
                <w:rFonts w:cs="Times New Roman" w:eastAsia="Times New Roman"/>
                <w:szCs w:val="24"/>
              </w:rPr>
              <w:t>Introduction section</w:t>
            </w:r>
          </w:p>
        </w:tc>
        <w:tc>
          <w:tcPr>
            <w:tcW w:w="472"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29" w:type="dxa"/>
            <w:tcBorders/>
            <w:shd w:val="clear" w:color="auto" w:fill="0000ff"/>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72"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44"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72"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58"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44"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429"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429"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r>
      <w:tr>
        <w:tblPrEx/>
        <w:trPr/>
        <w:tc>
          <w:tcPr>
            <w:tcW w:w="4781"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r>
              <w:rPr>
                <w:rFonts w:cs="Times New Roman" w:eastAsia="Times New Roman"/>
                <w:szCs w:val="24"/>
              </w:rPr>
              <w:t>Explore literature and gaps</w:t>
            </w:r>
          </w:p>
        </w:tc>
        <w:tc>
          <w:tcPr>
            <w:tcW w:w="472"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29"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72" w:type="dxa"/>
            <w:tcBorders/>
            <w:shd w:val="clear" w:color="auto" w:fill="ff00ff"/>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44"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72"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58"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44"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429"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429"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r>
      <w:tr>
        <w:tblPrEx/>
        <w:trPr/>
        <w:tc>
          <w:tcPr>
            <w:tcW w:w="4781"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r>
              <w:rPr>
                <w:rFonts w:cs="Times New Roman" w:eastAsia="Times New Roman"/>
                <w:szCs w:val="24"/>
              </w:rPr>
              <w:t>Research design and methodology</w:t>
            </w:r>
          </w:p>
        </w:tc>
        <w:tc>
          <w:tcPr>
            <w:tcW w:w="472"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29"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72" w:type="dxa"/>
            <w:tcBorders/>
            <w:shd w:val="clear" w:color="auto" w:fill="6aa84f"/>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44"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72"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58"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44"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429"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429"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r>
      <w:tr>
        <w:tblPrEx/>
        <w:trPr/>
        <w:tc>
          <w:tcPr>
            <w:tcW w:w="4781"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r>
              <w:rPr>
                <w:rFonts w:cs="Times New Roman" w:eastAsia="Times New Roman"/>
                <w:szCs w:val="24"/>
              </w:rPr>
              <w:t>Collect data</w:t>
            </w:r>
          </w:p>
        </w:tc>
        <w:tc>
          <w:tcPr>
            <w:tcW w:w="472"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29"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72"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44" w:type="dxa"/>
            <w:tcBorders/>
            <w:shd w:val="clear" w:color="auto" w:fill="999999"/>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72" w:type="dxa"/>
            <w:tcBorders/>
            <w:shd w:val="clear" w:color="auto" w:fill="999999"/>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58"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44"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429"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429"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r>
      <w:tr>
        <w:tblPrEx/>
        <w:trPr/>
        <w:tc>
          <w:tcPr>
            <w:tcW w:w="4781"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r>
              <w:rPr>
                <w:rFonts w:cs="Times New Roman" w:eastAsia="Times New Roman"/>
                <w:szCs w:val="24"/>
              </w:rPr>
              <w:t>Analyse the collected data</w:t>
            </w:r>
          </w:p>
        </w:tc>
        <w:tc>
          <w:tcPr>
            <w:tcW w:w="472"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29"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72"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44"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72" w:type="dxa"/>
            <w:tcBorders/>
            <w:shd w:val="clear" w:color="auto" w:fill="a64d79"/>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58"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44"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429"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429"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r>
      <w:tr>
        <w:tblPrEx/>
        <w:trPr/>
        <w:tc>
          <w:tcPr>
            <w:tcW w:w="4781"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r>
              <w:rPr>
                <w:rFonts w:cs="Times New Roman" w:eastAsia="Times New Roman"/>
                <w:szCs w:val="24"/>
              </w:rPr>
              <w:t>Report findings and discussion</w:t>
            </w:r>
          </w:p>
        </w:tc>
        <w:tc>
          <w:tcPr>
            <w:tcW w:w="472"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29"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72"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44"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72"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58" w:type="dxa"/>
            <w:tcBorders/>
            <w:shd w:val="clear" w:color="auto" w:fill="4a86e8"/>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44"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429"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429"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r>
      <w:tr>
        <w:tblPrEx/>
        <w:trPr/>
        <w:tc>
          <w:tcPr>
            <w:tcW w:w="4781"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r>
              <w:rPr>
                <w:rFonts w:cs="Times New Roman" w:eastAsia="Times New Roman"/>
                <w:szCs w:val="24"/>
              </w:rPr>
              <w:t xml:space="preserve">Conclusion </w:t>
            </w:r>
          </w:p>
        </w:tc>
        <w:tc>
          <w:tcPr>
            <w:tcW w:w="472"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29"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72"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44"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72"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58"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44" w:type="dxa"/>
            <w:tcBorders/>
            <w:shd w:val="clear" w:color="auto" w:fill="00ff00"/>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429"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429"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r>
      <w:tr>
        <w:tblPrEx/>
        <w:trPr/>
        <w:tc>
          <w:tcPr>
            <w:tcW w:w="4781"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r>
              <w:rPr>
                <w:rFonts w:cs="Times New Roman" w:eastAsia="Times New Roman"/>
                <w:szCs w:val="24"/>
              </w:rPr>
              <w:t>Create daft and revise</w:t>
            </w:r>
          </w:p>
        </w:tc>
        <w:tc>
          <w:tcPr>
            <w:tcW w:w="472"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29"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72"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44"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72"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58"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44"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429" w:type="dxa"/>
            <w:tcBorders/>
            <w:shd w:val="clear" w:color="auto" w:fill="ffff00"/>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429"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r>
      <w:tr>
        <w:tblPrEx/>
        <w:trPr/>
        <w:tc>
          <w:tcPr>
            <w:tcW w:w="4781"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r>
              <w:rPr>
                <w:rFonts w:cs="Times New Roman" w:eastAsia="Times New Roman"/>
                <w:szCs w:val="24"/>
              </w:rPr>
              <w:t xml:space="preserve">Edit according to feedback and final submission </w:t>
            </w:r>
          </w:p>
        </w:tc>
        <w:tc>
          <w:tcPr>
            <w:tcW w:w="472"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29"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72"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44"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72"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58"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544"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429"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c>
          <w:tcPr>
            <w:tcW w:w="429" w:type="dxa"/>
            <w:tcBorders/>
            <w:shd w:val="clear" w:color="auto" w:fill="ff0000"/>
            <w:tcMar>
              <w:top w:w="100" w:type="dxa"/>
              <w:left w:w="100" w:type="dxa"/>
              <w:bottom w:w="100" w:type="dxa"/>
              <w:right w:w="100" w:type="dxa"/>
            </w:tcMar>
          </w:tcPr>
          <w:p>
            <w:pPr>
              <w:pStyle w:val="style0"/>
              <w:widowControl w:val="false"/>
              <w:pBdr>
                <w:left w:val="nil"/>
                <w:right w:val="nil"/>
                <w:top w:val="nil"/>
                <w:bottom w:val="nil"/>
                <w:between w:val="nil"/>
              </w:pBdr>
              <w:rPr>
                <w:rFonts w:cs="Times New Roman" w:eastAsia="Times New Roman"/>
                <w:szCs w:val="24"/>
              </w:rPr>
            </w:pPr>
          </w:p>
        </w:tc>
      </w:tr>
    </w:tbl>
    <w:p>
      <w:pPr>
        <w:pStyle w:val="style0"/>
        <w:rPr>
          <w:rFonts w:cs="Times New Roman" w:eastAsia="Times New Roman"/>
          <w:b/>
          <w:sz w:val="28"/>
          <w:szCs w:val="28"/>
        </w:rPr>
      </w:pPr>
    </w:p>
    <w:p>
      <w:pPr>
        <w:pStyle w:val="style0"/>
        <w:jc w:val="center"/>
        <w:rPr>
          <w:rFonts w:cs="Times New Roman" w:eastAsia="Times New Roman"/>
          <w:b/>
          <w:szCs w:val="24"/>
        </w:rPr>
      </w:pPr>
      <w:r>
        <w:rPr>
          <w:rFonts w:cs="Times New Roman" w:eastAsia="Times New Roman"/>
          <w:b/>
          <w:szCs w:val="24"/>
        </w:rPr>
        <w:t>Table 1: Gantt chart</w:t>
      </w:r>
    </w:p>
    <w:p>
      <w:pPr>
        <w:pStyle w:val="style0"/>
        <w:jc w:val="center"/>
        <w:rPr>
          <w:rFonts w:cs="Times New Roman" w:eastAsia="Times New Roman"/>
          <w:szCs w:val="24"/>
        </w:rPr>
      </w:pPr>
      <w:r>
        <w:rPr>
          <w:rFonts w:cs="Times New Roman" w:eastAsia="Times New Roman"/>
          <w:szCs w:val="24"/>
        </w:rPr>
        <w:t>(Source: Self-created)</w:t>
      </w:r>
    </w:p>
    <w:bookmarkStart w:id="20" w:name="_Toc158040608"/>
    <w:p>
      <w:pPr>
        <w:pStyle w:val="style2"/>
        <w:rPr/>
      </w:pPr>
      <w:r>
        <w:t>Potential Risks</w:t>
      </w:r>
      <w:bookmarkEnd w:id="20"/>
    </w:p>
    <w:p>
      <w:pPr>
        <w:pStyle w:val="style0"/>
        <w:widowControl w:val="false"/>
        <w:rPr>
          <w:rFonts w:cs="Times New Roman" w:eastAsia="Times New Roman"/>
          <w:b/>
          <w:szCs w:val="24"/>
        </w:rPr>
      </w:pPr>
      <w:r>
        <w:rPr>
          <w:rFonts w:cs="Times New Roman" w:eastAsia="Times New Roman"/>
          <w:szCs w:val="24"/>
        </w:rPr>
        <w:t>To ensure the validity, reliability, and ethical integrity of a research project, it is essential to address potential issues such as data errors, inadequate sample sizes, ethical concerns, limited access to resources, time constraints, and unexpected external events. Employing mitigation strategies is crucial to managing these risks effectively. While secondary research offers many advantages, it also has some limitations. Since secondary research involves using existing data collected by others, researchers have limited control over the data collection process.</w:t>
      </w:r>
    </w:p>
    <w:bookmarkStart w:id="21" w:name="_Toc158040609"/>
    <w:p>
      <w:pPr>
        <w:pStyle w:val="style1"/>
        <w:rPr/>
      </w:pPr>
      <w:r>
        <w:t>Expected findings</w:t>
      </w:r>
      <w:bookmarkEnd w:id="21"/>
    </w:p>
    <w:p>
      <w:pPr>
        <w:pStyle w:val="style0"/>
        <w:widowControl w:val="false"/>
        <w:rPr>
          <w:rFonts w:cs="Times New Roman" w:eastAsia="Times New Roman"/>
          <w:b/>
          <w:szCs w:val="24"/>
        </w:rPr>
      </w:pPr>
      <w:r>
        <w:rPr>
          <w:rFonts w:cs="Times New Roman" w:eastAsia="Times New Roman"/>
          <w:szCs w:val="24"/>
        </w:rPr>
        <w:t xml:space="preserve">The research may uncover specific nodes or stages within agricultural supply chains that are particularly vulnerable to the impacts of climate change, such as transportation routes prone to flooding or storage facilities susceptible to extreme temperatures. The study may identify various adaptation strategies implemented by international businesses to mitigate the effects of climate change on their supply chains. This could include investments in climate-resilient infrastructure, diversification of sourcing locations, or adoption of sustainable agricultural practices. The research might uncover opportunities for collaboration among stakeholders, including governments, businesses, farmers, and NGOs, to enhance the resilience of agricultural supply chains (Kangogo </w:t>
      </w:r>
      <w:r>
        <w:rPr>
          <w:rFonts w:cs="Times New Roman" w:eastAsia="Times New Roman"/>
          <w:i/>
          <w:szCs w:val="24"/>
        </w:rPr>
        <w:t xml:space="preserve">et al., </w:t>
      </w:r>
      <w:r>
        <w:rPr>
          <w:rFonts w:cs="Times New Roman" w:eastAsia="Times New Roman"/>
          <w:szCs w:val="24"/>
        </w:rPr>
        <w:t>2020). This could involve partnerships to share knowledge, resources, and best practices for climate adaptation.</w:t>
      </w:r>
    </w:p>
    <w:bookmarkStart w:id="22" w:name="_Toc158040610"/>
    <w:p>
      <w:pPr>
        <w:pStyle w:val="style1"/>
        <w:rPr/>
      </w:pPr>
      <w:r>
        <w:t>Conclusion</w:t>
      </w:r>
      <w:bookmarkEnd w:id="22"/>
      <w:r>
        <w:t xml:space="preserve"> </w:t>
      </w:r>
    </w:p>
    <w:p>
      <w:pPr>
        <w:pStyle w:val="style0"/>
        <w:rPr>
          <w:rFonts w:cs="Times New Roman" w:eastAsia="Times New Roman"/>
          <w:b/>
          <w:szCs w:val="24"/>
        </w:rPr>
      </w:pPr>
      <w:r>
        <w:rPr>
          <w:rFonts w:cs="Times New Roman" w:eastAsia="Times New Roman"/>
          <w:szCs w:val="24"/>
        </w:rPr>
        <w:t>The research will explore the impact of climate change on supply chain operations in agriculture, particularly for international businesses operating in the UK. By exploring vulnerabilities, challenges, and adaptation strategies, the study seeks to inform stakeholders about the importance of building resilience and sustainability in agricultural supply chains to address climate-related risks effectively. The methodology employed involves a qualitative approach, utilising thematic analysis of secondary data.</w:t>
      </w:r>
      <w:r>
        <w:br w:type="page"/>
      </w:r>
    </w:p>
    <w:bookmarkStart w:id="23" w:name="_h7zz689wse1q" w:colFirst="0" w:colLast="0"/>
    <w:bookmarkStart w:id="24" w:name="_Toc158040611"/>
    <w:bookmarkEnd w:id="23"/>
    <w:p>
      <w:pPr>
        <w:pStyle w:val="style1"/>
        <w:rPr>
          <w:b w:val="false"/>
        </w:rPr>
      </w:pPr>
      <w:r>
        <w:t>References</w:t>
      </w:r>
      <w:bookmarkEnd w:id="24"/>
      <w:r>
        <w:t xml:space="preserve"> </w:t>
      </w:r>
    </w:p>
    <w:p>
      <w:pPr>
        <w:pStyle w:val="style0"/>
        <w:widowControl w:val="false"/>
        <w:rPr>
          <w:rFonts w:cs="Times New Roman" w:eastAsia="Times New Roman"/>
          <w:szCs w:val="24"/>
        </w:rPr>
      </w:pPr>
      <w:r>
        <w:rPr>
          <w:rFonts w:cs="Times New Roman" w:eastAsia="Times New Roman"/>
          <w:szCs w:val="24"/>
        </w:rPr>
        <w:t>Ajuwon, A.J., 2020. Ethical principles &amp; responsible conduct in research. African Journal of Biomedical Research, 23(SE2), pp.11-13.</w:t>
      </w:r>
    </w:p>
    <w:p>
      <w:pPr>
        <w:pStyle w:val="style0"/>
        <w:rPr>
          <w:rFonts w:cs="Times New Roman" w:eastAsia="Times New Roman"/>
          <w:szCs w:val="24"/>
        </w:rPr>
      </w:pPr>
      <w:r>
        <w:rPr>
          <w:rFonts w:cs="Times New Roman" w:eastAsia="Times New Roman"/>
          <w:szCs w:val="24"/>
        </w:rPr>
        <w:t>Brin, P.V. and Nehme, M.N., 2019. Corporate social responsibility: analysis of theories and models.</w:t>
      </w:r>
    </w:p>
    <w:p>
      <w:pPr>
        <w:pStyle w:val="style0"/>
        <w:widowControl w:val="false"/>
        <w:rPr>
          <w:rFonts w:cs="Times New Roman" w:eastAsia="Times New Roman"/>
          <w:szCs w:val="24"/>
        </w:rPr>
      </w:pPr>
      <w:r>
        <w:rPr>
          <w:rFonts w:cs="Times New Roman" w:eastAsia="Times New Roman"/>
          <w:szCs w:val="24"/>
        </w:rPr>
        <w:t>Cameron, E., 2019. Business Adaptation to Climate Change and Global Supply Chains. Background Paper for the Global Commission on Adaptation.</w:t>
      </w:r>
    </w:p>
    <w:p>
      <w:pPr>
        <w:pStyle w:val="style0"/>
        <w:widowControl w:val="false"/>
        <w:rPr>
          <w:rFonts w:cs="Times New Roman" w:eastAsia="Times New Roman"/>
          <w:szCs w:val="24"/>
        </w:rPr>
      </w:pPr>
      <w:r>
        <w:rPr>
          <w:rFonts w:cs="Times New Roman" w:eastAsia="Times New Roman"/>
          <w:szCs w:val="24"/>
        </w:rPr>
        <w:t>Davis, K.F., Downs, S. and Gephart, J.A., 2021. Towards food supply chain resilience to environmental shocks. Nature Food, 2(1), pp.54-65.</w:t>
      </w:r>
    </w:p>
    <w:p>
      <w:pPr>
        <w:pStyle w:val="style0"/>
        <w:widowControl w:val="false"/>
        <w:rPr>
          <w:rFonts w:cs="Times New Roman" w:eastAsia="Times New Roman"/>
          <w:szCs w:val="24"/>
        </w:rPr>
      </w:pPr>
      <w:r>
        <w:rPr>
          <w:rFonts w:cs="Times New Roman" w:eastAsia="Times New Roman"/>
          <w:szCs w:val="24"/>
        </w:rPr>
        <w:t>Dey, A., Gupta, A.K. and Singh, G., 2019. Innovation, investment and enterprise: Climate resilient entrepreneurial pathways for overcoming poverty. Agricultural Systems, 172, pp.83-90.</w:t>
      </w:r>
    </w:p>
    <w:p>
      <w:pPr>
        <w:pStyle w:val="style0"/>
        <w:rPr>
          <w:rFonts w:cs="Times New Roman" w:eastAsia="Times New Roman"/>
          <w:szCs w:val="24"/>
        </w:rPr>
      </w:pPr>
      <w:r>
        <w:rPr>
          <w:rFonts w:cs="Times New Roman" w:eastAsia="Times New Roman"/>
          <w:szCs w:val="24"/>
        </w:rPr>
        <w:t>Franco, I. and Abe, M., 2017. Socially responsible business: a model for a sustainable future. United Nations. Available at: https://www.researchgate.net/publication/324601934_Socially_Responsible_Business_A_Model_for_a_Sustainable_Future</w:t>
      </w:r>
    </w:p>
    <w:p>
      <w:pPr>
        <w:pStyle w:val="style0"/>
        <w:widowControl w:val="false"/>
        <w:rPr>
          <w:rFonts w:cs="Times New Roman" w:eastAsia="Times New Roman"/>
          <w:szCs w:val="24"/>
        </w:rPr>
      </w:pPr>
      <w:r>
        <w:rPr>
          <w:rFonts w:cs="Times New Roman" w:eastAsia="Times New Roman"/>
          <w:szCs w:val="24"/>
        </w:rPr>
        <w:t>Fróna, D., Szenderák, J. and Harangi-Rákos, M., 2019. The challenge of feeding the world. Sustainability, 11(20), p.5816.</w:t>
      </w:r>
    </w:p>
    <w:p>
      <w:pPr>
        <w:pStyle w:val="style0"/>
        <w:widowControl w:val="false"/>
        <w:rPr>
          <w:rFonts w:cs="Times New Roman" w:eastAsia="Times New Roman"/>
          <w:szCs w:val="24"/>
        </w:rPr>
      </w:pPr>
      <w:r>
        <w:rPr>
          <w:rFonts w:cs="Times New Roman" w:eastAsia="Times New Roman"/>
          <w:szCs w:val="24"/>
        </w:rPr>
        <w:t>Ghadge, A., Wurtmann, H. and Seuring, S., 2020. Managing climate change risks in global supply chains: a review and research agenda. International Journal of Production Research, 58(1), pp.44-64.</w:t>
      </w:r>
    </w:p>
    <w:p>
      <w:pPr>
        <w:pStyle w:val="style0"/>
        <w:widowControl w:val="false"/>
        <w:rPr>
          <w:rFonts w:cs="Times New Roman" w:eastAsia="Times New Roman"/>
          <w:szCs w:val="24"/>
        </w:rPr>
      </w:pPr>
      <w:r>
        <w:rPr>
          <w:rFonts w:cs="Times New Roman" w:eastAsia="Times New Roman"/>
          <w:szCs w:val="24"/>
        </w:rPr>
        <w:t>Godde, C.M., Mason-D’Croz, D., Mayberry, D.E., Thornton, P.K. and Herrero, M., 2021. Impacts of climate change on the livestock food supply chain; a review of the evidence. Global food security, 28, p.100488.</w:t>
      </w:r>
    </w:p>
    <w:p>
      <w:pPr>
        <w:pStyle w:val="style0"/>
        <w:widowControl w:val="false"/>
        <w:rPr>
          <w:rFonts w:cs="Times New Roman" w:eastAsia="Times New Roman"/>
          <w:szCs w:val="24"/>
        </w:rPr>
      </w:pPr>
      <w:r>
        <w:rPr>
          <w:rFonts w:cs="Times New Roman" w:eastAsia="Times New Roman"/>
          <w:szCs w:val="24"/>
          <w:lang w:val="pt-BR"/>
        </w:rPr>
        <w:t xml:space="preserve">Gomez-Zavaglia, A., Mejuto, J.C. and Simal-Gandara, J., 2020. </w:t>
      </w:r>
      <w:r>
        <w:rPr>
          <w:rFonts w:cs="Times New Roman" w:eastAsia="Times New Roman"/>
          <w:szCs w:val="24"/>
        </w:rPr>
        <w:t>Mitigation of emerging implications of climate change on food production systems. Food Research International, 134, p.109256.</w:t>
      </w:r>
    </w:p>
    <w:p>
      <w:pPr>
        <w:pStyle w:val="style0"/>
        <w:widowControl w:val="false"/>
        <w:rPr>
          <w:rFonts w:cs="Times New Roman" w:eastAsia="Times New Roman"/>
          <w:szCs w:val="24"/>
        </w:rPr>
      </w:pPr>
      <w:r>
        <w:rPr>
          <w:rFonts w:cs="Times New Roman" w:eastAsia="Times New Roman"/>
          <w:szCs w:val="24"/>
        </w:rPr>
        <w:t>Gusenbauer, M., 2019. Google Scholar to overshadow them all? Comparing the sizes of 12 academic search engines and bibliographic databases. Scientometrics, 118(1), pp.177-214.</w:t>
      </w:r>
    </w:p>
    <w:p>
      <w:pPr>
        <w:pStyle w:val="style0"/>
        <w:widowControl w:val="false"/>
        <w:rPr>
          <w:rFonts w:cs="Times New Roman" w:eastAsia="Times New Roman"/>
          <w:szCs w:val="24"/>
        </w:rPr>
      </w:pPr>
      <w:r>
        <w:rPr>
          <w:rFonts w:cs="Times New Roman" w:eastAsia="Times New Roman"/>
          <w:szCs w:val="24"/>
        </w:rPr>
        <w:t>Hancock, D.R., Algozzine, B. and Lim, J.H., 2021. Doing case study research: A practical guide for beginning researchers.</w:t>
      </w:r>
    </w:p>
    <w:p>
      <w:pPr>
        <w:pStyle w:val="style0"/>
        <w:widowControl w:val="false"/>
        <w:rPr>
          <w:rFonts w:cs="Times New Roman" w:eastAsia="Times New Roman"/>
          <w:szCs w:val="24"/>
        </w:rPr>
      </w:pPr>
      <w:r>
        <w:rPr>
          <w:rFonts w:cs="Times New Roman" w:eastAsia="Times New Roman"/>
          <w:szCs w:val="24"/>
        </w:rPr>
        <w:t>Hemathilake, D.M.K.S. and Gunathilake, D.M.C.C., 2022. Agricultural productivity and food supply to meet increased demands. In Future Foods (pp. 539-553). Academic Press.</w:t>
      </w:r>
    </w:p>
    <w:p>
      <w:pPr>
        <w:pStyle w:val="style0"/>
        <w:widowControl w:val="false"/>
        <w:rPr>
          <w:rFonts w:cs="Times New Roman" w:eastAsia="Times New Roman"/>
          <w:szCs w:val="24"/>
        </w:rPr>
      </w:pPr>
      <w:r>
        <w:rPr>
          <w:rFonts w:cs="Times New Roman" w:eastAsia="Times New Roman"/>
          <w:szCs w:val="24"/>
        </w:rPr>
        <w:t>Kangogo, D., Dentoni, D. and Bijman, J., 2020. Determinants of farm resilience to climate change: The role of farmer entrepreneurship and value chain collaborations. Sustainability, 12(3), p.868.</w:t>
      </w:r>
    </w:p>
    <w:p>
      <w:pPr>
        <w:pStyle w:val="style0"/>
        <w:widowControl w:val="false"/>
        <w:rPr>
          <w:rFonts w:cs="Times New Roman" w:eastAsia="Times New Roman"/>
          <w:szCs w:val="24"/>
        </w:rPr>
      </w:pPr>
      <w:r>
        <w:rPr>
          <w:rFonts w:cs="Times New Roman" w:eastAsia="Times New Roman"/>
          <w:szCs w:val="24"/>
        </w:rPr>
        <w:t>Kiger, M.E. and Varpio, L., 2020. Thematic analysis of qualitative data: AMEE Guide No. 131. Medical teacher, 42(8), pp.846-854.</w:t>
      </w:r>
    </w:p>
    <w:p>
      <w:pPr>
        <w:pStyle w:val="style0"/>
        <w:widowControl w:val="false"/>
        <w:rPr>
          <w:rFonts w:cs="Times New Roman" w:eastAsia="Times New Roman"/>
          <w:szCs w:val="24"/>
        </w:rPr>
      </w:pPr>
      <w:r>
        <w:rPr>
          <w:rFonts w:cs="Times New Roman" w:eastAsia="Times New Roman"/>
          <w:szCs w:val="24"/>
        </w:rPr>
        <w:t>Lemi, T. and Hailu, F., 2019. Effects of climate change variability on agricultural productivity. Int. J. Environ. Sci. Nat. Resour, 17, pp.14-20.</w:t>
      </w:r>
    </w:p>
    <w:p>
      <w:pPr>
        <w:pStyle w:val="style0"/>
        <w:widowControl w:val="false"/>
        <w:rPr>
          <w:rFonts w:cs="Times New Roman" w:eastAsia="Times New Roman"/>
          <w:szCs w:val="24"/>
        </w:rPr>
      </w:pPr>
      <w:r>
        <w:rPr>
          <w:rFonts w:cs="Times New Roman" w:eastAsia="Times New Roman"/>
          <w:szCs w:val="24"/>
        </w:rPr>
        <w:t>Lipson, C., 2019. Doing honest work in college: How to prepare citations, avoid plagiarism, and achieve real academic success. University of Chicago Press.</w:t>
      </w:r>
    </w:p>
    <w:p>
      <w:pPr>
        <w:pStyle w:val="style0"/>
        <w:widowControl w:val="false"/>
        <w:rPr>
          <w:rFonts w:cs="Times New Roman" w:eastAsia="Times New Roman"/>
          <w:szCs w:val="24"/>
        </w:rPr>
      </w:pPr>
      <w:r>
        <w:rPr>
          <w:rFonts w:cs="Times New Roman" w:eastAsia="Times New Roman"/>
          <w:szCs w:val="24"/>
        </w:rPr>
        <w:t>Nakano, K., 2021. Risk assessment for adaptation to climate change in the international supply chain. Journal of Cleaner Production, 319, p.128785.</w:t>
      </w:r>
    </w:p>
    <w:p>
      <w:pPr>
        <w:pStyle w:val="style0"/>
        <w:widowControl w:val="false"/>
        <w:rPr>
          <w:rFonts w:cs="Times New Roman" w:eastAsia="Times New Roman"/>
          <w:szCs w:val="24"/>
        </w:rPr>
      </w:pPr>
      <w:r>
        <w:rPr>
          <w:rFonts w:cs="Times New Roman" w:eastAsia="Times New Roman"/>
          <w:szCs w:val="24"/>
        </w:rPr>
        <w:t>Osumba, J.J., Recha, J.W. and Oroma, G.W., 2021. Transforming agricultural extension service delivery through innovative bottom–up climate-resilient agribusiness farmer field schools. Sustainability, 13(7), p.3938.</w:t>
      </w:r>
    </w:p>
    <w:p>
      <w:pPr>
        <w:pStyle w:val="style0"/>
        <w:widowControl w:val="false"/>
        <w:rPr>
          <w:rFonts w:cs="Times New Roman" w:eastAsia="Times New Roman"/>
          <w:szCs w:val="24"/>
        </w:rPr>
      </w:pPr>
      <w:r>
        <w:rPr>
          <w:rFonts w:cs="Times New Roman" w:eastAsia="Times New Roman"/>
          <w:szCs w:val="24"/>
        </w:rPr>
        <w:t>Pankratz, N. and Schiller, C., 2021, June. Climate change and adaptation in global supply-chain networks. In Proceedings of Paris December 2019 Finance Meeting EUROFIDAI-ESSEC, European Corporate Governance Institute–Finance Working Paper (No. 775).</w:t>
      </w:r>
    </w:p>
    <w:p>
      <w:pPr>
        <w:pStyle w:val="style0"/>
        <w:widowControl w:val="false"/>
        <w:rPr>
          <w:rFonts w:cs="Times New Roman" w:eastAsia="Times New Roman"/>
          <w:szCs w:val="24"/>
        </w:rPr>
      </w:pPr>
      <w:r>
        <w:rPr>
          <w:rFonts w:cs="Times New Roman" w:eastAsia="Times New Roman"/>
          <w:szCs w:val="24"/>
        </w:rPr>
        <w:t>Pervin, N. and Mokhtar, M., 2022. The Interpretivist research paradigm: A subjective notion of a social context. International Journal of Academic Research in Progressive Education and Development, 11(2), pp.419-428.</w:t>
      </w:r>
    </w:p>
    <w:p>
      <w:pPr>
        <w:pStyle w:val="style0"/>
        <w:rPr>
          <w:rFonts w:cs="Times New Roman" w:eastAsia="Times New Roman"/>
          <w:szCs w:val="24"/>
        </w:rPr>
      </w:pPr>
      <w:r>
        <w:rPr>
          <w:rFonts w:cs="Times New Roman" w:eastAsia="Times New Roman"/>
          <w:szCs w:val="24"/>
        </w:rPr>
        <w:t>Pournader, M., Kach, A. and Talluri, S., 2020. A review of the existing and emerging topics in the supply chain risk management literature. Decision sciences, 51(4), pp.867-919.</w:t>
      </w:r>
    </w:p>
    <w:p>
      <w:pPr>
        <w:pStyle w:val="style0"/>
        <w:widowControl w:val="false"/>
        <w:rPr>
          <w:rFonts w:cs="Times New Roman" w:eastAsia="Times New Roman"/>
          <w:szCs w:val="24"/>
        </w:rPr>
      </w:pPr>
      <w:r>
        <w:rPr>
          <w:rFonts w:cs="Times New Roman" w:eastAsia="Times New Roman"/>
          <w:szCs w:val="24"/>
        </w:rPr>
        <w:t>Rahman, M.M., Nguyen, R. and Lu, L., 2022. Multi-level impacts of climate change and supply disruption events on a potato supply chain: An agent-based modeling approach. Agricultural Systems, 201, p.103469.</w:t>
      </w:r>
    </w:p>
    <w:p>
      <w:pPr>
        <w:pStyle w:val="style0"/>
        <w:widowControl w:val="false"/>
        <w:rPr>
          <w:rFonts w:cs="Times New Roman" w:eastAsia="Times New Roman"/>
          <w:szCs w:val="24"/>
        </w:rPr>
      </w:pPr>
      <w:r>
        <w:rPr>
          <w:rFonts w:cs="Times New Roman" w:eastAsia="Times New Roman"/>
          <w:szCs w:val="24"/>
        </w:rPr>
        <w:t>Reddy, L.S. and Ramasamy, D.K., 2016. Justifying the judgmental sampling matrix organization in outsourcing industry. Vidushi, July-December.</w:t>
      </w:r>
    </w:p>
    <w:p>
      <w:pPr>
        <w:pStyle w:val="style0"/>
        <w:widowControl w:val="false"/>
        <w:rPr>
          <w:rFonts w:cs="Times New Roman" w:eastAsia="Times New Roman"/>
          <w:szCs w:val="24"/>
        </w:rPr>
      </w:pPr>
      <w:r>
        <w:rPr>
          <w:rFonts w:cs="Times New Roman" w:eastAsia="Times New Roman"/>
          <w:szCs w:val="24"/>
        </w:rPr>
        <w:t>Saunders, M., and Bristow, A., 2023. 2023 Research Methods for Business Students Preface and Chapter 4. Available at: https://www.researchgate.net/publication/367780349_2023_Research_Methods_for_Business_Students_Preface_and_Chapter_4</w:t>
      </w:r>
    </w:p>
    <w:p>
      <w:pPr>
        <w:pStyle w:val="style0"/>
        <w:widowControl w:val="false"/>
        <w:rPr>
          <w:rFonts w:cs="Times New Roman" w:eastAsia="Times New Roman"/>
          <w:szCs w:val="24"/>
        </w:rPr>
      </w:pPr>
      <w:r>
        <w:rPr>
          <w:rFonts w:cs="Times New Roman" w:eastAsia="Times New Roman"/>
          <w:szCs w:val="24"/>
        </w:rPr>
        <w:t xml:space="preserve">Saunders, M., Lewis, P., Thornhill, A., and Bristow, A., 2019. "Research Methods for Business Students" Chapter 4: Understanding research philosophy and approaches to theory development. Available at: </w:t>
      </w:r>
      <w:r>
        <w:rPr>
          <w:rFonts w:cs="Times New Roman" w:eastAsia="Times New Roman"/>
          <w:szCs w:val="24"/>
        </w:rPr>
        <w:t>https://www.researchgate.net/publication/330760964_Research_Methods_for_Business_Students_Chapter_4_Understanding_research_philosophy_and_approaches_to_theory_development</w:t>
      </w:r>
    </w:p>
    <w:p>
      <w:pPr>
        <w:pStyle w:val="style0"/>
        <w:widowControl w:val="false"/>
        <w:rPr>
          <w:rFonts w:cs="Times New Roman" w:eastAsia="Times New Roman"/>
          <w:szCs w:val="24"/>
        </w:rPr>
      </w:pPr>
      <w:r>
        <w:rPr>
          <w:rFonts w:cs="Times New Roman" w:eastAsia="Times New Roman"/>
          <w:szCs w:val="24"/>
        </w:rPr>
        <w:t>Savary, S., Akter, S., Almekinders, C., Harris, J., Korsten, L., Rötter, R., Waddington, S. and Watson, D., 2020. Mapping disruption and resilience mechanisms in food systems. Food Security, 12, pp.695-717.</w:t>
      </w:r>
    </w:p>
    <w:p>
      <w:pPr>
        <w:pStyle w:val="style0"/>
        <w:widowControl w:val="false"/>
        <w:rPr>
          <w:rFonts w:cs="Times New Roman" w:eastAsia="Times New Roman"/>
          <w:szCs w:val="24"/>
        </w:rPr>
      </w:pPr>
      <w:r>
        <w:rPr>
          <w:rFonts w:cs="Times New Roman" w:eastAsia="Times New Roman"/>
          <w:szCs w:val="24"/>
        </w:rPr>
        <w:t>Sharma, R., Shishodia, A., Kamble, S., Gunasekaran, A. and Belhadi, A., 2020. Agriculture supply chain risks and COVID-19: mitigation strategies and implications for the practitioners. International Journal of Logistics Research and Applications, pp.1-27.</w:t>
      </w:r>
    </w:p>
    <w:p>
      <w:pPr>
        <w:pStyle w:val="style0"/>
        <w:widowControl w:val="false"/>
        <w:rPr>
          <w:rFonts w:cs="Times New Roman" w:eastAsia="Times New Roman"/>
          <w:szCs w:val="24"/>
        </w:rPr>
      </w:pPr>
      <w:r>
        <w:rPr>
          <w:rFonts w:cs="Times New Roman" w:eastAsia="Times New Roman"/>
          <w:szCs w:val="24"/>
        </w:rPr>
        <w:t>Tracy, S.J., 2019. Qualitative research methods: Collecting evidence, crafting analysis, communicating impact. John Wiley &amp; Sons.</w:t>
      </w:r>
    </w:p>
    <w:p>
      <w:pPr>
        <w:pStyle w:val="style0"/>
        <w:widowControl w:val="false"/>
        <w:rPr>
          <w:rFonts w:cs="Times New Roman" w:eastAsia="Times New Roman"/>
          <w:szCs w:val="24"/>
        </w:rPr>
      </w:pPr>
      <w:r>
        <w:rPr>
          <w:rFonts w:cs="Times New Roman" w:eastAsia="Times New Roman"/>
          <w:szCs w:val="24"/>
        </w:rPr>
        <w:t>Walsh, J.E., Ballinger, T.J., Euskirchen, E.S., Hanna, E., Mård, J., Overland, J.E., Tangen, H. and Vihma, T., 2020. Extreme weather and climate events in northern areas: A review. Earth-Science Reviews, 209, p.103324.</w:t>
      </w:r>
    </w:p>
    <w:sectPr>
      <w:footerReference w:type="default" r:id="rId3"/>
      <w:pgSz w:w="11909" w:h="16834"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w:altName w:val="Calibri"/>
    <w:panose1 w:val="020f0502020002030204"/>
    <w:charset w:val="00"/>
    <w:family w:val="swiss"/>
    <w:pitch w:val="variable"/>
    <w:sig w:usb0="E4002EFF" w:usb1="C0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97B217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lang w:val="en-GB" w:bidi="ar-SA" w:eastAsia="en-IN"/>
      </w:rPr>
    </w:rPrDefault>
    <w:pPrDefault>
      <w:pPr>
        <w:spacing w:lineRule="auto" w:line="276"/>
      </w:pPr>
    </w:pPrDefault>
  </w:docDefaults>
  <w:style w:type="paragraph" w:default="1" w:styleId="style0">
    <w:name w:val="Normal"/>
    <w:next w:val="style0"/>
    <w:qFormat/>
    <w:pPr>
      <w:spacing w:lineRule="auto" w:line="360"/>
      <w:jc w:val="both"/>
    </w:pPr>
    <w:rPr>
      <w:rFonts w:ascii="Times New Roman" w:hAnsi="Times New Roman"/>
      <w:sz w:val="24"/>
    </w:rPr>
  </w:style>
  <w:style w:type="paragraph" w:styleId="style1">
    <w:name w:val="heading 1"/>
    <w:basedOn w:val="style0"/>
    <w:next w:val="style0"/>
    <w:qFormat/>
    <w:uiPriority w:val="9"/>
    <w:pPr>
      <w:keepNext/>
      <w:keepLines/>
      <w:spacing w:before="400" w:after="120"/>
      <w:outlineLvl w:val="0"/>
    </w:pPr>
    <w:rPr>
      <w:b/>
      <w:sz w:val="28"/>
      <w:szCs w:val="40"/>
    </w:rPr>
  </w:style>
  <w:style w:type="paragraph" w:styleId="style2">
    <w:name w:val="heading 2"/>
    <w:basedOn w:val="style0"/>
    <w:next w:val="style0"/>
    <w:qFormat/>
    <w:uiPriority w:val="9"/>
    <w:pPr>
      <w:keepNext/>
      <w:keepLines/>
      <w:spacing w:before="360" w:after="120"/>
      <w:outlineLvl w:val="1"/>
    </w:pPr>
    <w:rPr>
      <w:b/>
      <w:szCs w:val="32"/>
    </w:rPr>
  </w:style>
  <w:style w:type="paragraph" w:styleId="style3">
    <w:name w:val="heading 3"/>
    <w:basedOn w:val="style0"/>
    <w:next w:val="style0"/>
    <w:qFormat/>
    <w:uiPriority w:val="9"/>
    <w:pPr>
      <w:keepNext/>
      <w:keepLines/>
      <w:spacing w:before="320" w:after="80"/>
      <w:outlineLvl w:val="2"/>
    </w:pPr>
    <w:rPr>
      <w:color w:val="434343"/>
      <w:sz w:val="28"/>
      <w:szCs w:val="28"/>
    </w:rPr>
  </w:style>
  <w:style w:type="paragraph" w:styleId="style4">
    <w:name w:val="heading 4"/>
    <w:basedOn w:val="style0"/>
    <w:next w:val="style0"/>
    <w:qFormat/>
    <w:uiPriority w:val="9"/>
    <w:pPr>
      <w:keepNext/>
      <w:keepLines/>
      <w:spacing w:before="280" w:after="80"/>
      <w:outlineLvl w:val="3"/>
    </w:pPr>
    <w:rPr>
      <w:color w:val="666666"/>
      <w:szCs w:val="24"/>
    </w:rPr>
  </w:style>
  <w:style w:type="paragraph" w:styleId="style5">
    <w:name w:val="heading 5"/>
    <w:basedOn w:val="style0"/>
    <w:next w:val="style0"/>
    <w:qFormat/>
    <w:uiPriority w:val="9"/>
    <w:pPr>
      <w:keepNext/>
      <w:keepLines/>
      <w:spacing w:before="240" w:after="80"/>
      <w:outlineLvl w:val="4"/>
    </w:pPr>
    <w:rPr>
      <w:color w:val="666666"/>
      <w:sz w:val="22"/>
    </w:rPr>
  </w:style>
  <w:style w:type="paragraph" w:styleId="style6">
    <w:name w:val="heading 6"/>
    <w:basedOn w:val="style0"/>
    <w:next w:val="style0"/>
    <w:qFormat/>
    <w:uiPriority w:val="9"/>
    <w:pPr>
      <w:keepNext/>
      <w:keepLines/>
      <w:spacing w:before="240" w:after="80"/>
      <w:outlineLvl w:val="5"/>
    </w:pPr>
    <w:rPr>
      <w:i/>
      <w:color w:val="666666"/>
      <w:sz w:val="2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62">
    <w:name w:val="Title"/>
    <w:basedOn w:val="style0"/>
    <w:next w:val="style0"/>
    <w:qFormat/>
    <w:uiPriority w:val="10"/>
    <w:pPr>
      <w:keepNext/>
      <w:keepLines/>
      <w:spacing w:after="60"/>
    </w:pPr>
    <w:rPr>
      <w:sz w:val="52"/>
      <w:szCs w:val="52"/>
    </w:rPr>
  </w:style>
  <w:style w:type="paragraph" w:styleId="style74">
    <w:name w:val="Subtitle"/>
    <w:basedOn w:val="style0"/>
    <w:next w:val="style0"/>
    <w:qFormat/>
    <w:uiPriority w:val="11"/>
    <w:pPr>
      <w:keepNext/>
      <w:keepLines/>
      <w:spacing w:after="320"/>
    </w:pPr>
    <w:rPr>
      <w:rFonts w:ascii="Arial" w:hAnsi="Arial"/>
      <w:color w:val="666666"/>
      <w:sz w:val="30"/>
      <w:szCs w:val="30"/>
    </w:rPr>
  </w:style>
  <w:style w:type="table" w:customStyle="1" w:styleId="style4097">
    <w:basedOn w:val="style105"/>
    <w:next w:val="style4097"/>
    <w:pPr/>
    <w:rPr/>
    <w:tblPr>
      <w:tblStyleRowBandSize w:val="1"/>
      <w:tblStyleColBandSize w:val="1"/>
      <w:tblCellMar>
        <w:top w:w="100" w:type="dxa"/>
        <w:left w:w="100" w:type="dxa"/>
        <w:bottom w:w="100" w:type="dxa"/>
        <w:right w:w="100" w:type="dxa"/>
      </w:tblCellMar>
    </w:tblPr>
    <w:tcPr>
      <w:tcBorders/>
    </w:tcPr>
  </w:style>
  <w:style w:type="paragraph" w:styleId="style31">
    <w:name w:val="header"/>
    <w:basedOn w:val="style0"/>
    <w:next w:val="style31"/>
    <w:link w:val="style4098"/>
    <w:uiPriority w:val="99"/>
    <w:pPr>
      <w:tabs>
        <w:tab w:val="center" w:leader="none" w:pos="4513"/>
        <w:tab w:val="right" w:leader="none" w:pos="9026"/>
      </w:tabs>
      <w:spacing w:lineRule="auto" w:line="240"/>
    </w:pPr>
    <w:rPr/>
  </w:style>
  <w:style w:type="character" w:customStyle="1" w:styleId="style4098">
    <w:name w:val="Header Char_e679e530-b468-494d-b390-d9064e3c3a17"/>
    <w:basedOn w:val="style65"/>
    <w:next w:val="style4098"/>
    <w:link w:val="style31"/>
    <w:uiPriority w:val="99"/>
    <w:rPr>
      <w:rFonts w:ascii="Times New Roman" w:hAnsi="Times New Roman"/>
      <w:sz w:val="24"/>
    </w:rPr>
  </w:style>
  <w:style w:type="paragraph" w:styleId="style32">
    <w:name w:val="footer"/>
    <w:basedOn w:val="style0"/>
    <w:next w:val="style32"/>
    <w:link w:val="style4099"/>
    <w:uiPriority w:val="99"/>
    <w:pPr>
      <w:tabs>
        <w:tab w:val="center" w:leader="none" w:pos="4513"/>
        <w:tab w:val="right" w:leader="none" w:pos="9026"/>
      </w:tabs>
      <w:spacing w:lineRule="auto" w:line="240"/>
    </w:pPr>
    <w:rPr/>
  </w:style>
  <w:style w:type="character" w:customStyle="1" w:styleId="style4099">
    <w:name w:val="Footer Char_0af439df-a946-4f79-8994-512ac3a3a002"/>
    <w:basedOn w:val="style65"/>
    <w:next w:val="style4099"/>
    <w:link w:val="style32"/>
    <w:uiPriority w:val="99"/>
    <w:rPr>
      <w:rFonts w:ascii="Times New Roman" w:hAnsi="Times New Roman"/>
      <w:sz w:val="24"/>
    </w:rPr>
  </w:style>
  <w:style w:type="paragraph" w:styleId="style266">
    <w:name w:val="TOC Heading"/>
    <w:basedOn w:val="style1"/>
    <w:next w:val="style0"/>
    <w:qFormat/>
    <w:uiPriority w:val="39"/>
    <w:pPr>
      <w:spacing w:before="240" w:after="0" w:lineRule="auto" w:line="259"/>
      <w:jc w:val="left"/>
      <w:outlineLvl w:val="9"/>
    </w:pPr>
    <w:rPr>
      <w:rFonts w:ascii="Calibri" w:cs="宋体" w:eastAsia="宋体" w:hAnsi="Calibri"/>
      <w:b w:val="false"/>
      <w:color w:val="365f91"/>
      <w:sz w:val="32"/>
      <w:szCs w:val="32"/>
      <w:lang w:val="en-US" w:eastAsia="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000ff"/>
      <w:u w:val="single"/>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F7912F-F017-4519-9ECE-D404195C31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Words>3377</Words>
  <Pages>14</Pages>
  <Characters>21735</Characters>
  <Application>WPS Office</Application>
  <DocSecurity>0</DocSecurity>
  <Paragraphs>267</Paragraphs>
  <ScaleCrop>false</ScaleCrop>
  <LinksUpToDate>false</LinksUpToDate>
  <CharactersWithSpaces>24987</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2024-02-05T10:15:00Z</dcterms:created>
  <dc:creator>WPS Office</dc:creator>
  <lastModifiedBy>CPH2477</lastModifiedBy>
  <dcterms:modified xsi:type="dcterms:W3CDTF">2024-02-16T00:46:54Z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7cdb7f10c32a9def1fe1f1fd5636b336d1079c0565a4f103065ef1c76200a581</vt:lpwstr>
  </property>
  <property fmtid="{D5CDD505-2E9C-101B-9397-08002B2CF9AE}" pid="3" name="ICV">
    <vt:lpwstr>6e8994ce62c947958fb66b1f3bc06d07</vt:lpwstr>
  </property>
</Properties>
</file>