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0AEFE" w14:textId="380F8748" w:rsidR="008C23D8" w:rsidRDefault="47C286A2" w:rsidP="473B8418">
      <w:pPr>
        <w:pStyle w:val="Title"/>
        <w:ind w:left="720"/>
        <w:jc w:val="center"/>
        <w:rPr>
          <w:rFonts w:ascii="Arial" w:eastAsia="Arial" w:hAnsi="Arial" w:cs="Arial"/>
          <w:color w:val="000000" w:themeColor="text1"/>
          <w:sz w:val="27"/>
          <w:szCs w:val="27"/>
        </w:rPr>
      </w:pPr>
      <w:r>
        <w:t xml:space="preserve"> </w:t>
      </w:r>
      <w:r w:rsidR="08E906D8">
        <w:t xml:space="preserve"> </w:t>
      </w:r>
      <w:r w:rsidR="007E5CE7">
        <w:t xml:space="preserve">Assignment </w:t>
      </w:r>
      <w:r w:rsidR="2B7E5420">
        <w:t>Title: A</w:t>
      </w:r>
      <w:r w:rsidR="008C23D8">
        <w:t xml:space="preserve"> Critical Analysis of Person-Centred Care and Partnership Working in an Acute Hospital</w:t>
      </w:r>
    </w:p>
    <w:p w14:paraId="642DD3D9" w14:textId="4175F75A" w:rsidR="63C7920F" w:rsidRDefault="63C7920F" w:rsidP="008C23D8">
      <w:pPr>
        <w:pStyle w:val="Title"/>
        <w:spacing w:line="360" w:lineRule="auto"/>
        <w:ind w:left="-360"/>
        <w:jc w:val="both"/>
        <w:rPr>
          <w:rStyle w:val="s2"/>
          <w:rFonts w:ascii="Arial" w:eastAsia="Arial" w:hAnsi="Arial" w:cs="Arial"/>
          <w:b/>
          <w:bCs/>
        </w:rPr>
      </w:pPr>
    </w:p>
    <w:p w14:paraId="540FDF93" w14:textId="505EC214" w:rsidR="63C7920F" w:rsidRDefault="63C7920F" w:rsidP="227F8796">
      <w:pPr>
        <w:pStyle w:val="p1"/>
        <w:spacing w:line="360" w:lineRule="auto"/>
        <w:ind w:left="-360"/>
        <w:jc w:val="both"/>
        <w:rPr>
          <w:rStyle w:val="s2"/>
          <w:rFonts w:ascii="Arial" w:eastAsia="Arial" w:hAnsi="Arial" w:cs="Arial"/>
          <w:b/>
          <w:bCs/>
        </w:rPr>
      </w:pPr>
    </w:p>
    <w:p w14:paraId="472B20BE" w14:textId="73FE29D4" w:rsidR="00957E48" w:rsidRDefault="00957E48" w:rsidP="227F8796">
      <w:pPr>
        <w:pStyle w:val="p1"/>
        <w:spacing w:line="360" w:lineRule="auto"/>
        <w:ind w:left="-360"/>
        <w:jc w:val="both"/>
        <w:rPr>
          <w:rStyle w:val="s2"/>
          <w:rFonts w:ascii="Arial" w:eastAsia="Arial" w:hAnsi="Arial" w:cs="Arial"/>
        </w:rPr>
      </w:pPr>
      <w:r w:rsidRPr="00582D14">
        <w:rPr>
          <w:rStyle w:val="s2"/>
          <w:rFonts w:ascii="Arial" w:eastAsia="Arial" w:hAnsi="Arial" w:cs="Arial"/>
          <w:b/>
          <w:bCs/>
        </w:rPr>
        <w:t>Name</w:t>
      </w:r>
      <w:r w:rsidRPr="73A1A190">
        <w:rPr>
          <w:rStyle w:val="s2"/>
          <w:rFonts w:ascii="Arial" w:eastAsia="Arial" w:hAnsi="Arial" w:cs="Arial"/>
        </w:rPr>
        <w:t xml:space="preserve">: Mukendi </w:t>
      </w:r>
      <w:r w:rsidR="00B42824">
        <w:rPr>
          <w:rStyle w:val="s2"/>
          <w:rFonts w:ascii="Arial" w:eastAsia="Arial" w:hAnsi="Arial" w:cs="Arial"/>
        </w:rPr>
        <w:t>Matumba</w:t>
      </w:r>
    </w:p>
    <w:p w14:paraId="5C93EE11" w14:textId="77777777" w:rsidR="00957E48" w:rsidRDefault="00957E48" w:rsidP="227F8796">
      <w:pPr>
        <w:pStyle w:val="p1"/>
        <w:spacing w:line="360" w:lineRule="auto"/>
        <w:ind w:left="-360"/>
        <w:jc w:val="both"/>
        <w:rPr>
          <w:rStyle w:val="s2"/>
          <w:rFonts w:ascii="Arial" w:eastAsia="Arial" w:hAnsi="Arial" w:cs="Arial"/>
        </w:rPr>
      </w:pPr>
      <w:r w:rsidRPr="00FC5A65">
        <w:rPr>
          <w:rStyle w:val="s2"/>
          <w:rFonts w:ascii="Arial" w:eastAsia="Arial" w:hAnsi="Arial" w:cs="Arial"/>
          <w:b/>
          <w:bCs/>
        </w:rPr>
        <w:t>Student ID:</w:t>
      </w:r>
      <w:r w:rsidRPr="73A1A190">
        <w:rPr>
          <w:rStyle w:val="s2"/>
          <w:rFonts w:ascii="Arial" w:eastAsia="Arial" w:hAnsi="Arial" w:cs="Arial"/>
        </w:rPr>
        <w:t xml:space="preserve"> 2426801</w:t>
      </w:r>
    </w:p>
    <w:p w14:paraId="3220E23C" w14:textId="77777777" w:rsidR="00957E48" w:rsidRDefault="00957E48" w:rsidP="227F8796">
      <w:pPr>
        <w:pStyle w:val="p1"/>
        <w:spacing w:line="360" w:lineRule="auto"/>
        <w:ind w:left="-360"/>
        <w:jc w:val="both"/>
        <w:rPr>
          <w:rStyle w:val="s2"/>
          <w:rFonts w:ascii="Arial" w:eastAsia="Arial" w:hAnsi="Arial" w:cs="Arial"/>
        </w:rPr>
      </w:pPr>
      <w:r w:rsidRPr="00582D14">
        <w:rPr>
          <w:rStyle w:val="s2"/>
          <w:rFonts w:ascii="Arial" w:eastAsia="Arial" w:hAnsi="Arial" w:cs="Arial"/>
          <w:b/>
          <w:bCs/>
        </w:rPr>
        <w:t xml:space="preserve">Module Title: </w:t>
      </w:r>
      <w:r w:rsidRPr="73A1A190">
        <w:rPr>
          <w:rStyle w:val="s2"/>
          <w:rFonts w:ascii="Arial" w:eastAsia="Arial" w:hAnsi="Arial" w:cs="Arial"/>
        </w:rPr>
        <w:t>principles of Health and Social Care</w:t>
      </w:r>
    </w:p>
    <w:p w14:paraId="3293EC64" w14:textId="77777777" w:rsidR="00957E48" w:rsidRDefault="00957E48" w:rsidP="227F8796">
      <w:pPr>
        <w:pStyle w:val="p1"/>
        <w:spacing w:line="360" w:lineRule="auto"/>
        <w:ind w:left="-360"/>
        <w:jc w:val="both"/>
        <w:rPr>
          <w:rStyle w:val="s2"/>
          <w:rFonts w:ascii="Arial" w:eastAsia="Arial" w:hAnsi="Arial" w:cs="Arial"/>
        </w:rPr>
      </w:pPr>
      <w:r w:rsidRPr="00582D14">
        <w:rPr>
          <w:rStyle w:val="s2"/>
          <w:rFonts w:ascii="Arial" w:eastAsia="Arial" w:hAnsi="Arial" w:cs="Arial"/>
          <w:b/>
          <w:bCs/>
        </w:rPr>
        <w:t xml:space="preserve">Lecturer Name: </w:t>
      </w:r>
      <w:r w:rsidRPr="73A1A190">
        <w:rPr>
          <w:rStyle w:val="s2"/>
          <w:rFonts w:ascii="Arial" w:eastAsia="Arial" w:hAnsi="Arial" w:cs="Arial"/>
        </w:rPr>
        <w:t>Precious Igbinigie</w:t>
      </w:r>
    </w:p>
    <w:p w14:paraId="6FE094F0" w14:textId="60F4DF4A" w:rsidR="00957E48" w:rsidRDefault="00957E48" w:rsidP="227F8796">
      <w:pPr>
        <w:pStyle w:val="p1"/>
        <w:spacing w:line="360" w:lineRule="auto"/>
        <w:ind w:left="-360"/>
        <w:jc w:val="both"/>
        <w:rPr>
          <w:rStyle w:val="s2"/>
          <w:rFonts w:ascii="Arial" w:eastAsia="Arial" w:hAnsi="Arial" w:cs="Arial"/>
        </w:rPr>
      </w:pPr>
      <w:r w:rsidRPr="00FC5A65">
        <w:rPr>
          <w:rStyle w:val="s2"/>
          <w:rFonts w:ascii="Arial" w:eastAsia="Arial" w:hAnsi="Arial" w:cs="Arial"/>
          <w:b/>
          <w:bCs/>
        </w:rPr>
        <w:t>Submission Date:</w:t>
      </w:r>
      <w:r w:rsidRPr="73A1A190">
        <w:rPr>
          <w:rStyle w:val="s2"/>
          <w:rFonts w:ascii="Arial" w:eastAsia="Arial" w:hAnsi="Arial" w:cs="Arial"/>
        </w:rPr>
        <w:t xml:space="preserve"> </w:t>
      </w:r>
      <w:r w:rsidR="003A3B43">
        <w:rPr>
          <w:rStyle w:val="s2"/>
          <w:rFonts w:ascii="Arial" w:eastAsia="Arial" w:hAnsi="Arial" w:cs="Arial"/>
        </w:rPr>
        <w:t>29</w:t>
      </w:r>
      <w:r w:rsidRPr="73A1A190">
        <w:rPr>
          <w:rStyle w:val="s2"/>
          <w:rFonts w:ascii="Arial" w:eastAsia="Arial" w:hAnsi="Arial" w:cs="Arial"/>
        </w:rPr>
        <w:t>/03/2026</w:t>
      </w:r>
    </w:p>
    <w:p w14:paraId="15BEA883" w14:textId="77777777" w:rsidR="00957E48" w:rsidRDefault="00957E48" w:rsidP="227F8796">
      <w:pPr>
        <w:pStyle w:val="p1"/>
        <w:spacing w:line="360" w:lineRule="auto"/>
        <w:ind w:left="-360"/>
        <w:jc w:val="both"/>
        <w:rPr>
          <w:rStyle w:val="s2"/>
          <w:rFonts w:ascii="Arial" w:eastAsia="Arial" w:hAnsi="Arial" w:cs="Arial"/>
        </w:rPr>
      </w:pPr>
      <w:r w:rsidRPr="00FC5A65">
        <w:rPr>
          <w:rStyle w:val="s2"/>
          <w:rFonts w:ascii="Arial" w:eastAsia="Arial" w:hAnsi="Arial" w:cs="Arial"/>
          <w:b/>
          <w:bCs/>
        </w:rPr>
        <w:t xml:space="preserve">Word Count: </w:t>
      </w:r>
      <w:r w:rsidRPr="73A1A190">
        <w:rPr>
          <w:rStyle w:val="s2"/>
          <w:rFonts w:ascii="Arial" w:eastAsia="Arial" w:hAnsi="Arial" w:cs="Arial"/>
        </w:rPr>
        <w:t>2000</w:t>
      </w:r>
    </w:p>
    <w:p w14:paraId="0A38829B" w14:textId="77777777" w:rsidR="00437829" w:rsidRDefault="00437829" w:rsidP="227F8796">
      <w:pPr>
        <w:spacing w:line="360" w:lineRule="auto"/>
        <w:ind w:left="-360"/>
        <w:jc w:val="both"/>
        <w:rPr>
          <w:rFonts w:ascii="Arial" w:eastAsia="Arial" w:hAnsi="Arial" w:cs="Arial"/>
          <w:b/>
          <w:color w:val="1F3864"/>
          <w:sz w:val="32"/>
          <w:szCs w:val="32"/>
        </w:rPr>
      </w:pPr>
    </w:p>
    <w:p w14:paraId="732BFE56" w14:textId="40D7D9C0" w:rsidR="00957E48" w:rsidRDefault="00957E48" w:rsidP="227F8796">
      <w:pPr>
        <w:spacing w:line="360" w:lineRule="auto"/>
        <w:ind w:left="-360"/>
        <w:jc w:val="both"/>
        <w:rPr>
          <w:rFonts w:ascii="Arial" w:eastAsia="Arial" w:hAnsi="Arial" w:cs="Arial"/>
          <w:b/>
          <w:color w:val="1F3864"/>
          <w:sz w:val="32"/>
          <w:szCs w:val="32"/>
        </w:rPr>
      </w:pPr>
    </w:p>
    <w:p w14:paraId="55054ED2" w14:textId="0E788BBF" w:rsidR="00957E48" w:rsidRDefault="00957E48" w:rsidP="227F8796">
      <w:pPr>
        <w:spacing w:line="360" w:lineRule="auto"/>
        <w:ind w:left="-360"/>
        <w:jc w:val="both"/>
        <w:rPr>
          <w:rFonts w:ascii="Arial" w:eastAsia="Arial" w:hAnsi="Arial" w:cs="Arial"/>
          <w:b/>
          <w:color w:val="1F3864"/>
          <w:sz w:val="32"/>
          <w:szCs w:val="32"/>
        </w:rPr>
      </w:pPr>
    </w:p>
    <w:p w14:paraId="45875CF1" w14:textId="38CA93C1" w:rsidR="00957E48" w:rsidRDefault="00957E48" w:rsidP="227F8796">
      <w:pPr>
        <w:spacing w:line="360" w:lineRule="auto"/>
        <w:ind w:left="-360"/>
        <w:jc w:val="both"/>
        <w:rPr>
          <w:rFonts w:ascii="Arial" w:eastAsia="Arial" w:hAnsi="Arial" w:cs="Arial"/>
          <w:b/>
          <w:color w:val="1F3864"/>
          <w:sz w:val="32"/>
          <w:szCs w:val="32"/>
        </w:rPr>
      </w:pPr>
    </w:p>
    <w:p w14:paraId="67E6DE3F" w14:textId="787F88F7" w:rsidR="00957E48" w:rsidRDefault="00957E48" w:rsidP="227F8796">
      <w:pPr>
        <w:spacing w:line="360" w:lineRule="auto"/>
        <w:ind w:left="-360"/>
        <w:jc w:val="both"/>
        <w:rPr>
          <w:rFonts w:ascii="Arial" w:eastAsia="Arial" w:hAnsi="Arial" w:cs="Arial"/>
          <w:b/>
          <w:color w:val="1F3864"/>
          <w:sz w:val="32"/>
          <w:szCs w:val="32"/>
        </w:rPr>
      </w:pPr>
    </w:p>
    <w:p w14:paraId="73C4F34A" w14:textId="7AAA5B50" w:rsidR="00957E48" w:rsidRDefault="00957E48" w:rsidP="227F8796">
      <w:pPr>
        <w:spacing w:line="360" w:lineRule="auto"/>
        <w:ind w:left="-360"/>
        <w:jc w:val="both"/>
        <w:rPr>
          <w:rFonts w:ascii="Arial" w:eastAsia="Arial" w:hAnsi="Arial" w:cs="Arial"/>
          <w:b/>
          <w:color w:val="1F3864"/>
          <w:sz w:val="32"/>
          <w:szCs w:val="32"/>
        </w:rPr>
      </w:pPr>
    </w:p>
    <w:p w14:paraId="0902EB0F" w14:textId="77777777" w:rsidR="009C6204" w:rsidRDefault="009C6204" w:rsidP="227F8796">
      <w:pPr>
        <w:spacing w:before="100" w:beforeAutospacing="1" w:after="100" w:afterAutospacing="1" w:line="360" w:lineRule="auto"/>
        <w:ind w:left="-360"/>
        <w:jc w:val="both"/>
        <w:rPr>
          <w:rFonts w:ascii="Arial" w:eastAsia="Arial" w:hAnsi="Arial" w:cs="Arial"/>
          <w:b/>
          <w:kern w:val="0"/>
          <w14:ligatures w14:val="none"/>
        </w:rPr>
      </w:pPr>
    </w:p>
    <w:p w14:paraId="37314453" w14:textId="77777777" w:rsidR="009C6204" w:rsidRDefault="009C6204" w:rsidP="227F8796">
      <w:pPr>
        <w:spacing w:before="100" w:beforeAutospacing="1" w:after="100" w:afterAutospacing="1" w:line="360" w:lineRule="auto"/>
        <w:ind w:left="-360"/>
        <w:jc w:val="both"/>
        <w:rPr>
          <w:rFonts w:ascii="Arial" w:eastAsia="Arial" w:hAnsi="Arial" w:cs="Arial"/>
          <w:b/>
          <w:kern w:val="0"/>
          <w14:ligatures w14:val="none"/>
        </w:rPr>
      </w:pPr>
    </w:p>
    <w:p w14:paraId="41ED11F0" w14:textId="51B3B3D0" w:rsidR="007700BC" w:rsidRPr="007700BC" w:rsidRDefault="004926E9" w:rsidP="227F8796">
      <w:pPr>
        <w:spacing w:before="100" w:beforeAutospacing="1" w:after="100" w:afterAutospacing="1" w:line="360" w:lineRule="auto"/>
        <w:ind w:left="-360"/>
        <w:jc w:val="both"/>
        <w:rPr>
          <w:rFonts w:ascii="Arial" w:eastAsia="Arial" w:hAnsi="Arial" w:cs="Arial"/>
          <w:b/>
          <w:kern w:val="0"/>
          <w:sz w:val="28"/>
          <w:szCs w:val="28"/>
          <w14:ligatures w14:val="none"/>
        </w:rPr>
      </w:pPr>
      <w:r w:rsidRPr="0C639715">
        <w:rPr>
          <w:rFonts w:ascii="Arial" w:eastAsia="Arial" w:hAnsi="Arial" w:cs="Arial"/>
          <w:b/>
          <w:kern w:val="0"/>
          <w:sz w:val="28"/>
          <w:szCs w:val="28"/>
          <w14:ligatures w14:val="none"/>
        </w:rPr>
        <w:t>Abstract</w:t>
      </w:r>
    </w:p>
    <w:p w14:paraId="314E71ED" w14:textId="1F64D6B6" w:rsidR="007700BC" w:rsidRDefault="007700BC" w:rsidP="227F8796">
      <w:pPr>
        <w:pStyle w:val="p1"/>
        <w:spacing w:line="360" w:lineRule="auto"/>
        <w:ind w:left="-360"/>
        <w:jc w:val="both"/>
        <w:rPr>
          <w:rStyle w:val="s2"/>
          <w:rFonts w:ascii="Arial" w:eastAsia="Arial" w:hAnsi="Arial" w:cs="Arial"/>
          <w:sz w:val="22"/>
          <w:szCs w:val="22"/>
        </w:rPr>
      </w:pPr>
      <w:r w:rsidRPr="523777A9">
        <w:rPr>
          <w:rStyle w:val="s2"/>
          <w:rFonts w:ascii="Arial" w:eastAsia="Arial" w:hAnsi="Arial" w:cs="Arial"/>
          <w:sz w:val="22"/>
          <w:szCs w:val="22"/>
        </w:rPr>
        <w:t>The report critically assesses Person Centred Care (PCC) and Partnership Working (PW) in an acute hospital environment in the NHS. PCC places the individual at the centre of his care and PW involves the integration of the services of health and social care professionals and organisations in a collaborative manner. It critiques the concept, advantages, and drawbacks of PCC basing on the Person-Centred Nursing Framework offered by McCormack and McCance (2010) as the theoretical framework which underlies the concept. PCC and PW are considered in regard to ethical principles of autonomy, beneficence, non-maleficence, and justice. The partnership working is evaluated in regard to the development of Integrated Care Systems (ICS) in England. The applicability of the UK laws such as the Health and Social Care Act 2012 and the Care Act 2014 has been discussed and suggestions made on how the act can be further developed in future.</w:t>
      </w:r>
    </w:p>
    <w:p w14:paraId="297552F6" w14:textId="77777777" w:rsidR="007700BC" w:rsidRDefault="007700BC" w:rsidP="227F8796">
      <w:pPr>
        <w:pStyle w:val="p2"/>
        <w:spacing w:line="360" w:lineRule="auto"/>
        <w:ind w:left="-360"/>
        <w:jc w:val="both"/>
        <w:rPr>
          <w:rFonts w:ascii="Arial" w:eastAsia="Arial" w:hAnsi="Arial" w:cs="Arial"/>
          <w:sz w:val="22"/>
          <w:szCs w:val="22"/>
        </w:rPr>
      </w:pPr>
    </w:p>
    <w:p w14:paraId="14FC743F" w14:textId="77777777" w:rsidR="007700BC" w:rsidRDefault="007700BC" w:rsidP="227F8796">
      <w:pPr>
        <w:pStyle w:val="p1"/>
        <w:spacing w:line="360" w:lineRule="auto"/>
        <w:ind w:left="-360"/>
        <w:jc w:val="both"/>
        <w:rPr>
          <w:rStyle w:val="s2"/>
          <w:rFonts w:ascii="Arial" w:eastAsia="Arial" w:hAnsi="Arial" w:cs="Arial"/>
          <w:sz w:val="22"/>
          <w:szCs w:val="22"/>
        </w:rPr>
      </w:pPr>
      <w:r w:rsidRPr="6606273A">
        <w:rPr>
          <w:rStyle w:val="s2"/>
          <w:rFonts w:ascii="Arial" w:eastAsia="Arial" w:hAnsi="Arial" w:cs="Arial"/>
          <w:sz w:val="22"/>
          <w:szCs w:val="22"/>
        </w:rPr>
        <w:t>The report further provides clear definitions of Person-Centred Care alongside its key benefits and challenges within acute hospital settings. In addition, it offers practical recommendations to improve PCC and Partnership Working, particularly in relation to communication, staff development, and collaborative practice. These recommendations are critically evaluated to assess their feasibility, effectiveness, and potential limitations within the current NHS structure. The analysis is based on fifteen academic UK-based sources.</w:t>
      </w:r>
    </w:p>
    <w:p w14:paraId="208FB702" w14:textId="6655AA48" w:rsidR="007A5B8D" w:rsidRPr="007A5B8D" w:rsidRDefault="007A5B8D" w:rsidP="227F8796">
      <w:pPr>
        <w:spacing w:before="100" w:beforeAutospacing="1" w:after="100" w:afterAutospacing="1" w:line="360" w:lineRule="auto"/>
        <w:ind w:left="-360"/>
        <w:jc w:val="both"/>
        <w:rPr>
          <w:rFonts w:ascii="Arial" w:eastAsia="Arial" w:hAnsi="Arial" w:cs="Arial"/>
          <w:kern w:val="0"/>
          <w:sz w:val="22"/>
          <w:szCs w:val="22"/>
          <w14:ligatures w14:val="none"/>
        </w:rPr>
      </w:pPr>
    </w:p>
    <w:p w14:paraId="5429965B" w14:textId="739DD5A4" w:rsidR="007A5B8D" w:rsidRDefault="007A5B8D" w:rsidP="227F8796">
      <w:pPr>
        <w:spacing w:line="360" w:lineRule="auto"/>
        <w:ind w:left="-360"/>
        <w:jc w:val="both"/>
        <w:rPr>
          <w:rFonts w:ascii="Arial" w:eastAsia="Arial" w:hAnsi="Arial" w:cs="Arial"/>
          <w:b/>
          <w:color w:val="1F3864"/>
          <w:sz w:val="22"/>
          <w:szCs w:val="22"/>
        </w:rPr>
      </w:pPr>
    </w:p>
    <w:p w14:paraId="2D36E91E" w14:textId="16A8E668" w:rsidR="007B28C4" w:rsidRPr="007B28C4" w:rsidRDefault="007B28C4" w:rsidP="227F8796">
      <w:pPr>
        <w:spacing w:line="360" w:lineRule="auto"/>
        <w:ind w:left="-360"/>
        <w:jc w:val="both"/>
        <w:rPr>
          <w:rFonts w:ascii="Arial" w:eastAsia="Arial" w:hAnsi="Arial" w:cs="Arial"/>
          <w:color w:val="1F3864"/>
          <w:sz w:val="22"/>
          <w:szCs w:val="22"/>
        </w:rPr>
      </w:pPr>
    </w:p>
    <w:p w14:paraId="211072FB" w14:textId="468DEB8D" w:rsidR="63C7920F" w:rsidRDefault="63C7920F" w:rsidP="227F8796">
      <w:pPr>
        <w:spacing w:beforeAutospacing="1" w:afterAutospacing="1" w:line="360" w:lineRule="auto"/>
        <w:ind w:left="-360"/>
        <w:jc w:val="both"/>
        <w:outlineLvl w:val="0"/>
        <w:rPr>
          <w:rFonts w:ascii="Arial" w:eastAsia="Arial" w:hAnsi="Arial" w:cs="Arial"/>
          <w:b/>
          <w:sz w:val="22"/>
          <w:szCs w:val="22"/>
        </w:rPr>
      </w:pPr>
    </w:p>
    <w:p w14:paraId="0821EA69" w14:textId="71DA1AEA" w:rsidR="63C7920F" w:rsidRDefault="63C7920F" w:rsidP="227F8796">
      <w:pPr>
        <w:spacing w:beforeAutospacing="1" w:afterAutospacing="1" w:line="360" w:lineRule="auto"/>
        <w:ind w:left="-360"/>
        <w:jc w:val="both"/>
        <w:outlineLvl w:val="0"/>
        <w:rPr>
          <w:rFonts w:ascii="Arial" w:eastAsia="Arial" w:hAnsi="Arial" w:cs="Arial"/>
          <w:b/>
          <w:sz w:val="22"/>
          <w:szCs w:val="22"/>
        </w:rPr>
      </w:pPr>
    </w:p>
    <w:p w14:paraId="63EBD5A7" w14:textId="65426407" w:rsidR="63C7920F" w:rsidRDefault="63C7920F" w:rsidP="227F8796">
      <w:pPr>
        <w:spacing w:beforeAutospacing="1" w:afterAutospacing="1" w:line="360" w:lineRule="auto"/>
        <w:ind w:left="-360"/>
        <w:jc w:val="both"/>
        <w:outlineLvl w:val="0"/>
        <w:rPr>
          <w:rFonts w:ascii="Arial" w:eastAsia="Arial" w:hAnsi="Arial" w:cs="Arial"/>
          <w:b/>
          <w:sz w:val="22"/>
          <w:szCs w:val="22"/>
        </w:rPr>
      </w:pPr>
    </w:p>
    <w:p w14:paraId="20F33ACC" w14:textId="77777777" w:rsidR="009C6204" w:rsidRDefault="009C6204" w:rsidP="227F8796">
      <w:pPr>
        <w:spacing w:before="100" w:beforeAutospacing="1" w:after="100" w:afterAutospacing="1" w:line="360" w:lineRule="auto"/>
        <w:ind w:left="-360"/>
        <w:jc w:val="both"/>
        <w:outlineLvl w:val="0"/>
        <w:rPr>
          <w:rFonts w:ascii="Arial" w:eastAsia="Arial" w:hAnsi="Arial" w:cs="Arial"/>
          <w:b/>
          <w:kern w:val="36"/>
          <w:sz w:val="22"/>
          <w:szCs w:val="22"/>
          <w14:ligatures w14:val="none"/>
        </w:rPr>
      </w:pPr>
    </w:p>
    <w:p w14:paraId="211CB68A" w14:textId="77777777" w:rsidR="009C6204" w:rsidRDefault="009C6204" w:rsidP="227F8796">
      <w:pPr>
        <w:spacing w:before="100" w:beforeAutospacing="1" w:after="100" w:afterAutospacing="1" w:line="360" w:lineRule="auto"/>
        <w:ind w:left="-360"/>
        <w:jc w:val="both"/>
        <w:outlineLvl w:val="0"/>
        <w:rPr>
          <w:rFonts w:ascii="Arial" w:eastAsia="Arial" w:hAnsi="Arial" w:cs="Arial"/>
          <w:b/>
          <w:kern w:val="36"/>
          <w:sz w:val="22"/>
          <w:szCs w:val="22"/>
          <w14:ligatures w14:val="none"/>
        </w:rPr>
      </w:pPr>
    </w:p>
    <w:p w14:paraId="6A02EDC5" w14:textId="77777777" w:rsidR="009C6204" w:rsidRDefault="009C6204" w:rsidP="227F8796">
      <w:pPr>
        <w:spacing w:before="100" w:beforeAutospacing="1" w:after="100" w:afterAutospacing="1" w:line="360" w:lineRule="auto"/>
        <w:ind w:left="-360"/>
        <w:jc w:val="both"/>
        <w:outlineLvl w:val="0"/>
        <w:rPr>
          <w:rFonts w:ascii="Arial" w:eastAsia="Arial" w:hAnsi="Arial" w:cs="Arial"/>
          <w:b/>
          <w:kern w:val="36"/>
          <w:sz w:val="22"/>
          <w:szCs w:val="22"/>
          <w14:ligatures w14:val="none"/>
        </w:rPr>
      </w:pPr>
    </w:p>
    <w:p w14:paraId="29DB33FA" w14:textId="77777777" w:rsidR="00990902" w:rsidRPr="00990902" w:rsidRDefault="00990902" w:rsidP="227F8796">
      <w:pPr>
        <w:spacing w:before="100" w:beforeAutospacing="1" w:after="100" w:afterAutospacing="1" w:line="360" w:lineRule="auto"/>
        <w:ind w:left="-360"/>
        <w:jc w:val="both"/>
        <w:outlineLvl w:val="0"/>
        <w:rPr>
          <w:rFonts w:ascii="Arial" w:eastAsia="Arial" w:hAnsi="Arial" w:cs="Arial"/>
          <w:b/>
          <w:kern w:val="36"/>
          <w:sz w:val="48"/>
          <w:szCs w:val="48"/>
          <w14:ligatures w14:val="none"/>
        </w:rPr>
      </w:pPr>
      <w:r w:rsidRPr="63C7920F">
        <w:rPr>
          <w:rFonts w:ascii="Arial" w:eastAsia="Arial" w:hAnsi="Arial" w:cs="Arial"/>
          <w:b/>
          <w:kern w:val="36"/>
          <w:sz w:val="48"/>
          <w:szCs w:val="48"/>
          <w14:ligatures w14:val="none"/>
        </w:rPr>
        <w:t>Table of Contents</w:t>
      </w:r>
    </w:p>
    <w:p w14:paraId="5965BD0F" w14:textId="0403D455"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Abstract ………………………………………………. </w:t>
      </w:r>
    </w:p>
    <w:p w14:paraId="2F12CDFA" w14:textId="21F584FE"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Introduction ………………………………………….. </w:t>
      </w:r>
    </w:p>
    <w:p w14:paraId="7F74CE60" w14:textId="62FBBC05"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Definition, Benefits and Challenges of Person-Centred Care …. </w:t>
      </w:r>
    </w:p>
    <w:p w14:paraId="3F1E41EB" w14:textId="6E68EB0C"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Theoretical Framework: McCormack and McCance ……………… </w:t>
      </w:r>
    </w:p>
    <w:p w14:paraId="06D3B6C1" w14:textId="4A0E2664"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Ethical Principles in Health and Social Care ……………… </w:t>
      </w:r>
    </w:p>
    <w:p w14:paraId="0316D08D" w14:textId="1BE3ADE9"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Partnership Working in the NHS ………………………….. </w:t>
      </w:r>
    </w:p>
    <w:p w14:paraId="1D4B5ACF" w14:textId="0893867C"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Policy and Legislation …………………………………. </w:t>
      </w:r>
    </w:p>
    <w:p w14:paraId="6EE789C5" w14:textId="1E9AF76D"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Recommendations ……………………………………….. </w:t>
      </w:r>
    </w:p>
    <w:p w14:paraId="439D41DA" w14:textId="3A12C2CD"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Critical Evaluation of Recommendations …………………… </w:t>
      </w:r>
    </w:p>
    <w:p w14:paraId="02F428A2" w14:textId="79BBB9EF"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Conclusion ………………………………………….. </w:t>
      </w:r>
    </w:p>
    <w:p w14:paraId="6BC7798F" w14:textId="69519486" w:rsidR="00990902" w:rsidRPr="00990902" w:rsidRDefault="00990902" w:rsidP="227F8796">
      <w:pPr>
        <w:numPr>
          <w:ilvl w:val="0"/>
          <w:numId w:val="6"/>
        </w:num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 xml:space="preserve">References ………………………………………….. </w:t>
      </w:r>
    </w:p>
    <w:p w14:paraId="110FC7BA" w14:textId="6D27F5F5" w:rsidR="3775A5DB" w:rsidRDefault="3775A5DB" w:rsidP="227F8796">
      <w:pPr>
        <w:spacing w:line="360" w:lineRule="auto"/>
        <w:ind w:left="-360"/>
        <w:jc w:val="both"/>
        <w:rPr>
          <w:rFonts w:ascii="Arial" w:eastAsia="Arial" w:hAnsi="Arial" w:cs="Arial"/>
          <w:color w:val="1F3864"/>
          <w:sz w:val="32"/>
          <w:szCs w:val="32"/>
        </w:rPr>
      </w:pPr>
    </w:p>
    <w:p w14:paraId="0D3CA251" w14:textId="2F16961E" w:rsidR="3775A5DB" w:rsidRDefault="3775A5DB" w:rsidP="227F8796">
      <w:pPr>
        <w:spacing w:line="360" w:lineRule="auto"/>
        <w:ind w:left="-360"/>
        <w:jc w:val="both"/>
        <w:rPr>
          <w:rFonts w:ascii="Arial" w:eastAsia="Arial" w:hAnsi="Arial" w:cs="Arial"/>
          <w:color w:val="1F3864"/>
          <w:sz w:val="32"/>
          <w:szCs w:val="32"/>
        </w:rPr>
      </w:pPr>
    </w:p>
    <w:p w14:paraId="3F26812F" w14:textId="1B12630F" w:rsidR="3775A5DB" w:rsidRDefault="3775A5DB" w:rsidP="227F8796">
      <w:pPr>
        <w:spacing w:line="360" w:lineRule="auto"/>
        <w:ind w:left="-360"/>
        <w:jc w:val="both"/>
        <w:rPr>
          <w:rFonts w:ascii="Arial" w:eastAsia="Arial" w:hAnsi="Arial" w:cs="Arial"/>
          <w:color w:val="1F3864"/>
          <w:sz w:val="32"/>
          <w:szCs w:val="32"/>
        </w:rPr>
      </w:pPr>
    </w:p>
    <w:p w14:paraId="50CE55E6" w14:textId="086CF941" w:rsidR="3775A5DB" w:rsidRDefault="3775A5DB" w:rsidP="227F8796">
      <w:pPr>
        <w:spacing w:line="360" w:lineRule="auto"/>
        <w:ind w:left="-360"/>
        <w:jc w:val="both"/>
        <w:rPr>
          <w:rFonts w:ascii="Arial" w:eastAsia="Arial" w:hAnsi="Arial" w:cs="Arial"/>
          <w:color w:val="1F3864"/>
          <w:sz w:val="32"/>
          <w:szCs w:val="32"/>
        </w:rPr>
      </w:pPr>
    </w:p>
    <w:p w14:paraId="3D32229A" w14:textId="7AF053CD" w:rsidR="3775A5DB" w:rsidRDefault="3775A5DB" w:rsidP="227F8796">
      <w:pPr>
        <w:spacing w:line="360" w:lineRule="auto"/>
        <w:ind w:left="-360"/>
        <w:jc w:val="both"/>
        <w:rPr>
          <w:rFonts w:ascii="Arial" w:eastAsia="Arial" w:hAnsi="Arial" w:cs="Arial"/>
          <w:color w:val="1F3864"/>
          <w:sz w:val="32"/>
          <w:szCs w:val="32"/>
        </w:rPr>
      </w:pPr>
    </w:p>
    <w:p w14:paraId="4CEA26FD" w14:textId="26129D76" w:rsidR="3775A5DB" w:rsidRDefault="3775A5DB" w:rsidP="227F8796">
      <w:pPr>
        <w:spacing w:line="360" w:lineRule="auto"/>
        <w:ind w:left="-360"/>
        <w:jc w:val="both"/>
        <w:rPr>
          <w:rFonts w:ascii="Arial" w:eastAsia="Arial" w:hAnsi="Arial" w:cs="Arial"/>
          <w:color w:val="1F3864"/>
          <w:sz w:val="32"/>
          <w:szCs w:val="32"/>
        </w:rPr>
      </w:pPr>
    </w:p>
    <w:p w14:paraId="1D673DB5" w14:textId="5325844A" w:rsidR="3775A5DB" w:rsidRDefault="3775A5DB" w:rsidP="227F8796">
      <w:pPr>
        <w:spacing w:line="360" w:lineRule="auto"/>
        <w:ind w:left="-360"/>
        <w:jc w:val="both"/>
        <w:rPr>
          <w:rFonts w:ascii="Arial" w:eastAsia="Arial" w:hAnsi="Arial" w:cs="Arial"/>
          <w:color w:val="1F3864"/>
          <w:sz w:val="32"/>
          <w:szCs w:val="32"/>
        </w:rPr>
      </w:pPr>
    </w:p>
    <w:p w14:paraId="55976833" w14:textId="5D0EF399" w:rsidR="3775A5DB" w:rsidRDefault="3775A5DB" w:rsidP="227F8796">
      <w:pPr>
        <w:spacing w:line="360" w:lineRule="auto"/>
        <w:ind w:left="-360"/>
        <w:jc w:val="both"/>
        <w:rPr>
          <w:rFonts w:ascii="Arial" w:eastAsia="Arial" w:hAnsi="Arial" w:cs="Arial"/>
          <w:color w:val="1F3864"/>
          <w:sz w:val="32"/>
          <w:szCs w:val="32"/>
        </w:rPr>
      </w:pPr>
    </w:p>
    <w:p w14:paraId="23AF0928" w14:textId="145FA49C" w:rsidR="523777A9" w:rsidRDefault="523777A9" w:rsidP="523777A9">
      <w:pPr>
        <w:pStyle w:val="NoSpacing"/>
        <w:spacing w:line="360" w:lineRule="auto"/>
        <w:ind w:left="-360"/>
        <w:jc w:val="both"/>
        <w:rPr>
          <w:b/>
          <w:bCs/>
          <w:sz w:val="28"/>
          <w:szCs w:val="28"/>
        </w:rPr>
      </w:pPr>
    </w:p>
    <w:p w14:paraId="2F3E897D" w14:textId="219045DB" w:rsidR="6D71A3CF" w:rsidRDefault="68C954E5" w:rsidP="523777A9">
      <w:pPr>
        <w:pStyle w:val="NoSpacing"/>
        <w:spacing w:line="360" w:lineRule="auto"/>
        <w:ind w:left="-360"/>
        <w:jc w:val="both"/>
        <w:rPr>
          <w:rFonts w:ascii="Arial" w:eastAsia="Arial" w:hAnsi="Arial" w:cs="Arial"/>
          <w:b/>
          <w:bCs/>
          <w:color w:val="1F3864"/>
          <w:sz w:val="28"/>
          <w:szCs w:val="28"/>
        </w:rPr>
      </w:pPr>
      <w:r w:rsidRPr="523777A9">
        <w:rPr>
          <w:b/>
          <w:bCs/>
          <w:sz w:val="28"/>
          <w:szCs w:val="28"/>
        </w:rPr>
        <w:t>1</w:t>
      </w:r>
      <w:r w:rsidR="63C7920F" w:rsidRPr="523777A9">
        <w:rPr>
          <w:b/>
          <w:bCs/>
          <w:sz w:val="28"/>
          <w:szCs w:val="28"/>
        </w:rPr>
        <w:t xml:space="preserve">. </w:t>
      </w:r>
      <w:r w:rsidR="6064874D" w:rsidRPr="523777A9">
        <w:rPr>
          <w:b/>
          <w:bCs/>
          <w:sz w:val="28"/>
          <w:szCs w:val="28"/>
        </w:rPr>
        <w:t>I</w:t>
      </w:r>
      <w:r w:rsidR="6D71A3CF" w:rsidRPr="523777A9">
        <w:rPr>
          <w:b/>
          <w:bCs/>
          <w:sz w:val="28"/>
          <w:szCs w:val="28"/>
        </w:rPr>
        <w:t xml:space="preserve">ntroduction </w:t>
      </w:r>
    </w:p>
    <w:p w14:paraId="0EB71CD9" w14:textId="20515363" w:rsidR="00A30F13" w:rsidRDefault="00A30F13" w:rsidP="227F8796">
      <w:pPr>
        <w:pStyle w:val="p1"/>
        <w:spacing w:line="360" w:lineRule="auto"/>
        <w:ind w:left="-360"/>
        <w:jc w:val="both"/>
        <w:rPr>
          <w:rStyle w:val="s1"/>
          <w:rFonts w:ascii="Arial" w:eastAsia="Arial" w:hAnsi="Arial" w:cs="Arial"/>
          <w:sz w:val="22"/>
          <w:szCs w:val="22"/>
        </w:rPr>
      </w:pPr>
      <w:r w:rsidRPr="5E7F32DF">
        <w:rPr>
          <w:rStyle w:val="s1"/>
          <w:rFonts w:ascii="Arial" w:eastAsia="Arial" w:hAnsi="Arial" w:cs="Arial"/>
          <w:sz w:val="22"/>
          <w:szCs w:val="22"/>
        </w:rPr>
        <w:t>Person-Centred Care (PCC) and Partnership Working (PW) are important principles in modern health and social care practice in the United Kingdom. The National Health Service (NHS) is under increasing pressure due to an ageing population, more people living with long-term conditions, staff shortages, and limited funding (NHS England, 2019). These challenges make it necessary to provide care that focuses on individual patient needs while also improving cooperation between professionals and organisations.</w:t>
      </w:r>
    </w:p>
    <w:p w14:paraId="51A043DF" w14:textId="4A7E4144" w:rsidR="00A30F13" w:rsidRDefault="00A30F13" w:rsidP="227F8796">
      <w:pPr>
        <w:pStyle w:val="p1"/>
        <w:spacing w:line="360" w:lineRule="auto"/>
        <w:ind w:left="-360"/>
        <w:jc w:val="both"/>
        <w:rPr>
          <w:rStyle w:val="s1"/>
          <w:rFonts w:ascii="Arial" w:eastAsia="Arial" w:hAnsi="Arial" w:cs="Arial"/>
          <w:sz w:val="22"/>
          <w:szCs w:val="22"/>
        </w:rPr>
      </w:pPr>
      <w:r w:rsidRPr="5E7F32DF">
        <w:rPr>
          <w:rStyle w:val="s1"/>
          <w:rFonts w:ascii="Arial" w:eastAsia="Arial" w:hAnsi="Arial" w:cs="Arial"/>
          <w:sz w:val="22"/>
          <w:szCs w:val="22"/>
        </w:rPr>
        <w:t>Working conditions for doctors and nurses in the UK have become more difficult, with heavy workload, long shifts, and lack of staff leading to stress and burnout. Many healthcare professionals are leaving the NHS or moving abroad to countries where pay and working conditions are better. This makes it harder to provide safe and person-centred care, especially in acute hospital settings (The King’s Fund, 2020).</w:t>
      </w:r>
    </w:p>
    <w:p w14:paraId="3FA1BD62" w14:textId="50100405" w:rsidR="00A30F13" w:rsidRDefault="00A30F13" w:rsidP="227F8796">
      <w:pPr>
        <w:pStyle w:val="p1"/>
        <w:spacing w:line="360" w:lineRule="auto"/>
        <w:ind w:left="-360"/>
        <w:jc w:val="both"/>
        <w:rPr>
          <w:rStyle w:val="s1"/>
          <w:rFonts w:ascii="Arial" w:eastAsia="Arial" w:hAnsi="Arial" w:cs="Arial"/>
          <w:sz w:val="22"/>
          <w:szCs w:val="22"/>
        </w:rPr>
      </w:pPr>
      <w:r w:rsidRPr="5E7F32DF">
        <w:rPr>
          <w:rStyle w:val="s1"/>
          <w:rFonts w:ascii="Arial" w:eastAsia="Arial" w:hAnsi="Arial" w:cs="Arial"/>
          <w:sz w:val="22"/>
          <w:szCs w:val="22"/>
        </w:rPr>
        <w:t>This report critically analyses Person-Centred Care and Partnership Working in NHS acute hospitals. It explains the meaning and importance of PCC, examines the Person-Centred Nursing Framework by McCormack and McCance (2010), and discusses ethical principles that guide health and social care practice. The report also evaluates Partnership Working, including Integrated Care Systems, and reviews relevant UK policies and legislation. Finally, recommendations are made to improve staffing, funding, and working conditions in order to support person-centred and collaborative care, although these recommendations may be difficult to implement due to financial and organisational limitations.</w:t>
      </w:r>
    </w:p>
    <w:p w14:paraId="36F4CF37" w14:textId="6196D498" w:rsidR="00C309E9" w:rsidRDefault="00A16FEB" w:rsidP="523777A9">
      <w:pPr>
        <w:pStyle w:val="p1"/>
        <w:spacing w:line="360" w:lineRule="auto"/>
        <w:ind w:left="-360"/>
        <w:jc w:val="both"/>
        <w:rPr>
          <w:rStyle w:val="s1"/>
          <w:rFonts w:ascii="Arial" w:eastAsia="Arial" w:hAnsi="Arial" w:cs="Arial"/>
          <w:b/>
          <w:bCs/>
          <w:sz w:val="28"/>
          <w:szCs w:val="28"/>
        </w:rPr>
      </w:pPr>
      <w:r w:rsidRPr="523777A9">
        <w:rPr>
          <w:rFonts w:ascii="Arial" w:eastAsia="Arial" w:hAnsi="Arial" w:cs="Arial"/>
          <w:b/>
          <w:bCs/>
          <w:color w:val="1F3864"/>
          <w:sz w:val="28"/>
          <w:szCs w:val="28"/>
        </w:rPr>
        <w:t>2</w:t>
      </w:r>
      <w:r w:rsidR="00526FD2" w:rsidRPr="523777A9">
        <w:rPr>
          <w:rFonts w:ascii="Arial" w:eastAsia="Arial" w:hAnsi="Arial" w:cs="Arial"/>
          <w:b/>
          <w:bCs/>
          <w:color w:val="1F3864"/>
          <w:sz w:val="28"/>
          <w:szCs w:val="28"/>
        </w:rPr>
        <w:t>.</w:t>
      </w:r>
      <w:r w:rsidR="00C309E9" w:rsidRPr="523777A9">
        <w:rPr>
          <w:rStyle w:val="s1"/>
          <w:rFonts w:ascii="Arial" w:eastAsia="Arial" w:hAnsi="Arial" w:cs="Arial"/>
          <w:b/>
          <w:bCs/>
          <w:sz w:val="28"/>
          <w:szCs w:val="28"/>
        </w:rPr>
        <w:t>Person-Centred Care: Definition, Importance and Limitations</w:t>
      </w:r>
    </w:p>
    <w:p w14:paraId="169224D8" w14:textId="758FD1A9" w:rsidR="00AB63F3" w:rsidRDefault="00AB63F3" w:rsidP="227F8796">
      <w:pPr>
        <w:pStyle w:val="p1"/>
        <w:spacing w:line="360" w:lineRule="auto"/>
        <w:ind w:left="-360"/>
        <w:jc w:val="both"/>
        <w:rPr>
          <w:rStyle w:val="s1"/>
          <w:rFonts w:ascii="Arial" w:eastAsia="Arial" w:hAnsi="Arial" w:cs="Arial"/>
          <w:sz w:val="22"/>
          <w:szCs w:val="22"/>
        </w:rPr>
      </w:pPr>
      <w:r w:rsidRPr="3C5BE495">
        <w:rPr>
          <w:rStyle w:val="s1"/>
          <w:rFonts w:ascii="Arial" w:eastAsia="Arial" w:hAnsi="Arial" w:cs="Arial"/>
          <w:sz w:val="22"/>
          <w:szCs w:val="22"/>
        </w:rPr>
        <w:t>The Health Foundation (2016, p. 6) defines Person-Centred Care (PCC) as care that is personalised, coordinated, and enabling, where the needs, values, and preferences of the individual are placed at the centre of all decisions about health and wellbeing. Similarly, NHS England (2019) states that PCC requires a change from the traditional paternalistic model of healthcare to shared decision-making, where patients are active partners in their care rather than passive recipients. This means that healthcare professionals must consider the patient’s social, psychological, and cultural background when planning and delivering care (Coulter &amp; Collins, 2011).</w:t>
      </w:r>
    </w:p>
    <w:p w14:paraId="24D001EF" w14:textId="3FA49F20" w:rsidR="00AB63F3" w:rsidRDefault="00AB63F3" w:rsidP="227F8796">
      <w:pPr>
        <w:pStyle w:val="p1"/>
        <w:spacing w:line="360" w:lineRule="auto"/>
        <w:ind w:left="-360"/>
        <w:jc w:val="both"/>
        <w:rPr>
          <w:rStyle w:val="s1"/>
          <w:rFonts w:ascii="Arial" w:eastAsia="Arial" w:hAnsi="Arial" w:cs="Arial"/>
          <w:sz w:val="22"/>
          <w:szCs w:val="22"/>
        </w:rPr>
      </w:pPr>
      <w:r w:rsidRPr="3C5BE495">
        <w:rPr>
          <w:rStyle w:val="s1"/>
          <w:rFonts w:ascii="Arial" w:eastAsia="Arial" w:hAnsi="Arial" w:cs="Arial"/>
          <w:sz w:val="22"/>
          <w:szCs w:val="22"/>
        </w:rPr>
        <w:t>Many benefits of PCC have been identified. One of the most common advantages is improved patient satisfaction. Research shows that patients who receive person-centred care feel more respected, are more involved in decisions, and are more likely to follow treatment plans (Doyle et al., 2013). PCC is also linked to better clinical outcomes, including fewer hospital readmissions, improved management of long-term conditions, and increased patient safety (The King’s Fund, 2020). In acute hospital settings, PCC can improve communication between patients and staff, reduce anxiety, and help build trust in healthcare services.</w:t>
      </w:r>
    </w:p>
    <w:p w14:paraId="671050A0" w14:textId="280C4D0E" w:rsidR="00AB63F3" w:rsidRDefault="00AB63F3" w:rsidP="227F8796">
      <w:pPr>
        <w:pStyle w:val="p1"/>
        <w:spacing w:line="360" w:lineRule="auto"/>
        <w:ind w:left="-360"/>
        <w:jc w:val="both"/>
        <w:rPr>
          <w:rStyle w:val="s1"/>
          <w:rFonts w:ascii="Arial" w:eastAsia="Arial" w:hAnsi="Arial" w:cs="Arial"/>
          <w:sz w:val="22"/>
          <w:szCs w:val="22"/>
        </w:rPr>
      </w:pPr>
      <w:r w:rsidRPr="3C5BE495">
        <w:rPr>
          <w:rStyle w:val="s1"/>
          <w:rFonts w:ascii="Arial" w:eastAsia="Arial" w:hAnsi="Arial" w:cs="Arial"/>
          <w:sz w:val="22"/>
          <w:szCs w:val="22"/>
        </w:rPr>
        <w:t>However, the implementation of PCC can be difficult in practice. One major challenge is lack of resources, as person-centred care requires enough time, staff, and training to allow meaningful interaction with each patient (Goodrich, 2008). This is particularly difficult in NHS acute hospitals, where there is high patient demand, staff shortages, and increasing workload (The King’s Fund, 2020). Difficult working conditions, including long shifts, stress, and burnout, have led many doctors and nurses to leave the NHS or move to other countries with better pay and working conditions. These workforce shortages make it harder to provide individualised care and limit the full implementation of PCC.</w:t>
      </w:r>
    </w:p>
    <w:p w14:paraId="17A636AE" w14:textId="0F6E78D1" w:rsidR="00AB63F3" w:rsidRDefault="00AB63F3" w:rsidP="227F8796">
      <w:pPr>
        <w:pStyle w:val="p1"/>
        <w:spacing w:line="360" w:lineRule="auto"/>
        <w:ind w:left="-360"/>
        <w:jc w:val="both"/>
        <w:rPr>
          <w:rStyle w:val="s1"/>
          <w:rFonts w:ascii="Arial" w:eastAsia="Arial" w:hAnsi="Arial" w:cs="Arial"/>
          <w:sz w:val="22"/>
          <w:szCs w:val="22"/>
        </w:rPr>
      </w:pPr>
      <w:r w:rsidRPr="3C5BE495">
        <w:rPr>
          <w:rStyle w:val="s1"/>
          <w:rFonts w:ascii="Arial" w:eastAsia="Arial" w:hAnsi="Arial" w:cs="Arial"/>
          <w:sz w:val="22"/>
          <w:szCs w:val="22"/>
        </w:rPr>
        <w:t xml:space="preserve">Another challenge is resistance to change. Some healthcare professionals were trained using traditional medical models where the doctor makes most decisions, which can make shared decision-making more difficult to achieve (McCormack &amp; McCance, 2010). In addition, cultural and language differences between patients and staff can reduce the effectiveness of PCC, especially in diverse populations. For this reason, culturally competent care and </w:t>
      </w:r>
      <w:r w:rsidR="001305C2" w:rsidRPr="3C5BE495">
        <w:rPr>
          <w:rStyle w:val="s1"/>
          <w:rFonts w:ascii="Arial" w:eastAsia="Arial" w:hAnsi="Arial" w:cs="Arial"/>
          <w:sz w:val="22"/>
          <w:szCs w:val="22"/>
        </w:rPr>
        <w:t>effective communication</w:t>
      </w:r>
      <w:r w:rsidRPr="3C5BE495">
        <w:rPr>
          <w:rStyle w:val="s1"/>
          <w:rFonts w:ascii="Arial" w:eastAsia="Arial" w:hAnsi="Arial" w:cs="Arial"/>
          <w:sz w:val="22"/>
          <w:szCs w:val="22"/>
        </w:rPr>
        <w:t xml:space="preserve"> skills are essential for successful person-centred practice (NHS England, 2021).</w:t>
      </w:r>
    </w:p>
    <w:p w14:paraId="7966EFED" w14:textId="77777777" w:rsidR="00FE1113" w:rsidRPr="00FE1113" w:rsidRDefault="00FE1113" w:rsidP="523777A9">
      <w:pPr>
        <w:spacing w:before="100" w:beforeAutospacing="1" w:after="100" w:afterAutospacing="1" w:line="360" w:lineRule="auto"/>
        <w:ind w:left="-360"/>
        <w:jc w:val="both"/>
        <w:rPr>
          <w:rFonts w:ascii="Arial" w:eastAsia="Arial" w:hAnsi="Arial" w:cs="Arial"/>
          <w:b/>
          <w:bCs/>
          <w:kern w:val="36"/>
          <w:sz w:val="28"/>
          <w:szCs w:val="28"/>
          <w14:ligatures w14:val="none"/>
        </w:rPr>
      </w:pPr>
      <w:r w:rsidRPr="523777A9">
        <w:rPr>
          <w:rFonts w:ascii="Arial" w:eastAsia="Arial" w:hAnsi="Arial" w:cs="Arial"/>
          <w:b/>
          <w:bCs/>
          <w:kern w:val="36"/>
          <w:sz w:val="28"/>
          <w:szCs w:val="28"/>
          <w14:ligatures w14:val="none"/>
        </w:rPr>
        <w:t>3. Theoretical Framework: McCormack and McCance Person-Centred Nursing Model</w:t>
      </w:r>
    </w:p>
    <w:p w14:paraId="405707DA" w14:textId="5E0E8DC6" w:rsidR="00FE1113" w:rsidRPr="00FE1113" w:rsidRDefault="00FE1113" w:rsidP="227F8796">
      <w:pPr>
        <w:spacing w:before="100" w:beforeAutospacing="1" w:after="100" w:afterAutospacing="1" w:line="360" w:lineRule="auto"/>
        <w:ind w:left="-360"/>
        <w:jc w:val="both"/>
        <w:rPr>
          <w:rFonts w:ascii="Arial" w:eastAsia="Arial" w:hAnsi="Arial" w:cs="Arial"/>
          <w:kern w:val="0"/>
          <w:sz w:val="22"/>
          <w:szCs w:val="22"/>
          <w14:ligatures w14:val="none"/>
        </w:rPr>
      </w:pPr>
      <w:r w:rsidRPr="0A1019B9">
        <w:rPr>
          <w:rFonts w:ascii="Arial" w:eastAsia="Arial" w:hAnsi="Arial" w:cs="Arial"/>
          <w:kern w:val="0"/>
          <w:sz w:val="22"/>
          <w:szCs w:val="22"/>
          <w14:ligatures w14:val="none"/>
        </w:rPr>
        <w:t>Person-Centred Care is supported by several theories, but one of the most widely used in the UK is the Person-Centred Nursing Framework developed by McCormack and McCance (2010).</w:t>
      </w:r>
      <w:r w:rsidR="003A5476" w:rsidRPr="0A1019B9">
        <w:rPr>
          <w:rFonts w:ascii="Arial" w:eastAsia="Arial" w:hAnsi="Arial" w:cs="Arial"/>
          <w:kern w:val="0"/>
          <w:sz w:val="22"/>
          <w:szCs w:val="22"/>
          <w14:ligatures w14:val="none"/>
        </w:rPr>
        <w:t xml:space="preserve">  </w:t>
      </w:r>
      <w:r w:rsidRPr="0A1019B9">
        <w:rPr>
          <w:rFonts w:ascii="Arial" w:eastAsia="Arial" w:hAnsi="Arial" w:cs="Arial"/>
          <w:kern w:val="0"/>
          <w:sz w:val="22"/>
          <w:szCs w:val="22"/>
          <w14:ligatures w14:val="none"/>
        </w:rPr>
        <w:t>The framework includes four main elements: prerequisites, care environment, person-centred processes, and expected outcomes.</w:t>
      </w:r>
      <w:r w:rsidR="003A5476" w:rsidRPr="0A1019B9">
        <w:rPr>
          <w:rFonts w:ascii="Arial" w:eastAsia="Arial" w:hAnsi="Arial" w:cs="Arial"/>
          <w:kern w:val="0"/>
          <w:sz w:val="22"/>
          <w:szCs w:val="22"/>
          <w14:ligatures w14:val="none"/>
        </w:rPr>
        <w:t xml:space="preserve">  </w:t>
      </w:r>
      <w:r w:rsidRPr="0A1019B9">
        <w:rPr>
          <w:rFonts w:ascii="Arial" w:eastAsia="Arial" w:hAnsi="Arial" w:cs="Arial"/>
          <w:kern w:val="0"/>
          <w:sz w:val="22"/>
          <w:szCs w:val="22"/>
          <w14:ligatures w14:val="none"/>
        </w:rPr>
        <w:t>Prerequisites refer to the skills, values, and competence of nurses.</w:t>
      </w:r>
      <w:r w:rsidR="003A5476" w:rsidRPr="0A1019B9">
        <w:rPr>
          <w:rFonts w:ascii="Arial" w:eastAsia="Arial" w:hAnsi="Arial" w:cs="Arial"/>
          <w:kern w:val="0"/>
          <w:sz w:val="22"/>
          <w:szCs w:val="22"/>
          <w14:ligatures w14:val="none"/>
        </w:rPr>
        <w:t xml:space="preserve"> </w:t>
      </w:r>
      <w:r w:rsidRPr="0A1019B9">
        <w:rPr>
          <w:rFonts w:ascii="Arial" w:eastAsia="Arial" w:hAnsi="Arial" w:cs="Arial"/>
          <w:kern w:val="0"/>
          <w:sz w:val="22"/>
          <w:szCs w:val="22"/>
          <w14:ligatures w14:val="none"/>
        </w:rPr>
        <w:t>The care environment includes staffing levels, leadership, teamwork, and organisational support.Person-centred processes involve shared decision-making, respect for patient values, and holistic care.</w:t>
      </w:r>
      <w:r w:rsidR="0063331A" w:rsidRPr="0A1019B9">
        <w:rPr>
          <w:rFonts w:ascii="Arial" w:eastAsia="Arial" w:hAnsi="Arial" w:cs="Arial"/>
          <w:kern w:val="0"/>
          <w:sz w:val="22"/>
          <w:szCs w:val="22"/>
          <w14:ligatures w14:val="none"/>
        </w:rPr>
        <w:t xml:space="preserve"> </w:t>
      </w:r>
      <w:r w:rsidRPr="0A1019B9">
        <w:rPr>
          <w:rFonts w:ascii="Arial" w:eastAsia="Arial" w:hAnsi="Arial" w:cs="Arial"/>
          <w:kern w:val="0"/>
          <w:sz w:val="22"/>
          <w:szCs w:val="22"/>
          <w14:ligatures w14:val="none"/>
        </w:rPr>
        <w:t>Expected outcomes include patient satisfaction, improved wellbeing, and better quality of care.</w:t>
      </w:r>
    </w:p>
    <w:p w14:paraId="3BAC65BC" w14:textId="484A7DD9" w:rsidR="00FE1113" w:rsidRPr="00FE1113" w:rsidRDefault="00FE1113" w:rsidP="227F8796">
      <w:pPr>
        <w:spacing w:before="100" w:beforeAutospacing="1" w:after="100" w:afterAutospacing="1" w:line="360" w:lineRule="auto"/>
        <w:ind w:left="-360"/>
        <w:jc w:val="both"/>
        <w:rPr>
          <w:rFonts w:ascii="Arial" w:eastAsia="Arial" w:hAnsi="Arial" w:cs="Arial"/>
          <w:kern w:val="0"/>
          <w:sz w:val="22"/>
          <w:szCs w:val="22"/>
          <w14:ligatures w14:val="none"/>
        </w:rPr>
      </w:pPr>
      <w:r w:rsidRPr="0A1019B9">
        <w:rPr>
          <w:rFonts w:ascii="Arial" w:eastAsia="Arial" w:hAnsi="Arial" w:cs="Arial"/>
          <w:kern w:val="0"/>
          <w:sz w:val="22"/>
          <w:szCs w:val="22"/>
          <w14:ligatures w14:val="none"/>
        </w:rPr>
        <w:t>This framework is highly relevant in NHS acute hospitals because care depends not only on the nurse but also on the working environment. Staff shortages, high workload, and lack of resources can prevent professionals from fully applying person-centred care (McCormack et al., 2013). Studies show that when the framework is applied correctly, both patient experience and staff satisfaction improve (</w:t>
      </w:r>
      <w:r w:rsidR="007356FC">
        <w:rPr>
          <w:rFonts w:ascii="Arial" w:eastAsia="Arial" w:hAnsi="Arial" w:cs="Arial"/>
          <w:kern w:val="0"/>
          <w:sz w:val="22"/>
          <w:szCs w:val="22"/>
          <w14:ligatures w14:val="none"/>
        </w:rPr>
        <w:t xml:space="preserve"> </w:t>
      </w:r>
      <w:r w:rsidRPr="0A1019B9">
        <w:rPr>
          <w:rFonts w:ascii="Arial" w:eastAsia="Arial" w:hAnsi="Arial" w:cs="Arial"/>
          <w:kern w:val="0"/>
          <w:sz w:val="22"/>
          <w:szCs w:val="22"/>
          <w14:ligatures w14:val="none"/>
        </w:rPr>
        <w:t xml:space="preserve"> McCormack</w:t>
      </w:r>
      <w:r w:rsidR="007356FC">
        <w:rPr>
          <w:rFonts w:ascii="Arial" w:eastAsia="Arial" w:hAnsi="Arial" w:cs="Arial"/>
          <w:kern w:val="0"/>
          <w:sz w:val="22"/>
          <w:szCs w:val="22"/>
          <w14:ligatures w14:val="none"/>
        </w:rPr>
        <w:t xml:space="preserve"> et al </w:t>
      </w:r>
      <w:r w:rsidRPr="0A1019B9">
        <w:rPr>
          <w:rFonts w:ascii="Arial" w:eastAsia="Arial" w:hAnsi="Arial" w:cs="Arial"/>
          <w:kern w:val="0"/>
          <w:sz w:val="22"/>
          <w:szCs w:val="22"/>
          <w14:ligatures w14:val="none"/>
        </w:rPr>
        <w:t xml:space="preserve"> 201</w:t>
      </w:r>
      <w:r w:rsidR="007356FC">
        <w:rPr>
          <w:rFonts w:ascii="Arial" w:eastAsia="Arial" w:hAnsi="Arial" w:cs="Arial"/>
          <w:kern w:val="0"/>
          <w:sz w:val="22"/>
          <w:szCs w:val="22"/>
          <w14:ligatures w14:val="none"/>
        </w:rPr>
        <w:t>3</w:t>
      </w:r>
      <w:r w:rsidRPr="0A1019B9">
        <w:rPr>
          <w:rFonts w:ascii="Arial" w:eastAsia="Arial" w:hAnsi="Arial" w:cs="Arial"/>
          <w:kern w:val="0"/>
          <w:sz w:val="22"/>
          <w:szCs w:val="22"/>
          <w14:ligatures w14:val="none"/>
        </w:rPr>
        <w:t>).</w:t>
      </w:r>
    </w:p>
    <w:p w14:paraId="082BF509" w14:textId="52BCCB6D" w:rsidR="00FE1113" w:rsidRPr="00FE1113" w:rsidRDefault="00FE1113" w:rsidP="227F8796">
      <w:pPr>
        <w:spacing w:before="100" w:beforeAutospacing="1" w:after="100" w:afterAutospacing="1" w:line="360" w:lineRule="auto"/>
        <w:ind w:left="-360"/>
        <w:jc w:val="both"/>
        <w:rPr>
          <w:rFonts w:ascii="Arial" w:eastAsia="Arial" w:hAnsi="Arial" w:cs="Arial"/>
          <w:kern w:val="0"/>
          <w:sz w:val="22"/>
          <w:szCs w:val="22"/>
          <w14:ligatures w14:val="none"/>
        </w:rPr>
      </w:pPr>
      <w:r w:rsidRPr="0A1019B9">
        <w:rPr>
          <w:rFonts w:ascii="Arial" w:eastAsia="Arial" w:hAnsi="Arial" w:cs="Arial"/>
          <w:kern w:val="0"/>
          <w:sz w:val="22"/>
          <w:szCs w:val="22"/>
          <w14:ligatures w14:val="none"/>
        </w:rPr>
        <w:t>Carl Rogers’ humanistic theory (1951) also supports PCC by emphasising empathy, respect, and therapeutic relationships, which are essential for good communication between nurses and patients.</w:t>
      </w:r>
    </w:p>
    <w:p w14:paraId="1963FD90" w14:textId="68F2B2BC" w:rsidR="00FE1113" w:rsidRPr="00FE1113" w:rsidRDefault="00FE1113" w:rsidP="227F8796">
      <w:pPr>
        <w:spacing w:after="0" w:line="360" w:lineRule="auto"/>
        <w:ind w:left="-360"/>
        <w:jc w:val="both"/>
        <w:rPr>
          <w:rFonts w:ascii="Arial" w:eastAsia="Arial" w:hAnsi="Arial" w:cs="Arial"/>
          <w:kern w:val="0"/>
          <w14:ligatures w14:val="none"/>
        </w:rPr>
      </w:pPr>
      <w:r>
        <w:rPr>
          <w:noProof/>
        </w:rPr>
        <mc:AlternateContent>
          <mc:Choice Requires="wps">
            <w:drawing>
              <wp:inline distT="0" distB="0" distL="0" distR="0" wp14:anchorId="06D84FBF" wp14:editId="33780C62">
                <wp:extent cx="5731510" cy="1270"/>
                <wp:effectExtent l="0" t="31750" r="0" b="36830"/>
                <wp:docPr id="2015072755" name="Rectangle 3">
                  <a:extLst xmlns:a="http://schemas.openxmlformats.org/drawingml/2006/main">
                    <a:ext uri="{FF2B5EF4-FFF2-40B4-BE49-F238E27FC236}">
                      <a16:creationId xmlns:a16="http://schemas.microsoft.com/office/drawing/2014/main" id="{9F058A96-FCA1-4B08-87C7-3E75244C067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4C81E3"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" filled="f">
                <o:lock v:ext="edit" aspectratio="t"/>
                <w10:anchorlock/>
              </v:rect>
            </w:pict>
          </mc:Fallback>
        </mc:AlternateContent>
      </w:r>
    </w:p>
    <w:p w14:paraId="2C0345FF" w14:textId="77777777" w:rsidR="00FE1113" w:rsidRPr="00FE1113" w:rsidRDefault="00FE1113" w:rsidP="227F8796">
      <w:pPr>
        <w:spacing w:before="100" w:beforeAutospacing="1" w:after="100" w:afterAutospacing="1" w:line="360" w:lineRule="auto"/>
        <w:ind w:left="-360"/>
        <w:jc w:val="both"/>
        <w:outlineLvl w:val="0"/>
        <w:rPr>
          <w:rFonts w:ascii="Arial" w:eastAsia="Arial" w:hAnsi="Arial" w:cs="Arial"/>
          <w:b/>
          <w:kern w:val="36"/>
          <w:sz w:val="28"/>
          <w:szCs w:val="28"/>
          <w14:ligatures w14:val="none"/>
        </w:rPr>
      </w:pPr>
      <w:r w:rsidRPr="3153F534">
        <w:rPr>
          <w:rFonts w:ascii="Arial" w:eastAsia="Arial" w:hAnsi="Arial" w:cs="Arial"/>
          <w:b/>
          <w:kern w:val="36"/>
          <w:sz w:val="28"/>
          <w:szCs w:val="28"/>
          <w14:ligatures w14:val="none"/>
        </w:rPr>
        <w:t>4. Ethical Principles in Health and Social Care</w:t>
      </w:r>
    </w:p>
    <w:p w14:paraId="58E7F1FD" w14:textId="545EDCB2" w:rsidR="00413B6A" w:rsidRDefault="00413B6A" w:rsidP="227F8796">
      <w:pPr>
        <w:pStyle w:val="p1"/>
        <w:spacing w:line="360" w:lineRule="auto"/>
        <w:ind w:left="-360"/>
        <w:jc w:val="both"/>
        <w:rPr>
          <w:rStyle w:val="s1"/>
          <w:rFonts w:ascii="Arial" w:eastAsia="Arial" w:hAnsi="Arial" w:cs="Arial"/>
          <w:sz w:val="22"/>
          <w:szCs w:val="22"/>
        </w:rPr>
      </w:pPr>
      <w:r w:rsidRPr="781EBAF0">
        <w:rPr>
          <w:rStyle w:val="s1"/>
          <w:rFonts w:ascii="Arial" w:eastAsia="Arial" w:hAnsi="Arial" w:cs="Arial"/>
          <w:sz w:val="22"/>
          <w:szCs w:val="22"/>
        </w:rPr>
        <w:t>The four ethical principles outlined by Beauchamp and Childress (2019) autonomy, beneficence, non-maleficence, and justice form an important framework for decision-making in UK clinical practice and support both Person-Centred Care (PCC) and Partnership Working (PW).</w:t>
      </w:r>
    </w:p>
    <w:p w14:paraId="60CEF953" w14:textId="4998AA53" w:rsidR="00413B6A" w:rsidRDefault="00413B6A" w:rsidP="227F8796">
      <w:pPr>
        <w:pStyle w:val="p1"/>
        <w:spacing w:line="360" w:lineRule="auto"/>
        <w:ind w:left="-360"/>
        <w:jc w:val="both"/>
        <w:rPr>
          <w:rStyle w:val="s1"/>
          <w:rFonts w:ascii="Arial" w:eastAsia="Arial" w:hAnsi="Arial" w:cs="Arial"/>
          <w:sz w:val="22"/>
          <w:szCs w:val="22"/>
        </w:rPr>
      </w:pPr>
      <w:r w:rsidRPr="781EBAF0">
        <w:rPr>
          <w:rStyle w:val="s1"/>
          <w:rFonts w:ascii="Arial" w:eastAsia="Arial" w:hAnsi="Arial" w:cs="Arial"/>
          <w:sz w:val="22"/>
          <w:szCs w:val="22"/>
        </w:rPr>
        <w:t>Autonomy refers to the right of individuals to make informed decisions about their own care. In NHS acute hospitals, respecting autonomy requires professionals to provide clear information to support informed consent and decision-making (Nursing and Midwifery Council, 2018). The Mental Capacity Act 2005 provides the legal framework in England and</w:t>
      </w:r>
      <w:r w:rsidR="705223D3" w:rsidRPr="781EBAF0">
        <w:rPr>
          <w:rStyle w:val="s1"/>
          <w:rFonts w:ascii="Arial" w:eastAsia="Arial" w:hAnsi="Arial" w:cs="Arial"/>
          <w:sz w:val="22"/>
          <w:szCs w:val="22"/>
        </w:rPr>
        <w:t xml:space="preserve">  </w:t>
      </w:r>
      <w:r w:rsidRPr="781EBAF0">
        <w:rPr>
          <w:rStyle w:val="s1"/>
          <w:rFonts w:ascii="Arial" w:eastAsia="Arial" w:hAnsi="Arial" w:cs="Arial"/>
          <w:sz w:val="22"/>
          <w:szCs w:val="22"/>
        </w:rPr>
        <w:t>Wales for decisions about capacity and consent, making autonomy both an ethical and legal requirement.</w:t>
      </w:r>
    </w:p>
    <w:p w14:paraId="4D29F574" w14:textId="48BE5A43" w:rsidR="00413B6A" w:rsidRDefault="00413B6A" w:rsidP="227F8796">
      <w:pPr>
        <w:pStyle w:val="p1"/>
        <w:spacing w:line="360" w:lineRule="auto"/>
        <w:ind w:left="-360"/>
        <w:jc w:val="both"/>
        <w:rPr>
          <w:rStyle w:val="s1"/>
          <w:rFonts w:ascii="Arial" w:eastAsia="Arial" w:hAnsi="Arial" w:cs="Arial"/>
          <w:sz w:val="22"/>
          <w:szCs w:val="22"/>
        </w:rPr>
      </w:pPr>
      <w:r w:rsidRPr="523777A9">
        <w:rPr>
          <w:rStyle w:val="s1"/>
          <w:rFonts w:ascii="Arial" w:eastAsia="Arial" w:hAnsi="Arial" w:cs="Arial"/>
          <w:sz w:val="22"/>
          <w:szCs w:val="22"/>
        </w:rPr>
        <w:t>Beneficence and non-maleficence require healthcare professionals to act in the patient’s best interest while avoiding harm. In acute settings, clinicians must balance the benefits and risks of treatment and involve the patient in decision-making. Person-Centred Care supports this process by ensuring that the patient’s views and preferences remain central to care (Beauchamp and Childress, 2019).</w:t>
      </w:r>
    </w:p>
    <w:p w14:paraId="4AA0136D" w14:textId="5C85D1BD" w:rsidR="00413B6A" w:rsidRDefault="00413B6A" w:rsidP="227F8796">
      <w:pPr>
        <w:pStyle w:val="p1"/>
        <w:spacing w:line="360" w:lineRule="auto"/>
        <w:ind w:left="-360"/>
        <w:jc w:val="both"/>
        <w:rPr>
          <w:rStyle w:val="s1"/>
          <w:rFonts w:ascii="Arial" w:eastAsia="Arial" w:hAnsi="Arial" w:cs="Arial"/>
          <w:sz w:val="22"/>
          <w:szCs w:val="22"/>
        </w:rPr>
      </w:pPr>
      <w:r w:rsidRPr="523777A9">
        <w:rPr>
          <w:rStyle w:val="s1"/>
          <w:rFonts w:ascii="Arial" w:eastAsia="Arial" w:hAnsi="Arial" w:cs="Arial"/>
          <w:sz w:val="22"/>
          <w:szCs w:val="22"/>
        </w:rPr>
        <w:t>Justice refers to fairness and equal access to healthcare. This principle is particularly important in the UK, where health inequalities continue to affect disadvantaged groups (Marmot et al., 2020). The NHS Constitution states that care should be based on clinical need and provided without discrimination (Department of Health and Social Care, 2021). PCC and PW help reduce inequalities by promoting inclusive, coordinated, and culturally sensitive care.</w:t>
      </w:r>
    </w:p>
    <w:p w14:paraId="235680C9" w14:textId="01CC4722" w:rsidR="00FE1113" w:rsidRPr="00FE1113" w:rsidRDefault="00FE1113" w:rsidP="523777A9">
      <w:pPr>
        <w:spacing w:beforeAutospacing="1" w:afterAutospacing="1" w:line="360" w:lineRule="auto"/>
        <w:ind w:left="-360"/>
        <w:jc w:val="both"/>
        <w:rPr>
          <w:rFonts w:ascii="Arial" w:eastAsia="Arial" w:hAnsi="Arial" w:cs="Arial"/>
          <w:b/>
          <w:bCs/>
          <w:sz w:val="28"/>
          <w:szCs w:val="28"/>
        </w:rPr>
      </w:pPr>
      <w:r w:rsidRPr="523777A9">
        <w:rPr>
          <w:b/>
          <w:bCs/>
          <w:sz w:val="28"/>
          <w:szCs w:val="28"/>
        </w:rPr>
        <w:t>5. Partnership Working in the NHS</w:t>
      </w:r>
    </w:p>
    <w:p w14:paraId="43A8754F" w14:textId="77777777" w:rsidR="001D00D7" w:rsidRDefault="001D00D7" w:rsidP="227F8796">
      <w:pPr>
        <w:pStyle w:val="p1"/>
        <w:spacing w:line="360" w:lineRule="auto"/>
        <w:ind w:left="-360"/>
        <w:jc w:val="both"/>
        <w:rPr>
          <w:rStyle w:val="s1"/>
          <w:rFonts w:ascii="Arial" w:eastAsia="Arial" w:hAnsi="Arial" w:cs="Arial"/>
          <w:sz w:val="22"/>
          <w:szCs w:val="22"/>
        </w:rPr>
      </w:pPr>
      <w:r w:rsidRPr="309567ED">
        <w:rPr>
          <w:rStyle w:val="s1"/>
          <w:rFonts w:ascii="Arial" w:eastAsia="Arial" w:hAnsi="Arial" w:cs="Arial"/>
          <w:sz w:val="22"/>
          <w:szCs w:val="22"/>
        </w:rPr>
        <w:t>Partnership Working (PW) in health and social care means different organisations or people working together to achieve shared goals that they could not achieve alone (Glasby and Dickinson, 2014). In the UK, PW includes cooperation between NHS trusts, local authorities, third-sector organisations, service users, and carers. This is now becoming more structured through Integrated Care Systems (ICS).</w:t>
      </w:r>
    </w:p>
    <w:p w14:paraId="63BF053F" w14:textId="27D51B4A" w:rsidR="001D00D7" w:rsidRDefault="001D00D7" w:rsidP="227F8796">
      <w:pPr>
        <w:pStyle w:val="p1"/>
        <w:spacing w:line="360" w:lineRule="auto"/>
        <w:ind w:left="-360"/>
        <w:jc w:val="both"/>
        <w:rPr>
          <w:rStyle w:val="s1"/>
          <w:rFonts w:ascii="Arial" w:eastAsia="Arial" w:hAnsi="Arial" w:cs="Arial"/>
          <w:sz w:val="22"/>
          <w:szCs w:val="22"/>
        </w:rPr>
      </w:pPr>
      <w:r w:rsidRPr="523777A9">
        <w:rPr>
          <w:rStyle w:val="s1"/>
          <w:rFonts w:ascii="Arial" w:eastAsia="Arial" w:hAnsi="Arial" w:cs="Arial"/>
          <w:sz w:val="22"/>
          <w:szCs w:val="22"/>
        </w:rPr>
        <w:t>Integrated Care Systems in England were formally introduced by the Health and Care Act 2022. They bring together NHS organisations and local authorities to plan and deliver services in specific areas. Their aim is to improve population health, reduce inequalities, and use resources more efficiently (NHS England, 2022). In practice, ICS support partnership working through shared leadership, joint budgets, and collaborative planning. This helps provide more joined-up and person-centred care.</w:t>
      </w:r>
    </w:p>
    <w:p w14:paraId="323926E4" w14:textId="77777777" w:rsidR="001D00D7" w:rsidRDefault="001D00D7" w:rsidP="227F8796">
      <w:pPr>
        <w:pStyle w:val="p2"/>
        <w:spacing w:line="360" w:lineRule="auto"/>
        <w:ind w:left="-360"/>
        <w:jc w:val="both"/>
        <w:rPr>
          <w:rFonts w:ascii="Arial" w:eastAsia="Arial" w:hAnsi="Arial" w:cs="Arial"/>
          <w:sz w:val="22"/>
          <w:szCs w:val="22"/>
        </w:rPr>
      </w:pPr>
    </w:p>
    <w:p w14:paraId="5595CCF9" w14:textId="77777777" w:rsidR="001D00D7" w:rsidRDefault="001D00D7" w:rsidP="227F8796">
      <w:pPr>
        <w:pStyle w:val="p1"/>
        <w:spacing w:line="360" w:lineRule="auto"/>
        <w:ind w:left="-360"/>
        <w:jc w:val="both"/>
        <w:rPr>
          <w:rStyle w:val="s1"/>
          <w:rFonts w:ascii="Arial" w:eastAsia="Arial" w:hAnsi="Arial" w:cs="Arial"/>
          <w:sz w:val="22"/>
          <w:szCs w:val="22"/>
        </w:rPr>
      </w:pPr>
      <w:r w:rsidRPr="309567ED">
        <w:rPr>
          <w:rStyle w:val="s1"/>
          <w:rFonts w:ascii="Arial" w:eastAsia="Arial" w:hAnsi="Arial" w:cs="Arial"/>
          <w:sz w:val="22"/>
          <w:szCs w:val="22"/>
        </w:rPr>
        <w:t>There are many benefits of effective PW. It improves service delivery and leads to better patient outcomes. It also allows professionals to address both health and social care needs together (Glasby and Dickinson, 2014). In acute hospital settings, partnership working between hospital staff, community teams, social services, and voluntary organisations can speed up discharge, reduce delays, and support patients in the community (NHS England, 2019).</w:t>
      </w:r>
    </w:p>
    <w:p w14:paraId="6EE5459F" w14:textId="77777777" w:rsidR="001D00D7" w:rsidRDefault="001D00D7" w:rsidP="227F8796">
      <w:pPr>
        <w:pStyle w:val="p2"/>
        <w:spacing w:line="360" w:lineRule="auto"/>
        <w:ind w:left="-360"/>
        <w:jc w:val="both"/>
        <w:rPr>
          <w:rFonts w:ascii="Arial" w:eastAsia="Arial" w:hAnsi="Arial" w:cs="Arial"/>
          <w:sz w:val="22"/>
          <w:szCs w:val="22"/>
        </w:rPr>
      </w:pPr>
    </w:p>
    <w:p w14:paraId="6CACC471" w14:textId="77777777" w:rsidR="001D00D7" w:rsidRDefault="001D00D7" w:rsidP="227F8796">
      <w:pPr>
        <w:pStyle w:val="p1"/>
        <w:spacing w:line="360" w:lineRule="auto"/>
        <w:ind w:left="-360"/>
        <w:jc w:val="both"/>
        <w:rPr>
          <w:rStyle w:val="s1"/>
          <w:rFonts w:ascii="Arial" w:eastAsia="Arial" w:hAnsi="Arial" w:cs="Arial"/>
          <w:sz w:val="22"/>
          <w:szCs w:val="22"/>
        </w:rPr>
      </w:pPr>
      <w:r w:rsidRPr="309567ED">
        <w:rPr>
          <w:rStyle w:val="s1"/>
          <w:rFonts w:ascii="Arial" w:eastAsia="Arial" w:hAnsi="Arial" w:cs="Arial"/>
          <w:sz w:val="22"/>
          <w:szCs w:val="22"/>
        </w:rPr>
        <w:t>However, there are also challenges. Different organisational cultures, professional roles, and systems can make coordination difficult (Glasby and Dickinson, 2014). Poor communication and lack of shared systems can create barriers. For example, the lack of shared electronic records between NHS trusts and local authorities can delay care and information sharing (NHS Digital, 2020). To improve PW, there is a need for better leadership, stronger relationships, and improved digital systems.</w:t>
      </w:r>
    </w:p>
    <w:p w14:paraId="4CA04CEA" w14:textId="62CEDDF6" w:rsidR="00FE1113" w:rsidRDefault="00FE1113" w:rsidP="227F8796">
      <w:pPr>
        <w:spacing w:beforeAutospacing="1" w:afterAutospacing="1" w:line="360" w:lineRule="auto"/>
        <w:ind w:left="-360"/>
        <w:jc w:val="both"/>
        <w:rPr>
          <w:rFonts w:ascii="Arial" w:eastAsia="Arial" w:hAnsi="Arial" w:cs="Arial"/>
          <w:sz w:val="22"/>
          <w:szCs w:val="22"/>
        </w:rPr>
      </w:pPr>
    </w:p>
    <w:p w14:paraId="25E602E9" w14:textId="77777777" w:rsidR="00FE1113" w:rsidRPr="00FE1113" w:rsidRDefault="00FE1113" w:rsidP="227F8796">
      <w:pPr>
        <w:spacing w:before="100" w:beforeAutospacing="1" w:after="100" w:afterAutospacing="1" w:line="360" w:lineRule="auto"/>
        <w:ind w:left="-360"/>
        <w:jc w:val="both"/>
        <w:outlineLvl w:val="0"/>
        <w:rPr>
          <w:rFonts w:ascii="Arial" w:eastAsia="Arial" w:hAnsi="Arial" w:cs="Arial"/>
          <w:b/>
          <w:kern w:val="36"/>
          <w:sz w:val="28"/>
          <w:szCs w:val="28"/>
          <w14:ligatures w14:val="none"/>
        </w:rPr>
      </w:pPr>
      <w:r w:rsidRPr="361F2B97">
        <w:rPr>
          <w:rFonts w:ascii="Arial" w:eastAsia="Arial" w:hAnsi="Arial" w:cs="Arial"/>
          <w:b/>
          <w:kern w:val="36"/>
          <w:sz w:val="28"/>
          <w:szCs w:val="28"/>
          <w14:ligatures w14:val="none"/>
        </w:rPr>
        <w:t>6. Policy and Legislation Supporting PCC and PW</w:t>
      </w:r>
    </w:p>
    <w:p w14:paraId="0D22B849" w14:textId="77777777" w:rsidR="00DC1BEF" w:rsidRPr="00FE1113" w:rsidRDefault="00DC1BEF" w:rsidP="52A82BE9">
      <w:pPr>
        <w:pStyle w:val="ListParagraph"/>
        <w:numPr>
          <w:ilvl w:val="0"/>
          <w:numId w:val="2"/>
        </w:numPr>
        <w:spacing w:before="100" w:beforeAutospacing="1" w:after="100" w:afterAutospacing="1" w:line="360" w:lineRule="auto"/>
        <w:ind w:left="90"/>
        <w:jc w:val="both"/>
        <w:rPr>
          <w:rFonts w:ascii="Arial" w:eastAsia="Arial" w:hAnsi="Arial" w:cs="Arial"/>
          <w:kern w:val="0"/>
          <w:sz w:val="22"/>
          <w:szCs w:val="22"/>
          <w14:ligatures w14:val="none"/>
        </w:rPr>
      </w:pPr>
      <w:r w:rsidRPr="3A31CBD3">
        <w:rPr>
          <w:rFonts w:ascii="Arial" w:eastAsia="Arial" w:hAnsi="Arial" w:cs="Arial"/>
          <w:kern w:val="0"/>
          <w:sz w:val="22"/>
          <w:szCs w:val="22"/>
          <w14:ligatures w14:val="none"/>
        </w:rPr>
        <w:t>Several UK laws support person-centred care and partnership working.</w:t>
      </w:r>
    </w:p>
    <w:p w14:paraId="08048597" w14:textId="77777777" w:rsidR="00DC1BEF" w:rsidRPr="00FE1113" w:rsidRDefault="00DC1BEF" w:rsidP="52A82BE9">
      <w:pPr>
        <w:pStyle w:val="ListParagraph"/>
        <w:numPr>
          <w:ilvl w:val="0"/>
          <w:numId w:val="2"/>
        </w:numPr>
        <w:spacing w:before="100" w:beforeAutospacing="1" w:after="100" w:afterAutospacing="1" w:line="360" w:lineRule="auto"/>
        <w:ind w:left="90"/>
        <w:jc w:val="both"/>
        <w:rPr>
          <w:rFonts w:ascii="Arial" w:eastAsia="Arial" w:hAnsi="Arial" w:cs="Arial"/>
          <w:kern w:val="0"/>
          <w:sz w:val="22"/>
          <w:szCs w:val="22"/>
          <w14:ligatures w14:val="none"/>
        </w:rPr>
      </w:pPr>
      <w:r w:rsidRPr="3A31CBD3">
        <w:rPr>
          <w:rFonts w:ascii="Arial" w:eastAsia="Arial" w:hAnsi="Arial" w:cs="Arial"/>
          <w:kern w:val="0"/>
          <w:sz w:val="22"/>
          <w:szCs w:val="22"/>
          <w14:ligatures w14:val="none"/>
        </w:rPr>
        <w:t>The Health and Social Care Act 2012 promoted integration and reduced health inequalities.</w:t>
      </w:r>
    </w:p>
    <w:p w14:paraId="3085A6C2" w14:textId="77777777" w:rsidR="00DC1BEF" w:rsidRPr="00FE1113" w:rsidRDefault="00DC1BEF" w:rsidP="52A82BE9">
      <w:pPr>
        <w:pStyle w:val="ListParagraph"/>
        <w:numPr>
          <w:ilvl w:val="0"/>
          <w:numId w:val="2"/>
        </w:numPr>
        <w:spacing w:before="100" w:beforeAutospacing="1" w:after="100" w:afterAutospacing="1" w:line="360" w:lineRule="auto"/>
        <w:ind w:left="90"/>
        <w:jc w:val="both"/>
        <w:rPr>
          <w:rFonts w:ascii="Arial" w:eastAsia="Arial" w:hAnsi="Arial" w:cs="Arial"/>
          <w:kern w:val="0"/>
          <w:sz w:val="22"/>
          <w:szCs w:val="22"/>
          <w14:ligatures w14:val="none"/>
        </w:rPr>
      </w:pPr>
      <w:r w:rsidRPr="3A31CBD3">
        <w:rPr>
          <w:rFonts w:ascii="Arial" w:eastAsia="Arial" w:hAnsi="Arial" w:cs="Arial"/>
          <w:kern w:val="0"/>
          <w:sz w:val="22"/>
          <w:szCs w:val="22"/>
          <w14:ligatures w14:val="none"/>
        </w:rPr>
        <w:t>The Care Act 2014 focused on wellbeing, prevention, and involvement of individuals in their care.</w:t>
      </w:r>
    </w:p>
    <w:p w14:paraId="125B1D19" w14:textId="77777777" w:rsidR="00DC1BEF" w:rsidRPr="00FE1113" w:rsidRDefault="00DC1BEF" w:rsidP="52A82BE9">
      <w:pPr>
        <w:pStyle w:val="ListParagraph"/>
        <w:numPr>
          <w:ilvl w:val="0"/>
          <w:numId w:val="2"/>
        </w:numPr>
        <w:spacing w:before="100" w:beforeAutospacing="1" w:after="100" w:afterAutospacing="1" w:line="360" w:lineRule="auto"/>
        <w:ind w:left="90"/>
        <w:jc w:val="both"/>
        <w:rPr>
          <w:rFonts w:ascii="Arial" w:eastAsia="Arial" w:hAnsi="Arial" w:cs="Arial"/>
          <w:kern w:val="0"/>
          <w:sz w:val="22"/>
          <w:szCs w:val="22"/>
          <w14:ligatures w14:val="none"/>
        </w:rPr>
      </w:pPr>
      <w:r w:rsidRPr="3A31CBD3">
        <w:rPr>
          <w:rFonts w:ascii="Arial" w:eastAsia="Arial" w:hAnsi="Arial" w:cs="Arial"/>
          <w:kern w:val="0"/>
          <w:sz w:val="22"/>
          <w:szCs w:val="22"/>
          <w14:ligatures w14:val="none"/>
        </w:rPr>
        <w:t>The NHS Long Term Plan (2019) promotes personalised care and integrated services.</w:t>
      </w:r>
    </w:p>
    <w:p w14:paraId="4C77F989" w14:textId="77777777" w:rsidR="00DC1BEF" w:rsidRPr="00FE1113" w:rsidRDefault="00DC1BEF" w:rsidP="52A82BE9">
      <w:pPr>
        <w:pStyle w:val="ListParagraph"/>
        <w:numPr>
          <w:ilvl w:val="0"/>
          <w:numId w:val="2"/>
        </w:numPr>
        <w:spacing w:before="100" w:beforeAutospacing="1" w:after="100" w:afterAutospacing="1" w:line="360" w:lineRule="auto"/>
        <w:ind w:left="90"/>
        <w:jc w:val="both"/>
        <w:rPr>
          <w:rFonts w:ascii="Arial" w:eastAsia="Arial" w:hAnsi="Arial" w:cs="Arial"/>
          <w:kern w:val="0"/>
          <w:sz w:val="22"/>
          <w:szCs w:val="22"/>
          <w14:ligatures w14:val="none"/>
        </w:rPr>
      </w:pPr>
      <w:r w:rsidRPr="3A31CBD3">
        <w:rPr>
          <w:rFonts w:ascii="Arial" w:eastAsia="Arial" w:hAnsi="Arial" w:cs="Arial"/>
          <w:kern w:val="0"/>
          <w:sz w:val="22"/>
          <w:szCs w:val="22"/>
          <w14:ligatures w14:val="none"/>
        </w:rPr>
        <w:t>The Mental Capacity Act 2005 supports patient choice and consent.</w:t>
      </w:r>
    </w:p>
    <w:p w14:paraId="31ACD21D" w14:textId="77777777" w:rsidR="00DC1BEF" w:rsidRPr="00FE1113" w:rsidRDefault="00DC1BEF" w:rsidP="52A82BE9">
      <w:pPr>
        <w:pStyle w:val="ListParagraph"/>
        <w:numPr>
          <w:ilvl w:val="0"/>
          <w:numId w:val="2"/>
        </w:numPr>
        <w:spacing w:before="100" w:beforeAutospacing="1" w:after="100" w:afterAutospacing="1" w:line="360" w:lineRule="auto"/>
        <w:ind w:left="90"/>
        <w:jc w:val="both"/>
        <w:rPr>
          <w:rFonts w:ascii="Arial" w:eastAsia="Arial" w:hAnsi="Arial" w:cs="Arial"/>
          <w:kern w:val="0"/>
          <w:sz w:val="22"/>
          <w:szCs w:val="22"/>
          <w14:ligatures w14:val="none"/>
        </w:rPr>
      </w:pPr>
      <w:r w:rsidRPr="3A31CBD3">
        <w:rPr>
          <w:rFonts w:ascii="Arial" w:eastAsia="Arial" w:hAnsi="Arial" w:cs="Arial"/>
          <w:kern w:val="0"/>
          <w:sz w:val="22"/>
          <w:szCs w:val="22"/>
          <w14:ligatures w14:val="none"/>
        </w:rPr>
        <w:t>The NMC Code (2018) requires nurses to provide safe, person-centred care.</w:t>
      </w:r>
    </w:p>
    <w:p w14:paraId="42DD67EB" w14:textId="77777777" w:rsidR="00DC1BEF" w:rsidRPr="00FE1113" w:rsidRDefault="00DC1BEF" w:rsidP="0B02D569">
      <w:pPr>
        <w:spacing w:before="100" w:beforeAutospacing="1" w:after="100" w:afterAutospacing="1" w:line="360" w:lineRule="auto"/>
        <w:ind w:left="-270"/>
        <w:jc w:val="both"/>
        <w:rPr>
          <w:rFonts w:ascii="Arial" w:eastAsia="Arial" w:hAnsi="Arial" w:cs="Arial"/>
          <w:kern w:val="0"/>
          <w:sz w:val="22"/>
          <w:szCs w:val="22"/>
          <w14:ligatures w14:val="none"/>
        </w:rPr>
      </w:pPr>
      <w:r w:rsidRPr="3A31CBD3">
        <w:rPr>
          <w:rFonts w:ascii="Arial" w:eastAsia="Arial" w:hAnsi="Arial" w:cs="Arial"/>
          <w:kern w:val="0"/>
          <w:sz w:val="22"/>
          <w:szCs w:val="22"/>
          <w14:ligatures w14:val="none"/>
        </w:rPr>
        <w:t>Despite these policies, lack of funding and workforce shortages continue to make implementation difficult in practice.</w:t>
      </w:r>
    </w:p>
    <w:p w14:paraId="42E8807B" w14:textId="77777777" w:rsidR="00DC1BEF" w:rsidRPr="00B05763" w:rsidRDefault="00DC1BEF" w:rsidP="227F8796">
      <w:pPr>
        <w:pStyle w:val="p1"/>
        <w:spacing w:line="360" w:lineRule="auto"/>
        <w:ind w:left="-360"/>
        <w:jc w:val="both"/>
        <w:rPr>
          <w:rFonts w:ascii="Arial" w:eastAsia="Arial" w:hAnsi="Arial" w:cs="Arial"/>
          <w:sz w:val="22"/>
          <w:szCs w:val="22"/>
          <w:lang w:val="fr-FR"/>
        </w:rPr>
      </w:pPr>
    </w:p>
    <w:p w14:paraId="37A4BA02" w14:textId="77777777" w:rsidR="00A22DE4" w:rsidRPr="00A22DE4" w:rsidRDefault="00A22DE4" w:rsidP="227F8796">
      <w:pPr>
        <w:spacing w:before="100" w:beforeAutospacing="1" w:after="100" w:afterAutospacing="1" w:line="360" w:lineRule="auto"/>
        <w:ind w:left="-360"/>
        <w:jc w:val="both"/>
        <w:rPr>
          <w:rFonts w:ascii="Arial" w:eastAsia="Arial" w:hAnsi="Arial" w:cs="Arial"/>
          <w:b/>
          <w:kern w:val="36"/>
          <w:sz w:val="28"/>
          <w:szCs w:val="28"/>
          <w14:ligatures w14:val="none"/>
        </w:rPr>
      </w:pPr>
      <w:r w:rsidRPr="3B11E719">
        <w:rPr>
          <w:rFonts w:ascii="Arial" w:eastAsia="Arial" w:hAnsi="Arial" w:cs="Arial"/>
          <w:b/>
          <w:kern w:val="36"/>
          <w:sz w:val="28"/>
          <w:szCs w:val="28"/>
          <w14:ligatures w14:val="none"/>
        </w:rPr>
        <w:t>7. Recommendations</w:t>
      </w:r>
    </w:p>
    <w:p w14:paraId="721F136B" w14:textId="77777777" w:rsidR="00A22DE4" w:rsidRPr="00A22DE4" w:rsidRDefault="00A22DE4" w:rsidP="227F8796">
      <w:p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To improve Person-Centred Care (PCC) and Partnership Working (PW) in the UK, changes are needed in workforce policy, funding, and working conditions. Current staff shortages, high workload, and limited resources make it difficult to deliver safe and person-centred care in NHS acute hospitals. The following recommendations are proposed:</w:t>
      </w:r>
    </w:p>
    <w:p w14:paraId="2D38F386" w14:textId="77777777" w:rsidR="00A22DE4" w:rsidRPr="00A22DE4" w:rsidRDefault="00A22DE4" w:rsidP="227F8796">
      <w:pPr>
        <w:numPr>
          <w:ilvl w:val="0"/>
          <w:numId w:val="3"/>
        </w:numPr>
        <w:spacing w:before="100" w:beforeAutospacing="1" w:after="100" w:afterAutospacing="1" w:line="360" w:lineRule="auto"/>
        <w:ind w:left="-360"/>
        <w:jc w:val="both"/>
        <w:rPr>
          <w:rFonts w:ascii="Arial" w:eastAsia="Arial" w:hAnsi="Arial" w:cs="Arial"/>
          <w:b/>
          <w:kern w:val="0"/>
          <w14:ligatures w14:val="none"/>
        </w:rPr>
      </w:pPr>
      <w:r w:rsidRPr="6A218F7E">
        <w:rPr>
          <w:rFonts w:ascii="Arial" w:eastAsia="Arial" w:hAnsi="Arial" w:cs="Arial"/>
          <w:b/>
          <w:kern w:val="0"/>
          <w14:ligatures w14:val="none"/>
        </w:rPr>
        <w:t>Improve pay and financial incentives</w:t>
      </w:r>
    </w:p>
    <w:p w14:paraId="7CE314B2" w14:textId="2C752726" w:rsidR="00A22DE4" w:rsidRPr="00A22DE4" w:rsidRDefault="0194DC5C" w:rsidP="227F8796">
      <w:pPr>
        <w:spacing w:before="100" w:beforeAutospacing="1" w:after="100" w:afterAutospacing="1" w:line="360" w:lineRule="auto"/>
        <w:ind w:left="-360"/>
        <w:jc w:val="both"/>
        <w:rPr>
          <w:rFonts w:ascii="Arial" w:eastAsia="Arial" w:hAnsi="Arial" w:cs="Arial"/>
          <w:kern w:val="0"/>
          <w14:ligatures w14:val="none"/>
        </w:rPr>
      </w:pPr>
      <w:r>
        <w:rPr>
          <w:rFonts w:ascii="Arial" w:eastAsia="Arial" w:hAnsi="Arial" w:cs="Arial"/>
          <w:kern w:val="0"/>
          <w14:ligatures w14:val="none"/>
        </w:rPr>
        <w:t>Increase</w:t>
      </w:r>
      <w:r w:rsidR="00A22DE4" w:rsidRPr="63C7920F">
        <w:rPr>
          <w:rFonts w:ascii="Arial" w:eastAsia="Arial" w:hAnsi="Arial" w:cs="Arial"/>
          <w:kern w:val="0"/>
          <w14:ligatures w14:val="none"/>
        </w:rPr>
        <w:t xml:space="preserve"> salaries and review tax policies for healthcare workers to reduce the number of staff leaving the UK for countries such as Dubai, where pay is higher, tax is lower, and working conditions are better.</w:t>
      </w:r>
    </w:p>
    <w:p w14:paraId="2E9DF9A2" w14:textId="77777777" w:rsidR="00A22DE4" w:rsidRPr="00A22DE4" w:rsidRDefault="00A22DE4" w:rsidP="227F8796">
      <w:pPr>
        <w:numPr>
          <w:ilvl w:val="0"/>
          <w:numId w:val="3"/>
        </w:numPr>
        <w:spacing w:before="100" w:beforeAutospacing="1" w:after="100" w:afterAutospacing="1" w:line="360" w:lineRule="auto"/>
        <w:ind w:left="-360"/>
        <w:jc w:val="both"/>
        <w:rPr>
          <w:rFonts w:ascii="Arial" w:eastAsia="Arial" w:hAnsi="Arial" w:cs="Arial"/>
          <w:b/>
          <w:kern w:val="0"/>
          <w14:ligatures w14:val="none"/>
        </w:rPr>
      </w:pPr>
      <w:r w:rsidRPr="46898EFA">
        <w:rPr>
          <w:rFonts w:ascii="Arial" w:eastAsia="Arial" w:hAnsi="Arial" w:cs="Arial"/>
          <w:b/>
          <w:kern w:val="0"/>
          <w14:ligatures w14:val="none"/>
        </w:rPr>
        <w:t>Increase staffing levels and improve working conditions</w:t>
      </w:r>
    </w:p>
    <w:p w14:paraId="7D7E9730" w14:textId="77777777" w:rsidR="00A22DE4" w:rsidRPr="00A22DE4" w:rsidRDefault="00A22DE4" w:rsidP="227F8796">
      <w:p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Recruit more nurses and doctors, reduce excessive workload, and improve shift patterns to prevent burnout and allow more time for person-centred care.</w:t>
      </w:r>
    </w:p>
    <w:p w14:paraId="7C7AF662" w14:textId="77777777" w:rsidR="00A22DE4" w:rsidRPr="00A22DE4" w:rsidRDefault="00A22DE4" w:rsidP="227F8796">
      <w:pPr>
        <w:numPr>
          <w:ilvl w:val="0"/>
          <w:numId w:val="3"/>
        </w:numPr>
        <w:spacing w:before="100" w:beforeAutospacing="1" w:after="100" w:afterAutospacing="1" w:line="360" w:lineRule="auto"/>
        <w:ind w:left="-360"/>
        <w:jc w:val="both"/>
        <w:rPr>
          <w:rFonts w:ascii="Arial" w:eastAsia="Arial" w:hAnsi="Arial" w:cs="Arial"/>
          <w:b/>
          <w:kern w:val="0"/>
          <w14:ligatures w14:val="none"/>
        </w:rPr>
      </w:pPr>
      <w:r w:rsidRPr="30DB10B3">
        <w:rPr>
          <w:rFonts w:ascii="Arial" w:eastAsia="Arial" w:hAnsi="Arial" w:cs="Arial"/>
          <w:b/>
          <w:kern w:val="0"/>
          <w14:ligatures w14:val="none"/>
        </w:rPr>
        <w:t>Increase government funding for health and social care</w:t>
      </w:r>
    </w:p>
    <w:p w14:paraId="144B07AA" w14:textId="77777777" w:rsidR="00A22DE4" w:rsidRPr="00A22DE4" w:rsidRDefault="00A22DE4" w:rsidP="227F8796">
      <w:p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Provide sufficient resources for safe staffing, modern equipment, and training to support high-quality and person-centred services.</w:t>
      </w:r>
    </w:p>
    <w:p w14:paraId="1D71B431" w14:textId="77777777" w:rsidR="00A22DE4" w:rsidRPr="00A22DE4" w:rsidRDefault="00A22DE4" w:rsidP="227F8796">
      <w:pPr>
        <w:numPr>
          <w:ilvl w:val="0"/>
          <w:numId w:val="3"/>
        </w:numPr>
        <w:spacing w:before="100" w:beforeAutospacing="1" w:after="100" w:afterAutospacing="1" w:line="360" w:lineRule="auto"/>
        <w:ind w:left="-360"/>
        <w:jc w:val="both"/>
        <w:rPr>
          <w:rFonts w:ascii="Arial" w:eastAsia="Arial" w:hAnsi="Arial" w:cs="Arial"/>
          <w:b/>
          <w:kern w:val="0"/>
          <w14:ligatures w14:val="none"/>
        </w:rPr>
      </w:pPr>
      <w:r w:rsidRPr="6CDCD32A">
        <w:rPr>
          <w:rFonts w:ascii="Arial" w:eastAsia="Arial" w:hAnsi="Arial" w:cs="Arial"/>
          <w:b/>
          <w:kern w:val="0"/>
          <w14:ligatures w14:val="none"/>
        </w:rPr>
        <w:t>Strengthen training in Person-Centred Care</w:t>
      </w:r>
    </w:p>
    <w:p w14:paraId="2E1A6E74" w14:textId="77777777" w:rsidR="00A22DE4" w:rsidRPr="00A22DE4" w:rsidRDefault="00A22DE4" w:rsidP="227F8796">
      <w:p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Provide regular training in communication, cultural competence, and shared decision-making to support PCC in daily practice.</w:t>
      </w:r>
    </w:p>
    <w:p w14:paraId="470C29E3" w14:textId="77777777" w:rsidR="00A22DE4" w:rsidRPr="00A22DE4" w:rsidRDefault="00A22DE4" w:rsidP="227F8796">
      <w:pPr>
        <w:numPr>
          <w:ilvl w:val="0"/>
          <w:numId w:val="3"/>
        </w:numPr>
        <w:spacing w:before="100" w:beforeAutospacing="1" w:after="100" w:afterAutospacing="1" w:line="360" w:lineRule="auto"/>
        <w:ind w:left="-360"/>
        <w:jc w:val="both"/>
        <w:rPr>
          <w:rFonts w:ascii="Arial" w:eastAsia="Arial" w:hAnsi="Arial" w:cs="Arial"/>
          <w:b/>
          <w:kern w:val="0"/>
          <w14:ligatures w14:val="none"/>
        </w:rPr>
      </w:pPr>
      <w:r w:rsidRPr="176C7428">
        <w:rPr>
          <w:rFonts w:ascii="Arial" w:eastAsia="Arial" w:hAnsi="Arial" w:cs="Arial"/>
          <w:b/>
          <w:kern w:val="0"/>
          <w14:ligatures w14:val="none"/>
        </w:rPr>
        <w:t>Improve digital systems for Partnership Working</w:t>
      </w:r>
    </w:p>
    <w:p w14:paraId="38AFC9D3" w14:textId="77777777" w:rsidR="00A22DE4" w:rsidRPr="00A22DE4" w:rsidRDefault="00A22DE4" w:rsidP="227F8796">
      <w:p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Develop shared electronic records between NHS, social care, and community services to improve coordination through Integrated Care Systems.</w:t>
      </w:r>
    </w:p>
    <w:p w14:paraId="4ADE6DC2" w14:textId="77777777" w:rsidR="00A22DE4" w:rsidRPr="00A22DE4" w:rsidRDefault="00A22DE4" w:rsidP="227F8796">
      <w:pPr>
        <w:numPr>
          <w:ilvl w:val="0"/>
          <w:numId w:val="3"/>
        </w:numPr>
        <w:spacing w:before="100" w:beforeAutospacing="1" w:after="100" w:afterAutospacing="1" w:line="360" w:lineRule="auto"/>
        <w:ind w:left="-360"/>
        <w:jc w:val="both"/>
        <w:rPr>
          <w:rFonts w:ascii="Arial" w:eastAsia="Arial" w:hAnsi="Arial" w:cs="Arial"/>
          <w:b/>
          <w:kern w:val="0"/>
          <w14:ligatures w14:val="none"/>
        </w:rPr>
      </w:pPr>
      <w:r w:rsidRPr="567AD950">
        <w:rPr>
          <w:rFonts w:ascii="Arial" w:eastAsia="Arial" w:hAnsi="Arial" w:cs="Arial"/>
          <w:b/>
          <w:kern w:val="0"/>
          <w14:ligatures w14:val="none"/>
        </w:rPr>
        <w:t>Promote patient and family involvement</w:t>
      </w:r>
    </w:p>
    <w:p w14:paraId="5225779A" w14:textId="77777777" w:rsidR="00A22DE4" w:rsidRPr="00A22DE4" w:rsidRDefault="00A22DE4" w:rsidP="227F8796">
      <w:p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Encourage co-production and shared decision-making to improve trust, satisfaction, and health outcomes.</w:t>
      </w:r>
    </w:p>
    <w:p w14:paraId="6448803E" w14:textId="2258FE40" w:rsidR="00B05763" w:rsidRPr="00B05763" w:rsidRDefault="566C4561" w:rsidP="227F8796">
      <w:pPr>
        <w:spacing w:before="100" w:beforeAutospacing="1" w:after="100" w:afterAutospacing="1" w:line="360" w:lineRule="auto"/>
        <w:ind w:left="-360"/>
        <w:jc w:val="both"/>
        <w:outlineLvl w:val="1"/>
        <w:rPr>
          <w:rFonts w:ascii="Arial" w:eastAsia="Arial" w:hAnsi="Arial" w:cs="Arial"/>
          <w:b/>
          <w:kern w:val="0"/>
          <w14:ligatures w14:val="none"/>
        </w:rPr>
      </w:pPr>
      <w:r w:rsidRPr="63C7920F">
        <w:rPr>
          <w:rFonts w:ascii="Arial" w:eastAsia="Arial" w:hAnsi="Arial" w:cs="Arial"/>
          <w:b/>
          <w:bCs/>
          <w:kern w:val="0"/>
          <w14:ligatures w14:val="none"/>
        </w:rPr>
        <w:t xml:space="preserve">7.2 </w:t>
      </w:r>
      <w:r w:rsidR="00B05763" w:rsidRPr="63C7920F">
        <w:rPr>
          <w:rFonts w:ascii="Arial" w:eastAsia="Arial" w:hAnsi="Arial" w:cs="Arial"/>
          <w:b/>
          <w:kern w:val="0"/>
          <w14:ligatures w14:val="none"/>
        </w:rPr>
        <w:t>Critical Evaluation of Recommendations</w:t>
      </w:r>
    </w:p>
    <w:p w14:paraId="02F526E7" w14:textId="77777777" w:rsidR="00B05763" w:rsidRPr="00B05763" w:rsidRDefault="00B05763" w:rsidP="227F8796">
      <w:pPr>
        <w:spacing w:before="100" w:beforeAutospacing="1" w:after="100" w:afterAutospacing="1" w:line="360" w:lineRule="auto"/>
        <w:ind w:left="-360"/>
        <w:jc w:val="both"/>
        <w:rPr>
          <w:rFonts w:ascii="Arial" w:eastAsia="Arial" w:hAnsi="Arial" w:cs="Arial"/>
          <w:kern w:val="0"/>
          <w14:ligatures w14:val="none"/>
        </w:rPr>
      </w:pPr>
      <w:r w:rsidRPr="63C7920F">
        <w:rPr>
          <w:rFonts w:ascii="Arial" w:eastAsia="Arial" w:hAnsi="Arial" w:cs="Arial"/>
          <w:kern w:val="0"/>
          <w14:ligatures w14:val="none"/>
        </w:rPr>
        <w:t>These recommendations may be difficult to implement due to financial and political limits. Increasing pay and staffing requires significant investment, which is challenging under current NHS budget pressure (The King’s Fund, 2023). Comparisons with countries such as Dubai may not fully apply because the NHS provides universal healthcare and has higher service demand (Buchan et al., 2022). Research shows staff retention depends not only on pay but also on workload and organisational culture (NHS England, 2022). Therefore, long-term structural reform is needed for real improvement.</w:t>
      </w:r>
    </w:p>
    <w:p w14:paraId="2DFF614D" w14:textId="77777777" w:rsidR="00323432" w:rsidRPr="00323432" w:rsidRDefault="00323432" w:rsidP="523777A9">
      <w:pPr>
        <w:spacing w:before="100" w:beforeAutospacing="1" w:after="100" w:afterAutospacing="1" w:line="360" w:lineRule="auto"/>
        <w:ind w:left="-360"/>
        <w:jc w:val="both"/>
        <w:outlineLvl w:val="1"/>
        <w:rPr>
          <w:rFonts w:ascii="Arial" w:eastAsia="Arial" w:hAnsi="Arial" w:cs="Arial"/>
          <w:b/>
          <w:bCs/>
          <w:kern w:val="0"/>
          <w:sz w:val="28"/>
          <w:szCs w:val="28"/>
          <w14:ligatures w14:val="none"/>
        </w:rPr>
      </w:pPr>
      <w:r w:rsidRPr="523777A9">
        <w:rPr>
          <w:rFonts w:ascii="Arial" w:eastAsia="Arial" w:hAnsi="Arial" w:cs="Arial"/>
          <w:b/>
          <w:bCs/>
          <w:kern w:val="0"/>
          <w:sz w:val="28"/>
          <w:szCs w:val="28"/>
          <w14:ligatures w14:val="none"/>
        </w:rPr>
        <w:t>8. Conclusion</w:t>
      </w:r>
    </w:p>
    <w:p w14:paraId="24B06827" w14:textId="0174E0AE" w:rsidR="001C3AA2" w:rsidRDefault="001C3AA2" w:rsidP="227F8796">
      <w:pPr>
        <w:pStyle w:val="p1"/>
        <w:spacing w:line="360" w:lineRule="auto"/>
        <w:ind w:left="-360"/>
        <w:jc w:val="both"/>
        <w:rPr>
          <w:rStyle w:val="s1"/>
          <w:rFonts w:ascii="Arial" w:eastAsia="Arial" w:hAnsi="Arial" w:cs="Arial"/>
          <w:sz w:val="22"/>
          <w:szCs w:val="22"/>
        </w:rPr>
      </w:pPr>
      <w:r w:rsidRPr="6476C6E6">
        <w:rPr>
          <w:rStyle w:val="s1"/>
          <w:rFonts w:ascii="Arial" w:eastAsia="Arial" w:hAnsi="Arial" w:cs="Arial"/>
          <w:sz w:val="22"/>
          <w:szCs w:val="22"/>
        </w:rPr>
        <w:t>This report has critically examined Person-Centred Care (PCC) and Partnership Working (PW) in the NHS acute hospital setting. The Person-Centred Nursing Framework developed by McCormack and McCance (2010) shows that effective care depends on both professional competence and a supportive care environment. PCC can improve patient experience, safety, and quality of care, while Partnership Working and Integrated Care Systems help to improve coordination between health and social care services (NHS England, 2019).</w:t>
      </w:r>
    </w:p>
    <w:p w14:paraId="54F0310F" w14:textId="3A047C5B" w:rsidR="001C3AA2" w:rsidRDefault="001C3AA2" w:rsidP="227F8796">
      <w:pPr>
        <w:pStyle w:val="p1"/>
        <w:spacing w:line="360" w:lineRule="auto"/>
        <w:ind w:left="-360"/>
        <w:jc w:val="both"/>
        <w:rPr>
          <w:rStyle w:val="s1"/>
          <w:rFonts w:ascii="Arial" w:eastAsia="Arial" w:hAnsi="Arial" w:cs="Arial"/>
          <w:sz w:val="22"/>
          <w:szCs w:val="22"/>
        </w:rPr>
      </w:pPr>
      <w:r w:rsidRPr="523777A9">
        <w:rPr>
          <w:rStyle w:val="s1"/>
          <w:rFonts w:ascii="Arial" w:eastAsia="Arial" w:hAnsi="Arial" w:cs="Arial"/>
          <w:sz w:val="22"/>
          <w:szCs w:val="22"/>
        </w:rPr>
        <w:t>However, the NHS continues to face significant challenges, including staff shortages, limited funding, heavy workload, and difficult working conditions. These pressures have led many healthcare professionals to leave the UK for countries offering better pay and working environments, making the delivery of person-centred and collaborative care more difficult in practice (The King’s Fund, 2020).</w:t>
      </w:r>
    </w:p>
    <w:p w14:paraId="439EA038" w14:textId="134E38C0" w:rsidR="0060759B" w:rsidRPr="0060759B" w:rsidRDefault="001C3AA2" w:rsidP="18A9B2AD">
      <w:pPr>
        <w:pStyle w:val="p1"/>
        <w:spacing w:before="180" w:after="0" w:line="360" w:lineRule="auto"/>
        <w:ind w:left="-360"/>
        <w:jc w:val="both"/>
        <w:rPr>
          <w:rFonts w:ascii="-webkit-standard" w:hAnsi="-webkit-standard" w:hint="eastAsia"/>
          <w:color w:val="000000" w:themeColor="text1"/>
          <w:sz w:val="27"/>
          <w:szCs w:val="27"/>
        </w:rPr>
      </w:pPr>
      <w:r w:rsidRPr="523777A9">
        <w:rPr>
          <w:rStyle w:val="s1"/>
          <w:rFonts w:ascii="Arial" w:eastAsia="Arial" w:hAnsi="Arial" w:cs="Arial"/>
          <w:sz w:val="22"/>
          <w:szCs w:val="22"/>
        </w:rPr>
        <w:t>Although UK policies support Person-Centred Care and Partnership Working, their full implementation requires long-term investment in staffing, funding, and organisational support. Without these changes, it will remain difficult for NHS acute hospitals to fully achieve safe, person-centred, and integrated care.</w:t>
      </w:r>
    </w:p>
    <w:p w14:paraId="70AF8B5A" w14:textId="77777777" w:rsidR="0060759B" w:rsidRPr="0060759B" w:rsidRDefault="0060759B" w:rsidP="3C78EB87">
      <w:pPr>
        <w:pStyle w:val="p1"/>
        <w:spacing w:before="180" w:after="0" w:line="360" w:lineRule="auto"/>
        <w:jc w:val="both"/>
        <w:rPr>
          <w:rFonts w:ascii="-webkit-standard" w:hAnsi="-webkit-standard"/>
          <w:color w:val="000000"/>
          <w:sz w:val="27"/>
          <w:szCs w:val="27"/>
        </w:rPr>
      </w:pPr>
      <w:r w:rsidRPr="31C18AEB">
        <w:rPr>
          <w:rFonts w:ascii="Arial" w:eastAsia="Arial" w:hAnsi="Arial" w:cs="Arial"/>
          <w:b/>
          <w:color w:val="1F3864"/>
          <w:sz w:val="22"/>
          <w:szCs w:val="22"/>
        </w:rPr>
        <w:t>References</w:t>
      </w:r>
    </w:p>
    <w:p w14:paraId="0491E827" w14:textId="2D79FB49" w:rsidR="4F2DAA10" w:rsidRDefault="4F2DAA10" w:rsidP="4F2DAA10">
      <w:pPr>
        <w:spacing w:before="60" w:after="60" w:line="240" w:lineRule="auto"/>
        <w:jc w:val="both"/>
        <w:rPr>
          <w:rFonts w:ascii="Arial" w:eastAsia="Arial" w:hAnsi="Arial" w:cs="Arial"/>
          <w:color w:val="000000" w:themeColor="text1"/>
          <w:sz w:val="22"/>
          <w:szCs w:val="22"/>
        </w:rPr>
      </w:pPr>
    </w:p>
    <w:p w14:paraId="1981E041" w14:textId="77777777"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Beauchamp, T.L. and Childress, J.F. (2019) </w:t>
      </w:r>
      <w:r w:rsidRPr="31C18AEB">
        <w:rPr>
          <w:rFonts w:ascii="Arial" w:eastAsia="Arial" w:hAnsi="Arial" w:cs="Arial"/>
          <w:i/>
          <w:color w:val="000000"/>
          <w:kern w:val="0"/>
          <w:sz w:val="22"/>
          <w:szCs w:val="22"/>
          <w14:ligatures w14:val="none"/>
        </w:rPr>
        <w:t>Principles of biomedical ethics. </w:t>
      </w:r>
      <w:r w:rsidRPr="31C18AEB">
        <w:rPr>
          <w:rFonts w:ascii="Arial" w:eastAsia="Arial" w:hAnsi="Arial" w:cs="Arial"/>
          <w:color w:val="000000"/>
          <w:kern w:val="0"/>
          <w:sz w:val="22"/>
          <w:szCs w:val="22"/>
          <w14:ligatures w14:val="none"/>
        </w:rPr>
        <w:t>8th edn. Oxford: Oxford University Press.</w:t>
      </w:r>
    </w:p>
    <w:p w14:paraId="62EA8F18" w14:textId="6190D7B6" w:rsidR="7A37F884" w:rsidRDefault="7A37F884" w:rsidP="7A37F884">
      <w:pPr>
        <w:spacing w:before="60" w:after="60" w:line="240" w:lineRule="auto"/>
        <w:jc w:val="both"/>
        <w:rPr>
          <w:rFonts w:ascii="Arial" w:eastAsia="Arial" w:hAnsi="Arial" w:cs="Arial"/>
          <w:color w:val="000000" w:themeColor="text1"/>
          <w:sz w:val="22"/>
          <w:szCs w:val="22"/>
        </w:rPr>
      </w:pPr>
    </w:p>
    <w:p w14:paraId="0C0DDFEE" w14:textId="1CEF5BF5" w:rsidR="0060759B" w:rsidRPr="0060759B" w:rsidRDefault="0060759B" w:rsidP="5A070103">
      <w:pPr>
        <w:spacing w:before="60" w:after="60" w:line="240" w:lineRule="auto"/>
        <w:jc w:val="both"/>
        <w:rPr>
          <w:rFonts w:ascii="Arial" w:eastAsia="Arial" w:hAnsi="Arial" w:cs="Arial"/>
          <w:color w:val="000000" w:themeColor="text1"/>
          <w:sz w:val="22"/>
          <w:szCs w:val="22"/>
        </w:rPr>
      </w:pPr>
      <w:r w:rsidRPr="31C18AEB">
        <w:rPr>
          <w:rFonts w:ascii="Arial" w:eastAsia="Arial" w:hAnsi="Arial" w:cs="Arial"/>
          <w:color w:val="000000"/>
          <w:kern w:val="0"/>
          <w:sz w:val="22"/>
          <w:szCs w:val="22"/>
          <w14:ligatures w14:val="none"/>
        </w:rPr>
        <w:t>Care Act (2014) </w:t>
      </w:r>
      <w:r w:rsidRPr="31C18AEB">
        <w:rPr>
          <w:rFonts w:ascii="Arial" w:eastAsia="Arial" w:hAnsi="Arial" w:cs="Arial"/>
          <w:i/>
          <w:color w:val="000000"/>
          <w:kern w:val="0"/>
          <w:sz w:val="22"/>
          <w:szCs w:val="22"/>
          <w14:ligatures w14:val="none"/>
        </w:rPr>
        <w:t>Care Act 2014. </w:t>
      </w:r>
      <w:r w:rsidRPr="31C18AEB">
        <w:rPr>
          <w:rFonts w:ascii="Arial" w:eastAsia="Arial" w:hAnsi="Arial" w:cs="Arial"/>
          <w:color w:val="000000"/>
          <w:kern w:val="0"/>
          <w:sz w:val="22"/>
          <w:szCs w:val="22"/>
          <w14:ligatures w14:val="none"/>
        </w:rPr>
        <w:t xml:space="preserve">Available at: </w:t>
      </w:r>
      <w:hyperlink r:id="rId7">
        <w:r w:rsidRPr="31C18AEB">
          <w:rPr>
            <w:rStyle w:val="Hyperlink"/>
            <w:rFonts w:ascii="Arial" w:eastAsia="Arial" w:hAnsi="Arial" w:cs="Arial"/>
            <w:sz w:val="22"/>
            <w:szCs w:val="22"/>
          </w:rPr>
          <w:t>https://www.legislation.gov.uk/ukpga/2014/23/contents</w:t>
        </w:r>
      </w:hyperlink>
      <w:r w:rsidR="4799093F" w:rsidRPr="31C18AEB">
        <w:rPr>
          <w:rFonts w:ascii="Arial" w:eastAsia="Arial" w:hAnsi="Arial" w:cs="Arial"/>
          <w:sz w:val="22"/>
          <w:szCs w:val="22"/>
        </w:rPr>
        <w:t xml:space="preserve"> (accessed: 19 March 2026).</w:t>
      </w:r>
    </w:p>
    <w:p w14:paraId="2684DEE1" w14:textId="70B7D069" w:rsidR="0060759B" w:rsidRPr="0060759B" w:rsidRDefault="0060759B" w:rsidP="0060759B">
      <w:pPr>
        <w:spacing w:before="60" w:after="60" w:line="240" w:lineRule="auto"/>
        <w:jc w:val="both"/>
        <w:rPr>
          <w:rFonts w:ascii="Arial" w:eastAsia="Arial" w:hAnsi="Arial" w:cs="Arial"/>
          <w:kern w:val="0"/>
          <w:sz w:val="22"/>
          <w:szCs w:val="22"/>
          <w14:ligatures w14:val="none"/>
        </w:rPr>
      </w:pPr>
    </w:p>
    <w:p w14:paraId="78808BEA" w14:textId="073C080C" w:rsidR="7A8B27A7" w:rsidRDefault="7A8B27A7" w:rsidP="7A8B27A7">
      <w:pPr>
        <w:spacing w:before="60" w:after="60" w:line="240" w:lineRule="auto"/>
        <w:jc w:val="both"/>
        <w:rPr>
          <w:rFonts w:ascii="Arial" w:eastAsia="Arial" w:hAnsi="Arial" w:cs="Arial"/>
          <w:color w:val="000000" w:themeColor="text1"/>
          <w:sz w:val="22"/>
          <w:szCs w:val="22"/>
        </w:rPr>
      </w:pPr>
    </w:p>
    <w:p w14:paraId="5267193B" w14:textId="77777777"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Coulter, A. and Collins, A. (2011) </w:t>
      </w:r>
      <w:r w:rsidRPr="31C18AEB">
        <w:rPr>
          <w:rFonts w:ascii="Arial" w:eastAsia="Arial" w:hAnsi="Arial" w:cs="Arial"/>
          <w:i/>
          <w:color w:val="000000"/>
          <w:kern w:val="0"/>
          <w:sz w:val="22"/>
          <w:szCs w:val="22"/>
          <w14:ligatures w14:val="none"/>
        </w:rPr>
        <w:t>Making shared decision-making a reality: no decision about me, without me. </w:t>
      </w:r>
      <w:r w:rsidRPr="31C18AEB">
        <w:rPr>
          <w:rFonts w:ascii="Arial" w:eastAsia="Arial" w:hAnsi="Arial" w:cs="Arial"/>
          <w:color w:val="000000"/>
          <w:kern w:val="0"/>
          <w:sz w:val="22"/>
          <w:szCs w:val="22"/>
          <w14:ligatures w14:val="none"/>
        </w:rPr>
        <w:t>London: The King's Fund.</w:t>
      </w:r>
    </w:p>
    <w:p w14:paraId="02D7898F" w14:textId="77C3C2A8" w:rsidR="6585F8C3" w:rsidRDefault="6585F8C3" w:rsidP="6585F8C3">
      <w:pPr>
        <w:spacing w:before="60" w:after="60" w:line="240" w:lineRule="auto"/>
        <w:jc w:val="both"/>
        <w:rPr>
          <w:rFonts w:ascii="Arial" w:eastAsia="Arial" w:hAnsi="Arial" w:cs="Arial"/>
          <w:color w:val="000000" w:themeColor="text1"/>
          <w:sz w:val="22"/>
          <w:szCs w:val="22"/>
        </w:rPr>
      </w:pPr>
    </w:p>
    <w:p w14:paraId="01136034" w14:textId="6B889538" w:rsidR="0060759B" w:rsidRPr="0060759B" w:rsidRDefault="0060759B" w:rsidP="79A47810">
      <w:pPr>
        <w:spacing w:before="60" w:after="60" w:line="240" w:lineRule="auto"/>
        <w:jc w:val="both"/>
        <w:rPr>
          <w:rFonts w:ascii="Arial" w:eastAsia="Arial" w:hAnsi="Arial" w:cs="Arial"/>
          <w:color w:val="000000" w:themeColor="text1"/>
          <w:sz w:val="22"/>
          <w:szCs w:val="22"/>
        </w:rPr>
      </w:pPr>
      <w:r w:rsidRPr="31C18AEB">
        <w:rPr>
          <w:rFonts w:ascii="Arial" w:eastAsia="Arial" w:hAnsi="Arial" w:cs="Arial"/>
          <w:color w:val="000000"/>
          <w:kern w:val="0"/>
          <w:sz w:val="22"/>
          <w:szCs w:val="22"/>
          <w14:ligatures w14:val="none"/>
        </w:rPr>
        <w:t>Department of Health and Social Care (2021) </w:t>
      </w:r>
      <w:r w:rsidRPr="31C18AEB">
        <w:rPr>
          <w:rFonts w:ascii="Arial" w:eastAsia="Arial" w:hAnsi="Arial" w:cs="Arial"/>
          <w:i/>
          <w:color w:val="000000"/>
          <w:kern w:val="0"/>
          <w:sz w:val="22"/>
          <w:szCs w:val="22"/>
          <w14:ligatures w14:val="none"/>
        </w:rPr>
        <w:t>NHS constitution for England. </w:t>
      </w:r>
      <w:r w:rsidRPr="31C18AEB">
        <w:rPr>
          <w:rFonts w:ascii="Arial" w:eastAsia="Arial" w:hAnsi="Arial" w:cs="Arial"/>
          <w:color w:val="000000"/>
          <w:kern w:val="0"/>
          <w:sz w:val="22"/>
          <w:szCs w:val="22"/>
          <w14:ligatures w14:val="none"/>
        </w:rPr>
        <w:t xml:space="preserve">Available at: </w:t>
      </w:r>
      <w:hyperlink r:id="rId8">
        <w:r w:rsidRPr="31C18AEB">
          <w:rPr>
            <w:rStyle w:val="Hyperlink"/>
            <w:rFonts w:ascii="Arial" w:eastAsia="Arial" w:hAnsi="Arial" w:cs="Arial"/>
            <w:sz w:val="22"/>
            <w:szCs w:val="22"/>
          </w:rPr>
          <w:t>https://www.gov.uk/government/publications/the-nhs-constitution-for-england</w:t>
        </w:r>
      </w:hyperlink>
      <w:r w:rsidR="2EBF1276" w:rsidRPr="31C18AEB">
        <w:rPr>
          <w:rFonts w:ascii="Arial" w:eastAsia="Arial" w:hAnsi="Arial" w:cs="Arial"/>
          <w:sz w:val="22"/>
          <w:szCs w:val="22"/>
        </w:rPr>
        <w:t xml:space="preserve"> (accessed: 22 March 2026).</w:t>
      </w:r>
    </w:p>
    <w:p w14:paraId="583FCED0" w14:textId="4DF7618F" w:rsidR="0060759B" w:rsidRPr="0060759B" w:rsidRDefault="0060759B" w:rsidP="0060759B">
      <w:pPr>
        <w:spacing w:before="60" w:after="60" w:line="240" w:lineRule="auto"/>
        <w:jc w:val="both"/>
        <w:rPr>
          <w:rFonts w:ascii="Arial" w:eastAsia="Arial" w:hAnsi="Arial" w:cs="Arial"/>
          <w:kern w:val="0"/>
          <w:sz w:val="22"/>
          <w:szCs w:val="22"/>
          <w14:ligatures w14:val="none"/>
        </w:rPr>
      </w:pPr>
    </w:p>
    <w:p w14:paraId="377E17F1" w14:textId="2102A0AE" w:rsidR="56CC72BD" w:rsidRDefault="56CC72BD" w:rsidP="56CC72BD">
      <w:pPr>
        <w:spacing w:before="60" w:after="60" w:line="240" w:lineRule="auto"/>
        <w:jc w:val="both"/>
        <w:rPr>
          <w:rFonts w:ascii="Arial" w:eastAsia="Arial" w:hAnsi="Arial" w:cs="Arial"/>
          <w:color w:val="000000" w:themeColor="text1"/>
          <w:sz w:val="22"/>
          <w:szCs w:val="22"/>
        </w:rPr>
      </w:pPr>
    </w:p>
    <w:p w14:paraId="7A594A97" w14:textId="61FA2E7B" w:rsidR="0060759B" w:rsidRPr="0060759B" w:rsidRDefault="0060759B" w:rsidP="3851D3AF">
      <w:pPr>
        <w:spacing w:before="60" w:after="60" w:line="240" w:lineRule="auto"/>
        <w:jc w:val="both"/>
        <w:rPr>
          <w:rFonts w:ascii="Arial" w:eastAsia="Arial" w:hAnsi="Arial" w:cs="Arial"/>
          <w:color w:val="000000" w:themeColor="text1"/>
          <w:sz w:val="22"/>
          <w:szCs w:val="22"/>
        </w:rPr>
      </w:pPr>
      <w:r w:rsidRPr="31C18AEB">
        <w:rPr>
          <w:rFonts w:ascii="Arial" w:eastAsia="Arial" w:hAnsi="Arial" w:cs="Arial"/>
          <w:color w:val="000000"/>
          <w:kern w:val="0"/>
          <w:sz w:val="22"/>
          <w:szCs w:val="22"/>
          <w14:ligatures w14:val="none"/>
        </w:rPr>
        <w:t>Doyle, C., Lennox, L. and Bell, D. (2013) 'A</w:t>
      </w:r>
      <w:r w:rsidRPr="74AE5789">
        <w:rPr>
          <w:rFonts w:ascii="Arial" w:eastAsia="Arial" w:hAnsi="Arial" w:cs="Arial"/>
          <w:i/>
          <w:color w:val="000000"/>
          <w:kern w:val="0"/>
          <w:sz w:val="22"/>
          <w:szCs w:val="22"/>
          <w14:ligatures w14:val="none"/>
        </w:rPr>
        <w:t xml:space="preserve"> systematic review of evidence on the links between patient experience and clinical safety and effectiveness', </w:t>
      </w:r>
      <w:r w:rsidRPr="31C18AEB">
        <w:rPr>
          <w:rFonts w:ascii="Arial" w:eastAsia="Arial" w:hAnsi="Arial" w:cs="Arial"/>
          <w:i/>
          <w:color w:val="000000"/>
          <w:kern w:val="0"/>
          <w:sz w:val="22"/>
          <w:szCs w:val="22"/>
          <w14:ligatures w14:val="none"/>
        </w:rPr>
        <w:t>BMJ Open, </w:t>
      </w:r>
      <w:r w:rsidRPr="31C18AEB">
        <w:rPr>
          <w:rFonts w:ascii="Arial" w:eastAsia="Arial" w:hAnsi="Arial" w:cs="Arial"/>
          <w:color w:val="000000"/>
          <w:kern w:val="0"/>
          <w:sz w:val="22"/>
          <w:szCs w:val="22"/>
          <w14:ligatures w14:val="none"/>
        </w:rPr>
        <w:t xml:space="preserve">3(1), p.e001570. doi: </w:t>
      </w:r>
      <w:hyperlink r:id="rId9">
        <w:r w:rsidRPr="31C18AEB">
          <w:rPr>
            <w:rStyle w:val="Hyperlink"/>
            <w:rFonts w:ascii="Arial" w:eastAsia="Arial" w:hAnsi="Arial" w:cs="Arial"/>
            <w:sz w:val="22"/>
            <w:szCs w:val="22"/>
          </w:rPr>
          <w:t>https://doi.org/10.1136/bmjopen-2012-001570</w:t>
        </w:r>
      </w:hyperlink>
      <w:r w:rsidR="12F75243" w:rsidRPr="31C18AEB">
        <w:rPr>
          <w:rFonts w:ascii="Arial" w:eastAsia="Arial" w:hAnsi="Arial" w:cs="Arial"/>
          <w:sz w:val="22"/>
          <w:szCs w:val="22"/>
        </w:rPr>
        <w:t xml:space="preserve"> (accessed: 22 March 2026).</w:t>
      </w:r>
    </w:p>
    <w:p w14:paraId="22EDEE5C" w14:textId="1B954DA1" w:rsidR="0060759B" w:rsidRPr="0060759B" w:rsidRDefault="0060759B" w:rsidP="0060759B">
      <w:pPr>
        <w:spacing w:before="60" w:after="60" w:line="240" w:lineRule="auto"/>
        <w:jc w:val="both"/>
        <w:rPr>
          <w:rFonts w:ascii="Arial" w:eastAsia="Arial" w:hAnsi="Arial" w:cs="Arial"/>
          <w:kern w:val="0"/>
          <w:sz w:val="22"/>
          <w:szCs w:val="22"/>
          <w14:ligatures w14:val="none"/>
        </w:rPr>
      </w:pPr>
    </w:p>
    <w:p w14:paraId="5A23FDB9" w14:textId="25E71C81" w:rsidR="6C4E7DD2" w:rsidRDefault="6C4E7DD2" w:rsidP="6C4E7DD2">
      <w:pPr>
        <w:spacing w:before="60" w:after="60" w:line="240" w:lineRule="auto"/>
        <w:jc w:val="both"/>
        <w:rPr>
          <w:rFonts w:ascii="Arial" w:eastAsia="Arial" w:hAnsi="Arial" w:cs="Arial"/>
          <w:color w:val="000000" w:themeColor="text1"/>
          <w:sz w:val="22"/>
          <w:szCs w:val="22"/>
        </w:rPr>
      </w:pPr>
    </w:p>
    <w:p w14:paraId="1CDE0F5F" w14:textId="77777777"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Glasby, J. and Dickinson, H. (2014) </w:t>
      </w:r>
      <w:r w:rsidRPr="31C18AEB">
        <w:rPr>
          <w:rFonts w:ascii="Arial" w:eastAsia="Arial" w:hAnsi="Arial" w:cs="Arial"/>
          <w:i/>
          <w:color w:val="000000"/>
          <w:kern w:val="0"/>
          <w:sz w:val="22"/>
          <w:szCs w:val="22"/>
          <w14:ligatures w14:val="none"/>
        </w:rPr>
        <w:t>Partnership working in health and social care. </w:t>
      </w:r>
      <w:r w:rsidRPr="31C18AEB">
        <w:rPr>
          <w:rFonts w:ascii="Arial" w:eastAsia="Arial" w:hAnsi="Arial" w:cs="Arial"/>
          <w:color w:val="000000"/>
          <w:kern w:val="0"/>
          <w:sz w:val="22"/>
          <w:szCs w:val="22"/>
          <w14:ligatures w14:val="none"/>
        </w:rPr>
        <w:t>2nd edn. Bristol: Policy Press.</w:t>
      </w:r>
    </w:p>
    <w:p w14:paraId="3C7C7E22" w14:textId="613D4689" w:rsidR="7BEE5856" w:rsidRDefault="7BEE5856" w:rsidP="7BEE5856">
      <w:pPr>
        <w:spacing w:before="60" w:after="60" w:line="240" w:lineRule="auto"/>
        <w:jc w:val="both"/>
        <w:rPr>
          <w:rFonts w:ascii="Arial" w:eastAsia="Arial" w:hAnsi="Arial" w:cs="Arial"/>
          <w:color w:val="000000" w:themeColor="text1"/>
          <w:sz w:val="22"/>
          <w:szCs w:val="22"/>
        </w:rPr>
      </w:pPr>
    </w:p>
    <w:p w14:paraId="0E008216" w14:textId="77777777"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Goodrich, J. and Cornwell, J. (2008) </w:t>
      </w:r>
      <w:r w:rsidRPr="31C18AEB">
        <w:rPr>
          <w:rFonts w:ascii="Arial" w:eastAsia="Arial" w:hAnsi="Arial" w:cs="Arial"/>
          <w:i/>
          <w:color w:val="000000"/>
          <w:kern w:val="0"/>
          <w:sz w:val="22"/>
          <w:szCs w:val="22"/>
          <w14:ligatures w14:val="none"/>
        </w:rPr>
        <w:t>Seeing the person in the patient: the point of care review paper. </w:t>
      </w:r>
      <w:r w:rsidRPr="31C18AEB">
        <w:rPr>
          <w:rFonts w:ascii="Arial" w:eastAsia="Arial" w:hAnsi="Arial" w:cs="Arial"/>
          <w:color w:val="000000"/>
          <w:kern w:val="0"/>
          <w:sz w:val="22"/>
          <w:szCs w:val="22"/>
          <w14:ligatures w14:val="none"/>
        </w:rPr>
        <w:t>London: The King's Fund.</w:t>
      </w:r>
    </w:p>
    <w:p w14:paraId="2EA91936" w14:textId="4BD183E9" w:rsidR="7AD3BB3B" w:rsidRDefault="7AD3BB3B" w:rsidP="7AD3BB3B">
      <w:pPr>
        <w:spacing w:before="60" w:after="60" w:line="240" w:lineRule="auto"/>
        <w:jc w:val="both"/>
        <w:rPr>
          <w:rFonts w:ascii="Arial" w:eastAsia="Arial" w:hAnsi="Arial" w:cs="Arial"/>
          <w:color w:val="000000" w:themeColor="text1"/>
          <w:sz w:val="22"/>
          <w:szCs w:val="22"/>
        </w:rPr>
      </w:pPr>
    </w:p>
    <w:p w14:paraId="448B3FE9" w14:textId="77777777"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Health Foundation (2014) </w:t>
      </w:r>
      <w:r w:rsidRPr="31C18AEB">
        <w:rPr>
          <w:rFonts w:ascii="Arial" w:eastAsia="Arial" w:hAnsi="Arial" w:cs="Arial"/>
          <w:i/>
          <w:color w:val="000000"/>
          <w:kern w:val="0"/>
          <w:sz w:val="22"/>
          <w:szCs w:val="22"/>
          <w14:ligatures w14:val="none"/>
        </w:rPr>
        <w:t>Person-centred care made simple. </w:t>
      </w:r>
      <w:r w:rsidRPr="31C18AEB">
        <w:rPr>
          <w:rFonts w:ascii="Arial" w:eastAsia="Arial" w:hAnsi="Arial" w:cs="Arial"/>
          <w:color w:val="000000"/>
          <w:kern w:val="0"/>
          <w:sz w:val="22"/>
          <w:szCs w:val="22"/>
          <w14:ligatures w14:val="none"/>
        </w:rPr>
        <w:t>London: The Health Foundation.</w:t>
      </w:r>
    </w:p>
    <w:p w14:paraId="449C2DE3" w14:textId="52187C39" w:rsidR="0DB62B84" w:rsidRDefault="0DB62B84" w:rsidP="0DB62B84">
      <w:pPr>
        <w:spacing w:before="60" w:after="60" w:line="240" w:lineRule="auto"/>
        <w:jc w:val="both"/>
        <w:rPr>
          <w:rFonts w:ascii="Arial" w:eastAsia="Arial" w:hAnsi="Arial" w:cs="Arial"/>
          <w:color w:val="000000" w:themeColor="text1"/>
          <w:sz w:val="22"/>
          <w:szCs w:val="22"/>
        </w:rPr>
      </w:pPr>
    </w:p>
    <w:p w14:paraId="2D1FB725" w14:textId="77777777"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Marmot, M., Allen, J., Boyce, T., Goldblatt, P. and Morrison, J. (2020) </w:t>
      </w:r>
      <w:r w:rsidRPr="31C18AEB">
        <w:rPr>
          <w:rFonts w:ascii="Arial" w:eastAsia="Arial" w:hAnsi="Arial" w:cs="Arial"/>
          <w:i/>
          <w:color w:val="000000"/>
          <w:kern w:val="0"/>
          <w:sz w:val="22"/>
          <w:szCs w:val="22"/>
          <w14:ligatures w14:val="none"/>
        </w:rPr>
        <w:t>Health equity in England: the Marmot review 10 years on. </w:t>
      </w:r>
      <w:r w:rsidRPr="31C18AEB">
        <w:rPr>
          <w:rFonts w:ascii="Arial" w:eastAsia="Arial" w:hAnsi="Arial" w:cs="Arial"/>
          <w:color w:val="000000"/>
          <w:kern w:val="0"/>
          <w:sz w:val="22"/>
          <w:szCs w:val="22"/>
          <w14:ligatures w14:val="none"/>
        </w:rPr>
        <w:t>London: Institute of Health Equity.</w:t>
      </w:r>
    </w:p>
    <w:p w14:paraId="144DB25E" w14:textId="0B492438" w:rsidR="4663FC20" w:rsidRDefault="4663FC20" w:rsidP="4663FC20">
      <w:pPr>
        <w:spacing w:before="60" w:after="60" w:line="240" w:lineRule="auto"/>
        <w:jc w:val="both"/>
        <w:rPr>
          <w:rFonts w:ascii="Arial" w:eastAsia="Arial" w:hAnsi="Arial" w:cs="Arial"/>
          <w:color w:val="000000" w:themeColor="text1"/>
          <w:sz w:val="22"/>
          <w:szCs w:val="22"/>
        </w:rPr>
      </w:pPr>
    </w:p>
    <w:p w14:paraId="34C1D6B1" w14:textId="77777777"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McCormack, B. and McCance, T. (2010) </w:t>
      </w:r>
      <w:r w:rsidRPr="31C18AEB">
        <w:rPr>
          <w:rFonts w:ascii="Arial" w:eastAsia="Arial" w:hAnsi="Arial" w:cs="Arial"/>
          <w:i/>
          <w:color w:val="000000"/>
          <w:kern w:val="0"/>
          <w:sz w:val="22"/>
          <w:szCs w:val="22"/>
          <w14:ligatures w14:val="none"/>
        </w:rPr>
        <w:t>Person-centred nursing: theory and practice. </w:t>
      </w:r>
      <w:r w:rsidRPr="31C18AEB">
        <w:rPr>
          <w:rFonts w:ascii="Arial" w:eastAsia="Arial" w:hAnsi="Arial" w:cs="Arial"/>
          <w:color w:val="000000"/>
          <w:kern w:val="0"/>
          <w:sz w:val="22"/>
          <w:szCs w:val="22"/>
          <w14:ligatures w14:val="none"/>
        </w:rPr>
        <w:t>Oxford: Wiley-Blackwell.</w:t>
      </w:r>
    </w:p>
    <w:p w14:paraId="4C4E8C40" w14:textId="6294C944" w:rsidR="562A9E49" w:rsidRDefault="562A9E49" w:rsidP="562A9E49">
      <w:pPr>
        <w:spacing w:before="60" w:after="60" w:line="240" w:lineRule="auto"/>
        <w:jc w:val="both"/>
        <w:rPr>
          <w:rFonts w:ascii="Arial" w:eastAsia="Arial" w:hAnsi="Arial" w:cs="Arial"/>
          <w:color w:val="000000" w:themeColor="text1"/>
          <w:sz w:val="22"/>
          <w:szCs w:val="22"/>
        </w:rPr>
      </w:pPr>
    </w:p>
    <w:p w14:paraId="0B560C63" w14:textId="77777777"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McCormack, B., Manley, K. and Titchen, A. (eds.) (2013) </w:t>
      </w:r>
      <w:r w:rsidRPr="31C18AEB">
        <w:rPr>
          <w:rFonts w:ascii="Arial" w:eastAsia="Arial" w:hAnsi="Arial" w:cs="Arial"/>
          <w:i/>
          <w:color w:val="000000"/>
          <w:kern w:val="0"/>
          <w:sz w:val="22"/>
          <w:szCs w:val="22"/>
          <w14:ligatures w14:val="none"/>
        </w:rPr>
        <w:t>Practice development in nursing and healthcare. </w:t>
      </w:r>
      <w:r w:rsidRPr="31C18AEB">
        <w:rPr>
          <w:rFonts w:ascii="Arial" w:eastAsia="Arial" w:hAnsi="Arial" w:cs="Arial"/>
          <w:color w:val="000000"/>
          <w:kern w:val="0"/>
          <w:sz w:val="22"/>
          <w:szCs w:val="22"/>
          <w14:ligatures w14:val="none"/>
        </w:rPr>
        <w:t>2nd edn. Oxford: Wiley-Blackwell.</w:t>
      </w:r>
    </w:p>
    <w:p w14:paraId="3D4081CA" w14:textId="77777777" w:rsidR="007356FC" w:rsidRDefault="007356FC" w:rsidP="472C6C4F">
      <w:pPr>
        <w:spacing w:before="60" w:after="60" w:line="240" w:lineRule="auto"/>
        <w:jc w:val="both"/>
        <w:rPr>
          <w:rFonts w:ascii="Arial" w:eastAsia="Arial" w:hAnsi="Arial" w:cs="Arial"/>
          <w:color w:val="000000"/>
          <w:kern w:val="0"/>
          <w:sz w:val="22"/>
          <w:szCs w:val="22"/>
          <w14:ligatures w14:val="none"/>
        </w:rPr>
      </w:pPr>
    </w:p>
    <w:p w14:paraId="6F419FC0" w14:textId="6CCADB00" w:rsidR="0060759B" w:rsidRPr="0060759B" w:rsidRDefault="0060759B" w:rsidP="472C6C4F">
      <w:pPr>
        <w:spacing w:before="60" w:after="60" w:line="240" w:lineRule="auto"/>
        <w:jc w:val="both"/>
        <w:rPr>
          <w:rFonts w:ascii="Arial" w:eastAsia="Arial" w:hAnsi="Arial" w:cs="Arial"/>
          <w:color w:val="000000" w:themeColor="text1"/>
          <w:sz w:val="22"/>
          <w:szCs w:val="22"/>
        </w:rPr>
      </w:pPr>
      <w:r w:rsidRPr="31C18AEB">
        <w:rPr>
          <w:rFonts w:ascii="Arial" w:eastAsia="Arial" w:hAnsi="Arial" w:cs="Arial"/>
          <w:color w:val="000000"/>
          <w:kern w:val="0"/>
          <w:sz w:val="22"/>
          <w:szCs w:val="22"/>
          <w14:ligatures w14:val="none"/>
        </w:rPr>
        <w:t>GOV.UK (2005) </w:t>
      </w:r>
      <w:r w:rsidRPr="31C18AEB">
        <w:rPr>
          <w:rFonts w:ascii="Arial" w:eastAsia="Arial" w:hAnsi="Arial" w:cs="Arial"/>
          <w:i/>
          <w:color w:val="000000"/>
          <w:kern w:val="0"/>
          <w:sz w:val="22"/>
          <w:szCs w:val="22"/>
          <w14:ligatures w14:val="none"/>
        </w:rPr>
        <w:t>Mental Capacity Act 2005. </w:t>
      </w:r>
      <w:r w:rsidRPr="31C18AEB">
        <w:rPr>
          <w:rFonts w:ascii="Arial" w:eastAsia="Arial" w:hAnsi="Arial" w:cs="Arial"/>
          <w:color w:val="000000"/>
          <w:kern w:val="0"/>
          <w:sz w:val="22"/>
          <w:szCs w:val="22"/>
          <w14:ligatures w14:val="none"/>
        </w:rPr>
        <w:t xml:space="preserve">Available at: </w:t>
      </w:r>
      <w:hyperlink r:id="rId10">
        <w:r w:rsidRPr="31C18AEB">
          <w:rPr>
            <w:rStyle w:val="Hyperlink"/>
            <w:rFonts w:ascii="Arial" w:eastAsia="Arial" w:hAnsi="Arial" w:cs="Arial"/>
            <w:sz w:val="22"/>
            <w:szCs w:val="22"/>
          </w:rPr>
          <w:t>https://www.legislation.gov.uk/ukpga/2005/9/contents</w:t>
        </w:r>
      </w:hyperlink>
      <w:r w:rsidR="4B51AE76" w:rsidRPr="31C18AEB">
        <w:rPr>
          <w:rFonts w:ascii="Arial" w:eastAsia="Arial" w:hAnsi="Arial" w:cs="Arial"/>
          <w:color w:val="000000"/>
          <w:kern w:val="0"/>
          <w:sz w:val="22"/>
          <w:szCs w:val="22"/>
          <w14:ligatures w14:val="none"/>
        </w:rPr>
        <w:t xml:space="preserve"> </w:t>
      </w:r>
      <w:r w:rsidR="4B51AE76" w:rsidRPr="31C18AEB">
        <w:rPr>
          <w:rFonts w:ascii="Arial" w:eastAsia="Arial" w:hAnsi="Arial" w:cs="Arial"/>
          <w:sz w:val="22"/>
          <w:szCs w:val="22"/>
        </w:rPr>
        <w:t>(accessed: 25 March 2026).</w:t>
      </w:r>
    </w:p>
    <w:p w14:paraId="7F25DB66" w14:textId="6386D048"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p>
    <w:p w14:paraId="41B4BBB8" w14:textId="3A96FABD" w:rsidR="019A5E71" w:rsidRDefault="019A5E71" w:rsidP="019A5E71">
      <w:pPr>
        <w:spacing w:before="60" w:after="60" w:line="240" w:lineRule="auto"/>
        <w:jc w:val="both"/>
        <w:rPr>
          <w:rFonts w:ascii="Arial" w:eastAsia="Arial" w:hAnsi="Arial" w:cs="Arial"/>
          <w:color w:val="000000" w:themeColor="text1"/>
          <w:sz w:val="22"/>
          <w:szCs w:val="22"/>
        </w:rPr>
      </w:pPr>
    </w:p>
    <w:p w14:paraId="5FABD621" w14:textId="1D0FD776" w:rsidR="0060759B" w:rsidRPr="0060759B" w:rsidRDefault="0060759B" w:rsidP="1CE5A625">
      <w:pPr>
        <w:spacing w:before="60" w:after="60" w:line="240" w:lineRule="auto"/>
        <w:jc w:val="both"/>
        <w:rPr>
          <w:rFonts w:ascii="Arial" w:eastAsia="Arial" w:hAnsi="Arial" w:cs="Arial"/>
          <w:color w:val="000000" w:themeColor="text1"/>
          <w:sz w:val="22"/>
          <w:szCs w:val="22"/>
        </w:rPr>
      </w:pPr>
      <w:r w:rsidRPr="31C18AEB">
        <w:rPr>
          <w:rFonts w:ascii="Arial" w:eastAsia="Arial" w:hAnsi="Arial" w:cs="Arial"/>
          <w:color w:val="000000"/>
          <w:kern w:val="0"/>
          <w:sz w:val="22"/>
          <w:szCs w:val="22"/>
          <w14:ligatures w14:val="none"/>
        </w:rPr>
        <w:t>NHS England (2019) </w:t>
      </w:r>
      <w:r w:rsidRPr="31C18AEB">
        <w:rPr>
          <w:rFonts w:ascii="Arial" w:eastAsia="Arial" w:hAnsi="Arial" w:cs="Arial"/>
          <w:i/>
          <w:color w:val="000000"/>
          <w:kern w:val="0"/>
          <w:sz w:val="22"/>
          <w:szCs w:val="22"/>
          <w14:ligatures w14:val="none"/>
        </w:rPr>
        <w:t>The NHS long term plan. </w:t>
      </w:r>
      <w:r w:rsidRPr="31C18AEB">
        <w:rPr>
          <w:rFonts w:ascii="Arial" w:eastAsia="Arial" w:hAnsi="Arial" w:cs="Arial"/>
          <w:color w:val="000000"/>
          <w:kern w:val="0"/>
          <w:sz w:val="22"/>
          <w:szCs w:val="22"/>
          <w14:ligatures w14:val="none"/>
        </w:rPr>
        <w:t xml:space="preserve">Available at: </w:t>
      </w:r>
      <w:hyperlink r:id="rId11">
        <w:r w:rsidRPr="31C18AEB">
          <w:rPr>
            <w:rStyle w:val="Hyperlink"/>
            <w:rFonts w:ascii="Arial" w:eastAsia="Arial" w:hAnsi="Arial" w:cs="Arial"/>
            <w:sz w:val="22"/>
            <w:szCs w:val="22"/>
          </w:rPr>
          <w:t>https://www.longtermplan.nhs.uk</w:t>
        </w:r>
      </w:hyperlink>
      <w:r w:rsidR="1C90C9D3" w:rsidRPr="31C18AEB">
        <w:rPr>
          <w:rFonts w:ascii="Arial" w:eastAsia="Arial" w:hAnsi="Arial" w:cs="Arial"/>
          <w:sz w:val="22"/>
          <w:szCs w:val="22"/>
        </w:rPr>
        <w:t xml:space="preserve"> (accessed: 19 March 2026).</w:t>
      </w:r>
    </w:p>
    <w:p w14:paraId="6A5EC30D" w14:textId="7199E843" w:rsidR="0060759B" w:rsidRPr="0060759B" w:rsidRDefault="0060759B" w:rsidP="0060759B">
      <w:pPr>
        <w:spacing w:before="60" w:after="60" w:line="240" w:lineRule="auto"/>
        <w:jc w:val="both"/>
        <w:rPr>
          <w:rFonts w:ascii="Arial" w:eastAsia="Arial" w:hAnsi="Arial" w:cs="Arial"/>
          <w:kern w:val="0"/>
          <w:sz w:val="22"/>
          <w:szCs w:val="22"/>
          <w14:ligatures w14:val="none"/>
        </w:rPr>
      </w:pPr>
    </w:p>
    <w:p w14:paraId="0C21AA48" w14:textId="4EC6FEB1" w:rsidR="140C64C4" w:rsidRDefault="140C64C4" w:rsidP="140C64C4">
      <w:pPr>
        <w:spacing w:before="60" w:after="60" w:line="240" w:lineRule="auto"/>
        <w:jc w:val="both"/>
        <w:rPr>
          <w:rFonts w:ascii="Arial" w:eastAsia="Arial" w:hAnsi="Arial" w:cs="Arial"/>
          <w:color w:val="000000" w:themeColor="text1"/>
          <w:sz w:val="22"/>
          <w:szCs w:val="22"/>
        </w:rPr>
      </w:pPr>
    </w:p>
    <w:p w14:paraId="50703920" w14:textId="425DE4BC" w:rsidR="0060759B" w:rsidRPr="0060759B" w:rsidRDefault="0060759B" w:rsidP="7B0C73AB">
      <w:pPr>
        <w:spacing w:before="60" w:after="60" w:line="240" w:lineRule="auto"/>
        <w:jc w:val="both"/>
        <w:rPr>
          <w:rFonts w:ascii="Arial" w:eastAsia="Arial" w:hAnsi="Arial" w:cs="Arial"/>
          <w:color w:val="000000" w:themeColor="text1"/>
          <w:sz w:val="22"/>
          <w:szCs w:val="22"/>
        </w:rPr>
      </w:pPr>
      <w:r w:rsidRPr="31C18AEB">
        <w:rPr>
          <w:rFonts w:ascii="Arial" w:eastAsia="Arial" w:hAnsi="Arial" w:cs="Arial"/>
          <w:color w:val="000000"/>
          <w:kern w:val="0"/>
          <w:sz w:val="22"/>
          <w:szCs w:val="22"/>
          <w14:ligatures w14:val="none"/>
        </w:rPr>
        <w:t>NHS England (2022) </w:t>
      </w:r>
      <w:r w:rsidRPr="31C18AEB">
        <w:rPr>
          <w:rFonts w:ascii="Arial" w:eastAsia="Arial" w:hAnsi="Arial" w:cs="Arial"/>
          <w:i/>
          <w:color w:val="000000"/>
          <w:kern w:val="0"/>
          <w:sz w:val="22"/>
          <w:szCs w:val="22"/>
          <w14:ligatures w14:val="none"/>
        </w:rPr>
        <w:t>Integrated care systems explained. </w:t>
      </w:r>
      <w:r w:rsidRPr="31C18AEB">
        <w:rPr>
          <w:rFonts w:ascii="Arial" w:eastAsia="Arial" w:hAnsi="Arial" w:cs="Arial"/>
          <w:color w:val="000000"/>
          <w:kern w:val="0"/>
          <w:sz w:val="22"/>
          <w:szCs w:val="22"/>
          <w14:ligatures w14:val="none"/>
        </w:rPr>
        <w:t xml:space="preserve">Available at: </w:t>
      </w:r>
      <w:hyperlink r:id="rId12">
        <w:r w:rsidRPr="31C18AEB">
          <w:rPr>
            <w:rStyle w:val="Hyperlink"/>
            <w:rFonts w:ascii="Arial" w:eastAsia="Arial" w:hAnsi="Arial" w:cs="Arial"/>
            <w:sz w:val="22"/>
            <w:szCs w:val="22"/>
          </w:rPr>
          <w:t>https://www.england.nhs.uk/integratedcare</w:t>
        </w:r>
      </w:hyperlink>
      <w:r w:rsidR="48096559" w:rsidRPr="31C18AEB">
        <w:rPr>
          <w:rFonts w:ascii="Arial" w:eastAsia="Arial" w:hAnsi="Arial" w:cs="Arial"/>
          <w:sz w:val="22"/>
          <w:szCs w:val="22"/>
        </w:rPr>
        <w:t xml:space="preserve"> (accessed: 20 March 2026).</w:t>
      </w:r>
    </w:p>
    <w:p w14:paraId="506DB23F" w14:textId="5D3C89B4" w:rsidR="0060759B" w:rsidRPr="0060759B" w:rsidRDefault="0060759B" w:rsidP="0060759B">
      <w:pPr>
        <w:spacing w:before="60" w:after="60" w:line="240" w:lineRule="auto"/>
        <w:jc w:val="both"/>
        <w:rPr>
          <w:rFonts w:ascii="Arial" w:eastAsia="Arial" w:hAnsi="Arial" w:cs="Arial"/>
          <w:color w:val="000000"/>
          <w:kern w:val="0"/>
          <w:sz w:val="22"/>
          <w:szCs w:val="22"/>
          <w14:ligatures w14:val="none"/>
        </w:rPr>
      </w:pPr>
    </w:p>
    <w:p w14:paraId="43DCDEA4" w14:textId="717D87D4" w:rsidR="52E6904F" w:rsidRDefault="52E6904F" w:rsidP="52E6904F">
      <w:pPr>
        <w:spacing w:before="60" w:after="60" w:line="240" w:lineRule="auto"/>
        <w:jc w:val="both"/>
        <w:rPr>
          <w:rFonts w:ascii="Arial" w:eastAsia="Arial" w:hAnsi="Arial" w:cs="Arial"/>
          <w:color w:val="000000" w:themeColor="text1"/>
          <w:sz w:val="22"/>
          <w:szCs w:val="22"/>
        </w:rPr>
      </w:pPr>
    </w:p>
    <w:p w14:paraId="1B5C03A4" w14:textId="62DB5F6E" w:rsidR="0060759B" w:rsidRPr="0060759B" w:rsidRDefault="0060759B" w:rsidP="0060759B">
      <w:pPr>
        <w:spacing w:before="60" w:after="60" w:line="240" w:lineRule="auto"/>
        <w:jc w:val="both"/>
        <w:rPr>
          <w:rFonts w:ascii="Arial" w:eastAsia="Arial" w:hAnsi="Arial" w:cs="Arial"/>
          <w:kern w:val="0"/>
          <w:sz w:val="22"/>
          <w:szCs w:val="22"/>
          <w14:ligatures w14:val="none"/>
        </w:rPr>
      </w:pPr>
      <w:r w:rsidRPr="31C18AEB">
        <w:rPr>
          <w:rFonts w:ascii="Arial" w:eastAsia="Arial" w:hAnsi="Arial" w:cs="Arial"/>
          <w:color w:val="000000"/>
          <w:kern w:val="0"/>
          <w:sz w:val="22"/>
          <w:szCs w:val="22"/>
          <w14:ligatures w14:val="none"/>
        </w:rPr>
        <w:t>Nursing and Midwifery Council (2018) </w:t>
      </w:r>
      <w:r w:rsidRPr="31C18AEB">
        <w:rPr>
          <w:rFonts w:ascii="Arial" w:eastAsia="Arial" w:hAnsi="Arial" w:cs="Arial"/>
          <w:i/>
          <w:color w:val="000000"/>
          <w:kern w:val="0"/>
          <w:sz w:val="22"/>
          <w:szCs w:val="22"/>
          <w14:ligatures w14:val="none"/>
        </w:rPr>
        <w:t>The code: professional standards of practice and behaviour for nurses, midwives and nursing associates. </w:t>
      </w:r>
      <w:r w:rsidRPr="31C18AEB">
        <w:rPr>
          <w:rFonts w:ascii="Arial" w:eastAsia="Arial" w:hAnsi="Arial" w:cs="Arial"/>
          <w:color w:val="000000"/>
          <w:kern w:val="0"/>
          <w:sz w:val="22"/>
          <w:szCs w:val="22"/>
          <w14:ligatures w14:val="none"/>
        </w:rPr>
        <w:t xml:space="preserve">London: </w:t>
      </w:r>
      <w:r w:rsidR="7E817677" w:rsidRPr="31C18AEB">
        <w:rPr>
          <w:rFonts w:ascii="Arial" w:eastAsia="Arial" w:hAnsi="Arial" w:cs="Arial"/>
          <w:color w:val="000000"/>
          <w:kern w:val="0"/>
          <w:sz w:val="22"/>
          <w:szCs w:val="22"/>
          <w14:ligatures w14:val="none"/>
        </w:rPr>
        <w:t>NM</w:t>
      </w:r>
      <w:r w:rsidR="31EB81B2" w:rsidRPr="31C18AEB">
        <w:rPr>
          <w:rFonts w:ascii="Arial" w:eastAsia="Arial" w:hAnsi="Arial" w:cs="Arial"/>
          <w:color w:val="000000"/>
          <w:kern w:val="0"/>
          <w:sz w:val="22"/>
          <w:szCs w:val="22"/>
          <w14:ligatures w14:val="none"/>
        </w:rPr>
        <w:t>c</w:t>
      </w:r>
      <w:r w:rsidR="7E817677" w:rsidRPr="31C18AEB">
        <w:rPr>
          <w:rFonts w:ascii="Arial" w:eastAsia="Arial" w:hAnsi="Arial" w:cs="Arial"/>
          <w:color w:val="000000"/>
          <w:kern w:val="0"/>
          <w:sz w:val="22"/>
          <w:szCs w:val="22"/>
          <w14:ligatures w14:val="none"/>
        </w:rPr>
        <w:t>. Available at</w:t>
      </w:r>
      <w:r w:rsidR="115D87F3" w:rsidRPr="31C18AEB">
        <w:rPr>
          <w:rFonts w:ascii="Arial" w:eastAsia="Arial" w:hAnsi="Arial" w:cs="Arial"/>
          <w:color w:val="000000"/>
          <w:kern w:val="0"/>
          <w:sz w:val="22"/>
          <w:szCs w:val="22"/>
          <w14:ligatures w14:val="none"/>
        </w:rPr>
        <w:t xml:space="preserve"> </w:t>
      </w:r>
      <w:hyperlink r:id="rId13">
        <w:r w:rsidR="115D87F3" w:rsidRPr="31C18AEB">
          <w:rPr>
            <w:rStyle w:val="Hyperlink"/>
            <w:rFonts w:ascii="Arial" w:eastAsia="Arial" w:hAnsi="Arial" w:cs="Arial"/>
            <w:sz w:val="22"/>
            <w:szCs w:val="22"/>
          </w:rPr>
          <w:t>https://www.nmc.org.uk/globalassets/sitedocuments/nmc-publications/nmc-code-patient-public-leaflet.pdf</w:t>
        </w:r>
      </w:hyperlink>
      <w:r w:rsidR="714ECA20" w:rsidRPr="31C18AEB">
        <w:rPr>
          <w:rFonts w:ascii="Arial" w:eastAsia="Arial" w:hAnsi="Arial" w:cs="Arial"/>
          <w:sz w:val="22"/>
          <w:szCs w:val="22"/>
        </w:rPr>
        <w:t xml:space="preserve"> (accessed: 22 March 2026)</w:t>
      </w:r>
      <w:r w:rsidR="71B9993C" w:rsidRPr="31C18AEB">
        <w:rPr>
          <w:rFonts w:ascii="Arial" w:eastAsia="Arial" w:hAnsi="Arial" w:cs="Arial"/>
          <w:sz w:val="22"/>
          <w:szCs w:val="22"/>
        </w:rPr>
        <w:t>.</w:t>
      </w:r>
    </w:p>
    <w:p w14:paraId="34045B82" w14:textId="77777777" w:rsidR="0060759B" w:rsidRPr="0060759B" w:rsidRDefault="0060759B" w:rsidP="0060759B">
      <w:pPr>
        <w:spacing w:after="120" w:line="240" w:lineRule="auto"/>
        <w:jc w:val="both"/>
        <w:rPr>
          <w:rFonts w:ascii="Arial" w:eastAsia="Arial" w:hAnsi="Arial" w:cs="Arial"/>
          <w:color w:val="000000"/>
          <w:kern w:val="0"/>
          <w:sz w:val="22"/>
          <w:szCs w:val="22"/>
          <w14:ligatures w14:val="none"/>
        </w:rPr>
      </w:pPr>
      <w:r w:rsidRPr="31C18AEB">
        <w:rPr>
          <w:rFonts w:ascii="Arial" w:eastAsia="Arial" w:hAnsi="Arial" w:cs="Arial"/>
          <w:color w:val="000000"/>
          <w:kern w:val="0"/>
          <w:sz w:val="22"/>
          <w:szCs w:val="22"/>
          <w14:ligatures w14:val="none"/>
        </w:rPr>
        <w:t> </w:t>
      </w:r>
    </w:p>
    <w:p w14:paraId="26375528" w14:textId="77777777" w:rsidR="0060759B" w:rsidRPr="0060759B" w:rsidRDefault="0060759B" w:rsidP="0060759B">
      <w:pPr>
        <w:spacing w:after="0" w:line="240" w:lineRule="auto"/>
        <w:rPr>
          <w:rFonts w:ascii="Arial" w:eastAsia="Arial" w:hAnsi="Arial" w:cs="Arial"/>
          <w:kern w:val="0"/>
          <w:sz w:val="22"/>
          <w:szCs w:val="22"/>
          <w14:ligatures w14:val="none"/>
        </w:rPr>
      </w:pPr>
    </w:p>
    <w:p w14:paraId="41956D20" w14:textId="6D6217BA" w:rsidR="00532EC6" w:rsidRDefault="00532EC6" w:rsidP="473B8418">
      <w:pPr>
        <w:pStyle w:val="p1"/>
        <w:rPr>
          <w:rStyle w:val="s1"/>
          <w:rFonts w:ascii="Arial" w:eastAsia="Arial" w:hAnsi="Arial" w:cs="Arial"/>
          <w:sz w:val="22"/>
          <w:szCs w:val="22"/>
        </w:rPr>
      </w:pPr>
    </w:p>
    <w:p w14:paraId="022F8CED" w14:textId="48BDECA5" w:rsidR="00532EC6" w:rsidRDefault="00532EC6" w:rsidP="473B8418">
      <w:pPr>
        <w:pStyle w:val="p1"/>
        <w:rPr>
          <w:rStyle w:val="s1"/>
          <w:rFonts w:ascii="Arial" w:eastAsia="Arial" w:hAnsi="Arial" w:cs="Arial"/>
          <w:sz w:val="22"/>
          <w:szCs w:val="22"/>
        </w:rPr>
      </w:pPr>
    </w:p>
    <w:p w14:paraId="007F880A" w14:textId="6F8470E7" w:rsidR="00532EC6" w:rsidRDefault="00532EC6" w:rsidP="473B8418">
      <w:pPr>
        <w:pStyle w:val="p1"/>
        <w:rPr>
          <w:rStyle w:val="s1"/>
          <w:rFonts w:ascii="Arial" w:eastAsia="Arial" w:hAnsi="Arial" w:cs="Arial"/>
          <w:sz w:val="22"/>
          <w:szCs w:val="22"/>
        </w:rPr>
      </w:pPr>
    </w:p>
    <w:p w14:paraId="7A213D1D" w14:textId="6CCB6281" w:rsidR="00532EC6" w:rsidRDefault="00532EC6" w:rsidP="473B8418">
      <w:pPr>
        <w:pStyle w:val="p1"/>
        <w:rPr>
          <w:rStyle w:val="s1"/>
          <w:rFonts w:ascii="Arial" w:eastAsia="Arial" w:hAnsi="Arial" w:cs="Arial"/>
          <w:sz w:val="22"/>
          <w:szCs w:val="22"/>
        </w:rPr>
      </w:pPr>
    </w:p>
    <w:p w14:paraId="137ED6E3" w14:textId="3E435201" w:rsidR="00532EC6" w:rsidRDefault="00532EC6" w:rsidP="473B8418">
      <w:pPr>
        <w:pStyle w:val="p1"/>
        <w:rPr>
          <w:rStyle w:val="s1"/>
          <w:rFonts w:ascii="Arial" w:eastAsia="Arial" w:hAnsi="Arial" w:cs="Arial"/>
          <w:sz w:val="22"/>
          <w:szCs w:val="22"/>
        </w:rPr>
      </w:pPr>
    </w:p>
    <w:p w14:paraId="7D5A0C63" w14:textId="77777777" w:rsidR="00501400" w:rsidRDefault="00501400">
      <w:pPr>
        <w:pStyle w:val="p1"/>
        <w:rPr>
          <w:rStyle w:val="s1"/>
          <w:rFonts w:ascii="Arial" w:eastAsia="Arial" w:hAnsi="Arial" w:cs="Arial"/>
          <w:sz w:val="22"/>
          <w:szCs w:val="22"/>
        </w:rPr>
      </w:pPr>
    </w:p>
    <w:sectPr w:rsidR="00501400">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DD9C1" w14:textId="77777777" w:rsidR="008C26A7" w:rsidRDefault="008C26A7" w:rsidP="003D732E">
      <w:pPr>
        <w:spacing w:after="0" w:line="240" w:lineRule="auto"/>
      </w:pPr>
      <w:r>
        <w:separator/>
      </w:r>
    </w:p>
  </w:endnote>
  <w:endnote w:type="continuationSeparator" w:id="0">
    <w:p w14:paraId="0D58A936" w14:textId="77777777" w:rsidR="008C26A7" w:rsidRDefault="008C26A7" w:rsidP="003D7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Yu Mincho">
    <w:altName w:val="游明朝"/>
    <w:panose1 w:val="00000000000000000000"/>
    <w:charset w:val="80"/>
    <w:family w:val="roman"/>
    <w:notTrueType/>
    <w:pitch w:val="default"/>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0A5A4BF" w14:paraId="13188B77" w14:textId="77777777" w:rsidTr="40A5A4BF">
      <w:trPr>
        <w:trHeight w:val="300"/>
      </w:trPr>
      <w:tc>
        <w:tcPr>
          <w:tcW w:w="3005" w:type="dxa"/>
        </w:tcPr>
        <w:p w14:paraId="108CBBA6" w14:textId="549DFD94" w:rsidR="40A5A4BF" w:rsidRDefault="40A5A4BF" w:rsidP="40A5A4BF">
          <w:pPr>
            <w:ind w:left="-115"/>
          </w:pPr>
        </w:p>
      </w:tc>
      <w:tc>
        <w:tcPr>
          <w:tcW w:w="3005" w:type="dxa"/>
        </w:tcPr>
        <w:p w14:paraId="233B89F5" w14:textId="3ED0F4DC" w:rsidR="40A5A4BF" w:rsidRDefault="40A5A4BF" w:rsidP="40A5A4BF">
          <w:pPr>
            <w:jc w:val="center"/>
          </w:pPr>
        </w:p>
      </w:tc>
      <w:tc>
        <w:tcPr>
          <w:tcW w:w="3005" w:type="dxa"/>
        </w:tcPr>
        <w:p w14:paraId="47061BBB" w14:textId="3225F061" w:rsidR="40A5A4BF" w:rsidRDefault="40A5A4BF" w:rsidP="40A5A4BF">
          <w:pPr>
            <w:ind w:right="-115"/>
            <w:jc w:val="right"/>
          </w:pPr>
          <w:r>
            <w:fldChar w:fldCharType="begin"/>
          </w:r>
          <w:r>
            <w:instrText>PAGE</w:instrText>
          </w:r>
          <w:r>
            <w:fldChar w:fldCharType="separate"/>
          </w:r>
          <w:r w:rsidR="00FE1113">
            <w:rPr>
              <w:noProof/>
            </w:rPr>
            <w:t>1</w:t>
          </w:r>
          <w:r>
            <w:fldChar w:fldCharType="end"/>
          </w:r>
        </w:p>
      </w:tc>
    </w:tr>
  </w:tbl>
  <w:p w14:paraId="44145B9A" w14:textId="34B1847D" w:rsidR="003D732E" w:rsidRDefault="003D7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B9829" w14:textId="77777777" w:rsidR="008C26A7" w:rsidRDefault="008C26A7" w:rsidP="003D732E">
      <w:pPr>
        <w:spacing w:after="0" w:line="240" w:lineRule="auto"/>
      </w:pPr>
      <w:r>
        <w:separator/>
      </w:r>
    </w:p>
  </w:footnote>
  <w:footnote w:type="continuationSeparator" w:id="0">
    <w:p w14:paraId="31486709" w14:textId="77777777" w:rsidR="008C26A7" w:rsidRDefault="008C26A7" w:rsidP="003D73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0A5A4BF" w14:paraId="514BBD5A" w14:textId="77777777" w:rsidTr="40A5A4BF">
      <w:trPr>
        <w:trHeight w:val="300"/>
      </w:trPr>
      <w:tc>
        <w:tcPr>
          <w:tcW w:w="3005" w:type="dxa"/>
        </w:tcPr>
        <w:p w14:paraId="626D129E" w14:textId="58D88D6F" w:rsidR="40A5A4BF" w:rsidRDefault="40A5A4BF" w:rsidP="40A5A4BF">
          <w:pPr>
            <w:ind w:left="-115"/>
          </w:pPr>
        </w:p>
      </w:tc>
      <w:tc>
        <w:tcPr>
          <w:tcW w:w="3005" w:type="dxa"/>
        </w:tcPr>
        <w:p w14:paraId="2841FC66" w14:textId="3109DCEF" w:rsidR="40A5A4BF" w:rsidRDefault="40A5A4BF" w:rsidP="40A5A4BF">
          <w:pPr>
            <w:jc w:val="center"/>
          </w:pPr>
        </w:p>
      </w:tc>
      <w:tc>
        <w:tcPr>
          <w:tcW w:w="3005" w:type="dxa"/>
        </w:tcPr>
        <w:p w14:paraId="2251907C" w14:textId="6C0F1AC2" w:rsidR="40A5A4BF" w:rsidRDefault="40A5A4BF" w:rsidP="40A5A4BF">
          <w:pPr>
            <w:ind w:right="-115"/>
            <w:jc w:val="right"/>
          </w:pPr>
        </w:p>
      </w:tc>
    </w:tr>
  </w:tbl>
  <w:p w14:paraId="677067B7" w14:textId="39AED302" w:rsidR="003D732E" w:rsidRDefault="003D73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C3B5"/>
    <w:multiLevelType w:val="hybridMultilevel"/>
    <w:tmpl w:val="FFFFFFFF"/>
    <w:lvl w:ilvl="0" w:tplc="9C0A9796">
      <w:start w:val="1"/>
      <w:numFmt w:val="bullet"/>
      <w:lvlText w:val=""/>
      <w:lvlJc w:val="left"/>
      <w:pPr>
        <w:ind w:left="360" w:hanging="360"/>
      </w:pPr>
      <w:rPr>
        <w:rFonts w:ascii="Symbol" w:hAnsi="Symbol" w:hint="default"/>
      </w:rPr>
    </w:lvl>
    <w:lvl w:ilvl="1" w:tplc="05563442">
      <w:start w:val="1"/>
      <w:numFmt w:val="bullet"/>
      <w:lvlText w:val="o"/>
      <w:lvlJc w:val="left"/>
      <w:pPr>
        <w:ind w:left="1080" w:hanging="360"/>
      </w:pPr>
      <w:rPr>
        <w:rFonts w:ascii="Courier New" w:hAnsi="Courier New" w:hint="default"/>
      </w:rPr>
    </w:lvl>
    <w:lvl w:ilvl="2" w:tplc="126AD39A">
      <w:start w:val="1"/>
      <w:numFmt w:val="bullet"/>
      <w:lvlText w:val=""/>
      <w:lvlJc w:val="left"/>
      <w:pPr>
        <w:ind w:left="1800" w:hanging="360"/>
      </w:pPr>
      <w:rPr>
        <w:rFonts w:ascii="Wingdings" w:hAnsi="Wingdings" w:hint="default"/>
      </w:rPr>
    </w:lvl>
    <w:lvl w:ilvl="3" w:tplc="44444304">
      <w:start w:val="1"/>
      <w:numFmt w:val="bullet"/>
      <w:lvlText w:val=""/>
      <w:lvlJc w:val="left"/>
      <w:pPr>
        <w:ind w:left="2520" w:hanging="360"/>
      </w:pPr>
      <w:rPr>
        <w:rFonts w:ascii="Symbol" w:hAnsi="Symbol" w:hint="default"/>
      </w:rPr>
    </w:lvl>
    <w:lvl w:ilvl="4" w:tplc="4F4CAC7A">
      <w:start w:val="1"/>
      <w:numFmt w:val="bullet"/>
      <w:lvlText w:val="o"/>
      <w:lvlJc w:val="left"/>
      <w:pPr>
        <w:ind w:left="3240" w:hanging="360"/>
      </w:pPr>
      <w:rPr>
        <w:rFonts w:ascii="Courier New" w:hAnsi="Courier New" w:hint="default"/>
      </w:rPr>
    </w:lvl>
    <w:lvl w:ilvl="5" w:tplc="5BB0FF1C">
      <w:start w:val="1"/>
      <w:numFmt w:val="bullet"/>
      <w:lvlText w:val=""/>
      <w:lvlJc w:val="left"/>
      <w:pPr>
        <w:ind w:left="3960" w:hanging="360"/>
      </w:pPr>
      <w:rPr>
        <w:rFonts w:ascii="Wingdings" w:hAnsi="Wingdings" w:hint="default"/>
      </w:rPr>
    </w:lvl>
    <w:lvl w:ilvl="6" w:tplc="83B6455A">
      <w:start w:val="1"/>
      <w:numFmt w:val="bullet"/>
      <w:lvlText w:val=""/>
      <w:lvlJc w:val="left"/>
      <w:pPr>
        <w:ind w:left="4680" w:hanging="360"/>
      </w:pPr>
      <w:rPr>
        <w:rFonts w:ascii="Symbol" w:hAnsi="Symbol" w:hint="default"/>
      </w:rPr>
    </w:lvl>
    <w:lvl w:ilvl="7" w:tplc="0A1662FA">
      <w:start w:val="1"/>
      <w:numFmt w:val="bullet"/>
      <w:lvlText w:val="o"/>
      <w:lvlJc w:val="left"/>
      <w:pPr>
        <w:ind w:left="5400" w:hanging="360"/>
      </w:pPr>
      <w:rPr>
        <w:rFonts w:ascii="Courier New" w:hAnsi="Courier New" w:hint="default"/>
      </w:rPr>
    </w:lvl>
    <w:lvl w:ilvl="8" w:tplc="709A6498">
      <w:start w:val="1"/>
      <w:numFmt w:val="bullet"/>
      <w:lvlText w:val=""/>
      <w:lvlJc w:val="left"/>
      <w:pPr>
        <w:ind w:left="6120" w:hanging="360"/>
      </w:pPr>
      <w:rPr>
        <w:rFonts w:ascii="Wingdings" w:hAnsi="Wingdings" w:hint="default"/>
      </w:rPr>
    </w:lvl>
  </w:abstractNum>
  <w:abstractNum w:abstractNumId="1" w15:restartNumberingAfterBreak="0">
    <w:nsid w:val="13E8BDE2"/>
    <w:multiLevelType w:val="hybridMultilevel"/>
    <w:tmpl w:val="FFFFFFFF"/>
    <w:lvl w:ilvl="0" w:tplc="50CC3B78">
      <w:start w:val="1"/>
      <w:numFmt w:val="decimal"/>
      <w:lvlText w:val="%1."/>
      <w:lvlJc w:val="left"/>
      <w:pPr>
        <w:ind w:left="720" w:hanging="360"/>
      </w:pPr>
    </w:lvl>
    <w:lvl w:ilvl="1" w:tplc="F686F84C">
      <w:start w:val="1"/>
      <w:numFmt w:val="lowerLetter"/>
      <w:lvlText w:val="%2."/>
      <w:lvlJc w:val="left"/>
      <w:pPr>
        <w:ind w:left="1440" w:hanging="360"/>
      </w:pPr>
    </w:lvl>
    <w:lvl w:ilvl="2" w:tplc="14A413FA">
      <w:start w:val="1"/>
      <w:numFmt w:val="lowerRoman"/>
      <w:lvlText w:val="%3."/>
      <w:lvlJc w:val="right"/>
      <w:pPr>
        <w:ind w:left="2160" w:hanging="180"/>
      </w:pPr>
    </w:lvl>
    <w:lvl w:ilvl="3" w:tplc="A2B48662">
      <w:start w:val="1"/>
      <w:numFmt w:val="decimal"/>
      <w:lvlText w:val="%4."/>
      <w:lvlJc w:val="left"/>
      <w:pPr>
        <w:ind w:left="2880" w:hanging="360"/>
      </w:pPr>
    </w:lvl>
    <w:lvl w:ilvl="4" w:tplc="FAE4BB82">
      <w:start w:val="1"/>
      <w:numFmt w:val="lowerLetter"/>
      <w:lvlText w:val="%5."/>
      <w:lvlJc w:val="left"/>
      <w:pPr>
        <w:ind w:left="3600" w:hanging="360"/>
      </w:pPr>
    </w:lvl>
    <w:lvl w:ilvl="5" w:tplc="110C40E6">
      <w:start w:val="1"/>
      <w:numFmt w:val="lowerRoman"/>
      <w:lvlText w:val="%6."/>
      <w:lvlJc w:val="right"/>
      <w:pPr>
        <w:ind w:left="4320" w:hanging="180"/>
      </w:pPr>
    </w:lvl>
    <w:lvl w:ilvl="6" w:tplc="3EFCA4FC">
      <w:start w:val="1"/>
      <w:numFmt w:val="decimal"/>
      <w:lvlText w:val="%7."/>
      <w:lvlJc w:val="left"/>
      <w:pPr>
        <w:ind w:left="5040" w:hanging="360"/>
      </w:pPr>
    </w:lvl>
    <w:lvl w:ilvl="7" w:tplc="F9F016E8">
      <w:start w:val="1"/>
      <w:numFmt w:val="lowerLetter"/>
      <w:lvlText w:val="%8."/>
      <w:lvlJc w:val="left"/>
      <w:pPr>
        <w:ind w:left="5760" w:hanging="360"/>
      </w:pPr>
    </w:lvl>
    <w:lvl w:ilvl="8" w:tplc="42AC2750">
      <w:start w:val="1"/>
      <w:numFmt w:val="lowerRoman"/>
      <w:lvlText w:val="%9."/>
      <w:lvlJc w:val="right"/>
      <w:pPr>
        <w:ind w:left="6480" w:hanging="180"/>
      </w:pPr>
    </w:lvl>
  </w:abstractNum>
  <w:abstractNum w:abstractNumId="2" w15:restartNumberingAfterBreak="0">
    <w:nsid w:val="30032FC8"/>
    <w:multiLevelType w:val="hybridMultilevel"/>
    <w:tmpl w:val="7B8C484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74865"/>
    <w:multiLevelType w:val="multilevel"/>
    <w:tmpl w:val="FFFFFFFF"/>
    <w:lvl w:ilvl="0">
      <w:start w:val="1"/>
      <w:numFmt w:val="decimal"/>
      <w:lvlText w:val="%1."/>
      <w:lvlJc w:val="left"/>
      <w:pPr>
        <w:tabs>
          <w:tab w:val="num" w:pos="720"/>
        </w:tabs>
        <w:ind w:left="360" w:hanging="360"/>
      </w:pPr>
    </w:lvl>
    <w:lvl w:ilvl="1" w:tentative="1">
      <w:start w:val="1"/>
      <w:numFmt w:val="decimal"/>
      <w:lvlText w:val="%2."/>
      <w:lvlJc w:val="left"/>
      <w:pPr>
        <w:tabs>
          <w:tab w:val="num" w:pos="1440"/>
        </w:tabs>
        <w:ind w:left="1080" w:hanging="360"/>
      </w:pPr>
    </w:lvl>
    <w:lvl w:ilvl="2" w:tentative="1">
      <w:start w:val="1"/>
      <w:numFmt w:val="decimal"/>
      <w:lvlText w:val="%3."/>
      <w:lvlJc w:val="left"/>
      <w:pPr>
        <w:tabs>
          <w:tab w:val="num" w:pos="2160"/>
        </w:tabs>
        <w:ind w:left="1800" w:hanging="360"/>
      </w:pPr>
    </w:lvl>
    <w:lvl w:ilvl="3" w:tentative="1">
      <w:start w:val="1"/>
      <w:numFmt w:val="decimal"/>
      <w:lvlText w:val="%4."/>
      <w:lvlJc w:val="left"/>
      <w:pPr>
        <w:tabs>
          <w:tab w:val="num" w:pos="2880"/>
        </w:tabs>
        <w:ind w:left="2520" w:hanging="360"/>
      </w:pPr>
    </w:lvl>
    <w:lvl w:ilvl="4" w:tentative="1">
      <w:start w:val="1"/>
      <w:numFmt w:val="decimal"/>
      <w:lvlText w:val="%5."/>
      <w:lvlJc w:val="left"/>
      <w:pPr>
        <w:tabs>
          <w:tab w:val="num" w:pos="3600"/>
        </w:tabs>
        <w:ind w:left="3240" w:hanging="360"/>
      </w:pPr>
    </w:lvl>
    <w:lvl w:ilvl="5" w:tentative="1">
      <w:start w:val="1"/>
      <w:numFmt w:val="decimal"/>
      <w:lvlText w:val="%6."/>
      <w:lvlJc w:val="left"/>
      <w:pPr>
        <w:tabs>
          <w:tab w:val="num" w:pos="4320"/>
        </w:tabs>
        <w:ind w:left="3960" w:hanging="360"/>
      </w:pPr>
    </w:lvl>
    <w:lvl w:ilvl="6" w:tentative="1">
      <w:start w:val="1"/>
      <w:numFmt w:val="decimal"/>
      <w:lvlText w:val="%7."/>
      <w:lvlJc w:val="left"/>
      <w:pPr>
        <w:tabs>
          <w:tab w:val="num" w:pos="5040"/>
        </w:tabs>
        <w:ind w:left="4680" w:hanging="360"/>
      </w:pPr>
    </w:lvl>
    <w:lvl w:ilvl="7" w:tentative="1">
      <w:start w:val="1"/>
      <w:numFmt w:val="decimal"/>
      <w:lvlText w:val="%8."/>
      <w:lvlJc w:val="left"/>
      <w:pPr>
        <w:tabs>
          <w:tab w:val="num" w:pos="5760"/>
        </w:tabs>
        <w:ind w:left="5400" w:hanging="360"/>
      </w:pPr>
    </w:lvl>
    <w:lvl w:ilvl="8" w:tentative="1">
      <w:start w:val="1"/>
      <w:numFmt w:val="decimal"/>
      <w:lvlText w:val="%9."/>
      <w:lvlJc w:val="left"/>
      <w:pPr>
        <w:tabs>
          <w:tab w:val="num" w:pos="6480"/>
        </w:tabs>
        <w:ind w:left="6120" w:hanging="360"/>
      </w:pPr>
    </w:lvl>
  </w:abstractNum>
  <w:abstractNum w:abstractNumId="4" w15:restartNumberingAfterBreak="0">
    <w:nsid w:val="48773B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CC5D5C"/>
    <w:multiLevelType w:val="multilevel"/>
    <w:tmpl w:val="FFFFFFFF"/>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o"/>
      <w:lvlJc w:val="left"/>
      <w:pPr>
        <w:tabs>
          <w:tab w:val="num" w:pos="1440"/>
        </w:tabs>
        <w:ind w:left="1080" w:hanging="360"/>
      </w:pPr>
      <w:rPr>
        <w:rFonts w:ascii="Courier New" w:hAnsi="Courier New" w:hint="default"/>
        <w:sz w:val="20"/>
      </w:rPr>
    </w:lvl>
    <w:lvl w:ilvl="2" w:tentative="1">
      <w:start w:val="1"/>
      <w:numFmt w:val="bullet"/>
      <w:lvlText w:val=""/>
      <w:lvlJc w:val="left"/>
      <w:pPr>
        <w:tabs>
          <w:tab w:val="num" w:pos="2160"/>
        </w:tabs>
        <w:ind w:left="1800" w:hanging="360"/>
      </w:pPr>
      <w:rPr>
        <w:rFonts w:ascii="Wingdings" w:hAnsi="Wingdings" w:hint="default"/>
        <w:sz w:val="20"/>
      </w:rPr>
    </w:lvl>
    <w:lvl w:ilvl="3" w:tentative="1">
      <w:start w:val="1"/>
      <w:numFmt w:val="bullet"/>
      <w:lvlText w:val=""/>
      <w:lvlJc w:val="left"/>
      <w:pPr>
        <w:tabs>
          <w:tab w:val="num" w:pos="2880"/>
        </w:tabs>
        <w:ind w:left="2520" w:hanging="360"/>
      </w:pPr>
      <w:rPr>
        <w:rFonts w:ascii="Wingdings" w:hAnsi="Wingdings" w:hint="default"/>
        <w:sz w:val="20"/>
      </w:rPr>
    </w:lvl>
    <w:lvl w:ilvl="4" w:tentative="1">
      <w:start w:val="1"/>
      <w:numFmt w:val="bullet"/>
      <w:lvlText w:val=""/>
      <w:lvlJc w:val="left"/>
      <w:pPr>
        <w:tabs>
          <w:tab w:val="num" w:pos="3600"/>
        </w:tabs>
        <w:ind w:left="3240" w:hanging="360"/>
      </w:pPr>
      <w:rPr>
        <w:rFonts w:ascii="Wingdings" w:hAnsi="Wingdings" w:hint="default"/>
        <w:sz w:val="20"/>
      </w:rPr>
    </w:lvl>
    <w:lvl w:ilvl="5" w:tentative="1">
      <w:start w:val="1"/>
      <w:numFmt w:val="bullet"/>
      <w:lvlText w:val=""/>
      <w:lvlJc w:val="left"/>
      <w:pPr>
        <w:tabs>
          <w:tab w:val="num" w:pos="4320"/>
        </w:tabs>
        <w:ind w:left="3960" w:hanging="360"/>
      </w:pPr>
      <w:rPr>
        <w:rFonts w:ascii="Wingdings" w:hAnsi="Wingdings" w:hint="default"/>
        <w:sz w:val="20"/>
      </w:rPr>
    </w:lvl>
    <w:lvl w:ilvl="6" w:tentative="1">
      <w:start w:val="1"/>
      <w:numFmt w:val="bullet"/>
      <w:lvlText w:val=""/>
      <w:lvlJc w:val="left"/>
      <w:pPr>
        <w:tabs>
          <w:tab w:val="num" w:pos="5040"/>
        </w:tabs>
        <w:ind w:left="4680" w:hanging="360"/>
      </w:pPr>
      <w:rPr>
        <w:rFonts w:ascii="Wingdings" w:hAnsi="Wingdings" w:hint="default"/>
        <w:sz w:val="20"/>
      </w:rPr>
    </w:lvl>
    <w:lvl w:ilvl="7" w:tentative="1">
      <w:start w:val="1"/>
      <w:numFmt w:val="bullet"/>
      <w:lvlText w:val=""/>
      <w:lvlJc w:val="left"/>
      <w:pPr>
        <w:tabs>
          <w:tab w:val="num" w:pos="5760"/>
        </w:tabs>
        <w:ind w:left="5400" w:hanging="360"/>
      </w:pPr>
      <w:rPr>
        <w:rFonts w:ascii="Wingdings" w:hAnsi="Wingdings" w:hint="default"/>
        <w:sz w:val="20"/>
      </w:rPr>
    </w:lvl>
    <w:lvl w:ilvl="8" w:tentative="1">
      <w:start w:val="1"/>
      <w:numFmt w:val="bullet"/>
      <w:lvlText w:val=""/>
      <w:lvlJc w:val="left"/>
      <w:pPr>
        <w:tabs>
          <w:tab w:val="num" w:pos="6480"/>
        </w:tabs>
        <w:ind w:left="6120" w:hanging="360"/>
      </w:pPr>
      <w:rPr>
        <w:rFonts w:ascii="Wingdings" w:hAnsi="Wingdings" w:hint="default"/>
        <w:sz w:val="20"/>
      </w:rPr>
    </w:lvl>
  </w:abstractNum>
  <w:abstractNum w:abstractNumId="6" w15:restartNumberingAfterBreak="0">
    <w:nsid w:val="4E4C6F55"/>
    <w:multiLevelType w:val="hybridMultilevel"/>
    <w:tmpl w:val="479E0B5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D716BE"/>
    <w:multiLevelType w:val="hybridMultilevel"/>
    <w:tmpl w:val="543C1D28"/>
    <w:lvl w:ilvl="0" w:tplc="FFFFFFFF">
      <w:start w:val="1"/>
      <w:numFmt w:val="decimal"/>
      <w:lvlText w:val="%1."/>
      <w:lvlJc w:val="left"/>
      <w:pPr>
        <w:ind w:left="720" w:hanging="360"/>
      </w:pPr>
      <w:rPr>
        <w:rFonts w:ascii="Arial" w:eastAsia="Times New Roman" w:hAnsi="Arial" w:cs="Arial" w:hint="default"/>
        <w:b/>
        <w:color w:val="1F3864"/>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4731448">
    <w:abstractNumId w:val="2"/>
  </w:num>
  <w:num w:numId="2" w16cid:durableId="1156915965">
    <w:abstractNumId w:val="0"/>
  </w:num>
  <w:num w:numId="3" w16cid:durableId="1428113783">
    <w:abstractNumId w:val="5"/>
  </w:num>
  <w:num w:numId="4" w16cid:durableId="1630355373">
    <w:abstractNumId w:val="6"/>
  </w:num>
  <w:num w:numId="5" w16cid:durableId="1711106461">
    <w:abstractNumId w:val="1"/>
  </w:num>
  <w:num w:numId="6" w16cid:durableId="296954025">
    <w:abstractNumId w:val="3"/>
  </w:num>
  <w:num w:numId="7" w16cid:durableId="536047497">
    <w:abstractNumId w:val="7"/>
  </w:num>
  <w:num w:numId="8" w16cid:durableId="762383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E48"/>
    <w:rsid w:val="00004081"/>
    <w:rsid w:val="00004FE5"/>
    <w:rsid w:val="00005C7F"/>
    <w:rsid w:val="00006F04"/>
    <w:rsid w:val="00007421"/>
    <w:rsid w:val="00010786"/>
    <w:rsid w:val="00013694"/>
    <w:rsid w:val="000143D9"/>
    <w:rsid w:val="0001507D"/>
    <w:rsid w:val="0001638B"/>
    <w:rsid w:val="00021288"/>
    <w:rsid w:val="00021EEE"/>
    <w:rsid w:val="0002393C"/>
    <w:rsid w:val="00024967"/>
    <w:rsid w:val="00026C24"/>
    <w:rsid w:val="00032070"/>
    <w:rsid w:val="0003513A"/>
    <w:rsid w:val="000375EE"/>
    <w:rsid w:val="000376EB"/>
    <w:rsid w:val="00040EF7"/>
    <w:rsid w:val="000411B9"/>
    <w:rsid w:val="000422ED"/>
    <w:rsid w:val="00043280"/>
    <w:rsid w:val="000432EF"/>
    <w:rsid w:val="00043EF3"/>
    <w:rsid w:val="00045147"/>
    <w:rsid w:val="00046275"/>
    <w:rsid w:val="00046F48"/>
    <w:rsid w:val="00047760"/>
    <w:rsid w:val="00054614"/>
    <w:rsid w:val="00054E8C"/>
    <w:rsid w:val="00055544"/>
    <w:rsid w:val="00060FFD"/>
    <w:rsid w:val="000642EC"/>
    <w:rsid w:val="000647B9"/>
    <w:rsid w:val="00071B99"/>
    <w:rsid w:val="0007306E"/>
    <w:rsid w:val="00073C41"/>
    <w:rsid w:val="00076EFA"/>
    <w:rsid w:val="00080C5E"/>
    <w:rsid w:val="00081A51"/>
    <w:rsid w:val="00081DAE"/>
    <w:rsid w:val="000835F0"/>
    <w:rsid w:val="00093604"/>
    <w:rsid w:val="0009448C"/>
    <w:rsid w:val="000946AA"/>
    <w:rsid w:val="0009770C"/>
    <w:rsid w:val="0009C6B9"/>
    <w:rsid w:val="000A213E"/>
    <w:rsid w:val="000A6F27"/>
    <w:rsid w:val="000B097B"/>
    <w:rsid w:val="000B128D"/>
    <w:rsid w:val="000B19B9"/>
    <w:rsid w:val="000B3528"/>
    <w:rsid w:val="000B44AD"/>
    <w:rsid w:val="000B45CD"/>
    <w:rsid w:val="000B4DAF"/>
    <w:rsid w:val="000C024E"/>
    <w:rsid w:val="000C0EEC"/>
    <w:rsid w:val="000C1CC9"/>
    <w:rsid w:val="000C5271"/>
    <w:rsid w:val="000C6950"/>
    <w:rsid w:val="000D29EB"/>
    <w:rsid w:val="000D4117"/>
    <w:rsid w:val="000E3BAC"/>
    <w:rsid w:val="000E4CA6"/>
    <w:rsid w:val="000F3233"/>
    <w:rsid w:val="000F3AB9"/>
    <w:rsid w:val="000F55A8"/>
    <w:rsid w:val="000F7B73"/>
    <w:rsid w:val="00103A5F"/>
    <w:rsid w:val="00103C81"/>
    <w:rsid w:val="00104E0C"/>
    <w:rsid w:val="00107C5D"/>
    <w:rsid w:val="001115F9"/>
    <w:rsid w:val="001144CA"/>
    <w:rsid w:val="00115D43"/>
    <w:rsid w:val="00117C30"/>
    <w:rsid w:val="00121F64"/>
    <w:rsid w:val="00122D0D"/>
    <w:rsid w:val="0012525C"/>
    <w:rsid w:val="00127740"/>
    <w:rsid w:val="001305C2"/>
    <w:rsid w:val="0013229B"/>
    <w:rsid w:val="001347F0"/>
    <w:rsid w:val="00134928"/>
    <w:rsid w:val="00137351"/>
    <w:rsid w:val="00141681"/>
    <w:rsid w:val="00143A4D"/>
    <w:rsid w:val="00146B91"/>
    <w:rsid w:val="00147901"/>
    <w:rsid w:val="00150230"/>
    <w:rsid w:val="0015106F"/>
    <w:rsid w:val="00152059"/>
    <w:rsid w:val="00153BEF"/>
    <w:rsid w:val="001544FE"/>
    <w:rsid w:val="0015544E"/>
    <w:rsid w:val="00170D4F"/>
    <w:rsid w:val="00172BD1"/>
    <w:rsid w:val="00175593"/>
    <w:rsid w:val="00180230"/>
    <w:rsid w:val="00181D5A"/>
    <w:rsid w:val="001847A1"/>
    <w:rsid w:val="001848F7"/>
    <w:rsid w:val="00185CF1"/>
    <w:rsid w:val="001918C3"/>
    <w:rsid w:val="00192C85"/>
    <w:rsid w:val="00193C74"/>
    <w:rsid w:val="00196642"/>
    <w:rsid w:val="00196AD9"/>
    <w:rsid w:val="00197960"/>
    <w:rsid w:val="00197FC7"/>
    <w:rsid w:val="001A4C14"/>
    <w:rsid w:val="001A4F3E"/>
    <w:rsid w:val="001B0316"/>
    <w:rsid w:val="001B16A3"/>
    <w:rsid w:val="001B25B9"/>
    <w:rsid w:val="001B70CE"/>
    <w:rsid w:val="001B78CC"/>
    <w:rsid w:val="001B7B05"/>
    <w:rsid w:val="001C1CDF"/>
    <w:rsid w:val="001C234C"/>
    <w:rsid w:val="001C35AB"/>
    <w:rsid w:val="001C3AA2"/>
    <w:rsid w:val="001C4461"/>
    <w:rsid w:val="001C7738"/>
    <w:rsid w:val="001D00D7"/>
    <w:rsid w:val="001D13EC"/>
    <w:rsid w:val="001E0D08"/>
    <w:rsid w:val="001E3313"/>
    <w:rsid w:val="001E545C"/>
    <w:rsid w:val="001E5652"/>
    <w:rsid w:val="001E6A75"/>
    <w:rsid w:val="001E719A"/>
    <w:rsid w:val="001F027F"/>
    <w:rsid w:val="001F2874"/>
    <w:rsid w:val="001F2F5A"/>
    <w:rsid w:val="001F39DD"/>
    <w:rsid w:val="001F3A74"/>
    <w:rsid w:val="001F453F"/>
    <w:rsid w:val="00203193"/>
    <w:rsid w:val="002037E3"/>
    <w:rsid w:val="002040EF"/>
    <w:rsid w:val="00207A35"/>
    <w:rsid w:val="002115BD"/>
    <w:rsid w:val="002125D4"/>
    <w:rsid w:val="00214B15"/>
    <w:rsid w:val="00223FEC"/>
    <w:rsid w:val="002256A3"/>
    <w:rsid w:val="00227FE7"/>
    <w:rsid w:val="00230F63"/>
    <w:rsid w:val="00233015"/>
    <w:rsid w:val="002337B4"/>
    <w:rsid w:val="002344CF"/>
    <w:rsid w:val="00234821"/>
    <w:rsid w:val="002408AC"/>
    <w:rsid w:val="00244532"/>
    <w:rsid w:val="002454A7"/>
    <w:rsid w:val="00245D16"/>
    <w:rsid w:val="00251668"/>
    <w:rsid w:val="00257450"/>
    <w:rsid w:val="00260980"/>
    <w:rsid w:val="002645BD"/>
    <w:rsid w:val="0026779F"/>
    <w:rsid w:val="0027341C"/>
    <w:rsid w:val="002735F0"/>
    <w:rsid w:val="00275CB9"/>
    <w:rsid w:val="0027650E"/>
    <w:rsid w:val="00276F74"/>
    <w:rsid w:val="0028477D"/>
    <w:rsid w:val="00286B68"/>
    <w:rsid w:val="00295104"/>
    <w:rsid w:val="00295D0E"/>
    <w:rsid w:val="00296840"/>
    <w:rsid w:val="00297751"/>
    <w:rsid w:val="002A7824"/>
    <w:rsid w:val="002A7DC8"/>
    <w:rsid w:val="002B046D"/>
    <w:rsid w:val="002B2028"/>
    <w:rsid w:val="002B47CB"/>
    <w:rsid w:val="002B4C0B"/>
    <w:rsid w:val="002B614C"/>
    <w:rsid w:val="002C206F"/>
    <w:rsid w:val="002C6452"/>
    <w:rsid w:val="002C66AD"/>
    <w:rsid w:val="002C725A"/>
    <w:rsid w:val="002D1BA2"/>
    <w:rsid w:val="002D2EE6"/>
    <w:rsid w:val="002D3F01"/>
    <w:rsid w:val="002D5BAB"/>
    <w:rsid w:val="002D7272"/>
    <w:rsid w:val="002D7618"/>
    <w:rsid w:val="002E0265"/>
    <w:rsid w:val="002E3025"/>
    <w:rsid w:val="002E42AD"/>
    <w:rsid w:val="002E5615"/>
    <w:rsid w:val="002E59A4"/>
    <w:rsid w:val="002F0651"/>
    <w:rsid w:val="002F5A38"/>
    <w:rsid w:val="002F75B5"/>
    <w:rsid w:val="002F7D28"/>
    <w:rsid w:val="003126D7"/>
    <w:rsid w:val="0031292D"/>
    <w:rsid w:val="00313D05"/>
    <w:rsid w:val="003154DE"/>
    <w:rsid w:val="00320CEE"/>
    <w:rsid w:val="00323432"/>
    <w:rsid w:val="00325069"/>
    <w:rsid w:val="003254AF"/>
    <w:rsid w:val="003278F4"/>
    <w:rsid w:val="00330D38"/>
    <w:rsid w:val="003323BB"/>
    <w:rsid w:val="00335356"/>
    <w:rsid w:val="00335885"/>
    <w:rsid w:val="00335EE1"/>
    <w:rsid w:val="0034311F"/>
    <w:rsid w:val="003445A0"/>
    <w:rsid w:val="00353419"/>
    <w:rsid w:val="00353D58"/>
    <w:rsid w:val="00354D10"/>
    <w:rsid w:val="003579A0"/>
    <w:rsid w:val="003600B9"/>
    <w:rsid w:val="003609DD"/>
    <w:rsid w:val="0036476F"/>
    <w:rsid w:val="003652E0"/>
    <w:rsid w:val="003713A5"/>
    <w:rsid w:val="00375C29"/>
    <w:rsid w:val="003834F6"/>
    <w:rsid w:val="00386D3B"/>
    <w:rsid w:val="003936D8"/>
    <w:rsid w:val="00394D9D"/>
    <w:rsid w:val="00397FAD"/>
    <w:rsid w:val="003A2B07"/>
    <w:rsid w:val="003A2CB4"/>
    <w:rsid w:val="003A2DF5"/>
    <w:rsid w:val="003A3B43"/>
    <w:rsid w:val="003A5476"/>
    <w:rsid w:val="003A7737"/>
    <w:rsid w:val="003B3588"/>
    <w:rsid w:val="003B486F"/>
    <w:rsid w:val="003B712A"/>
    <w:rsid w:val="003B72CD"/>
    <w:rsid w:val="003B7392"/>
    <w:rsid w:val="003B7444"/>
    <w:rsid w:val="003C02E7"/>
    <w:rsid w:val="003C0B5F"/>
    <w:rsid w:val="003C1A5F"/>
    <w:rsid w:val="003C3731"/>
    <w:rsid w:val="003C71AA"/>
    <w:rsid w:val="003C7E5B"/>
    <w:rsid w:val="003D2167"/>
    <w:rsid w:val="003D24C1"/>
    <w:rsid w:val="003D289B"/>
    <w:rsid w:val="003D3CBB"/>
    <w:rsid w:val="003D491D"/>
    <w:rsid w:val="003D732E"/>
    <w:rsid w:val="003D754C"/>
    <w:rsid w:val="003D7A0A"/>
    <w:rsid w:val="003E27C2"/>
    <w:rsid w:val="003E2B28"/>
    <w:rsid w:val="003E4564"/>
    <w:rsid w:val="003E6E3E"/>
    <w:rsid w:val="003F005C"/>
    <w:rsid w:val="003F23E2"/>
    <w:rsid w:val="003F3796"/>
    <w:rsid w:val="003F5629"/>
    <w:rsid w:val="003F6AC1"/>
    <w:rsid w:val="003F7396"/>
    <w:rsid w:val="00400369"/>
    <w:rsid w:val="00400C91"/>
    <w:rsid w:val="00400EA8"/>
    <w:rsid w:val="00401DF7"/>
    <w:rsid w:val="004025C8"/>
    <w:rsid w:val="00410A12"/>
    <w:rsid w:val="0041128D"/>
    <w:rsid w:val="00412525"/>
    <w:rsid w:val="0041311D"/>
    <w:rsid w:val="004136B8"/>
    <w:rsid w:val="00413B6A"/>
    <w:rsid w:val="00420A42"/>
    <w:rsid w:val="00421C75"/>
    <w:rsid w:val="00422B6B"/>
    <w:rsid w:val="004248C1"/>
    <w:rsid w:val="00427933"/>
    <w:rsid w:val="0043162F"/>
    <w:rsid w:val="00432DD8"/>
    <w:rsid w:val="004332A6"/>
    <w:rsid w:val="0043344A"/>
    <w:rsid w:val="0043519F"/>
    <w:rsid w:val="00437829"/>
    <w:rsid w:val="00440649"/>
    <w:rsid w:val="0044174E"/>
    <w:rsid w:val="004419D8"/>
    <w:rsid w:val="00444CCD"/>
    <w:rsid w:val="00456691"/>
    <w:rsid w:val="004576D1"/>
    <w:rsid w:val="00462111"/>
    <w:rsid w:val="00462C82"/>
    <w:rsid w:val="0046335B"/>
    <w:rsid w:val="00463CBD"/>
    <w:rsid w:val="004641B3"/>
    <w:rsid w:val="004665BA"/>
    <w:rsid w:val="00467E65"/>
    <w:rsid w:val="004714BE"/>
    <w:rsid w:val="004749CA"/>
    <w:rsid w:val="00481328"/>
    <w:rsid w:val="0048451B"/>
    <w:rsid w:val="00486A02"/>
    <w:rsid w:val="004926E9"/>
    <w:rsid w:val="0049316C"/>
    <w:rsid w:val="0049388D"/>
    <w:rsid w:val="00494C0B"/>
    <w:rsid w:val="004A1E5E"/>
    <w:rsid w:val="004A3C56"/>
    <w:rsid w:val="004A3D54"/>
    <w:rsid w:val="004A4C16"/>
    <w:rsid w:val="004A6F6F"/>
    <w:rsid w:val="004A75CF"/>
    <w:rsid w:val="004A79EC"/>
    <w:rsid w:val="004B2341"/>
    <w:rsid w:val="004B2A17"/>
    <w:rsid w:val="004B4F8C"/>
    <w:rsid w:val="004B70D3"/>
    <w:rsid w:val="004B73F9"/>
    <w:rsid w:val="004C364D"/>
    <w:rsid w:val="004C41DC"/>
    <w:rsid w:val="004C5250"/>
    <w:rsid w:val="004C58F4"/>
    <w:rsid w:val="004C5AE5"/>
    <w:rsid w:val="004C7448"/>
    <w:rsid w:val="004D0FDB"/>
    <w:rsid w:val="004D5AB5"/>
    <w:rsid w:val="004D72F7"/>
    <w:rsid w:val="004E04D9"/>
    <w:rsid w:val="004E0518"/>
    <w:rsid w:val="004E3077"/>
    <w:rsid w:val="004F18D2"/>
    <w:rsid w:val="004F2257"/>
    <w:rsid w:val="004F2AA5"/>
    <w:rsid w:val="004F2F6A"/>
    <w:rsid w:val="004F34BB"/>
    <w:rsid w:val="004F39B2"/>
    <w:rsid w:val="004F59E5"/>
    <w:rsid w:val="004F7C7E"/>
    <w:rsid w:val="00501400"/>
    <w:rsid w:val="005022EA"/>
    <w:rsid w:val="00502DA1"/>
    <w:rsid w:val="00502E8C"/>
    <w:rsid w:val="00505422"/>
    <w:rsid w:val="00506B2E"/>
    <w:rsid w:val="00512B70"/>
    <w:rsid w:val="00512D8A"/>
    <w:rsid w:val="00516467"/>
    <w:rsid w:val="005179AD"/>
    <w:rsid w:val="005219DC"/>
    <w:rsid w:val="00523838"/>
    <w:rsid w:val="00526636"/>
    <w:rsid w:val="00526FD2"/>
    <w:rsid w:val="00530A88"/>
    <w:rsid w:val="00531CE6"/>
    <w:rsid w:val="00532EC6"/>
    <w:rsid w:val="005337B6"/>
    <w:rsid w:val="00533D56"/>
    <w:rsid w:val="00535E79"/>
    <w:rsid w:val="00535FE1"/>
    <w:rsid w:val="005379C3"/>
    <w:rsid w:val="00537D5E"/>
    <w:rsid w:val="005401A4"/>
    <w:rsid w:val="00542430"/>
    <w:rsid w:val="00542C18"/>
    <w:rsid w:val="00545F6D"/>
    <w:rsid w:val="00546380"/>
    <w:rsid w:val="0055325C"/>
    <w:rsid w:val="005563DF"/>
    <w:rsid w:val="00556C1A"/>
    <w:rsid w:val="00557FF7"/>
    <w:rsid w:val="0056137A"/>
    <w:rsid w:val="00563358"/>
    <w:rsid w:val="00565F1F"/>
    <w:rsid w:val="00570E12"/>
    <w:rsid w:val="00571BE1"/>
    <w:rsid w:val="00575B8C"/>
    <w:rsid w:val="005766F7"/>
    <w:rsid w:val="0057728E"/>
    <w:rsid w:val="0058243C"/>
    <w:rsid w:val="00582D14"/>
    <w:rsid w:val="005832FC"/>
    <w:rsid w:val="00583430"/>
    <w:rsid w:val="00584129"/>
    <w:rsid w:val="00584D08"/>
    <w:rsid w:val="00585F48"/>
    <w:rsid w:val="00587EDE"/>
    <w:rsid w:val="00592BFF"/>
    <w:rsid w:val="005954B8"/>
    <w:rsid w:val="005A0AA5"/>
    <w:rsid w:val="005A1DC3"/>
    <w:rsid w:val="005A3477"/>
    <w:rsid w:val="005A3511"/>
    <w:rsid w:val="005A776A"/>
    <w:rsid w:val="005A7785"/>
    <w:rsid w:val="005B03B3"/>
    <w:rsid w:val="005B1B53"/>
    <w:rsid w:val="005B2569"/>
    <w:rsid w:val="005B450B"/>
    <w:rsid w:val="005B4FEF"/>
    <w:rsid w:val="005C4CF5"/>
    <w:rsid w:val="005C52B7"/>
    <w:rsid w:val="005C78D7"/>
    <w:rsid w:val="005D1E08"/>
    <w:rsid w:val="005D3B60"/>
    <w:rsid w:val="005D74AD"/>
    <w:rsid w:val="005D7A0F"/>
    <w:rsid w:val="005E2156"/>
    <w:rsid w:val="005E2F1A"/>
    <w:rsid w:val="005E3615"/>
    <w:rsid w:val="005E53CA"/>
    <w:rsid w:val="005E5A75"/>
    <w:rsid w:val="005E6A95"/>
    <w:rsid w:val="005E7197"/>
    <w:rsid w:val="0060061B"/>
    <w:rsid w:val="00601486"/>
    <w:rsid w:val="00602697"/>
    <w:rsid w:val="00603EA0"/>
    <w:rsid w:val="0060759B"/>
    <w:rsid w:val="0060E704"/>
    <w:rsid w:val="00616B5C"/>
    <w:rsid w:val="0062295F"/>
    <w:rsid w:val="00623D1E"/>
    <w:rsid w:val="00626026"/>
    <w:rsid w:val="00626DA3"/>
    <w:rsid w:val="006320F9"/>
    <w:rsid w:val="0063331A"/>
    <w:rsid w:val="00634516"/>
    <w:rsid w:val="00634742"/>
    <w:rsid w:val="00640E69"/>
    <w:rsid w:val="006412AC"/>
    <w:rsid w:val="00641C45"/>
    <w:rsid w:val="00643D4A"/>
    <w:rsid w:val="00643E4F"/>
    <w:rsid w:val="00644362"/>
    <w:rsid w:val="00644BCF"/>
    <w:rsid w:val="00646D74"/>
    <w:rsid w:val="006471A9"/>
    <w:rsid w:val="00650FBF"/>
    <w:rsid w:val="006529BE"/>
    <w:rsid w:val="006539DD"/>
    <w:rsid w:val="006542E7"/>
    <w:rsid w:val="00655749"/>
    <w:rsid w:val="0065691D"/>
    <w:rsid w:val="00661B32"/>
    <w:rsid w:val="006620AD"/>
    <w:rsid w:val="006676FB"/>
    <w:rsid w:val="006733DB"/>
    <w:rsid w:val="00676903"/>
    <w:rsid w:val="00676B1F"/>
    <w:rsid w:val="00680215"/>
    <w:rsid w:val="006803E6"/>
    <w:rsid w:val="00682B2B"/>
    <w:rsid w:val="006869AB"/>
    <w:rsid w:val="00687261"/>
    <w:rsid w:val="00693580"/>
    <w:rsid w:val="0069416B"/>
    <w:rsid w:val="00694DBC"/>
    <w:rsid w:val="00696D77"/>
    <w:rsid w:val="006A0B97"/>
    <w:rsid w:val="006A5754"/>
    <w:rsid w:val="006A58F1"/>
    <w:rsid w:val="006A70FE"/>
    <w:rsid w:val="006A7703"/>
    <w:rsid w:val="006B1ADE"/>
    <w:rsid w:val="006B231B"/>
    <w:rsid w:val="006B272D"/>
    <w:rsid w:val="006C0C83"/>
    <w:rsid w:val="006C39B1"/>
    <w:rsid w:val="006C3AF0"/>
    <w:rsid w:val="006C5386"/>
    <w:rsid w:val="006D1322"/>
    <w:rsid w:val="006D5BF1"/>
    <w:rsid w:val="006D7AD3"/>
    <w:rsid w:val="006E157D"/>
    <w:rsid w:val="006E6283"/>
    <w:rsid w:val="006E7B4F"/>
    <w:rsid w:val="006F024C"/>
    <w:rsid w:val="006F1871"/>
    <w:rsid w:val="006F1B81"/>
    <w:rsid w:val="006F229F"/>
    <w:rsid w:val="006F3559"/>
    <w:rsid w:val="006F63CF"/>
    <w:rsid w:val="006F7391"/>
    <w:rsid w:val="006F7877"/>
    <w:rsid w:val="006F7BD5"/>
    <w:rsid w:val="007023C8"/>
    <w:rsid w:val="00702956"/>
    <w:rsid w:val="00702E5D"/>
    <w:rsid w:val="00703720"/>
    <w:rsid w:val="00704C3E"/>
    <w:rsid w:val="00710F23"/>
    <w:rsid w:val="00711BA9"/>
    <w:rsid w:val="00711BE4"/>
    <w:rsid w:val="00714E5E"/>
    <w:rsid w:val="00715FDF"/>
    <w:rsid w:val="007179AA"/>
    <w:rsid w:val="0072006C"/>
    <w:rsid w:val="00720E6C"/>
    <w:rsid w:val="007215E5"/>
    <w:rsid w:val="00724E37"/>
    <w:rsid w:val="00726CB4"/>
    <w:rsid w:val="00732FF8"/>
    <w:rsid w:val="007356FC"/>
    <w:rsid w:val="00735951"/>
    <w:rsid w:val="00737851"/>
    <w:rsid w:val="0074451A"/>
    <w:rsid w:val="007457AE"/>
    <w:rsid w:val="00745F23"/>
    <w:rsid w:val="00747637"/>
    <w:rsid w:val="00752BAE"/>
    <w:rsid w:val="0075300C"/>
    <w:rsid w:val="00753B6D"/>
    <w:rsid w:val="00757240"/>
    <w:rsid w:val="00757420"/>
    <w:rsid w:val="00762F37"/>
    <w:rsid w:val="00763179"/>
    <w:rsid w:val="007637BA"/>
    <w:rsid w:val="007700BC"/>
    <w:rsid w:val="00770DA7"/>
    <w:rsid w:val="007715DC"/>
    <w:rsid w:val="00772030"/>
    <w:rsid w:val="00774497"/>
    <w:rsid w:val="0077791D"/>
    <w:rsid w:val="007806F8"/>
    <w:rsid w:val="00780BA1"/>
    <w:rsid w:val="00784BA3"/>
    <w:rsid w:val="00794F0A"/>
    <w:rsid w:val="00796ED1"/>
    <w:rsid w:val="007974FF"/>
    <w:rsid w:val="007A19DC"/>
    <w:rsid w:val="007A3496"/>
    <w:rsid w:val="007A443C"/>
    <w:rsid w:val="007A4824"/>
    <w:rsid w:val="007A5B8D"/>
    <w:rsid w:val="007A5B98"/>
    <w:rsid w:val="007B1030"/>
    <w:rsid w:val="007B11E9"/>
    <w:rsid w:val="007B2121"/>
    <w:rsid w:val="007B28C4"/>
    <w:rsid w:val="007B3595"/>
    <w:rsid w:val="007B376F"/>
    <w:rsid w:val="007B68D7"/>
    <w:rsid w:val="007C0406"/>
    <w:rsid w:val="007C189D"/>
    <w:rsid w:val="007C29F7"/>
    <w:rsid w:val="007C2AD4"/>
    <w:rsid w:val="007C443B"/>
    <w:rsid w:val="007C44CB"/>
    <w:rsid w:val="007C78A3"/>
    <w:rsid w:val="007D1942"/>
    <w:rsid w:val="007D4FF1"/>
    <w:rsid w:val="007D5D30"/>
    <w:rsid w:val="007D77CE"/>
    <w:rsid w:val="007E02C8"/>
    <w:rsid w:val="007E24A8"/>
    <w:rsid w:val="007E24D7"/>
    <w:rsid w:val="007E5CE7"/>
    <w:rsid w:val="007F1659"/>
    <w:rsid w:val="007F525D"/>
    <w:rsid w:val="00800B67"/>
    <w:rsid w:val="008012EB"/>
    <w:rsid w:val="00802864"/>
    <w:rsid w:val="0080296C"/>
    <w:rsid w:val="00804682"/>
    <w:rsid w:val="00805FF9"/>
    <w:rsid w:val="008074AD"/>
    <w:rsid w:val="00810B9E"/>
    <w:rsid w:val="0081108F"/>
    <w:rsid w:val="00812B78"/>
    <w:rsid w:val="00814C67"/>
    <w:rsid w:val="00815946"/>
    <w:rsid w:val="008206AE"/>
    <w:rsid w:val="00822A8E"/>
    <w:rsid w:val="00823FE6"/>
    <w:rsid w:val="0082560F"/>
    <w:rsid w:val="00825DC3"/>
    <w:rsid w:val="0082658F"/>
    <w:rsid w:val="00830B13"/>
    <w:rsid w:val="008312A1"/>
    <w:rsid w:val="00833D1D"/>
    <w:rsid w:val="008357ED"/>
    <w:rsid w:val="00841639"/>
    <w:rsid w:val="008436AD"/>
    <w:rsid w:val="00844186"/>
    <w:rsid w:val="00845F74"/>
    <w:rsid w:val="0084748A"/>
    <w:rsid w:val="00850C09"/>
    <w:rsid w:val="00851829"/>
    <w:rsid w:val="00852FE1"/>
    <w:rsid w:val="00853173"/>
    <w:rsid w:val="0085552D"/>
    <w:rsid w:val="00855C45"/>
    <w:rsid w:val="00856E7D"/>
    <w:rsid w:val="00857515"/>
    <w:rsid w:val="008611A4"/>
    <w:rsid w:val="00861E59"/>
    <w:rsid w:val="008627BE"/>
    <w:rsid w:val="0086333C"/>
    <w:rsid w:val="008678F9"/>
    <w:rsid w:val="00870893"/>
    <w:rsid w:val="008713B4"/>
    <w:rsid w:val="00871C4F"/>
    <w:rsid w:val="00880B49"/>
    <w:rsid w:val="00881863"/>
    <w:rsid w:val="00883C8D"/>
    <w:rsid w:val="0088419C"/>
    <w:rsid w:val="00890778"/>
    <w:rsid w:val="0089100D"/>
    <w:rsid w:val="00892C90"/>
    <w:rsid w:val="0089347F"/>
    <w:rsid w:val="00896F77"/>
    <w:rsid w:val="00896FF4"/>
    <w:rsid w:val="00897C9D"/>
    <w:rsid w:val="00897D39"/>
    <w:rsid w:val="008A28BA"/>
    <w:rsid w:val="008A37FC"/>
    <w:rsid w:val="008A4482"/>
    <w:rsid w:val="008B7DCF"/>
    <w:rsid w:val="008C23D8"/>
    <w:rsid w:val="008C26A7"/>
    <w:rsid w:val="008C28F9"/>
    <w:rsid w:val="008C46ED"/>
    <w:rsid w:val="008C700C"/>
    <w:rsid w:val="008C79D5"/>
    <w:rsid w:val="008D0B3D"/>
    <w:rsid w:val="008D1918"/>
    <w:rsid w:val="008D43BD"/>
    <w:rsid w:val="008D4FB8"/>
    <w:rsid w:val="008D7E07"/>
    <w:rsid w:val="008E16C8"/>
    <w:rsid w:val="008E23EF"/>
    <w:rsid w:val="008E26FF"/>
    <w:rsid w:val="008E2C8B"/>
    <w:rsid w:val="008E3318"/>
    <w:rsid w:val="008F46B2"/>
    <w:rsid w:val="008F5A66"/>
    <w:rsid w:val="008F7F25"/>
    <w:rsid w:val="009029EE"/>
    <w:rsid w:val="00905584"/>
    <w:rsid w:val="00905909"/>
    <w:rsid w:val="00905BE9"/>
    <w:rsid w:val="00906C95"/>
    <w:rsid w:val="0090793A"/>
    <w:rsid w:val="009128B5"/>
    <w:rsid w:val="00913109"/>
    <w:rsid w:val="00913D35"/>
    <w:rsid w:val="00914857"/>
    <w:rsid w:val="00915B04"/>
    <w:rsid w:val="009179B1"/>
    <w:rsid w:val="00920AA7"/>
    <w:rsid w:val="00922EB7"/>
    <w:rsid w:val="009230A9"/>
    <w:rsid w:val="009262CE"/>
    <w:rsid w:val="009273E1"/>
    <w:rsid w:val="00930231"/>
    <w:rsid w:val="009309D8"/>
    <w:rsid w:val="00930BF0"/>
    <w:rsid w:val="00930CAA"/>
    <w:rsid w:val="00931965"/>
    <w:rsid w:val="0093262E"/>
    <w:rsid w:val="00932820"/>
    <w:rsid w:val="00933EE1"/>
    <w:rsid w:val="00934440"/>
    <w:rsid w:val="00940FB2"/>
    <w:rsid w:val="0094170C"/>
    <w:rsid w:val="00944FFA"/>
    <w:rsid w:val="0094514B"/>
    <w:rsid w:val="00945367"/>
    <w:rsid w:val="009454F7"/>
    <w:rsid w:val="009520B4"/>
    <w:rsid w:val="009543CB"/>
    <w:rsid w:val="00954CD0"/>
    <w:rsid w:val="00956912"/>
    <w:rsid w:val="009569B6"/>
    <w:rsid w:val="00957060"/>
    <w:rsid w:val="00957E48"/>
    <w:rsid w:val="00962A7E"/>
    <w:rsid w:val="00963205"/>
    <w:rsid w:val="00964ECC"/>
    <w:rsid w:val="00966FDB"/>
    <w:rsid w:val="00967B24"/>
    <w:rsid w:val="0097200A"/>
    <w:rsid w:val="00974F7E"/>
    <w:rsid w:val="009754C9"/>
    <w:rsid w:val="00976270"/>
    <w:rsid w:val="0098059F"/>
    <w:rsid w:val="009875FF"/>
    <w:rsid w:val="00987AED"/>
    <w:rsid w:val="00987F91"/>
    <w:rsid w:val="00990902"/>
    <w:rsid w:val="009944A7"/>
    <w:rsid w:val="0099680F"/>
    <w:rsid w:val="009978F5"/>
    <w:rsid w:val="009A50B2"/>
    <w:rsid w:val="009A56A2"/>
    <w:rsid w:val="009A5EFB"/>
    <w:rsid w:val="009A617D"/>
    <w:rsid w:val="009A6FE4"/>
    <w:rsid w:val="009A72E8"/>
    <w:rsid w:val="009B03C2"/>
    <w:rsid w:val="009B0994"/>
    <w:rsid w:val="009B2333"/>
    <w:rsid w:val="009B667E"/>
    <w:rsid w:val="009C231A"/>
    <w:rsid w:val="009C6204"/>
    <w:rsid w:val="009C6FA8"/>
    <w:rsid w:val="009C78D8"/>
    <w:rsid w:val="009D313E"/>
    <w:rsid w:val="009D7A08"/>
    <w:rsid w:val="009E6342"/>
    <w:rsid w:val="009E6C04"/>
    <w:rsid w:val="009F434F"/>
    <w:rsid w:val="009F5394"/>
    <w:rsid w:val="00A011FD"/>
    <w:rsid w:val="00A01BF0"/>
    <w:rsid w:val="00A0211D"/>
    <w:rsid w:val="00A0449A"/>
    <w:rsid w:val="00A04938"/>
    <w:rsid w:val="00A0570C"/>
    <w:rsid w:val="00A05953"/>
    <w:rsid w:val="00A0654F"/>
    <w:rsid w:val="00A11F25"/>
    <w:rsid w:val="00A153EF"/>
    <w:rsid w:val="00A15E1B"/>
    <w:rsid w:val="00A16FEB"/>
    <w:rsid w:val="00A204A2"/>
    <w:rsid w:val="00A21A91"/>
    <w:rsid w:val="00A22C2E"/>
    <w:rsid w:val="00A22DE4"/>
    <w:rsid w:val="00A27923"/>
    <w:rsid w:val="00A27DD1"/>
    <w:rsid w:val="00A30F13"/>
    <w:rsid w:val="00A30F5C"/>
    <w:rsid w:val="00A33705"/>
    <w:rsid w:val="00A33C39"/>
    <w:rsid w:val="00A36756"/>
    <w:rsid w:val="00A4081E"/>
    <w:rsid w:val="00A40A86"/>
    <w:rsid w:val="00A453A2"/>
    <w:rsid w:val="00A47B5B"/>
    <w:rsid w:val="00A50BB2"/>
    <w:rsid w:val="00A56041"/>
    <w:rsid w:val="00A60830"/>
    <w:rsid w:val="00A60A61"/>
    <w:rsid w:val="00A61663"/>
    <w:rsid w:val="00A6476D"/>
    <w:rsid w:val="00A64D4B"/>
    <w:rsid w:val="00A6675F"/>
    <w:rsid w:val="00A669C6"/>
    <w:rsid w:val="00A674D6"/>
    <w:rsid w:val="00A67A65"/>
    <w:rsid w:val="00A67C52"/>
    <w:rsid w:val="00A72457"/>
    <w:rsid w:val="00A72603"/>
    <w:rsid w:val="00A74D92"/>
    <w:rsid w:val="00A75B5D"/>
    <w:rsid w:val="00A848CF"/>
    <w:rsid w:val="00A84E04"/>
    <w:rsid w:val="00A854AE"/>
    <w:rsid w:val="00A87140"/>
    <w:rsid w:val="00A87A69"/>
    <w:rsid w:val="00A87DFD"/>
    <w:rsid w:val="00A90057"/>
    <w:rsid w:val="00A90E13"/>
    <w:rsid w:val="00A9105A"/>
    <w:rsid w:val="00A9368B"/>
    <w:rsid w:val="00A95013"/>
    <w:rsid w:val="00A95112"/>
    <w:rsid w:val="00A96982"/>
    <w:rsid w:val="00A969DB"/>
    <w:rsid w:val="00A977AA"/>
    <w:rsid w:val="00AA03A9"/>
    <w:rsid w:val="00AA0B72"/>
    <w:rsid w:val="00AA10E1"/>
    <w:rsid w:val="00AA1DAE"/>
    <w:rsid w:val="00AA2C2E"/>
    <w:rsid w:val="00AA3051"/>
    <w:rsid w:val="00AA31B6"/>
    <w:rsid w:val="00AA5810"/>
    <w:rsid w:val="00AA700E"/>
    <w:rsid w:val="00AB046A"/>
    <w:rsid w:val="00AB0E49"/>
    <w:rsid w:val="00AB170E"/>
    <w:rsid w:val="00AB2570"/>
    <w:rsid w:val="00AB2CA4"/>
    <w:rsid w:val="00AB2DBA"/>
    <w:rsid w:val="00AB450E"/>
    <w:rsid w:val="00AB58BA"/>
    <w:rsid w:val="00AB5CF1"/>
    <w:rsid w:val="00AB63F3"/>
    <w:rsid w:val="00AC1283"/>
    <w:rsid w:val="00AC23B3"/>
    <w:rsid w:val="00AC27E1"/>
    <w:rsid w:val="00AC5211"/>
    <w:rsid w:val="00AC77FC"/>
    <w:rsid w:val="00AC78ED"/>
    <w:rsid w:val="00AD0239"/>
    <w:rsid w:val="00AD03B5"/>
    <w:rsid w:val="00AD06BE"/>
    <w:rsid w:val="00AD0B26"/>
    <w:rsid w:val="00AD1540"/>
    <w:rsid w:val="00AE1B16"/>
    <w:rsid w:val="00AE474D"/>
    <w:rsid w:val="00AE4FDB"/>
    <w:rsid w:val="00AE50D1"/>
    <w:rsid w:val="00AE50DD"/>
    <w:rsid w:val="00AE5F25"/>
    <w:rsid w:val="00AF0B91"/>
    <w:rsid w:val="00AF2FBE"/>
    <w:rsid w:val="00AF6AEC"/>
    <w:rsid w:val="00AF6D72"/>
    <w:rsid w:val="00B01C9F"/>
    <w:rsid w:val="00B034B1"/>
    <w:rsid w:val="00B0455E"/>
    <w:rsid w:val="00B05763"/>
    <w:rsid w:val="00B11C00"/>
    <w:rsid w:val="00B12110"/>
    <w:rsid w:val="00B1228D"/>
    <w:rsid w:val="00B12571"/>
    <w:rsid w:val="00B1498E"/>
    <w:rsid w:val="00B1544C"/>
    <w:rsid w:val="00B171DE"/>
    <w:rsid w:val="00B1768B"/>
    <w:rsid w:val="00B20882"/>
    <w:rsid w:val="00B20CCE"/>
    <w:rsid w:val="00B21D24"/>
    <w:rsid w:val="00B226B1"/>
    <w:rsid w:val="00B24EF3"/>
    <w:rsid w:val="00B27232"/>
    <w:rsid w:val="00B30133"/>
    <w:rsid w:val="00B30A5F"/>
    <w:rsid w:val="00B31AD0"/>
    <w:rsid w:val="00B34B34"/>
    <w:rsid w:val="00B35069"/>
    <w:rsid w:val="00B35AE5"/>
    <w:rsid w:val="00B371B3"/>
    <w:rsid w:val="00B419C2"/>
    <w:rsid w:val="00B42699"/>
    <w:rsid w:val="00B42824"/>
    <w:rsid w:val="00B42977"/>
    <w:rsid w:val="00B43283"/>
    <w:rsid w:val="00B4513B"/>
    <w:rsid w:val="00B45780"/>
    <w:rsid w:val="00B45D52"/>
    <w:rsid w:val="00B4715B"/>
    <w:rsid w:val="00B473C0"/>
    <w:rsid w:val="00B51EC1"/>
    <w:rsid w:val="00B5212C"/>
    <w:rsid w:val="00B56510"/>
    <w:rsid w:val="00B6069B"/>
    <w:rsid w:val="00B6315B"/>
    <w:rsid w:val="00B6334F"/>
    <w:rsid w:val="00B6511F"/>
    <w:rsid w:val="00B66C68"/>
    <w:rsid w:val="00B8196E"/>
    <w:rsid w:val="00B820D6"/>
    <w:rsid w:val="00B82113"/>
    <w:rsid w:val="00B8506D"/>
    <w:rsid w:val="00B86398"/>
    <w:rsid w:val="00B87A2B"/>
    <w:rsid w:val="00B90750"/>
    <w:rsid w:val="00B910A6"/>
    <w:rsid w:val="00B92579"/>
    <w:rsid w:val="00BA0CDF"/>
    <w:rsid w:val="00BA2C05"/>
    <w:rsid w:val="00BB0A9E"/>
    <w:rsid w:val="00BB1E88"/>
    <w:rsid w:val="00BB29D4"/>
    <w:rsid w:val="00BB31B4"/>
    <w:rsid w:val="00BB3E77"/>
    <w:rsid w:val="00BB477C"/>
    <w:rsid w:val="00BB5E72"/>
    <w:rsid w:val="00BB7244"/>
    <w:rsid w:val="00BC052B"/>
    <w:rsid w:val="00BC09BC"/>
    <w:rsid w:val="00BC09DE"/>
    <w:rsid w:val="00BC0A58"/>
    <w:rsid w:val="00BD22FB"/>
    <w:rsid w:val="00BD2367"/>
    <w:rsid w:val="00BD4797"/>
    <w:rsid w:val="00BD6023"/>
    <w:rsid w:val="00BD7F63"/>
    <w:rsid w:val="00BE11F7"/>
    <w:rsid w:val="00BE2D4C"/>
    <w:rsid w:val="00BE305C"/>
    <w:rsid w:val="00BE3501"/>
    <w:rsid w:val="00BF1724"/>
    <w:rsid w:val="00BF19E7"/>
    <w:rsid w:val="00BF1E79"/>
    <w:rsid w:val="00BF3FB8"/>
    <w:rsid w:val="00BF6874"/>
    <w:rsid w:val="00C03406"/>
    <w:rsid w:val="00C1066B"/>
    <w:rsid w:val="00C11904"/>
    <w:rsid w:val="00C12A47"/>
    <w:rsid w:val="00C17537"/>
    <w:rsid w:val="00C2030A"/>
    <w:rsid w:val="00C212D7"/>
    <w:rsid w:val="00C2355A"/>
    <w:rsid w:val="00C24EDA"/>
    <w:rsid w:val="00C309E9"/>
    <w:rsid w:val="00C31317"/>
    <w:rsid w:val="00C3567C"/>
    <w:rsid w:val="00C3737C"/>
    <w:rsid w:val="00C41806"/>
    <w:rsid w:val="00C44846"/>
    <w:rsid w:val="00C501DD"/>
    <w:rsid w:val="00C51390"/>
    <w:rsid w:val="00C51578"/>
    <w:rsid w:val="00C5183F"/>
    <w:rsid w:val="00C53634"/>
    <w:rsid w:val="00C5491E"/>
    <w:rsid w:val="00C56654"/>
    <w:rsid w:val="00C57421"/>
    <w:rsid w:val="00C5791B"/>
    <w:rsid w:val="00C601B6"/>
    <w:rsid w:val="00C60EA5"/>
    <w:rsid w:val="00C6372D"/>
    <w:rsid w:val="00C65834"/>
    <w:rsid w:val="00C67636"/>
    <w:rsid w:val="00C70268"/>
    <w:rsid w:val="00C71722"/>
    <w:rsid w:val="00C741A3"/>
    <w:rsid w:val="00C749A2"/>
    <w:rsid w:val="00C756EB"/>
    <w:rsid w:val="00C761C9"/>
    <w:rsid w:val="00C76A24"/>
    <w:rsid w:val="00C805A7"/>
    <w:rsid w:val="00C8084A"/>
    <w:rsid w:val="00C80DC4"/>
    <w:rsid w:val="00C82064"/>
    <w:rsid w:val="00C82EF9"/>
    <w:rsid w:val="00C835AF"/>
    <w:rsid w:val="00C83D43"/>
    <w:rsid w:val="00C84828"/>
    <w:rsid w:val="00C85A5B"/>
    <w:rsid w:val="00C869C3"/>
    <w:rsid w:val="00C86A58"/>
    <w:rsid w:val="00C902DD"/>
    <w:rsid w:val="00C90E3B"/>
    <w:rsid w:val="00C91F61"/>
    <w:rsid w:val="00C92E70"/>
    <w:rsid w:val="00C96055"/>
    <w:rsid w:val="00C96BC0"/>
    <w:rsid w:val="00C97A2C"/>
    <w:rsid w:val="00CA0487"/>
    <w:rsid w:val="00CA1959"/>
    <w:rsid w:val="00CA2CA6"/>
    <w:rsid w:val="00CA5846"/>
    <w:rsid w:val="00CB0B20"/>
    <w:rsid w:val="00CB2311"/>
    <w:rsid w:val="00CB4BBC"/>
    <w:rsid w:val="00CB70F3"/>
    <w:rsid w:val="00CC4638"/>
    <w:rsid w:val="00CC4E4F"/>
    <w:rsid w:val="00CD053F"/>
    <w:rsid w:val="00CD7132"/>
    <w:rsid w:val="00CD7C57"/>
    <w:rsid w:val="00CE186D"/>
    <w:rsid w:val="00CE20D5"/>
    <w:rsid w:val="00CE284D"/>
    <w:rsid w:val="00CE359B"/>
    <w:rsid w:val="00CE38E4"/>
    <w:rsid w:val="00CE4BF0"/>
    <w:rsid w:val="00CF0479"/>
    <w:rsid w:val="00CF2774"/>
    <w:rsid w:val="00CF3165"/>
    <w:rsid w:val="00CF34C7"/>
    <w:rsid w:val="00CF36FC"/>
    <w:rsid w:val="00CF589C"/>
    <w:rsid w:val="00CF5E0A"/>
    <w:rsid w:val="00D00E1F"/>
    <w:rsid w:val="00D04AE9"/>
    <w:rsid w:val="00D11B7A"/>
    <w:rsid w:val="00D155AE"/>
    <w:rsid w:val="00D17018"/>
    <w:rsid w:val="00D21CA2"/>
    <w:rsid w:val="00D22492"/>
    <w:rsid w:val="00D225E5"/>
    <w:rsid w:val="00D27E0D"/>
    <w:rsid w:val="00D31908"/>
    <w:rsid w:val="00D34414"/>
    <w:rsid w:val="00D34E13"/>
    <w:rsid w:val="00D37B5A"/>
    <w:rsid w:val="00D402CE"/>
    <w:rsid w:val="00D430C0"/>
    <w:rsid w:val="00D45DFF"/>
    <w:rsid w:val="00D46896"/>
    <w:rsid w:val="00D51025"/>
    <w:rsid w:val="00D53B66"/>
    <w:rsid w:val="00D57B8B"/>
    <w:rsid w:val="00D57B90"/>
    <w:rsid w:val="00D60895"/>
    <w:rsid w:val="00D61041"/>
    <w:rsid w:val="00D61F01"/>
    <w:rsid w:val="00D63446"/>
    <w:rsid w:val="00D65FB7"/>
    <w:rsid w:val="00D67D43"/>
    <w:rsid w:val="00D704B9"/>
    <w:rsid w:val="00D719A1"/>
    <w:rsid w:val="00D71EC9"/>
    <w:rsid w:val="00D7337C"/>
    <w:rsid w:val="00D73600"/>
    <w:rsid w:val="00D77E05"/>
    <w:rsid w:val="00D80D96"/>
    <w:rsid w:val="00D80E58"/>
    <w:rsid w:val="00D8623D"/>
    <w:rsid w:val="00D86968"/>
    <w:rsid w:val="00D95926"/>
    <w:rsid w:val="00D9735D"/>
    <w:rsid w:val="00D9737B"/>
    <w:rsid w:val="00DA0987"/>
    <w:rsid w:val="00DA3779"/>
    <w:rsid w:val="00DA5252"/>
    <w:rsid w:val="00DA6D3F"/>
    <w:rsid w:val="00DB2043"/>
    <w:rsid w:val="00DB2978"/>
    <w:rsid w:val="00DB316C"/>
    <w:rsid w:val="00DB5291"/>
    <w:rsid w:val="00DB5488"/>
    <w:rsid w:val="00DB54AF"/>
    <w:rsid w:val="00DB592D"/>
    <w:rsid w:val="00DC085D"/>
    <w:rsid w:val="00DC1BEF"/>
    <w:rsid w:val="00DC5B78"/>
    <w:rsid w:val="00DC7550"/>
    <w:rsid w:val="00DD2676"/>
    <w:rsid w:val="00DD42A8"/>
    <w:rsid w:val="00DD4C74"/>
    <w:rsid w:val="00DD4E58"/>
    <w:rsid w:val="00DD6DED"/>
    <w:rsid w:val="00DD75E1"/>
    <w:rsid w:val="00DD774E"/>
    <w:rsid w:val="00DE07D4"/>
    <w:rsid w:val="00DE1AA2"/>
    <w:rsid w:val="00DE514F"/>
    <w:rsid w:val="00DE74E0"/>
    <w:rsid w:val="00DF0038"/>
    <w:rsid w:val="00DF07E9"/>
    <w:rsid w:val="00DF1FF2"/>
    <w:rsid w:val="00DF2508"/>
    <w:rsid w:val="00DF524E"/>
    <w:rsid w:val="00DF5BE8"/>
    <w:rsid w:val="00DF7A6E"/>
    <w:rsid w:val="00DF7A94"/>
    <w:rsid w:val="00E011E9"/>
    <w:rsid w:val="00E0237D"/>
    <w:rsid w:val="00E02528"/>
    <w:rsid w:val="00E05B01"/>
    <w:rsid w:val="00E07572"/>
    <w:rsid w:val="00E12F2A"/>
    <w:rsid w:val="00E14337"/>
    <w:rsid w:val="00E15315"/>
    <w:rsid w:val="00E16853"/>
    <w:rsid w:val="00E2036B"/>
    <w:rsid w:val="00E20F7C"/>
    <w:rsid w:val="00E21765"/>
    <w:rsid w:val="00E22679"/>
    <w:rsid w:val="00E23096"/>
    <w:rsid w:val="00E2595D"/>
    <w:rsid w:val="00E26DEB"/>
    <w:rsid w:val="00E27680"/>
    <w:rsid w:val="00E311AF"/>
    <w:rsid w:val="00E4082C"/>
    <w:rsid w:val="00E41126"/>
    <w:rsid w:val="00E411EB"/>
    <w:rsid w:val="00E4239F"/>
    <w:rsid w:val="00E44961"/>
    <w:rsid w:val="00E4601E"/>
    <w:rsid w:val="00E4741E"/>
    <w:rsid w:val="00E53B04"/>
    <w:rsid w:val="00E54DC6"/>
    <w:rsid w:val="00E55A35"/>
    <w:rsid w:val="00E55DF3"/>
    <w:rsid w:val="00E5699F"/>
    <w:rsid w:val="00E57446"/>
    <w:rsid w:val="00E57664"/>
    <w:rsid w:val="00E605CE"/>
    <w:rsid w:val="00E60C8F"/>
    <w:rsid w:val="00E61D12"/>
    <w:rsid w:val="00E62CD3"/>
    <w:rsid w:val="00E655AA"/>
    <w:rsid w:val="00E66431"/>
    <w:rsid w:val="00E66F0B"/>
    <w:rsid w:val="00E6757C"/>
    <w:rsid w:val="00E749F5"/>
    <w:rsid w:val="00E75B95"/>
    <w:rsid w:val="00E7682E"/>
    <w:rsid w:val="00E82730"/>
    <w:rsid w:val="00E84ADA"/>
    <w:rsid w:val="00E8788E"/>
    <w:rsid w:val="00E94FB1"/>
    <w:rsid w:val="00E969D8"/>
    <w:rsid w:val="00EA1A57"/>
    <w:rsid w:val="00EA1C21"/>
    <w:rsid w:val="00EA40C9"/>
    <w:rsid w:val="00EA6F84"/>
    <w:rsid w:val="00EB1BFE"/>
    <w:rsid w:val="00EB2262"/>
    <w:rsid w:val="00EB5BFC"/>
    <w:rsid w:val="00EC1108"/>
    <w:rsid w:val="00EC348E"/>
    <w:rsid w:val="00EC3C00"/>
    <w:rsid w:val="00EC70E5"/>
    <w:rsid w:val="00ED27A2"/>
    <w:rsid w:val="00ED36CD"/>
    <w:rsid w:val="00ED5DB1"/>
    <w:rsid w:val="00ED79E5"/>
    <w:rsid w:val="00ED7E09"/>
    <w:rsid w:val="00EE1DD9"/>
    <w:rsid w:val="00EE3260"/>
    <w:rsid w:val="00EE4AFF"/>
    <w:rsid w:val="00EE58B5"/>
    <w:rsid w:val="00EF574D"/>
    <w:rsid w:val="00F00E02"/>
    <w:rsid w:val="00F017AA"/>
    <w:rsid w:val="00F017D3"/>
    <w:rsid w:val="00F029EB"/>
    <w:rsid w:val="00F04DFB"/>
    <w:rsid w:val="00F04EED"/>
    <w:rsid w:val="00F069C1"/>
    <w:rsid w:val="00F07940"/>
    <w:rsid w:val="00F07E20"/>
    <w:rsid w:val="00F11FCA"/>
    <w:rsid w:val="00F15D6F"/>
    <w:rsid w:val="00F17F5C"/>
    <w:rsid w:val="00F201D4"/>
    <w:rsid w:val="00F236D8"/>
    <w:rsid w:val="00F25771"/>
    <w:rsid w:val="00F26978"/>
    <w:rsid w:val="00F2740A"/>
    <w:rsid w:val="00F35889"/>
    <w:rsid w:val="00F40E2C"/>
    <w:rsid w:val="00F41C02"/>
    <w:rsid w:val="00F43327"/>
    <w:rsid w:val="00F477CB"/>
    <w:rsid w:val="00F50A25"/>
    <w:rsid w:val="00F5192C"/>
    <w:rsid w:val="00F544B2"/>
    <w:rsid w:val="00F54CCB"/>
    <w:rsid w:val="00F556D6"/>
    <w:rsid w:val="00F57D33"/>
    <w:rsid w:val="00F629CB"/>
    <w:rsid w:val="00F6473F"/>
    <w:rsid w:val="00F71549"/>
    <w:rsid w:val="00F71A66"/>
    <w:rsid w:val="00F72CF2"/>
    <w:rsid w:val="00F73E26"/>
    <w:rsid w:val="00F7447E"/>
    <w:rsid w:val="00F74C62"/>
    <w:rsid w:val="00F7513C"/>
    <w:rsid w:val="00F765C9"/>
    <w:rsid w:val="00F768C5"/>
    <w:rsid w:val="00F77FAC"/>
    <w:rsid w:val="00F818F0"/>
    <w:rsid w:val="00F81B40"/>
    <w:rsid w:val="00F82495"/>
    <w:rsid w:val="00F82E6B"/>
    <w:rsid w:val="00F854A8"/>
    <w:rsid w:val="00F8771A"/>
    <w:rsid w:val="00F91755"/>
    <w:rsid w:val="00F95164"/>
    <w:rsid w:val="00F96228"/>
    <w:rsid w:val="00F968BF"/>
    <w:rsid w:val="00FA0201"/>
    <w:rsid w:val="00FA3448"/>
    <w:rsid w:val="00FA511A"/>
    <w:rsid w:val="00FA7654"/>
    <w:rsid w:val="00FB07B0"/>
    <w:rsid w:val="00FC0F6F"/>
    <w:rsid w:val="00FC22FF"/>
    <w:rsid w:val="00FC25FF"/>
    <w:rsid w:val="00FC2B56"/>
    <w:rsid w:val="00FC5A65"/>
    <w:rsid w:val="00FC65DE"/>
    <w:rsid w:val="00FC6691"/>
    <w:rsid w:val="00FD1592"/>
    <w:rsid w:val="00FD374C"/>
    <w:rsid w:val="00FD5052"/>
    <w:rsid w:val="00FD55B5"/>
    <w:rsid w:val="00FD67CF"/>
    <w:rsid w:val="00FD6D1D"/>
    <w:rsid w:val="00FE1113"/>
    <w:rsid w:val="00FE1C8F"/>
    <w:rsid w:val="00FE1D2D"/>
    <w:rsid w:val="00FE3681"/>
    <w:rsid w:val="00FE606A"/>
    <w:rsid w:val="00FF0297"/>
    <w:rsid w:val="00FF4703"/>
    <w:rsid w:val="00FF4B36"/>
    <w:rsid w:val="00FF6937"/>
    <w:rsid w:val="00FF7A3E"/>
    <w:rsid w:val="015C7A31"/>
    <w:rsid w:val="01776FF1"/>
    <w:rsid w:val="0194DC5C"/>
    <w:rsid w:val="019A5E71"/>
    <w:rsid w:val="01A5A687"/>
    <w:rsid w:val="01AB6FAF"/>
    <w:rsid w:val="01C43649"/>
    <w:rsid w:val="02CF5FC1"/>
    <w:rsid w:val="03C06396"/>
    <w:rsid w:val="03D3BED3"/>
    <w:rsid w:val="03F21EF6"/>
    <w:rsid w:val="043342CF"/>
    <w:rsid w:val="04508971"/>
    <w:rsid w:val="046FFFEC"/>
    <w:rsid w:val="05116462"/>
    <w:rsid w:val="05BEF12F"/>
    <w:rsid w:val="05DEFC2F"/>
    <w:rsid w:val="06B85FA4"/>
    <w:rsid w:val="06C456A7"/>
    <w:rsid w:val="07241597"/>
    <w:rsid w:val="0743E9F3"/>
    <w:rsid w:val="07531344"/>
    <w:rsid w:val="078856C7"/>
    <w:rsid w:val="07A86E3B"/>
    <w:rsid w:val="07B87176"/>
    <w:rsid w:val="0851BB86"/>
    <w:rsid w:val="087EDD4C"/>
    <w:rsid w:val="08E906D8"/>
    <w:rsid w:val="09C2E143"/>
    <w:rsid w:val="0A1019B9"/>
    <w:rsid w:val="0A2512B0"/>
    <w:rsid w:val="0A3F88E9"/>
    <w:rsid w:val="0A5B26F4"/>
    <w:rsid w:val="0B02D569"/>
    <w:rsid w:val="0B1567F6"/>
    <w:rsid w:val="0B21FA6D"/>
    <w:rsid w:val="0B513AC6"/>
    <w:rsid w:val="0B5594C2"/>
    <w:rsid w:val="0B6187E9"/>
    <w:rsid w:val="0BA05D4B"/>
    <w:rsid w:val="0BCA682A"/>
    <w:rsid w:val="0BFDC25C"/>
    <w:rsid w:val="0C351608"/>
    <w:rsid w:val="0C519749"/>
    <w:rsid w:val="0C639715"/>
    <w:rsid w:val="0C8134CB"/>
    <w:rsid w:val="0D299B22"/>
    <w:rsid w:val="0D988CBF"/>
    <w:rsid w:val="0DA872B7"/>
    <w:rsid w:val="0DB62B84"/>
    <w:rsid w:val="0E30EFBF"/>
    <w:rsid w:val="0EFEBC7E"/>
    <w:rsid w:val="0F225427"/>
    <w:rsid w:val="0F76E9F3"/>
    <w:rsid w:val="10062722"/>
    <w:rsid w:val="100F931A"/>
    <w:rsid w:val="1034072B"/>
    <w:rsid w:val="106775F7"/>
    <w:rsid w:val="1081FF7B"/>
    <w:rsid w:val="10FEA07E"/>
    <w:rsid w:val="1122EDD5"/>
    <w:rsid w:val="115D87F3"/>
    <w:rsid w:val="116C37ED"/>
    <w:rsid w:val="11FC0F42"/>
    <w:rsid w:val="127C71D2"/>
    <w:rsid w:val="12F75243"/>
    <w:rsid w:val="1333B742"/>
    <w:rsid w:val="13A16D95"/>
    <w:rsid w:val="13A48AE4"/>
    <w:rsid w:val="140C64C4"/>
    <w:rsid w:val="146207A2"/>
    <w:rsid w:val="146D7D2C"/>
    <w:rsid w:val="151FAD91"/>
    <w:rsid w:val="1530CA54"/>
    <w:rsid w:val="1588A363"/>
    <w:rsid w:val="15FF86BA"/>
    <w:rsid w:val="16648F55"/>
    <w:rsid w:val="16E7187A"/>
    <w:rsid w:val="17008F36"/>
    <w:rsid w:val="1736E9EB"/>
    <w:rsid w:val="176C7428"/>
    <w:rsid w:val="1797A4DC"/>
    <w:rsid w:val="182667A6"/>
    <w:rsid w:val="18A9B2AD"/>
    <w:rsid w:val="18D13964"/>
    <w:rsid w:val="18D7A995"/>
    <w:rsid w:val="18E75610"/>
    <w:rsid w:val="190BE8A2"/>
    <w:rsid w:val="19244896"/>
    <w:rsid w:val="1963BE6B"/>
    <w:rsid w:val="1991E1AC"/>
    <w:rsid w:val="19A2CB76"/>
    <w:rsid w:val="1A742E96"/>
    <w:rsid w:val="1A84FFF8"/>
    <w:rsid w:val="1A95E75B"/>
    <w:rsid w:val="1AF2D4F0"/>
    <w:rsid w:val="1AF5085D"/>
    <w:rsid w:val="1AFD04F2"/>
    <w:rsid w:val="1B27F45E"/>
    <w:rsid w:val="1B6A9ED4"/>
    <w:rsid w:val="1B9A5588"/>
    <w:rsid w:val="1BDFA029"/>
    <w:rsid w:val="1C0ED706"/>
    <w:rsid w:val="1C90C9D3"/>
    <w:rsid w:val="1CE5A625"/>
    <w:rsid w:val="1D8ECFC2"/>
    <w:rsid w:val="1D9A8BC9"/>
    <w:rsid w:val="1D9B9D21"/>
    <w:rsid w:val="1DE2799F"/>
    <w:rsid w:val="1DE3246D"/>
    <w:rsid w:val="1E060A4D"/>
    <w:rsid w:val="1E58484A"/>
    <w:rsid w:val="1EDD8E25"/>
    <w:rsid w:val="1F7334DA"/>
    <w:rsid w:val="1FF74408"/>
    <w:rsid w:val="204E0266"/>
    <w:rsid w:val="21746900"/>
    <w:rsid w:val="2179B309"/>
    <w:rsid w:val="21FAD231"/>
    <w:rsid w:val="22048CEF"/>
    <w:rsid w:val="221D8534"/>
    <w:rsid w:val="22324735"/>
    <w:rsid w:val="223285ED"/>
    <w:rsid w:val="225E3255"/>
    <w:rsid w:val="22797C4A"/>
    <w:rsid w:val="227F8796"/>
    <w:rsid w:val="22E6C868"/>
    <w:rsid w:val="2337EF2B"/>
    <w:rsid w:val="234EC99C"/>
    <w:rsid w:val="23945415"/>
    <w:rsid w:val="23A7EFCC"/>
    <w:rsid w:val="24005DA9"/>
    <w:rsid w:val="2409E191"/>
    <w:rsid w:val="247B5344"/>
    <w:rsid w:val="24C3D011"/>
    <w:rsid w:val="24EE8F52"/>
    <w:rsid w:val="25D7285A"/>
    <w:rsid w:val="25F6FDCD"/>
    <w:rsid w:val="25FA2229"/>
    <w:rsid w:val="2615FF11"/>
    <w:rsid w:val="263F1F83"/>
    <w:rsid w:val="2656BFC4"/>
    <w:rsid w:val="26A4CC9F"/>
    <w:rsid w:val="26F3FFAE"/>
    <w:rsid w:val="274D5AAD"/>
    <w:rsid w:val="27DC3A76"/>
    <w:rsid w:val="281BF155"/>
    <w:rsid w:val="281CB279"/>
    <w:rsid w:val="2936D22B"/>
    <w:rsid w:val="2941A4D0"/>
    <w:rsid w:val="294B1AEE"/>
    <w:rsid w:val="299B7865"/>
    <w:rsid w:val="29BA8586"/>
    <w:rsid w:val="29E91C4B"/>
    <w:rsid w:val="2A82A158"/>
    <w:rsid w:val="2ADEB0C2"/>
    <w:rsid w:val="2AF68D01"/>
    <w:rsid w:val="2B7E5420"/>
    <w:rsid w:val="2C268C02"/>
    <w:rsid w:val="2C4C2D11"/>
    <w:rsid w:val="2C627A9B"/>
    <w:rsid w:val="2C76F3A8"/>
    <w:rsid w:val="2CA1E158"/>
    <w:rsid w:val="2E26D0D3"/>
    <w:rsid w:val="2E60ED6A"/>
    <w:rsid w:val="2E70043A"/>
    <w:rsid w:val="2E836257"/>
    <w:rsid w:val="2EBF1276"/>
    <w:rsid w:val="2FC9C0E3"/>
    <w:rsid w:val="2FD6D274"/>
    <w:rsid w:val="3042B83A"/>
    <w:rsid w:val="3075418C"/>
    <w:rsid w:val="3093FD9A"/>
    <w:rsid w:val="309567ED"/>
    <w:rsid w:val="30AF6A22"/>
    <w:rsid w:val="30BF7B3C"/>
    <w:rsid w:val="30DB10B3"/>
    <w:rsid w:val="3105C238"/>
    <w:rsid w:val="313515E5"/>
    <w:rsid w:val="314D0051"/>
    <w:rsid w:val="3153F534"/>
    <w:rsid w:val="319FE231"/>
    <w:rsid w:val="31C18AEB"/>
    <w:rsid w:val="31DB338C"/>
    <w:rsid w:val="31E18F18"/>
    <w:rsid w:val="31EB81B2"/>
    <w:rsid w:val="322C5E28"/>
    <w:rsid w:val="3242BF19"/>
    <w:rsid w:val="32A565DC"/>
    <w:rsid w:val="32D789AE"/>
    <w:rsid w:val="3313ADF7"/>
    <w:rsid w:val="3390F3DD"/>
    <w:rsid w:val="340BF372"/>
    <w:rsid w:val="34712434"/>
    <w:rsid w:val="3493A225"/>
    <w:rsid w:val="34F02472"/>
    <w:rsid w:val="35127356"/>
    <w:rsid w:val="3569C606"/>
    <w:rsid w:val="35D6186A"/>
    <w:rsid w:val="361F2B97"/>
    <w:rsid w:val="366BAC99"/>
    <w:rsid w:val="369D0AA7"/>
    <w:rsid w:val="36D9E828"/>
    <w:rsid w:val="37186E32"/>
    <w:rsid w:val="375D83D7"/>
    <w:rsid w:val="376F5035"/>
    <w:rsid w:val="3775A5DB"/>
    <w:rsid w:val="377BE4BC"/>
    <w:rsid w:val="37B795A6"/>
    <w:rsid w:val="37BDB8F3"/>
    <w:rsid w:val="37BFAA23"/>
    <w:rsid w:val="3851D3AF"/>
    <w:rsid w:val="388025B1"/>
    <w:rsid w:val="389ABC55"/>
    <w:rsid w:val="3934AE64"/>
    <w:rsid w:val="397CDFC2"/>
    <w:rsid w:val="3A31CBD3"/>
    <w:rsid w:val="3A58CED4"/>
    <w:rsid w:val="3A621AD5"/>
    <w:rsid w:val="3AA70EB5"/>
    <w:rsid w:val="3AA86FED"/>
    <w:rsid w:val="3ACD0D3F"/>
    <w:rsid w:val="3ADFC6EF"/>
    <w:rsid w:val="3B11E719"/>
    <w:rsid w:val="3B5225A9"/>
    <w:rsid w:val="3B77D0E4"/>
    <w:rsid w:val="3BA4846C"/>
    <w:rsid w:val="3BA9BD17"/>
    <w:rsid w:val="3BEAB581"/>
    <w:rsid w:val="3C5BE495"/>
    <w:rsid w:val="3C78EB87"/>
    <w:rsid w:val="3CEB2D8A"/>
    <w:rsid w:val="3D63D283"/>
    <w:rsid w:val="3DBC906B"/>
    <w:rsid w:val="3DCA2E25"/>
    <w:rsid w:val="3DEC5AB6"/>
    <w:rsid w:val="3E561CF9"/>
    <w:rsid w:val="3E569DAC"/>
    <w:rsid w:val="3E5A4F97"/>
    <w:rsid w:val="3E984F41"/>
    <w:rsid w:val="3EDDD8D3"/>
    <w:rsid w:val="4000E29B"/>
    <w:rsid w:val="400E17FD"/>
    <w:rsid w:val="4022A77C"/>
    <w:rsid w:val="40A5A4BF"/>
    <w:rsid w:val="40C8C3AD"/>
    <w:rsid w:val="40F486FF"/>
    <w:rsid w:val="41A7F340"/>
    <w:rsid w:val="42DE74A5"/>
    <w:rsid w:val="43326BCA"/>
    <w:rsid w:val="43DB426A"/>
    <w:rsid w:val="44227F17"/>
    <w:rsid w:val="442C94EF"/>
    <w:rsid w:val="445CB742"/>
    <w:rsid w:val="447518DB"/>
    <w:rsid w:val="447E81CE"/>
    <w:rsid w:val="44906908"/>
    <w:rsid w:val="44B5664E"/>
    <w:rsid w:val="44CE6B01"/>
    <w:rsid w:val="44CFBC89"/>
    <w:rsid w:val="44F4DD8A"/>
    <w:rsid w:val="4506EB20"/>
    <w:rsid w:val="459D3442"/>
    <w:rsid w:val="45CB21B9"/>
    <w:rsid w:val="45DF4089"/>
    <w:rsid w:val="45E20532"/>
    <w:rsid w:val="460CFF53"/>
    <w:rsid w:val="4663FC20"/>
    <w:rsid w:val="46898EFA"/>
    <w:rsid w:val="46BF08CD"/>
    <w:rsid w:val="472C6C4F"/>
    <w:rsid w:val="473B8418"/>
    <w:rsid w:val="47411D1C"/>
    <w:rsid w:val="4799093F"/>
    <w:rsid w:val="47C286A2"/>
    <w:rsid w:val="47DC3CF1"/>
    <w:rsid w:val="47E43ADA"/>
    <w:rsid w:val="48096559"/>
    <w:rsid w:val="48249389"/>
    <w:rsid w:val="487C7CF3"/>
    <w:rsid w:val="48B95206"/>
    <w:rsid w:val="48DE4AAC"/>
    <w:rsid w:val="48E558BD"/>
    <w:rsid w:val="495AD900"/>
    <w:rsid w:val="4960F77C"/>
    <w:rsid w:val="496EF851"/>
    <w:rsid w:val="49914F51"/>
    <w:rsid w:val="4A458BAC"/>
    <w:rsid w:val="4AD4ACFD"/>
    <w:rsid w:val="4AF7C372"/>
    <w:rsid w:val="4B2E429F"/>
    <w:rsid w:val="4B51AE76"/>
    <w:rsid w:val="4C20560D"/>
    <w:rsid w:val="4CC3164D"/>
    <w:rsid w:val="4D55AD06"/>
    <w:rsid w:val="4E275313"/>
    <w:rsid w:val="4E4106F0"/>
    <w:rsid w:val="4EAEDA66"/>
    <w:rsid w:val="4EC825F6"/>
    <w:rsid w:val="4EEA3B41"/>
    <w:rsid w:val="4F2DAA10"/>
    <w:rsid w:val="4F78B968"/>
    <w:rsid w:val="4FFDCDDF"/>
    <w:rsid w:val="50C86FCF"/>
    <w:rsid w:val="50F656A0"/>
    <w:rsid w:val="51209B21"/>
    <w:rsid w:val="51ABF283"/>
    <w:rsid w:val="51B4DCBB"/>
    <w:rsid w:val="523777A9"/>
    <w:rsid w:val="52A82BE9"/>
    <w:rsid w:val="52E6904F"/>
    <w:rsid w:val="53D73B44"/>
    <w:rsid w:val="53E7F8E2"/>
    <w:rsid w:val="5430CE28"/>
    <w:rsid w:val="54CF3EC7"/>
    <w:rsid w:val="552A7BEB"/>
    <w:rsid w:val="556E76CE"/>
    <w:rsid w:val="56202924"/>
    <w:rsid w:val="562A9E49"/>
    <w:rsid w:val="566C4561"/>
    <w:rsid w:val="567AD950"/>
    <w:rsid w:val="569A1068"/>
    <w:rsid w:val="56CC72BD"/>
    <w:rsid w:val="57365300"/>
    <w:rsid w:val="5810CE22"/>
    <w:rsid w:val="5845D326"/>
    <w:rsid w:val="589F02AB"/>
    <w:rsid w:val="58CC1374"/>
    <w:rsid w:val="58D9001C"/>
    <w:rsid w:val="59086360"/>
    <w:rsid w:val="590944AB"/>
    <w:rsid w:val="5931BD0B"/>
    <w:rsid w:val="5944FFAA"/>
    <w:rsid w:val="59A2574D"/>
    <w:rsid w:val="59A37186"/>
    <w:rsid w:val="59EF6FCE"/>
    <w:rsid w:val="5A070103"/>
    <w:rsid w:val="5A0A60AA"/>
    <w:rsid w:val="5A3CD45E"/>
    <w:rsid w:val="5A4E4CC3"/>
    <w:rsid w:val="5AD7128C"/>
    <w:rsid w:val="5B4B3F53"/>
    <w:rsid w:val="5B72CF48"/>
    <w:rsid w:val="5BB2A844"/>
    <w:rsid w:val="5BC873A4"/>
    <w:rsid w:val="5BCEE105"/>
    <w:rsid w:val="5C71DF9C"/>
    <w:rsid w:val="5D193AC0"/>
    <w:rsid w:val="5D65D442"/>
    <w:rsid w:val="5D66AE88"/>
    <w:rsid w:val="5DA78A81"/>
    <w:rsid w:val="5DC3C6C4"/>
    <w:rsid w:val="5DD36FB1"/>
    <w:rsid w:val="5E503EA6"/>
    <w:rsid w:val="5E7F32DF"/>
    <w:rsid w:val="5E8B6A2B"/>
    <w:rsid w:val="5E90BF94"/>
    <w:rsid w:val="5E993DCD"/>
    <w:rsid w:val="5ED9CCD3"/>
    <w:rsid w:val="5F0347AE"/>
    <w:rsid w:val="5F9F0F68"/>
    <w:rsid w:val="6027DCBF"/>
    <w:rsid w:val="60390F7F"/>
    <w:rsid w:val="6064874D"/>
    <w:rsid w:val="608B5DC4"/>
    <w:rsid w:val="609FA51C"/>
    <w:rsid w:val="6137052F"/>
    <w:rsid w:val="615350C9"/>
    <w:rsid w:val="61568599"/>
    <w:rsid w:val="617789F7"/>
    <w:rsid w:val="61BB855C"/>
    <w:rsid w:val="623D0C4A"/>
    <w:rsid w:val="62D4BEB9"/>
    <w:rsid w:val="63C7920F"/>
    <w:rsid w:val="63D75692"/>
    <w:rsid w:val="6435174D"/>
    <w:rsid w:val="6476C6E6"/>
    <w:rsid w:val="64AC6C19"/>
    <w:rsid w:val="64B31F77"/>
    <w:rsid w:val="65122A61"/>
    <w:rsid w:val="6585F8C3"/>
    <w:rsid w:val="65AB389F"/>
    <w:rsid w:val="6606273A"/>
    <w:rsid w:val="667238C7"/>
    <w:rsid w:val="667DA50D"/>
    <w:rsid w:val="679AF97A"/>
    <w:rsid w:val="67F67EB9"/>
    <w:rsid w:val="68C954E5"/>
    <w:rsid w:val="68E31F99"/>
    <w:rsid w:val="68F697DD"/>
    <w:rsid w:val="690AC905"/>
    <w:rsid w:val="6927C4C8"/>
    <w:rsid w:val="695D58AC"/>
    <w:rsid w:val="696A508D"/>
    <w:rsid w:val="69859414"/>
    <w:rsid w:val="69AF32CD"/>
    <w:rsid w:val="69D1F3C2"/>
    <w:rsid w:val="6A218F7E"/>
    <w:rsid w:val="6A491454"/>
    <w:rsid w:val="6B621EB4"/>
    <w:rsid w:val="6B86D1FE"/>
    <w:rsid w:val="6BD0E3E8"/>
    <w:rsid w:val="6BE237D6"/>
    <w:rsid w:val="6C4E7DD2"/>
    <w:rsid w:val="6CA07F06"/>
    <w:rsid w:val="6CDCD32A"/>
    <w:rsid w:val="6D11039E"/>
    <w:rsid w:val="6D71A3CF"/>
    <w:rsid w:val="6E3C61D7"/>
    <w:rsid w:val="6E94D8D2"/>
    <w:rsid w:val="6F06F51C"/>
    <w:rsid w:val="6F365AE4"/>
    <w:rsid w:val="6FA1B739"/>
    <w:rsid w:val="705223D3"/>
    <w:rsid w:val="7060C327"/>
    <w:rsid w:val="70989555"/>
    <w:rsid w:val="711BB50F"/>
    <w:rsid w:val="713F88F9"/>
    <w:rsid w:val="714ECA20"/>
    <w:rsid w:val="71B9993C"/>
    <w:rsid w:val="71D48059"/>
    <w:rsid w:val="71D5B956"/>
    <w:rsid w:val="72044E60"/>
    <w:rsid w:val="722FD0FA"/>
    <w:rsid w:val="733DF102"/>
    <w:rsid w:val="734BF71A"/>
    <w:rsid w:val="739B032D"/>
    <w:rsid w:val="74431061"/>
    <w:rsid w:val="749EC149"/>
    <w:rsid w:val="74A11E72"/>
    <w:rsid w:val="74AE5789"/>
    <w:rsid w:val="74B4473F"/>
    <w:rsid w:val="7511D7E6"/>
    <w:rsid w:val="753240FF"/>
    <w:rsid w:val="75C3A5B1"/>
    <w:rsid w:val="7602C7CA"/>
    <w:rsid w:val="76194D28"/>
    <w:rsid w:val="7621E23B"/>
    <w:rsid w:val="76802B7B"/>
    <w:rsid w:val="76F0D36A"/>
    <w:rsid w:val="77A9F174"/>
    <w:rsid w:val="781EBAF0"/>
    <w:rsid w:val="784CA003"/>
    <w:rsid w:val="78C2B57E"/>
    <w:rsid w:val="790A9FFC"/>
    <w:rsid w:val="7917F15A"/>
    <w:rsid w:val="79375C1D"/>
    <w:rsid w:val="798F669D"/>
    <w:rsid w:val="799AF3B4"/>
    <w:rsid w:val="79A47810"/>
    <w:rsid w:val="79AB4C37"/>
    <w:rsid w:val="7A25A8DB"/>
    <w:rsid w:val="7A2A91EC"/>
    <w:rsid w:val="7A2D1990"/>
    <w:rsid w:val="7A37F884"/>
    <w:rsid w:val="7A8B27A7"/>
    <w:rsid w:val="7ACED1D7"/>
    <w:rsid w:val="7AD3BB3B"/>
    <w:rsid w:val="7B0C73AB"/>
    <w:rsid w:val="7BC1D6B2"/>
    <w:rsid w:val="7BEE5856"/>
    <w:rsid w:val="7BF5FEB3"/>
    <w:rsid w:val="7C8A2976"/>
    <w:rsid w:val="7C9524B1"/>
    <w:rsid w:val="7D02229D"/>
    <w:rsid w:val="7D246D4E"/>
    <w:rsid w:val="7D2A35D3"/>
    <w:rsid w:val="7D3833AB"/>
    <w:rsid w:val="7D4800FF"/>
    <w:rsid w:val="7D6F1723"/>
    <w:rsid w:val="7E61F431"/>
    <w:rsid w:val="7E626303"/>
    <w:rsid w:val="7E817677"/>
    <w:rsid w:val="7E8241AF"/>
    <w:rsid w:val="7EEBF9E0"/>
    <w:rsid w:val="7F2F521F"/>
    <w:rsid w:val="7F74B0DE"/>
    <w:rsid w:val="7F7C2928"/>
    <w:rsid w:val="7FD57377"/>
    <w:rsid w:val="7FFAF0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ACCE4CA"/>
  <w15:chartTrackingRefBased/>
  <w15:docId w15:val="{BD791D6B-4FA6-4708-B69B-4FC7420BE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7E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7E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7E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7E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7E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E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E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E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7E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E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E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E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E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E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E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E48"/>
    <w:rPr>
      <w:rFonts w:eastAsiaTheme="majorEastAsia" w:cstheme="majorBidi"/>
      <w:color w:val="272727" w:themeColor="text1" w:themeTint="D8"/>
    </w:rPr>
  </w:style>
  <w:style w:type="paragraph" w:styleId="Title">
    <w:name w:val="Title"/>
    <w:basedOn w:val="Normal"/>
    <w:next w:val="Normal"/>
    <w:link w:val="TitleChar"/>
    <w:uiPriority w:val="10"/>
    <w:qFormat/>
    <w:rsid w:val="00957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E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E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E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E48"/>
    <w:pPr>
      <w:spacing w:before="160"/>
      <w:jc w:val="center"/>
    </w:pPr>
    <w:rPr>
      <w:i/>
      <w:iCs/>
      <w:color w:val="404040" w:themeColor="text1" w:themeTint="BF"/>
    </w:rPr>
  </w:style>
  <w:style w:type="character" w:customStyle="1" w:styleId="QuoteChar">
    <w:name w:val="Quote Char"/>
    <w:basedOn w:val="DefaultParagraphFont"/>
    <w:link w:val="Quote"/>
    <w:uiPriority w:val="29"/>
    <w:rsid w:val="00957E48"/>
    <w:rPr>
      <w:i/>
      <w:iCs/>
      <w:color w:val="404040" w:themeColor="text1" w:themeTint="BF"/>
    </w:rPr>
  </w:style>
  <w:style w:type="paragraph" w:styleId="ListParagraph">
    <w:name w:val="List Paragraph"/>
    <w:basedOn w:val="Normal"/>
    <w:uiPriority w:val="34"/>
    <w:qFormat/>
    <w:rsid w:val="00957E48"/>
    <w:pPr>
      <w:ind w:left="720"/>
      <w:contextualSpacing/>
    </w:pPr>
  </w:style>
  <w:style w:type="character" w:styleId="IntenseEmphasis">
    <w:name w:val="Intense Emphasis"/>
    <w:basedOn w:val="DefaultParagraphFont"/>
    <w:uiPriority w:val="21"/>
    <w:qFormat/>
    <w:rsid w:val="00957E48"/>
    <w:rPr>
      <w:i/>
      <w:iCs/>
      <w:color w:val="0F4761" w:themeColor="accent1" w:themeShade="BF"/>
    </w:rPr>
  </w:style>
  <w:style w:type="paragraph" w:styleId="IntenseQuote">
    <w:name w:val="Intense Quote"/>
    <w:basedOn w:val="Normal"/>
    <w:next w:val="Normal"/>
    <w:link w:val="IntenseQuoteChar"/>
    <w:uiPriority w:val="30"/>
    <w:qFormat/>
    <w:rsid w:val="00957E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7E48"/>
    <w:rPr>
      <w:i/>
      <w:iCs/>
      <w:color w:val="0F4761" w:themeColor="accent1" w:themeShade="BF"/>
    </w:rPr>
  </w:style>
  <w:style w:type="character" w:styleId="IntenseReference">
    <w:name w:val="Intense Reference"/>
    <w:basedOn w:val="DefaultParagraphFont"/>
    <w:uiPriority w:val="32"/>
    <w:qFormat/>
    <w:rsid w:val="00957E48"/>
    <w:rPr>
      <w:b/>
      <w:bCs/>
      <w:smallCaps/>
      <w:color w:val="0F4761" w:themeColor="accent1" w:themeShade="BF"/>
      <w:spacing w:val="5"/>
    </w:rPr>
  </w:style>
  <w:style w:type="paragraph" w:customStyle="1" w:styleId="p1">
    <w:name w:val="p1"/>
    <w:basedOn w:val="Normal"/>
    <w:rsid w:val="00957E4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57E48"/>
  </w:style>
  <w:style w:type="paragraph" w:customStyle="1" w:styleId="s5">
    <w:name w:val="s5"/>
    <w:basedOn w:val="Normal"/>
    <w:rsid w:val="007E5CE7"/>
    <w:pPr>
      <w:spacing w:before="100" w:beforeAutospacing="1" w:after="100" w:afterAutospacing="1" w:line="240" w:lineRule="auto"/>
    </w:pPr>
    <w:rPr>
      <w:rFonts w:ascii="Times New Roman" w:hAnsi="Times New Roman" w:cs="Times New Roman"/>
      <w:kern w:val="0"/>
      <w14:ligatures w14:val="none"/>
    </w:rPr>
  </w:style>
  <w:style w:type="paragraph" w:customStyle="1" w:styleId="s8">
    <w:name w:val="s8"/>
    <w:basedOn w:val="Normal"/>
    <w:rsid w:val="007E5CE7"/>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7E5CE7"/>
  </w:style>
  <w:style w:type="character" w:customStyle="1" w:styleId="apple-converted-space">
    <w:name w:val="apple-converted-space"/>
    <w:basedOn w:val="DefaultParagraphFont"/>
    <w:rsid w:val="007E5CE7"/>
  </w:style>
  <w:style w:type="paragraph" w:styleId="Header">
    <w:name w:val="header"/>
    <w:basedOn w:val="Normal"/>
    <w:link w:val="HeaderChar"/>
    <w:uiPriority w:val="99"/>
    <w:unhideWhenUsed/>
    <w:rsid w:val="006A58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732E"/>
  </w:style>
  <w:style w:type="paragraph" w:styleId="Footer">
    <w:name w:val="footer"/>
    <w:basedOn w:val="Normal"/>
    <w:link w:val="FooterChar"/>
    <w:uiPriority w:val="99"/>
    <w:unhideWhenUsed/>
    <w:rsid w:val="006A58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32E"/>
  </w:style>
  <w:style w:type="table" w:styleId="TableGrid">
    <w:name w:val="Table Grid"/>
    <w:basedOn w:val="TableNormal"/>
    <w:uiPriority w:val="59"/>
    <w:rsid w:val="003D73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3D732E"/>
    <w:pPr>
      <w:spacing w:after="0" w:line="240" w:lineRule="auto"/>
    </w:pPr>
  </w:style>
  <w:style w:type="character" w:customStyle="1" w:styleId="s1">
    <w:name w:val="s1"/>
    <w:basedOn w:val="DefaultParagraphFont"/>
    <w:rsid w:val="00650FBF"/>
  </w:style>
  <w:style w:type="paragraph" w:customStyle="1" w:styleId="p2">
    <w:name w:val="p2"/>
    <w:basedOn w:val="Normal"/>
    <w:rsid w:val="00650FBF"/>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A22DE4"/>
    <w:pPr>
      <w:spacing w:before="100" w:beforeAutospacing="1" w:after="100" w:afterAutospacing="1" w:line="240" w:lineRule="auto"/>
    </w:pPr>
    <w:rPr>
      <w:rFonts w:ascii="Times New Roman" w:hAnsi="Times New Roman" w:cs="Times New Roman"/>
      <w:kern w:val="0"/>
      <w14:ligatures w14:val="none"/>
    </w:rPr>
  </w:style>
  <w:style w:type="paragraph" w:customStyle="1" w:styleId="s12">
    <w:name w:val="s12"/>
    <w:basedOn w:val="Normal"/>
    <w:rsid w:val="0060759B"/>
    <w:pPr>
      <w:spacing w:before="100" w:beforeAutospacing="1" w:after="100" w:afterAutospacing="1" w:line="240" w:lineRule="auto"/>
    </w:pPr>
    <w:rPr>
      <w:rFonts w:ascii="Times New Roman" w:hAnsi="Times New Roman" w:cs="Times New Roman"/>
      <w:kern w:val="0"/>
      <w14:ligatures w14:val="none"/>
    </w:rPr>
  </w:style>
  <w:style w:type="paragraph" w:customStyle="1" w:styleId="s23">
    <w:name w:val="s23"/>
    <w:basedOn w:val="Normal"/>
    <w:rsid w:val="0060759B"/>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60759B"/>
  </w:style>
  <w:style w:type="character" w:customStyle="1" w:styleId="s22">
    <w:name w:val="s22"/>
    <w:basedOn w:val="DefaultParagraphFont"/>
    <w:rsid w:val="0060759B"/>
  </w:style>
  <w:style w:type="character" w:styleId="Hyperlink">
    <w:name w:val="Hyperlink"/>
    <w:basedOn w:val="DefaultParagraphFont"/>
    <w:uiPriority w:val="99"/>
    <w:unhideWhenUsed/>
    <w:rsid w:val="00E749F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nhs-constitution-for-england" TargetMode="External"/><Relationship Id="rId13" Type="http://schemas.openxmlformats.org/officeDocument/2006/relationships/hyperlink" Target="https://www.nmc.org.uk/globalassets/sitedocuments/nmc-publications/nmc-code-patient-public-leaflet.pdf" TargetMode="Externa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england.nhs.uk/integratedcar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ngtermplan.nhs.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lation.gov.uk/ukpga/2005/9/contents" TargetMode="External"/><Relationship Id="rId4" Type="http://schemas.openxmlformats.org/officeDocument/2006/relationships/webSettings" Target="webSettings.xml"/><Relationship Id="rId9" Type="http://schemas.openxmlformats.org/officeDocument/2006/relationships/hyperlink" Target="https://doi.org/10.1136/bmjopen-2012-00157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Mukendi Matumba (2426801)</dc:creator>
  <cp:keywords/>
  <dc:description/>
  <cp:lastModifiedBy>Mukendi Matumba (2426801)</cp:lastModifiedBy>
  <cp:revision>83</cp:revision>
  <dcterms:created xsi:type="dcterms:W3CDTF">2026-03-27T00:31:00Z</dcterms:created>
  <dcterms:modified xsi:type="dcterms:W3CDTF">2026-03-29T09:46:00Z</dcterms:modified>
</cp:coreProperties>
</file>