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73952B9B" w:rsidR="00E611D9"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0F5C2F99" w:rsidR="00AD4EBD" w:rsidRDefault="00D45640" w:rsidP="00AE1A4C">
            <w:pPr>
              <w:pStyle w:val="AssignBody"/>
            </w:pPr>
            <w:r>
              <w:t>Target</w:t>
            </w:r>
          </w:p>
        </w:tc>
        <w:tc>
          <w:tcPr>
            <w:tcW w:w="3647" w:type="dxa"/>
          </w:tcPr>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3DC0CB54" w:rsidR="00AD4EBD" w:rsidRDefault="00AD4EBD" w:rsidP="00AE1A4C">
            <w:pPr>
              <w:pStyle w:val="AssignBody"/>
            </w:pPr>
            <w:r>
              <w:t>Target 1</w:t>
            </w:r>
          </w:p>
        </w:tc>
        <w:tc>
          <w:tcPr>
            <w:tcW w:w="3647" w:type="dxa"/>
          </w:tcPr>
          <w:p w14:paraId="394C5558" w14:textId="5A045AD3" w:rsidR="00AD4EBD" w:rsidRDefault="00222EAC" w:rsidP="00AE1A4C">
            <w:pPr>
              <w:pStyle w:val="AssignBody"/>
            </w:pPr>
            <w:r w:rsidRPr="00222EAC">
              <w:t>Consider the structure of your paragraphs to ensure clarity and sustain persuasiveness.</w:t>
            </w:r>
          </w:p>
        </w:tc>
        <w:tc>
          <w:tcPr>
            <w:tcW w:w="3647" w:type="dxa"/>
          </w:tcPr>
          <w:p w14:paraId="5F7F611A" w14:textId="30EA2E95" w:rsidR="00AD4EBD" w:rsidRDefault="00490D94" w:rsidP="00AE1A4C">
            <w:pPr>
              <w:pStyle w:val="AssignBody"/>
            </w:pPr>
            <w:r>
              <w:t>Proofread</w:t>
            </w:r>
            <w:r w:rsidR="00222EAC">
              <w:t xml:space="preserve"> </w:t>
            </w:r>
            <w:r>
              <w:t xml:space="preserve">by both myself and others. </w:t>
            </w:r>
            <w:r w:rsidR="00222EAC">
              <w:t xml:space="preserve"> </w:t>
            </w:r>
          </w:p>
        </w:tc>
      </w:tr>
      <w:tr w:rsidR="00AD4EBD" w14:paraId="73A65764" w14:textId="34BD1589" w:rsidTr="00AD4EBD">
        <w:tc>
          <w:tcPr>
            <w:tcW w:w="1722" w:type="dxa"/>
          </w:tcPr>
          <w:p w14:paraId="12A42483" w14:textId="284520AC" w:rsidR="00AD4EBD" w:rsidRDefault="00AD4EBD" w:rsidP="00AE1A4C">
            <w:pPr>
              <w:pStyle w:val="AssignBody"/>
            </w:pPr>
            <w:r>
              <w:t>Target 2</w:t>
            </w:r>
          </w:p>
        </w:tc>
        <w:tc>
          <w:tcPr>
            <w:tcW w:w="3647" w:type="dxa"/>
          </w:tcPr>
          <w:p w14:paraId="3E19823E" w14:textId="6413B164" w:rsidR="00AD4EBD" w:rsidRDefault="00490D94" w:rsidP="00AE1A4C">
            <w:pPr>
              <w:pStyle w:val="AssignBody"/>
            </w:pPr>
            <w:r w:rsidRPr="00490D94">
              <w:t xml:space="preserve">Ensure literature features in all sections of your work.  </w:t>
            </w:r>
          </w:p>
        </w:tc>
        <w:tc>
          <w:tcPr>
            <w:tcW w:w="3647" w:type="dxa"/>
          </w:tcPr>
          <w:p w14:paraId="54F0029C" w14:textId="0F9BE338" w:rsidR="00AD4EBD" w:rsidRDefault="00490D94" w:rsidP="00AE1A4C">
            <w:pPr>
              <w:pStyle w:val="AssignBody"/>
            </w:pPr>
            <w:r>
              <w:t xml:space="preserve">Included literature in all parts of essay. </w:t>
            </w:r>
          </w:p>
        </w:tc>
      </w:tr>
      <w:tr w:rsidR="00AD4EBD" w14:paraId="0216786F" w14:textId="16A0EC59" w:rsidTr="00AD4EBD">
        <w:tc>
          <w:tcPr>
            <w:tcW w:w="1722" w:type="dxa"/>
          </w:tcPr>
          <w:p w14:paraId="4F73937C" w14:textId="62DFBEDD" w:rsidR="00AD4EBD" w:rsidRDefault="00AD4EBD" w:rsidP="00AE1A4C">
            <w:pPr>
              <w:pStyle w:val="AssignBody"/>
            </w:pPr>
            <w:r>
              <w:t>Target 3</w:t>
            </w:r>
          </w:p>
        </w:tc>
        <w:tc>
          <w:tcPr>
            <w:tcW w:w="3647" w:type="dxa"/>
          </w:tcPr>
          <w:p w14:paraId="1FEDD524" w14:textId="067F490B" w:rsidR="00AD4EBD" w:rsidRDefault="00490D94" w:rsidP="00AE1A4C">
            <w:pPr>
              <w:pStyle w:val="AssignBody"/>
            </w:pPr>
            <w:r w:rsidRPr="00490D94">
              <w:t>There is an over-reliance on quotes</w:t>
            </w:r>
          </w:p>
        </w:tc>
        <w:tc>
          <w:tcPr>
            <w:tcW w:w="3647" w:type="dxa"/>
          </w:tcPr>
          <w:p w14:paraId="3697C55C" w14:textId="1FBF57A8" w:rsidR="00AD4EBD" w:rsidRDefault="00490D94" w:rsidP="00AE1A4C">
            <w:pPr>
              <w:pStyle w:val="AssignBody"/>
            </w:pPr>
            <w:r>
              <w:t xml:space="preserve">No quotes used. </w:t>
            </w:r>
          </w:p>
        </w:tc>
      </w:tr>
    </w:tbl>
    <w:p w14:paraId="45E34BBD" w14:textId="77777777" w:rsidR="002229F0" w:rsidRDefault="002229F0" w:rsidP="00E611D9">
      <w:pPr>
        <w:pStyle w:val="AssignBody"/>
      </w:pPr>
    </w:p>
    <w:p w14:paraId="2AE7DCCB" w14:textId="1B192707" w:rsidR="00436186" w:rsidRDefault="00436186" w:rsidP="00436186">
      <w:pPr>
        <w:pStyle w:val="AssignHeader"/>
      </w:pPr>
      <w:r w:rsidRPr="00436186">
        <w:t>How a school develops one aspect of its SDP: a report that critically reflects on the actions, impact and evidence base.</w:t>
      </w:r>
    </w:p>
    <w:p w14:paraId="6AB25503" w14:textId="77777777" w:rsidR="00436186" w:rsidRPr="00436186" w:rsidRDefault="00436186" w:rsidP="00436186">
      <w:pPr>
        <w:pStyle w:val="AssignBody"/>
      </w:pPr>
    </w:p>
    <w:p w14:paraId="0D2F6EA6" w14:textId="6F7AA3F5" w:rsidR="00E611D9" w:rsidRDefault="00436186" w:rsidP="000133EA">
      <w:pPr>
        <w:pStyle w:val="AssignSubHeader"/>
      </w:pPr>
      <w:r>
        <w:t xml:space="preserve">Introduction </w:t>
      </w:r>
    </w:p>
    <w:p w14:paraId="588C6D31" w14:textId="77777777" w:rsidR="00436186" w:rsidRPr="00DC0536" w:rsidRDefault="00436186" w:rsidP="000133EA">
      <w:pPr>
        <w:pStyle w:val="AssignBody"/>
      </w:pPr>
      <w:r w:rsidRPr="00DC0536">
        <w:t>This essay serves as a report on one aspect of a school's School Development Plan (SDP), critically reflecting on the actions, impact and evidence used.</w:t>
      </w:r>
    </w:p>
    <w:p w14:paraId="1E45D894" w14:textId="77777777" w:rsidR="00436186" w:rsidRPr="00DC0536" w:rsidRDefault="00436186" w:rsidP="000133EA">
      <w:pPr>
        <w:pStyle w:val="AssignBody"/>
      </w:pPr>
      <w:r w:rsidRPr="00DC0536">
        <w:t>The SDP used is of an English-medium 11-18 mixed comprehensive school in South Wales with a local catchment area. There are approximately 1,200 pupils of which approximately 12.4% are eligible for free school meals, below the national average of 16.5%. Additionally, approximately 19% of pupils have additional learning needs, again lower than the national average of 25%, and 1.5% of pupils are statemented, further below the 2.5% national average. Around 12% of pupils live in 20% most deprived areas in Wales. (Estyn, 2016; School X, 2022)</w:t>
      </w:r>
    </w:p>
    <w:p w14:paraId="0CA730BA" w14:textId="0112D02B" w:rsidR="00436186" w:rsidRDefault="00436186" w:rsidP="000133EA">
      <w:pPr>
        <w:pStyle w:val="AssignBody"/>
      </w:pPr>
      <w:r w:rsidRPr="00DC0536">
        <w:t xml:space="preserve">The school's SDP is their strategic approach to help continually improve the quality of provision, leading to the highest standards achievable for all its </w:t>
      </w:r>
      <w:r w:rsidR="009375F7">
        <w:t>pupils</w:t>
      </w:r>
      <w:r w:rsidRPr="00DC0536">
        <w:t>. They frame their ambition around a series of key priorities focusing on raising expectations and achievement for all pupils so that they make good progress in developing their knowledge, understanding and skills. One aim is to ensure their provision for cross-curricular skills is comprehensively planned to secure progression, this will be the focus of this report. (School X, 2022).</w:t>
      </w:r>
    </w:p>
    <w:p w14:paraId="6359D5EB" w14:textId="77777777" w:rsidR="000133EA" w:rsidRDefault="000133EA" w:rsidP="000133EA">
      <w:pPr>
        <w:pStyle w:val="AssignBody"/>
      </w:pPr>
    </w:p>
    <w:p w14:paraId="1BD9DD2E" w14:textId="69CD6C06" w:rsidR="00DC0536" w:rsidRDefault="00DC0536" w:rsidP="000133EA">
      <w:pPr>
        <w:pStyle w:val="AssignSubHeader"/>
      </w:pPr>
      <w:r>
        <w:t xml:space="preserve">Literature Review </w:t>
      </w:r>
    </w:p>
    <w:p w14:paraId="454B7F65" w14:textId="451B1C4E" w:rsidR="00DC0536" w:rsidRDefault="00DC0536" w:rsidP="000133EA">
      <w:pPr>
        <w:pStyle w:val="AssignBody"/>
      </w:pPr>
      <w:r>
        <w:lastRenderedPageBreak/>
        <w:t xml:space="preserve">According to </w:t>
      </w:r>
      <w:proofErr w:type="spellStart"/>
      <w:r>
        <w:t>Kurum</w:t>
      </w:r>
      <w:proofErr w:type="spellEnd"/>
      <w:r>
        <w:t xml:space="preserve"> and </w:t>
      </w:r>
      <w:proofErr w:type="spellStart"/>
      <w:r>
        <w:t>Cinkir</w:t>
      </w:r>
      <w:proofErr w:type="spellEnd"/>
      <w:r>
        <w:t xml:space="preserve"> (2019), school self-evaluation is a collaborative process requiring participation from all stakeholders, including teachers, </w:t>
      </w:r>
      <w:r w:rsidR="009375F7">
        <w:t>pupils</w:t>
      </w:r>
      <w:r>
        <w:t xml:space="preserve">, and parents, while being supervised by school administrators. SDP is about planning, implementing, and assessing provisions to develop the needs of pupils, staff, and other stakeholders, according to Koh, </w:t>
      </w:r>
      <w:proofErr w:type="spellStart"/>
      <w:r>
        <w:t>Askell</w:t>
      </w:r>
      <w:proofErr w:type="spellEnd"/>
      <w:r>
        <w:t xml:space="preserve">-Williams, and Barr (2023). For an initiative to be sustainable, conditions are required, a clear purpose, strategic management, accountability, collaboration, management and distributed leadership. </w:t>
      </w:r>
    </w:p>
    <w:p w14:paraId="7C631ACE" w14:textId="77777777" w:rsidR="00DC0536" w:rsidRDefault="00DC0536" w:rsidP="000133EA">
      <w:pPr>
        <w:pStyle w:val="AssignBody"/>
      </w:pPr>
      <w:r>
        <w:t xml:space="preserve">Redding and </w:t>
      </w:r>
      <w:proofErr w:type="spellStart"/>
      <w:r>
        <w:t>Searby</w:t>
      </w:r>
      <w:proofErr w:type="spellEnd"/>
      <w:r>
        <w:t xml:space="preserve"> (2020) state that the objective of an SDP is to develop a clear, shared vision, and strategic goals to actualise this vision, and provide measurable results that are routinely accessed. Further stating that SDPs can be linked to improved school outcomes.   Yet, they also present constraints, as SDPs may give inaccurate perceptions of how schools function. Potentially due to schools completing the minimal level required to complete the document, resulting in reused plans. Further, they may not present clear information, about provisions, timelines, outcomes and responsibilities. This may be explained by the daily constraints on schools, especially those with low achievement levels, leading to the possibility that SDPs may be perceived as a bureaucratic process. Additionally, SDPs may rely too heavily on test results and fail to recognise some issues.   </w:t>
      </w:r>
    </w:p>
    <w:p w14:paraId="01085E3B" w14:textId="77777777" w:rsidR="00DC0536" w:rsidRDefault="00DC0536" w:rsidP="000133EA">
      <w:pPr>
        <w:pStyle w:val="AssignBody"/>
      </w:pPr>
      <w:r>
        <w:t xml:space="preserve">SDPs are essential to school improvement but can result in inflexible or narrow-minded behaviours and may be a waste of time or resources, according to Fernandez (2011), who admits the limitations of empirical data on the subject. Potentially resulting in a disconnect between the plan and actual implementation. While noting that correlation does not imply causality and that better outcomes may be the product of great leadership, he discovered that the higher the quality of the SDP, the better the school's outcomes. </w:t>
      </w:r>
    </w:p>
    <w:p w14:paraId="3913A79E" w14:textId="77777777" w:rsidR="00DC0536" w:rsidRDefault="00DC0536" w:rsidP="000133EA">
      <w:pPr>
        <w:pStyle w:val="AssignBody"/>
      </w:pPr>
      <w:r>
        <w:t xml:space="preserve">According to Brown et al. (2021), schools have shifted away from inspection compliance-related evaluation and towards self-evaluation.  As it is a reflective collaborative process, the school creates its agenda collaboratively, concentrating on areas unique to the school requiring improvement. Although, implementation presents difficulties, such as deadline pressure, cumbersome procedures, poor accountability, and self-reliance. Additionally, since the method and, particularly, the data, can be challenging to interpret, training may be required. </w:t>
      </w:r>
    </w:p>
    <w:p w14:paraId="42123C5B" w14:textId="77777777" w:rsidR="00DC0536" w:rsidRDefault="00DC0536" w:rsidP="000133EA">
      <w:pPr>
        <w:pStyle w:val="AssignBody"/>
      </w:pPr>
      <w:r>
        <w:t xml:space="preserve">Self-evaluation use has problems, as indicated by </w:t>
      </w:r>
      <w:proofErr w:type="spellStart"/>
      <w:r>
        <w:t>Faddar</w:t>
      </w:r>
      <w:proofErr w:type="spellEnd"/>
      <w:r>
        <w:t xml:space="preserve">, </w:t>
      </w:r>
      <w:proofErr w:type="spellStart"/>
      <w:r>
        <w:t>Vanhoof</w:t>
      </w:r>
      <w:proofErr w:type="spellEnd"/>
      <w:r>
        <w:t xml:space="preserve">, and De </w:t>
      </w:r>
      <w:proofErr w:type="spellStart"/>
      <w:r>
        <w:t>Maeyer</w:t>
      </w:r>
      <w:proofErr w:type="spellEnd"/>
      <w:r>
        <w:t xml:space="preserve"> (2018). Teachers commonly receive surveys as part of such approaches, which rely on stakeholders who deal with daily issues in the school to provide the data. Nevertheless, the results can be manipulated to produce desired outcomes. In line with Meyers and </w:t>
      </w:r>
      <w:proofErr w:type="spellStart"/>
      <w:r>
        <w:t>VanGronigen</w:t>
      </w:r>
      <w:proofErr w:type="spellEnd"/>
      <w:r>
        <w:t xml:space="preserve"> (2019), stakeholders may act in a satisficing manner, Potentially to comply with outside factors or external agencies. They do, however, acknowledge that occasionally, this might be advantageous.  </w:t>
      </w:r>
    </w:p>
    <w:p w14:paraId="5E1A1F74" w14:textId="77777777" w:rsidR="00DC0536" w:rsidRDefault="00DC0536" w:rsidP="000133EA">
      <w:pPr>
        <w:pStyle w:val="AssignBody"/>
      </w:pPr>
      <w:r>
        <w:lastRenderedPageBreak/>
        <w:t>Numeracy as a cross-curricular focus is a constructivist tenet, that learning is meaningful if it has a connection to pupil's lives and it appears fragmented to teach numeracy as separate from other subjects (Paige, Lloyd and Chartres, 2008; Matthews and Rainer, 2001).</w:t>
      </w:r>
    </w:p>
    <w:p w14:paraId="2B358D25" w14:textId="77777777" w:rsidR="00DC0536" w:rsidRDefault="00DC0536" w:rsidP="000133EA">
      <w:pPr>
        <w:pStyle w:val="AssignBody"/>
      </w:pPr>
      <w:r>
        <w:t xml:space="preserve">Geary et. al. (2013) and Geiger, </w:t>
      </w:r>
      <w:proofErr w:type="spellStart"/>
      <w:r>
        <w:t>Forgasz</w:t>
      </w:r>
      <w:proofErr w:type="spellEnd"/>
      <w:r>
        <w:t xml:space="preserve"> and </w:t>
      </w:r>
      <w:proofErr w:type="spellStart"/>
      <w:r>
        <w:t>Goos</w:t>
      </w:r>
      <w:proofErr w:type="spellEnd"/>
      <w:r>
        <w:t xml:space="preserve"> (2015) assert policymakers have encouraged the development of numeracy since it raises pupils' expectations and quality of life. Further, they are aware of how poor numeracy skills impede employment opportunities, even more so than literacy, with a substantial number of adults being innumerate. Therefore, obtaining a sufficient level of numeracy before leaving compulsory schooling is a fundamental right of all children. It must also be used in many circumstances to be effective.</w:t>
      </w:r>
    </w:p>
    <w:p w14:paraId="40747C6A" w14:textId="180EAECD" w:rsidR="00DC0536" w:rsidRDefault="009375F7" w:rsidP="000133EA">
      <w:pPr>
        <w:pStyle w:val="AssignBody"/>
      </w:pPr>
      <w:r w:rsidRPr="009375F7">
        <w:t xml:space="preserve">Given that numeracy is a crucial component of the entire curriculum, </w:t>
      </w:r>
      <w:r w:rsidR="00DC0536">
        <w:t xml:space="preserve">every subject should provide the opportunity for pupils to improve their numeracy skills; teachers should recognise these possibilities, create suitable tasks, and effectively apply them in the classroom (Bennison, 2015). Further, numeracy should be incorporated in a meaningful way that develops deeper thinking (Coffey and Sharpe, 2021).  </w:t>
      </w:r>
    </w:p>
    <w:p w14:paraId="5E374300" w14:textId="77777777" w:rsidR="00AD5889" w:rsidRDefault="00DC0536" w:rsidP="000133EA">
      <w:pPr>
        <w:pStyle w:val="AssignBody"/>
      </w:pPr>
      <w:r>
        <w:t xml:space="preserve">While policies identify numeracy as a core aspect of the curriculum, each school decides how to incorporate it. Due to the limitations on application, this may result in a lack of coordination (Carter, </w:t>
      </w:r>
      <w:proofErr w:type="spellStart"/>
      <w:r>
        <w:t>Klenowski</w:t>
      </w:r>
      <w:proofErr w:type="spellEnd"/>
      <w:r>
        <w:t xml:space="preserve">, and Chalmers, 2015). </w:t>
      </w:r>
      <w:r w:rsidR="00AD5889" w:rsidRPr="00AD5889">
        <w:t>Teachers who have higher levels of anxiety towards numeracy are less likely to incorporate it into their lessons (Coffey and Sharpe, 2021). Some teachers are unsure of the difference between numeracy and mathematics, and it's possible that their own experiences with numeracy have shaped their views towards numeracy.</w:t>
      </w:r>
      <w:r w:rsidR="00AD5889">
        <w:t xml:space="preserve"> </w:t>
      </w:r>
    </w:p>
    <w:p w14:paraId="55A504D3" w14:textId="59DF150C" w:rsidR="00DC0536" w:rsidRDefault="00DC0536" w:rsidP="000133EA">
      <w:pPr>
        <w:pStyle w:val="AssignBody"/>
      </w:pPr>
      <w:r>
        <w:t xml:space="preserve">When Campbell et al. (2020) researched student teachers in all subject areas, they discovered that an implicit barrier to the inclusion of numeracy across the curriculum is practitioners' lack of confidence in their ability to use numeracy. Teachers would need self-efficacy as teacher modelling is important. Even though it might not always be feasible to employ, teachers consider numeracy as a valuable skill to develop. </w:t>
      </w:r>
      <w:proofErr w:type="spellStart"/>
      <w:r>
        <w:t>Goos</w:t>
      </w:r>
      <w:proofErr w:type="spellEnd"/>
      <w:r>
        <w:t xml:space="preserve">, Dole, and Geiger (2012) agree that it might be difficult for teachers without a background in mathematics to identify instances in which numeracy can be implemented effectively in a lesson. Additionally, it can be challenging to take advantage of unanticipated opportunities for numeracy. Consequently, offering a chance for professional growth would seem to be highly accepted. However, constrained timelines and a lack of funding can provide barriers to development (Carter, </w:t>
      </w:r>
      <w:proofErr w:type="spellStart"/>
      <w:r>
        <w:t>Klenowski</w:t>
      </w:r>
      <w:proofErr w:type="spellEnd"/>
      <w:r>
        <w:t xml:space="preserve">, and Chalmers, 2015).  </w:t>
      </w:r>
    </w:p>
    <w:p w14:paraId="5F4FD6F7" w14:textId="77777777" w:rsidR="000133EA" w:rsidRDefault="000133EA" w:rsidP="000133EA">
      <w:pPr>
        <w:pStyle w:val="AssignBody"/>
      </w:pPr>
    </w:p>
    <w:p w14:paraId="4B2BD1E4" w14:textId="01081BFE" w:rsidR="00DC0536" w:rsidRDefault="00DC0536" w:rsidP="000133EA">
      <w:pPr>
        <w:pStyle w:val="AssignSubHeader"/>
      </w:pPr>
      <w:r>
        <w:t xml:space="preserve">Developing an Action Point </w:t>
      </w:r>
    </w:p>
    <w:p w14:paraId="250F8CA9" w14:textId="77777777" w:rsidR="00DC0536" w:rsidRDefault="00DC0536" w:rsidP="000133EA">
      <w:pPr>
        <w:pStyle w:val="AssignBody"/>
      </w:pPr>
      <w:r>
        <w:t>A cycle for school development planning was identified by the Welsh Government (2014) as a way to improve outcomes and raise standards. The first step is self-evaluation. Self-</w:t>
      </w:r>
      <w:r>
        <w:lastRenderedPageBreak/>
        <w:t>evaluation is the first step. The capacity to be a reflective practitioner is a component of ongoing professional development (</w:t>
      </w:r>
      <w:r>
        <w:rPr>
          <w:i/>
          <w:iCs/>
        </w:rPr>
        <w:t xml:space="preserve">Education in </w:t>
      </w:r>
      <w:proofErr w:type="spellStart"/>
      <w:r>
        <w:rPr>
          <w:i/>
          <w:iCs/>
        </w:rPr>
        <w:t>Wales:Our</w:t>
      </w:r>
      <w:proofErr w:type="spellEnd"/>
      <w:r>
        <w:rPr>
          <w:i/>
          <w:iCs/>
        </w:rPr>
        <w:t xml:space="preserve"> national mission</w:t>
      </w:r>
      <w:r>
        <w:t xml:space="preserve">, 2020). This applies to the individuals but also to schools as a whole.  Alongside the development of the new curriculum, to better help and support schools to prepare for such the Welsh Government launched the Schools as Learning Organisations (SLO) approach in 2017.  </w:t>
      </w:r>
    </w:p>
    <w:p w14:paraId="609407A9" w14:textId="77777777" w:rsidR="00DC0536" w:rsidRDefault="00DC0536" w:rsidP="000133EA">
      <w:pPr>
        <w:pStyle w:val="AssignBody"/>
      </w:pPr>
      <w:r>
        <w:t xml:space="preserve">School X identified numeracy as an area for development following the guidance of the Welsh Government, who require every SDP to include strategies of how to raise numeracy standards within a school (Welsh Government, 2014) and again in 2020 with </w:t>
      </w:r>
      <w:r>
        <w:rPr>
          <w:i/>
          <w:iCs/>
        </w:rPr>
        <w:t>Our National Mission</w:t>
      </w:r>
      <w:r>
        <w:t xml:space="preserve"> (2020) with the creation of the new curriculum imbedding numeracy within legislation.  </w:t>
      </w:r>
    </w:p>
    <w:p w14:paraId="29F6B730" w14:textId="77777777" w:rsidR="00DC0536" w:rsidRDefault="00DC0536" w:rsidP="000133EA">
      <w:pPr>
        <w:pStyle w:val="AssignBody"/>
      </w:pPr>
      <w:r>
        <w:t xml:space="preserve">Carter, </w:t>
      </w:r>
      <w:proofErr w:type="spellStart"/>
      <w:r>
        <w:t>Klenowski</w:t>
      </w:r>
      <w:proofErr w:type="spellEnd"/>
      <w:r>
        <w:t xml:space="preserve">, and Chalmers, (2015) assert that teachers are to be familiar with data and use it within their pedagogy, therefore much data is used in SDPs. One piece of qualitative data used to identify the focus was the new curriculum. School X acknowledged their curriculum needed updating. Also, previously Estyn (2016) had identified their implementation of numeracy as a strength, with school X wanting to continually improve on it. The heads of each department identified which numeracy skills are required within their </w:t>
      </w:r>
      <w:proofErr w:type="spellStart"/>
      <w:r>
        <w:t>AoLE</w:t>
      </w:r>
      <w:proofErr w:type="spellEnd"/>
      <w:r>
        <w:t xml:space="preserve">, and received the distributed responsibility for incorporating the skill within their scheme of work.  </w:t>
      </w:r>
    </w:p>
    <w:p w14:paraId="78DE6947" w14:textId="77777777" w:rsidR="00DC0536" w:rsidRDefault="00DC0536" w:rsidP="000133EA">
      <w:pPr>
        <w:pStyle w:val="AssignBody"/>
      </w:pPr>
      <w:r>
        <w:t xml:space="preserve">Muir et al. (2016) further that the most influential approach to numeracy is the date of data to inform teaching and learning. The quantitative data utilised was external data of national numeracy test data, which pupils complete twice a year. Allowing the school to identify specific areas that require whole scale development. Within the mathematics, item level data (ILD) was scrutinised to identify areas for development. </w:t>
      </w:r>
    </w:p>
    <w:p w14:paraId="0779B585" w14:textId="77777777" w:rsidR="00DC0536" w:rsidRDefault="00DC0536" w:rsidP="000133EA">
      <w:pPr>
        <w:pStyle w:val="AssignBody"/>
      </w:pPr>
      <w:r>
        <w:t>The second stage identified is strategic planning. This is to involve all stakeholders, such as school staff, learners, parents or carers, local authority and community, to ensure that everyone is committed and understands the school's improvement objective (Welsh Government, 2014). Those who bare a responsibility for numeracy are the numeracy coordinator, specifically employed to ensure numeracy is planned for within the curriculum, lead the incorporation across the curriculum. Also the senior leadership team (SLT) link, who oversees all cross curricular skills. Both pupils and parents require consultation (</w:t>
      </w:r>
      <w:proofErr w:type="spellStart"/>
      <w:r>
        <w:t>Parnis</w:t>
      </w:r>
      <w:proofErr w:type="spellEnd"/>
      <w:r>
        <w:t xml:space="preserve"> and </w:t>
      </w:r>
      <w:proofErr w:type="spellStart"/>
      <w:r>
        <w:t>Petocz</w:t>
      </w:r>
      <w:proofErr w:type="spellEnd"/>
      <w:r>
        <w:t xml:space="preserve">, 2016), through pupil voice and a google form, leading to a working group of parents to contribute to the creation of the school's curriculum. The responsibility for daily implementation is with the teachers across the school, with the onus to effectively incorporate numeracy into their lessons meaningfully, to develop numeracy skills. </w:t>
      </w:r>
    </w:p>
    <w:p w14:paraId="63355202" w14:textId="77777777" w:rsidR="00DC0536" w:rsidRDefault="00DC0536" w:rsidP="000133EA">
      <w:pPr>
        <w:pStyle w:val="AssignBody"/>
      </w:pPr>
      <w:r>
        <w:t xml:space="preserve">School X plans numeracy development in targeted areas of the curriculum. Addressing that numeracy does not fit meaningfully into all subject areas, identifying the use of 'incidental' numeracy, whereby it can be developed progressively and not just used within a lesson, </w:t>
      </w:r>
      <w:r>
        <w:lastRenderedPageBreak/>
        <w:t xml:space="preserve">disagreeing with Bennison (2015) who argued numeracy is integral part of all curriculum and each subject should identify these opportunities. </w:t>
      </w:r>
    </w:p>
    <w:p w14:paraId="0F97F464" w14:textId="77777777" w:rsidR="00DC0536" w:rsidRDefault="00DC0536" w:rsidP="000133EA">
      <w:pPr>
        <w:pStyle w:val="AssignBody"/>
      </w:pPr>
      <w:r>
        <w:t xml:space="preserve">The current approach is the numeracy coordinator meets with the heads of departments to discuss common teaching strategies, how numeracy may be taught in the various departments, and how to enhance existing strategies. The Achievement of 15-Year Olds in Wales: PISA 2018 National Report (Welsh Government, 2018) identifying numeracy skills in Wales are statistically lower than other countries globally. Further, School X concluded that the COVID pandemic negatively impacted fundamental numerical skills, therefore developing resources to be used in morning registration, by all. The development plan is on a continuous schedule, with annual assessments in addition to termly check-ins. </w:t>
      </w:r>
    </w:p>
    <w:p w14:paraId="538755C0" w14:textId="77777777" w:rsidR="00DC0536" w:rsidRDefault="00DC0536" w:rsidP="000133EA">
      <w:pPr>
        <w:pStyle w:val="AssignBody"/>
      </w:pPr>
      <w:r>
        <w:t xml:space="preserve">Clarke et al. (2020) conclude that mathematics intervention is a worthwhile investment. While this strategy does not have a direct cost, there are expenses associated. Such as the cost of purchasing the CATs tests required and paying the numeracy coordinator for the teaching and learning responsibility. However the main cost is that of time, the time for the numeracy coordinator to develop the plans and strategies to be effective.  </w:t>
      </w:r>
    </w:p>
    <w:p w14:paraId="09F19426" w14:textId="5535FC6D" w:rsidR="00DC0536" w:rsidRDefault="00DC0536" w:rsidP="000133EA">
      <w:pPr>
        <w:pStyle w:val="AssignBody"/>
      </w:pPr>
      <w:r>
        <w:t xml:space="preserve">The final stage is reviewing impact, with a recommendation to do so annually as a minimum or following an Estyn inspection (Welsh Government, 2014). All SLT members examine and provide input on the school's SDP once every term. This is accomplished by efficient monitoring and assessment via a process of self-evaluation. The numeracy coordinator and department heads both participate in the evaluation process. Multiple types of evidence, such as </w:t>
      </w:r>
      <w:r w:rsidR="009375F7">
        <w:t>pupil</w:t>
      </w:r>
      <w:r>
        <w:t xml:space="preserve"> voice, work inspection, data analysis, lesson observations, and staff voice, are used to gauge the effectiveness of the technique. As data should to be used to inform classroom decisions and to help improve (Woods and Brighouse, 2013). </w:t>
      </w:r>
    </w:p>
    <w:p w14:paraId="13CD30C7" w14:textId="77777777" w:rsidR="00DC0536" w:rsidRDefault="00DC0536" w:rsidP="000133EA">
      <w:pPr>
        <w:pStyle w:val="AssignBody"/>
      </w:pPr>
      <w:r>
        <w:t> </w:t>
      </w:r>
    </w:p>
    <w:p w14:paraId="7318611B" w14:textId="15555500" w:rsidR="00DC0536" w:rsidRDefault="00DC0536" w:rsidP="000133EA">
      <w:pPr>
        <w:pStyle w:val="AssignSubHeader"/>
      </w:pPr>
      <w:r w:rsidRPr="00DC0536">
        <w:t>Reflection and Evaluation</w:t>
      </w:r>
      <w:r>
        <w:t xml:space="preserve"> </w:t>
      </w:r>
    </w:p>
    <w:p w14:paraId="6163F031" w14:textId="6CC8EB7F" w:rsidR="00DC0536" w:rsidRDefault="00DC0536" w:rsidP="000133EA">
      <w:pPr>
        <w:pStyle w:val="AssignBody"/>
      </w:pPr>
      <w:r>
        <w:t xml:space="preserve">The Welsh Government (2022) emphasises that summative data is not the only data that should be considered as this type of data does not by itself demonstrate linear progression over time. In contrast it provides a momentary view of how a group of individual pupils are performing. Therefore should not be taken into account solely as evidence of pupils attainment, progression or education. Further as this kind of data does not, by itself, demonstrate learner development or improvement over time. In contrast, it provides a moment in time snapshot of how a group of diverse </w:t>
      </w:r>
      <w:r w:rsidR="009375F7">
        <w:t>pupils</w:t>
      </w:r>
      <w:r>
        <w:t xml:space="preserve"> are performing. Therefore, this information should be taken into account together with further types of evidence. The emphasise that other information about pupils progress relating to the principles of progression should be taken into account, such as attendance statistics, behaviour, wellbeing, teacher observations and judgements (Welsh Government, 2022). </w:t>
      </w:r>
    </w:p>
    <w:p w14:paraId="52026C34" w14:textId="77777777" w:rsidR="00DC0536" w:rsidRDefault="00DC0536" w:rsidP="000133EA">
      <w:pPr>
        <w:pStyle w:val="AssignBody"/>
      </w:pPr>
      <w:r>
        <w:lastRenderedPageBreak/>
        <w:t xml:space="preserve">Previous research acknowledges teachers must have confidence in their own competency before they can fully incorporate numeracy into their teaching, highlighting the potential need for professional development in this area. In order to ensure all staff are comfortable and confident in their own abilities thus can develop pupil's numeracy skills (Campbell et al. 2020; Coffey and Sharpe, 2021; and </w:t>
      </w:r>
      <w:proofErr w:type="spellStart"/>
      <w:r>
        <w:t>Goos</w:t>
      </w:r>
      <w:proofErr w:type="spellEnd"/>
      <w:r>
        <w:t xml:space="preserve">, Dole and Geiger, 2012). If the school offered professional development in this area for individuals who deemed they needed it, there would be a cost, which could be time or money depending on the programme. Additionally, if staff feel more confident in their abilities, they might not require as much support, which could reduce the workload of the numeracy coordinator.   Additionally Wroe and Halsall (2001) stated engaging with large data sets can create a data driven organisation, which can cause stakeholders to be overcome with data, and change the process from being self-evaluation to a bureaucratic process, losing its intended purpose. </w:t>
      </w:r>
    </w:p>
    <w:p w14:paraId="41FDF004" w14:textId="77777777" w:rsidR="00DC0536" w:rsidRDefault="00DC0536" w:rsidP="000133EA">
      <w:pPr>
        <w:pStyle w:val="AssignBody"/>
      </w:pPr>
      <w:r>
        <w:t xml:space="preserve">The creation of resources of non-negotiables at school X, may not be a sustainable initiative. The sustainability of the initiatives have been questioned previously. Koh, </w:t>
      </w:r>
      <w:proofErr w:type="spellStart"/>
      <w:r>
        <w:t>Askell</w:t>
      </w:r>
      <w:proofErr w:type="spellEnd"/>
      <w:r>
        <w:t xml:space="preserve">-Williams, and Barr (2023) and Koh and </w:t>
      </w:r>
      <w:proofErr w:type="spellStart"/>
      <w:r>
        <w:t>Askell</w:t>
      </w:r>
      <w:proofErr w:type="spellEnd"/>
      <w:r>
        <w:t xml:space="preserve">-Williams (2021) concluded that even with investments of time, funding, resources, and staff enthusiasm some initiatives can fail to be sustained. This is beyond maintaining good programmes but including an understanding of the processes, building knowledge and relationships. As the resources being made, does not guarantee their use, they may be useful to some subjects but not others, the skills may not be transferrable and therefore the resources would need to be tailored to each department. However this can be combated by the creation of initiatives and resources that align with the goal, can be justified and communicated to all staff to ensure collective commitment and responsibility on the implementation (Meyer, </w:t>
      </w:r>
      <w:proofErr w:type="spellStart"/>
      <w:r>
        <w:t>Bendikson</w:t>
      </w:r>
      <w:proofErr w:type="spellEnd"/>
      <w:r>
        <w:t xml:space="preserve"> and Le </w:t>
      </w:r>
      <w:proofErr w:type="spellStart"/>
      <w:r>
        <w:t>Fevre</w:t>
      </w:r>
      <w:proofErr w:type="spellEnd"/>
      <w:r>
        <w:t xml:space="preserve">, 2023). </w:t>
      </w:r>
    </w:p>
    <w:p w14:paraId="45ED9D39" w14:textId="180C1ADE" w:rsidR="00DC0536" w:rsidRDefault="00DC0536" w:rsidP="000133EA">
      <w:pPr>
        <w:pStyle w:val="AssignBody"/>
      </w:pPr>
      <w:r>
        <w:t xml:space="preserve">The Welsh Government (2022) emphasises all </w:t>
      </w:r>
      <w:r w:rsidR="009375F7">
        <w:t>pupils</w:t>
      </w:r>
      <w:r>
        <w:t xml:space="preserve">, especially those from disadvantaged backgrounds, are given the opportunity to advance along their own learning pathways and improve their aspirations in order to realise their full potential. However, within the SDP there is no outline of a direct strategy or inclusion of initiatives that relate to improving the numeracy skills of disadvantaged children.  </w:t>
      </w:r>
    </w:p>
    <w:p w14:paraId="5CE454EF" w14:textId="77777777" w:rsidR="000133EA" w:rsidRDefault="000133EA" w:rsidP="000133EA">
      <w:pPr>
        <w:pStyle w:val="AssignBody"/>
      </w:pPr>
    </w:p>
    <w:p w14:paraId="7E50A3FF" w14:textId="605067EE" w:rsidR="00DC0536" w:rsidRDefault="00DC0536" w:rsidP="000133EA">
      <w:pPr>
        <w:pStyle w:val="AssignSubHeader"/>
      </w:pPr>
      <w:r>
        <w:t xml:space="preserve">Conclusion </w:t>
      </w:r>
    </w:p>
    <w:p w14:paraId="14AD7188" w14:textId="77777777" w:rsidR="00DC0536" w:rsidRDefault="00DC0536" w:rsidP="000133EA">
      <w:pPr>
        <w:pStyle w:val="AssignBody"/>
      </w:pPr>
      <w:r>
        <w:t xml:space="preserve">Through this assignment, researching and critically reflecting on actions, impact and evidence base of a strategy identified in a SDP, I have learnt the depth of critical reflection that is required by stakeholders within the framework. </w:t>
      </w:r>
      <w:proofErr w:type="spellStart"/>
      <w:r>
        <w:t>Kurum</w:t>
      </w:r>
      <w:proofErr w:type="spellEnd"/>
      <w:r>
        <w:t xml:space="preserve"> and </w:t>
      </w:r>
      <w:proofErr w:type="spellStart"/>
      <w:r>
        <w:t>Cinkir</w:t>
      </w:r>
      <w:proofErr w:type="spellEnd"/>
      <w:r>
        <w:t xml:space="preserve"> (2019) see school self-evaluation as a cooperative process, with the participation of stakeholders, including teachers. Within my professional practice going forward to ensure that the standards set by the Welsh Government (Welsh Government, 2019) that collaboration and working with in-</w:t>
      </w:r>
      <w:r>
        <w:lastRenderedPageBreak/>
        <w:t xml:space="preserve">school colleagues, to enhance learners experience, essentially ensuring to contribute to the schools development plan when asked to. </w:t>
      </w:r>
    </w:p>
    <w:p w14:paraId="5CE93A88" w14:textId="77777777" w:rsidR="00DC0536" w:rsidRDefault="00DC0536" w:rsidP="000133EA">
      <w:pPr>
        <w:pStyle w:val="AssignBody"/>
      </w:pPr>
      <w:r>
        <w:t xml:space="preserve">While there are regulations on the requirements of information within a SDP, the more effective SDPs are those that are reflective of the school culture, and environment they are based on (Valenzuela, </w:t>
      </w:r>
      <w:proofErr w:type="spellStart"/>
      <w:r>
        <w:t>Bellei</w:t>
      </w:r>
      <w:proofErr w:type="spellEnd"/>
      <w:r>
        <w:t xml:space="preserve">, and Allende, 2016). </w:t>
      </w:r>
    </w:p>
    <w:p w14:paraId="072DE41A" w14:textId="67A71B3B" w:rsidR="00DC0536" w:rsidRDefault="00DC0536" w:rsidP="000133EA">
      <w:pPr>
        <w:pStyle w:val="AssignBody"/>
      </w:pPr>
      <w:r>
        <w:t xml:space="preserve"> </w:t>
      </w:r>
    </w:p>
    <w:p w14:paraId="317269E2"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36"/>
          <w:szCs w:val="36"/>
          <w:lang w:val="en-US"/>
        </w:rPr>
      </w:pPr>
      <w:r w:rsidRPr="00BA3B07">
        <w:rPr>
          <w:rFonts w:ascii="Times New Roman" w:hAnsi="Times New Roman"/>
          <w:color w:val="000000" w:themeColor="text1"/>
          <w:sz w:val="36"/>
          <w:szCs w:val="36"/>
          <w:lang w:val="en-US"/>
        </w:rPr>
        <w:t>Reference list</w:t>
      </w:r>
    </w:p>
    <w:p w14:paraId="0D54DB5F"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Bennison, A. (2015). Supporting teachers to embed numeracy across the curriculum: a sociocultural approach. </w:t>
      </w:r>
      <w:r w:rsidRPr="00BA3B07">
        <w:rPr>
          <w:rFonts w:ascii="Times New Roman" w:hAnsi="Times New Roman"/>
          <w:i/>
          <w:iCs/>
          <w:color w:val="000000" w:themeColor="text1"/>
          <w:sz w:val="24"/>
          <w:szCs w:val="24"/>
          <w:lang w:val="en-US"/>
        </w:rPr>
        <w:t>ZDM</w:t>
      </w:r>
      <w:r w:rsidRPr="00BA3B07">
        <w:rPr>
          <w:rFonts w:ascii="Times New Roman" w:hAnsi="Times New Roman"/>
          <w:color w:val="000000" w:themeColor="text1"/>
          <w:sz w:val="24"/>
          <w:szCs w:val="24"/>
          <w:lang w:val="en-US"/>
        </w:rPr>
        <w:t xml:space="preserve">, 47(4), pp.561–573. </w:t>
      </w:r>
      <w:proofErr w:type="spellStart"/>
      <w:r w:rsidRPr="00BA3B07">
        <w:rPr>
          <w:rFonts w:ascii="Times New Roman" w:hAnsi="Times New Roman"/>
          <w:color w:val="000000" w:themeColor="text1"/>
          <w:sz w:val="24"/>
          <w:szCs w:val="24"/>
          <w:lang w:val="en-US"/>
        </w:rPr>
        <w:t>doi:</w:t>
      </w:r>
      <w:hyperlink r:id="rId9"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://doi.org/10.1007/s11858-015-0706-3</w:t>
        </w:r>
      </w:hyperlink>
      <w:r w:rsidRPr="00BA3B07">
        <w:rPr>
          <w:rFonts w:ascii="Times New Roman" w:hAnsi="Times New Roman"/>
          <w:color w:val="000000" w:themeColor="text1"/>
          <w:sz w:val="24"/>
          <w:szCs w:val="24"/>
          <w:lang w:val="en-US"/>
        </w:rPr>
        <w:t>.</w:t>
      </w:r>
    </w:p>
    <w:p w14:paraId="0B707DF1"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proofErr w:type="spellStart"/>
      <w:r w:rsidRPr="00BA3B07">
        <w:rPr>
          <w:rFonts w:ascii="Times New Roman" w:hAnsi="Times New Roman"/>
          <w:color w:val="000000" w:themeColor="text1"/>
          <w:sz w:val="24"/>
          <w:szCs w:val="24"/>
          <w:lang w:val="en-US"/>
        </w:rPr>
        <w:t>Brighouse</w:t>
      </w:r>
      <w:proofErr w:type="spellEnd"/>
      <w:r w:rsidRPr="00BA3B07">
        <w:rPr>
          <w:rFonts w:ascii="Times New Roman" w:hAnsi="Times New Roman"/>
          <w:color w:val="000000" w:themeColor="text1"/>
          <w:sz w:val="24"/>
          <w:szCs w:val="24"/>
          <w:lang w:val="en-US"/>
        </w:rPr>
        <w:t xml:space="preserve">, T. and Woods, D. (2013). </w:t>
      </w:r>
      <w:r w:rsidRPr="00BA3B07">
        <w:rPr>
          <w:rFonts w:ascii="Times New Roman" w:hAnsi="Times New Roman"/>
          <w:i/>
          <w:iCs/>
          <w:color w:val="000000" w:themeColor="text1"/>
          <w:sz w:val="24"/>
          <w:szCs w:val="24"/>
          <w:lang w:val="en-US"/>
        </w:rPr>
        <w:t>The A-Z of school improvement : principles and practice</w:t>
      </w:r>
      <w:r w:rsidRPr="00BA3B07">
        <w:rPr>
          <w:rFonts w:ascii="Times New Roman" w:hAnsi="Times New Roman"/>
          <w:color w:val="000000" w:themeColor="text1"/>
          <w:sz w:val="24"/>
          <w:szCs w:val="24"/>
          <w:lang w:val="en-US"/>
        </w:rPr>
        <w:t>. London: Bloomsbury Education.</w:t>
      </w:r>
    </w:p>
    <w:p w14:paraId="759C4364"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shd w:val="clear" w:color="auto" w:fill="FFFFFF"/>
        </w:rPr>
        <w:t>Brown M. et al. (2021)</w:t>
      </w:r>
      <w:r>
        <w:rPr>
          <w:rFonts w:ascii="Times New Roman" w:hAnsi="Times New Roman"/>
          <w:color w:val="000000" w:themeColor="text1"/>
          <w:sz w:val="24"/>
          <w:szCs w:val="24"/>
          <w:shd w:val="clear" w:color="auto" w:fill="FFFFFF"/>
        </w:rPr>
        <w:t>.</w:t>
      </w:r>
      <w:r w:rsidRPr="00BA3B07">
        <w:rPr>
          <w:rFonts w:ascii="Times New Roman" w:hAnsi="Times New Roman"/>
          <w:color w:val="000000" w:themeColor="text1"/>
          <w:sz w:val="24"/>
          <w:szCs w:val="24"/>
          <w:shd w:val="clear" w:color="auto" w:fill="FFFFFF"/>
        </w:rPr>
        <w:t xml:space="preserve"> ‘School self-evaluation an international or country specific imperative for school improvement?’, International Journal of Educational Research Open, 2, p. 100063–. Available at: https://doi.org/10.1016/j.ijedro.2021.100063.</w:t>
      </w:r>
      <w:r w:rsidRPr="00BA3B07">
        <w:rPr>
          <w:rFonts w:ascii="Times New Roman" w:hAnsi="Times New Roman"/>
          <w:color w:val="000000" w:themeColor="text1"/>
          <w:sz w:val="24"/>
          <w:szCs w:val="24"/>
          <w:lang w:val="en-US"/>
        </w:rPr>
        <w:t xml:space="preserve">  </w:t>
      </w:r>
    </w:p>
    <w:p w14:paraId="06D2400E"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1B5069">
        <w:rPr>
          <w:rFonts w:ascii="Times New Roman" w:hAnsi="Times New Roman"/>
          <w:color w:val="000000"/>
          <w:sz w:val="24"/>
          <w:szCs w:val="24"/>
          <w:lang w:val="en-US"/>
        </w:rPr>
        <w:t>Campbell, L. et al. (2020)</w:t>
      </w:r>
      <w:r>
        <w:rPr>
          <w:rFonts w:ascii="Times New Roman" w:hAnsi="Times New Roman"/>
          <w:color w:val="000000"/>
          <w:sz w:val="24"/>
          <w:szCs w:val="24"/>
          <w:lang w:val="en-US"/>
        </w:rPr>
        <w:t xml:space="preserve">. </w:t>
      </w:r>
      <w:r w:rsidRPr="00BA3B07">
        <w:rPr>
          <w:rFonts w:ascii="Times New Roman" w:hAnsi="Times New Roman"/>
          <w:color w:val="000000" w:themeColor="text1"/>
          <w:sz w:val="24"/>
          <w:szCs w:val="24"/>
          <w:lang w:val="en-US"/>
        </w:rPr>
        <w:t xml:space="preserve">Literacy, numeracy and health and wellbeing across learning: Investigating student teachers’ confidence. </w:t>
      </w:r>
      <w:r w:rsidRPr="00BA3B07">
        <w:rPr>
          <w:rFonts w:ascii="Times New Roman" w:hAnsi="Times New Roman"/>
          <w:i/>
          <w:iCs/>
          <w:color w:val="000000" w:themeColor="text1"/>
          <w:sz w:val="24"/>
          <w:szCs w:val="24"/>
          <w:lang w:val="en-US"/>
        </w:rPr>
        <w:t>International Journal of Educational Research</w:t>
      </w:r>
      <w:r w:rsidRPr="00BA3B07">
        <w:rPr>
          <w:rFonts w:ascii="Times New Roman" w:hAnsi="Times New Roman"/>
          <w:color w:val="000000" w:themeColor="text1"/>
          <w:sz w:val="24"/>
          <w:szCs w:val="24"/>
          <w:lang w:val="en-US"/>
        </w:rPr>
        <w:t xml:space="preserve">, 100, p.101532. </w:t>
      </w:r>
      <w:proofErr w:type="spellStart"/>
      <w:r w:rsidRPr="00BA3B07">
        <w:rPr>
          <w:rFonts w:ascii="Times New Roman" w:hAnsi="Times New Roman"/>
          <w:color w:val="000000" w:themeColor="text1"/>
          <w:sz w:val="24"/>
          <w:szCs w:val="24"/>
          <w:lang w:val="en-US"/>
        </w:rPr>
        <w:t>doi:</w:t>
      </w:r>
      <w:hyperlink r:id="rId10"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://doi.org/10.1016/j.ijer.2020.101532</w:t>
        </w:r>
      </w:hyperlink>
      <w:r w:rsidRPr="00BA3B07">
        <w:rPr>
          <w:rFonts w:ascii="Times New Roman" w:hAnsi="Times New Roman"/>
          <w:color w:val="000000" w:themeColor="text1"/>
          <w:sz w:val="24"/>
          <w:szCs w:val="24"/>
          <w:lang w:val="en-US"/>
        </w:rPr>
        <w:t>.</w:t>
      </w:r>
    </w:p>
    <w:p w14:paraId="4AEFFBC7"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Carter, M.G., </w:t>
      </w:r>
      <w:proofErr w:type="spellStart"/>
      <w:r w:rsidRPr="00BA3B07">
        <w:rPr>
          <w:rFonts w:ascii="Times New Roman" w:hAnsi="Times New Roman"/>
          <w:color w:val="000000" w:themeColor="text1"/>
          <w:sz w:val="24"/>
          <w:szCs w:val="24"/>
          <w:lang w:val="en-US"/>
        </w:rPr>
        <w:t>Klenowski</w:t>
      </w:r>
      <w:proofErr w:type="spellEnd"/>
      <w:r w:rsidRPr="00BA3B07">
        <w:rPr>
          <w:rFonts w:ascii="Times New Roman" w:hAnsi="Times New Roman"/>
          <w:color w:val="000000" w:themeColor="text1"/>
          <w:sz w:val="24"/>
          <w:szCs w:val="24"/>
          <w:lang w:val="en-US"/>
        </w:rPr>
        <w:t xml:space="preserve">, V. and Chalmers, C. (2015). Challenges in embedding numeracy throughout the curriculum in three Queensland secondary schools. </w:t>
      </w:r>
      <w:r w:rsidRPr="00BA3B07">
        <w:rPr>
          <w:rFonts w:ascii="Times New Roman" w:hAnsi="Times New Roman"/>
          <w:i/>
          <w:iCs/>
          <w:color w:val="000000" w:themeColor="text1"/>
          <w:sz w:val="24"/>
          <w:szCs w:val="24"/>
          <w:lang w:val="en-US"/>
        </w:rPr>
        <w:t>The Australian Educational Researcher</w:t>
      </w:r>
      <w:r w:rsidRPr="00BA3B07">
        <w:rPr>
          <w:rFonts w:ascii="Times New Roman" w:hAnsi="Times New Roman"/>
          <w:color w:val="000000" w:themeColor="text1"/>
          <w:sz w:val="24"/>
          <w:szCs w:val="24"/>
          <w:lang w:val="en-US"/>
        </w:rPr>
        <w:t xml:space="preserve">, 42(5), pp.595–611. </w:t>
      </w:r>
      <w:proofErr w:type="spellStart"/>
      <w:r w:rsidRPr="00BA3B07">
        <w:rPr>
          <w:rFonts w:ascii="Times New Roman" w:hAnsi="Times New Roman"/>
          <w:color w:val="000000" w:themeColor="text1"/>
          <w:sz w:val="24"/>
          <w:szCs w:val="24"/>
          <w:lang w:val="en-US"/>
        </w:rPr>
        <w:t>doi:</w:t>
      </w:r>
      <w:hyperlink r:id="rId11"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://doi.org/10.1007/s13384-015-0188-x</w:t>
        </w:r>
      </w:hyperlink>
      <w:r w:rsidRPr="00BA3B07">
        <w:rPr>
          <w:rFonts w:ascii="Times New Roman" w:hAnsi="Times New Roman"/>
          <w:color w:val="000000" w:themeColor="text1"/>
          <w:sz w:val="24"/>
          <w:szCs w:val="24"/>
          <w:lang w:val="en-US"/>
        </w:rPr>
        <w:t>.</w:t>
      </w:r>
    </w:p>
    <w:p w14:paraId="739ADEF3"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282309">
        <w:rPr>
          <w:rFonts w:ascii="Times New Roman" w:hAnsi="Times New Roman"/>
          <w:color w:val="000000"/>
          <w:sz w:val="24"/>
          <w:szCs w:val="24"/>
          <w:lang w:val="en-US"/>
        </w:rPr>
        <w:t>Clarke, B. et al. (2020)</w:t>
      </w:r>
      <w:r>
        <w:rPr>
          <w:rFonts w:ascii="Times New Roman" w:hAnsi="Times New Roman"/>
          <w:color w:val="000000"/>
          <w:sz w:val="24"/>
          <w:szCs w:val="24"/>
          <w:lang w:val="en-US"/>
        </w:rPr>
        <w:t xml:space="preserve">. </w:t>
      </w:r>
      <w:r w:rsidRPr="00BA3B07">
        <w:rPr>
          <w:rFonts w:ascii="Times New Roman" w:hAnsi="Times New Roman"/>
          <w:color w:val="000000" w:themeColor="text1"/>
          <w:sz w:val="24"/>
          <w:szCs w:val="24"/>
          <w:lang w:val="en-US"/>
        </w:rPr>
        <w:t xml:space="preserve">Conducting a Cost-Effectiveness Analysis of an Early Numeracy Intervention. </w:t>
      </w:r>
      <w:r w:rsidRPr="00BA3B07">
        <w:rPr>
          <w:rFonts w:ascii="Times New Roman" w:hAnsi="Times New Roman"/>
          <w:i/>
          <w:iCs/>
          <w:color w:val="000000" w:themeColor="text1"/>
          <w:sz w:val="24"/>
          <w:szCs w:val="24"/>
          <w:lang w:val="en-US"/>
        </w:rPr>
        <w:t>School Psychology Review</w:t>
      </w:r>
      <w:r w:rsidRPr="00BA3B07">
        <w:rPr>
          <w:rFonts w:ascii="Times New Roman" w:hAnsi="Times New Roman"/>
          <w:color w:val="000000" w:themeColor="text1"/>
          <w:sz w:val="24"/>
          <w:szCs w:val="24"/>
          <w:lang w:val="en-US"/>
        </w:rPr>
        <w:t xml:space="preserve">, 49(4), pp.359–373. </w:t>
      </w:r>
      <w:proofErr w:type="spellStart"/>
      <w:r w:rsidRPr="00BA3B07">
        <w:rPr>
          <w:rFonts w:ascii="Times New Roman" w:hAnsi="Times New Roman"/>
          <w:color w:val="000000" w:themeColor="text1"/>
          <w:sz w:val="24"/>
          <w:szCs w:val="24"/>
          <w:lang w:val="en-US"/>
        </w:rPr>
        <w:t>doi:</w:t>
      </w:r>
      <w:hyperlink r:id="rId12"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://doi.org/10.1080/2372966x.2020.1761236</w:t>
        </w:r>
      </w:hyperlink>
      <w:r w:rsidRPr="00BA3B07">
        <w:rPr>
          <w:rFonts w:ascii="Times New Roman" w:hAnsi="Times New Roman"/>
          <w:color w:val="000000" w:themeColor="text1"/>
          <w:sz w:val="24"/>
          <w:szCs w:val="24"/>
          <w:lang w:val="en-US"/>
        </w:rPr>
        <w:t>.</w:t>
      </w:r>
    </w:p>
    <w:p w14:paraId="1768126E"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Coffey, P. and Sharpe, R. (2021). An investigation into the teaching of numeracy in subjects other than mathematics across the curriculum. </w:t>
      </w:r>
      <w:r w:rsidRPr="00BA3B07">
        <w:rPr>
          <w:rFonts w:ascii="Times New Roman" w:hAnsi="Times New Roman"/>
          <w:i/>
          <w:iCs/>
          <w:color w:val="000000" w:themeColor="text1"/>
          <w:sz w:val="24"/>
          <w:szCs w:val="24"/>
          <w:lang w:val="en-US"/>
        </w:rPr>
        <w:t>International Journal of Mathematical Education in Science and Technology</w:t>
      </w:r>
      <w:r w:rsidRPr="00BA3B07">
        <w:rPr>
          <w:rFonts w:ascii="Times New Roman" w:hAnsi="Times New Roman"/>
          <w:color w:val="000000" w:themeColor="text1"/>
          <w:sz w:val="24"/>
          <w:szCs w:val="24"/>
          <w:lang w:val="en-US"/>
        </w:rPr>
        <w:t xml:space="preserve">, pp.1–28. </w:t>
      </w:r>
      <w:proofErr w:type="spellStart"/>
      <w:r w:rsidRPr="00BA3B07">
        <w:rPr>
          <w:rFonts w:ascii="Times New Roman" w:hAnsi="Times New Roman"/>
          <w:color w:val="000000" w:themeColor="text1"/>
          <w:sz w:val="24"/>
          <w:szCs w:val="24"/>
          <w:lang w:val="en-US"/>
        </w:rPr>
        <w:t>doi:</w:t>
      </w:r>
      <w:hyperlink r:id="rId13"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://doi.org/10.1080/0020739x.2021.1978570</w:t>
        </w:r>
      </w:hyperlink>
      <w:r w:rsidRPr="00BA3B07">
        <w:rPr>
          <w:rFonts w:ascii="Times New Roman" w:hAnsi="Times New Roman"/>
          <w:color w:val="000000" w:themeColor="text1"/>
          <w:sz w:val="24"/>
          <w:szCs w:val="24"/>
          <w:lang w:val="en-US"/>
        </w:rPr>
        <w:t>.</w:t>
      </w:r>
    </w:p>
    <w:p w14:paraId="0E97CD12"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i/>
          <w:iCs/>
          <w:color w:val="000000" w:themeColor="text1"/>
          <w:sz w:val="24"/>
          <w:szCs w:val="24"/>
          <w:lang w:val="en-US"/>
        </w:rPr>
        <w:t>Education in Wales - Our national mission: update October 2020</w:t>
      </w:r>
      <w:r w:rsidRPr="00BA3B07">
        <w:rPr>
          <w:rFonts w:ascii="Times New Roman" w:hAnsi="Times New Roman"/>
          <w:color w:val="000000" w:themeColor="text1"/>
          <w:sz w:val="24"/>
          <w:szCs w:val="24"/>
          <w:lang w:val="en-US"/>
        </w:rPr>
        <w:t>.</w:t>
      </w:r>
    </w:p>
    <w:p w14:paraId="70A2ED79"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proofErr w:type="spellStart"/>
      <w:r w:rsidRPr="00BA3B07">
        <w:rPr>
          <w:rFonts w:ascii="Times New Roman" w:hAnsi="Times New Roman"/>
          <w:color w:val="000000" w:themeColor="text1"/>
          <w:sz w:val="24"/>
          <w:szCs w:val="24"/>
          <w:lang w:val="en-US"/>
        </w:rPr>
        <w:lastRenderedPageBreak/>
        <w:t>Estyn</w:t>
      </w:r>
      <w:proofErr w:type="spellEnd"/>
      <w:r w:rsidRPr="00BA3B07">
        <w:rPr>
          <w:rFonts w:ascii="Times New Roman" w:hAnsi="Times New Roman"/>
          <w:color w:val="000000" w:themeColor="text1"/>
          <w:sz w:val="24"/>
          <w:szCs w:val="24"/>
          <w:lang w:val="en-US"/>
        </w:rPr>
        <w:t xml:space="preserve"> (2016). </w:t>
      </w:r>
      <w:r w:rsidRPr="00BA3B07">
        <w:rPr>
          <w:rFonts w:ascii="Times New Roman" w:hAnsi="Times New Roman"/>
          <w:i/>
          <w:iCs/>
          <w:color w:val="000000" w:themeColor="text1"/>
          <w:sz w:val="24"/>
          <w:szCs w:val="24"/>
          <w:lang w:val="en-US"/>
        </w:rPr>
        <w:t xml:space="preserve">A report on School X by </w:t>
      </w:r>
      <w:proofErr w:type="spellStart"/>
      <w:r w:rsidRPr="00BA3B07">
        <w:rPr>
          <w:rFonts w:ascii="Times New Roman" w:hAnsi="Times New Roman"/>
          <w:i/>
          <w:iCs/>
          <w:color w:val="000000" w:themeColor="text1"/>
          <w:sz w:val="24"/>
          <w:szCs w:val="24"/>
          <w:lang w:val="en-US"/>
        </w:rPr>
        <w:t>Estyn</w:t>
      </w:r>
      <w:proofErr w:type="spellEnd"/>
      <w:r w:rsidRPr="00BA3B07">
        <w:rPr>
          <w:rFonts w:ascii="Times New Roman" w:hAnsi="Times New Roman"/>
          <w:i/>
          <w:iCs/>
          <w:color w:val="000000" w:themeColor="text1"/>
          <w:sz w:val="24"/>
          <w:szCs w:val="24"/>
          <w:lang w:val="en-US"/>
        </w:rPr>
        <w:t>, Her Majesty’s Inspectorate for Education and Training in Wales</w:t>
      </w:r>
      <w:r w:rsidRPr="00BA3B07">
        <w:rPr>
          <w:rFonts w:ascii="Times New Roman" w:hAnsi="Times New Roman"/>
          <w:color w:val="000000" w:themeColor="text1"/>
          <w:sz w:val="24"/>
          <w:szCs w:val="24"/>
          <w:lang w:val="en-US"/>
        </w:rPr>
        <w:t xml:space="preserve">. [online] Available at: </w:t>
      </w:r>
      <w:hyperlink r:id="rId14" w:history="1">
        <w:r w:rsidRPr="00BA3B07">
          <w:rPr>
            <w:rFonts w:ascii="Times New Roman" w:hAnsi="Times New Roman"/>
            <w:color w:val="000000" w:themeColor="text1"/>
            <w:sz w:val="24"/>
            <w:szCs w:val="24"/>
            <w:lang w:val="en-US"/>
          </w:rPr>
          <w:t>https://www.estyn.gov.wales/system/files/</w:t>
        </w:r>
      </w:hyperlink>
      <w:r w:rsidRPr="00BA3B07">
        <w:rPr>
          <w:rFonts w:ascii="Times New Roman" w:hAnsi="Times New Roman"/>
          <w:color w:val="000000" w:themeColor="text1"/>
          <w:sz w:val="24"/>
          <w:szCs w:val="24"/>
          <w:lang w:val="en-US"/>
        </w:rPr>
        <w:t>.</w:t>
      </w:r>
    </w:p>
    <w:p w14:paraId="357D352B"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proofErr w:type="spellStart"/>
      <w:r w:rsidRPr="00BA3B07">
        <w:rPr>
          <w:rFonts w:ascii="Times New Roman" w:hAnsi="Times New Roman"/>
          <w:color w:val="000000" w:themeColor="text1"/>
          <w:sz w:val="24"/>
          <w:szCs w:val="24"/>
          <w:lang w:val="nl-NL"/>
        </w:rPr>
        <w:t>Faddar</w:t>
      </w:r>
      <w:proofErr w:type="spellEnd"/>
      <w:r w:rsidRPr="00BA3B07">
        <w:rPr>
          <w:rFonts w:ascii="Times New Roman" w:hAnsi="Times New Roman"/>
          <w:color w:val="000000" w:themeColor="text1"/>
          <w:sz w:val="24"/>
          <w:szCs w:val="24"/>
          <w:lang w:val="nl-NL"/>
        </w:rPr>
        <w:t xml:space="preserve">, J., </w:t>
      </w:r>
      <w:proofErr w:type="spellStart"/>
      <w:r w:rsidRPr="00BA3B07">
        <w:rPr>
          <w:rFonts w:ascii="Times New Roman" w:hAnsi="Times New Roman"/>
          <w:color w:val="000000" w:themeColor="text1"/>
          <w:sz w:val="24"/>
          <w:szCs w:val="24"/>
          <w:lang w:val="nl-NL"/>
        </w:rPr>
        <w:t>Vanhoof</w:t>
      </w:r>
      <w:proofErr w:type="spellEnd"/>
      <w:r w:rsidRPr="00BA3B07">
        <w:rPr>
          <w:rFonts w:ascii="Times New Roman" w:hAnsi="Times New Roman"/>
          <w:color w:val="000000" w:themeColor="text1"/>
          <w:sz w:val="24"/>
          <w:szCs w:val="24"/>
          <w:lang w:val="nl-NL"/>
        </w:rPr>
        <w:t xml:space="preserve">, J. </w:t>
      </w:r>
      <w:proofErr w:type="spellStart"/>
      <w:r w:rsidRPr="00BA3B07">
        <w:rPr>
          <w:rFonts w:ascii="Times New Roman" w:hAnsi="Times New Roman"/>
          <w:color w:val="000000" w:themeColor="text1"/>
          <w:sz w:val="24"/>
          <w:szCs w:val="24"/>
          <w:lang w:val="nl-NL"/>
        </w:rPr>
        <w:t>and</w:t>
      </w:r>
      <w:proofErr w:type="spellEnd"/>
      <w:r w:rsidRPr="00BA3B07">
        <w:rPr>
          <w:rFonts w:ascii="Times New Roman" w:hAnsi="Times New Roman"/>
          <w:color w:val="000000" w:themeColor="text1"/>
          <w:sz w:val="24"/>
          <w:szCs w:val="24"/>
          <w:lang w:val="nl-NL"/>
        </w:rPr>
        <w:t xml:space="preserve"> De </w:t>
      </w:r>
      <w:proofErr w:type="spellStart"/>
      <w:r w:rsidRPr="00BA3B07">
        <w:rPr>
          <w:rFonts w:ascii="Times New Roman" w:hAnsi="Times New Roman"/>
          <w:color w:val="000000" w:themeColor="text1"/>
          <w:sz w:val="24"/>
          <w:szCs w:val="24"/>
          <w:lang w:val="nl-NL"/>
        </w:rPr>
        <w:t>Maeyer</w:t>
      </w:r>
      <w:proofErr w:type="spellEnd"/>
      <w:r w:rsidRPr="00BA3B07">
        <w:rPr>
          <w:rFonts w:ascii="Times New Roman" w:hAnsi="Times New Roman"/>
          <w:color w:val="000000" w:themeColor="text1"/>
          <w:sz w:val="24"/>
          <w:szCs w:val="24"/>
          <w:lang w:val="nl-NL"/>
        </w:rPr>
        <w:t xml:space="preserve">, S. (2018). </w:t>
      </w:r>
      <w:r w:rsidRPr="00BA3B07">
        <w:rPr>
          <w:rFonts w:ascii="Times New Roman" w:hAnsi="Times New Roman"/>
          <w:color w:val="000000" w:themeColor="text1"/>
          <w:sz w:val="24"/>
          <w:szCs w:val="24"/>
          <w:lang w:val="en-US"/>
        </w:rPr>
        <w:t xml:space="preserve">School self-evaluation: self-perception or self-deception? The impact of motivation and socially desirable responding on self-evaluation results. </w:t>
      </w:r>
      <w:r w:rsidRPr="00BA3B07">
        <w:rPr>
          <w:rFonts w:ascii="Times New Roman" w:hAnsi="Times New Roman"/>
          <w:i/>
          <w:iCs/>
          <w:color w:val="000000" w:themeColor="text1"/>
          <w:sz w:val="24"/>
          <w:szCs w:val="24"/>
          <w:lang w:val="en-US"/>
        </w:rPr>
        <w:t>School Effectiveness and School Improvement</w:t>
      </w:r>
      <w:r w:rsidRPr="00BA3B07">
        <w:rPr>
          <w:rFonts w:ascii="Times New Roman" w:hAnsi="Times New Roman"/>
          <w:color w:val="000000" w:themeColor="text1"/>
          <w:sz w:val="24"/>
          <w:szCs w:val="24"/>
          <w:lang w:val="en-US"/>
        </w:rPr>
        <w:t xml:space="preserve">, 29(4), pp.660–678. </w:t>
      </w:r>
      <w:proofErr w:type="spellStart"/>
      <w:r w:rsidRPr="00BA3B07">
        <w:rPr>
          <w:rFonts w:ascii="Times New Roman" w:hAnsi="Times New Roman"/>
          <w:color w:val="000000" w:themeColor="text1"/>
          <w:sz w:val="24"/>
          <w:szCs w:val="24"/>
          <w:lang w:val="en-US"/>
        </w:rPr>
        <w:t>doi:</w:t>
      </w:r>
      <w:hyperlink r:id="rId15"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://doi.org/10.1080/09243453.2018.1504802</w:t>
        </w:r>
      </w:hyperlink>
      <w:r w:rsidRPr="00BA3B07">
        <w:rPr>
          <w:rFonts w:ascii="Times New Roman" w:hAnsi="Times New Roman"/>
          <w:color w:val="000000" w:themeColor="text1"/>
          <w:sz w:val="24"/>
          <w:szCs w:val="24"/>
          <w:lang w:val="en-US"/>
        </w:rPr>
        <w:t>.</w:t>
      </w:r>
    </w:p>
    <w:p w14:paraId="1F6D6FFD"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Fernandez, K.E. (2011). Evaluating School Improvement Plans and their </w:t>
      </w:r>
      <w:proofErr w:type="spellStart"/>
      <w:r w:rsidRPr="00BA3B07">
        <w:rPr>
          <w:rFonts w:ascii="Times New Roman" w:hAnsi="Times New Roman"/>
          <w:color w:val="000000" w:themeColor="text1"/>
          <w:sz w:val="24"/>
          <w:szCs w:val="24"/>
          <w:lang w:val="en-US"/>
        </w:rPr>
        <w:t>Affect</w:t>
      </w:r>
      <w:proofErr w:type="spellEnd"/>
      <w:r w:rsidRPr="00BA3B07">
        <w:rPr>
          <w:rFonts w:ascii="Times New Roman" w:hAnsi="Times New Roman"/>
          <w:color w:val="000000" w:themeColor="text1"/>
          <w:sz w:val="24"/>
          <w:szCs w:val="24"/>
          <w:lang w:val="en-US"/>
        </w:rPr>
        <w:t xml:space="preserve"> on Academic Performance. </w:t>
      </w:r>
      <w:r w:rsidRPr="00BA3B07">
        <w:rPr>
          <w:rFonts w:ascii="Times New Roman" w:hAnsi="Times New Roman"/>
          <w:i/>
          <w:iCs/>
          <w:color w:val="000000" w:themeColor="text1"/>
          <w:sz w:val="24"/>
          <w:szCs w:val="24"/>
          <w:lang w:val="en-US"/>
        </w:rPr>
        <w:t>Educational Policy</w:t>
      </w:r>
      <w:r w:rsidRPr="00BA3B07">
        <w:rPr>
          <w:rFonts w:ascii="Times New Roman" w:hAnsi="Times New Roman"/>
          <w:color w:val="000000" w:themeColor="text1"/>
          <w:sz w:val="24"/>
          <w:szCs w:val="24"/>
          <w:lang w:val="en-US"/>
        </w:rPr>
        <w:t xml:space="preserve">, 25(2), pp.338–367. </w:t>
      </w:r>
      <w:proofErr w:type="spellStart"/>
      <w:r w:rsidRPr="00BA3B07">
        <w:rPr>
          <w:rFonts w:ascii="Times New Roman" w:hAnsi="Times New Roman"/>
          <w:color w:val="000000" w:themeColor="text1"/>
          <w:sz w:val="24"/>
          <w:szCs w:val="24"/>
          <w:lang w:val="en-US"/>
        </w:rPr>
        <w:t>doi:</w:t>
      </w:r>
      <w:hyperlink r:id="rId16"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://doi.org/10.1177/0895904809351693</w:t>
        </w:r>
      </w:hyperlink>
      <w:r w:rsidRPr="00BA3B07">
        <w:rPr>
          <w:rFonts w:ascii="Times New Roman" w:hAnsi="Times New Roman"/>
          <w:color w:val="000000" w:themeColor="text1"/>
          <w:sz w:val="24"/>
          <w:szCs w:val="24"/>
          <w:lang w:val="en-US"/>
        </w:rPr>
        <w:t>.</w:t>
      </w:r>
    </w:p>
    <w:p w14:paraId="446E0DAF"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6C0784">
        <w:rPr>
          <w:rFonts w:ascii="Times New Roman" w:hAnsi="Times New Roman"/>
          <w:color w:val="000000"/>
          <w:sz w:val="24"/>
          <w:szCs w:val="24"/>
        </w:rPr>
        <w:t xml:space="preserve">Geary, D.C. et al. </w:t>
      </w:r>
      <w:r w:rsidRPr="002A0D3D">
        <w:rPr>
          <w:rFonts w:ascii="Times New Roman" w:hAnsi="Times New Roman"/>
          <w:color w:val="000000"/>
          <w:sz w:val="24"/>
          <w:szCs w:val="24"/>
          <w:lang w:val="en-US"/>
        </w:rPr>
        <w:t xml:space="preserve">(2013). </w:t>
      </w:r>
      <w:r w:rsidRPr="00BA3B07">
        <w:rPr>
          <w:rFonts w:ascii="Times New Roman" w:hAnsi="Times New Roman"/>
          <w:color w:val="000000" w:themeColor="text1"/>
          <w:sz w:val="24"/>
          <w:szCs w:val="24"/>
          <w:lang w:val="en-US"/>
        </w:rPr>
        <w:t xml:space="preserve">Adolescents’ Functional Numeracy Is Predicted by Their School Entry Number System Knowledge. </w:t>
      </w:r>
      <w:proofErr w:type="spellStart"/>
      <w:r w:rsidRPr="00BA3B07">
        <w:rPr>
          <w:rFonts w:ascii="Times New Roman" w:hAnsi="Times New Roman"/>
          <w:i/>
          <w:iCs/>
          <w:color w:val="000000" w:themeColor="text1"/>
          <w:sz w:val="24"/>
          <w:szCs w:val="24"/>
          <w:lang w:val="en-US"/>
        </w:rPr>
        <w:t>PLoS</w:t>
      </w:r>
      <w:proofErr w:type="spellEnd"/>
      <w:r w:rsidRPr="00BA3B07">
        <w:rPr>
          <w:rFonts w:ascii="Times New Roman" w:hAnsi="Times New Roman"/>
          <w:i/>
          <w:iCs/>
          <w:color w:val="000000" w:themeColor="text1"/>
          <w:sz w:val="24"/>
          <w:szCs w:val="24"/>
          <w:lang w:val="en-US"/>
        </w:rPr>
        <w:t xml:space="preserve"> ONE</w:t>
      </w:r>
      <w:r w:rsidRPr="00BA3B07">
        <w:rPr>
          <w:rFonts w:ascii="Times New Roman" w:hAnsi="Times New Roman"/>
          <w:color w:val="000000" w:themeColor="text1"/>
          <w:sz w:val="24"/>
          <w:szCs w:val="24"/>
          <w:lang w:val="en-US"/>
        </w:rPr>
        <w:t xml:space="preserve">, 8(1), p.e54651. </w:t>
      </w:r>
      <w:proofErr w:type="spellStart"/>
      <w:r w:rsidRPr="00BA3B07">
        <w:rPr>
          <w:rFonts w:ascii="Times New Roman" w:hAnsi="Times New Roman"/>
          <w:color w:val="000000" w:themeColor="text1"/>
          <w:sz w:val="24"/>
          <w:szCs w:val="24"/>
          <w:lang w:val="en-US"/>
        </w:rPr>
        <w:t>doi:</w:t>
      </w:r>
      <w:hyperlink r:id="rId17"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://doi.org/10.1371/journal.pone.0054651</w:t>
        </w:r>
      </w:hyperlink>
      <w:r w:rsidRPr="00BA3B07">
        <w:rPr>
          <w:rFonts w:ascii="Times New Roman" w:hAnsi="Times New Roman"/>
          <w:color w:val="000000" w:themeColor="text1"/>
          <w:sz w:val="24"/>
          <w:szCs w:val="24"/>
          <w:lang w:val="en-US"/>
        </w:rPr>
        <w:t>.</w:t>
      </w:r>
    </w:p>
    <w:p w14:paraId="4D0FC512"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Geiger, V., </w:t>
      </w:r>
      <w:proofErr w:type="spellStart"/>
      <w:r w:rsidRPr="00BA3B07">
        <w:rPr>
          <w:rFonts w:ascii="Times New Roman" w:hAnsi="Times New Roman"/>
          <w:color w:val="000000" w:themeColor="text1"/>
          <w:sz w:val="24"/>
          <w:szCs w:val="24"/>
          <w:lang w:val="en-US"/>
        </w:rPr>
        <w:t>Forgasz</w:t>
      </w:r>
      <w:proofErr w:type="spellEnd"/>
      <w:r w:rsidRPr="00BA3B07">
        <w:rPr>
          <w:rFonts w:ascii="Times New Roman" w:hAnsi="Times New Roman"/>
          <w:color w:val="000000" w:themeColor="text1"/>
          <w:sz w:val="24"/>
          <w:szCs w:val="24"/>
          <w:lang w:val="en-US"/>
        </w:rPr>
        <w:t xml:space="preserve">, H. and </w:t>
      </w:r>
      <w:proofErr w:type="spellStart"/>
      <w:r w:rsidRPr="00BA3B07">
        <w:rPr>
          <w:rFonts w:ascii="Times New Roman" w:hAnsi="Times New Roman"/>
          <w:color w:val="000000" w:themeColor="text1"/>
          <w:sz w:val="24"/>
          <w:szCs w:val="24"/>
          <w:lang w:val="en-US"/>
        </w:rPr>
        <w:t>Goos</w:t>
      </w:r>
      <w:proofErr w:type="spellEnd"/>
      <w:r w:rsidRPr="00BA3B07">
        <w:rPr>
          <w:rFonts w:ascii="Times New Roman" w:hAnsi="Times New Roman"/>
          <w:color w:val="000000" w:themeColor="text1"/>
          <w:sz w:val="24"/>
          <w:szCs w:val="24"/>
          <w:lang w:val="en-US"/>
        </w:rPr>
        <w:t xml:space="preserve">, M. (2014). A critical orientation to numeracy across the curriculum. </w:t>
      </w:r>
      <w:r w:rsidRPr="00BA3B07">
        <w:rPr>
          <w:rFonts w:ascii="Times New Roman" w:hAnsi="Times New Roman"/>
          <w:i/>
          <w:iCs/>
          <w:color w:val="000000" w:themeColor="text1"/>
          <w:sz w:val="24"/>
          <w:szCs w:val="24"/>
          <w:lang w:val="en-US"/>
        </w:rPr>
        <w:t>ZDM</w:t>
      </w:r>
      <w:r w:rsidRPr="00BA3B07">
        <w:rPr>
          <w:rFonts w:ascii="Times New Roman" w:hAnsi="Times New Roman"/>
          <w:color w:val="000000" w:themeColor="text1"/>
          <w:sz w:val="24"/>
          <w:szCs w:val="24"/>
          <w:lang w:val="en-US"/>
        </w:rPr>
        <w:t xml:space="preserve">, 47(4), pp.611–624. </w:t>
      </w:r>
      <w:proofErr w:type="spellStart"/>
      <w:r w:rsidRPr="00BA3B07">
        <w:rPr>
          <w:rFonts w:ascii="Times New Roman" w:hAnsi="Times New Roman"/>
          <w:color w:val="000000" w:themeColor="text1"/>
          <w:sz w:val="24"/>
          <w:szCs w:val="24"/>
          <w:lang w:val="en-US"/>
        </w:rPr>
        <w:t>doi:</w:t>
      </w:r>
      <w:hyperlink r:id="rId18"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://doi.org/10.1007/s11858-014-0648-1</w:t>
        </w:r>
      </w:hyperlink>
      <w:r w:rsidRPr="00BA3B07">
        <w:rPr>
          <w:rFonts w:ascii="Times New Roman" w:hAnsi="Times New Roman"/>
          <w:color w:val="000000" w:themeColor="text1"/>
          <w:sz w:val="24"/>
          <w:szCs w:val="24"/>
          <w:lang w:val="en-US"/>
        </w:rPr>
        <w:t>.</w:t>
      </w:r>
    </w:p>
    <w:p w14:paraId="71081CDA"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proofErr w:type="spellStart"/>
      <w:r w:rsidRPr="00BA3B07">
        <w:rPr>
          <w:rFonts w:ascii="Times New Roman" w:hAnsi="Times New Roman"/>
          <w:color w:val="000000" w:themeColor="text1"/>
          <w:sz w:val="24"/>
          <w:szCs w:val="24"/>
          <w:lang w:val="en-US"/>
        </w:rPr>
        <w:t>Goos</w:t>
      </w:r>
      <w:proofErr w:type="spellEnd"/>
      <w:r w:rsidRPr="00BA3B07">
        <w:rPr>
          <w:rFonts w:ascii="Times New Roman" w:hAnsi="Times New Roman"/>
          <w:color w:val="000000" w:themeColor="text1"/>
          <w:sz w:val="24"/>
          <w:szCs w:val="24"/>
          <w:lang w:val="en-US"/>
        </w:rPr>
        <w:t xml:space="preserve">, M., Dole, S. and Geiger, V. (2012). Numeracy across the curriculum. </w:t>
      </w:r>
      <w:r w:rsidRPr="00BA3B07">
        <w:rPr>
          <w:rFonts w:ascii="Times New Roman" w:hAnsi="Times New Roman"/>
          <w:i/>
          <w:iCs/>
          <w:color w:val="000000" w:themeColor="text1"/>
          <w:sz w:val="24"/>
          <w:szCs w:val="24"/>
          <w:lang w:val="en-US"/>
        </w:rPr>
        <w:t>Australian mathematics teacher</w:t>
      </w:r>
      <w:r w:rsidRPr="00BA3B07">
        <w:rPr>
          <w:rFonts w:ascii="Times New Roman" w:hAnsi="Times New Roman"/>
          <w:color w:val="000000" w:themeColor="text1"/>
          <w:sz w:val="24"/>
          <w:szCs w:val="24"/>
          <w:lang w:val="en-US"/>
        </w:rPr>
        <w:t>, 68(1), pp.3–7.</w:t>
      </w:r>
    </w:p>
    <w:p w14:paraId="5F47C4D0"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Koh, G.A., </w:t>
      </w:r>
      <w:proofErr w:type="spellStart"/>
      <w:r w:rsidRPr="00BA3B07">
        <w:rPr>
          <w:rFonts w:ascii="Times New Roman" w:hAnsi="Times New Roman"/>
          <w:color w:val="000000" w:themeColor="text1"/>
          <w:sz w:val="24"/>
          <w:szCs w:val="24"/>
          <w:lang w:val="en-US"/>
        </w:rPr>
        <w:t>Askell</w:t>
      </w:r>
      <w:proofErr w:type="spellEnd"/>
      <w:r w:rsidRPr="00BA3B07">
        <w:rPr>
          <w:rFonts w:ascii="Times New Roman" w:hAnsi="Times New Roman"/>
          <w:color w:val="000000" w:themeColor="text1"/>
          <w:sz w:val="24"/>
          <w:szCs w:val="24"/>
          <w:lang w:val="en-US"/>
        </w:rPr>
        <w:t xml:space="preserve">-Williams, H. and Barr, S. (2023). Sustaining school improvement initiatives: advice from educational leaders. </w:t>
      </w:r>
      <w:r w:rsidRPr="00BA3B07">
        <w:rPr>
          <w:rFonts w:ascii="Times New Roman" w:hAnsi="Times New Roman"/>
          <w:i/>
          <w:iCs/>
          <w:color w:val="000000" w:themeColor="text1"/>
          <w:sz w:val="24"/>
          <w:szCs w:val="24"/>
          <w:lang w:val="en-US"/>
        </w:rPr>
        <w:t>School Effectiveness and School Improvement</w:t>
      </w:r>
      <w:r w:rsidRPr="00BA3B07">
        <w:rPr>
          <w:rFonts w:ascii="Times New Roman" w:hAnsi="Times New Roman"/>
          <w:color w:val="000000" w:themeColor="text1"/>
          <w:sz w:val="24"/>
          <w:szCs w:val="24"/>
          <w:lang w:val="en-US"/>
        </w:rPr>
        <w:t xml:space="preserve">, Ahead-of-print, pp.1–33. </w:t>
      </w:r>
      <w:proofErr w:type="spellStart"/>
      <w:r w:rsidRPr="00BA3B07">
        <w:rPr>
          <w:rFonts w:ascii="Times New Roman" w:hAnsi="Times New Roman"/>
          <w:color w:val="000000" w:themeColor="text1"/>
          <w:sz w:val="24"/>
          <w:szCs w:val="24"/>
          <w:lang w:val="en-US"/>
        </w:rPr>
        <w:t>doi:</w:t>
      </w:r>
      <w:hyperlink r:id="rId19"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://doi.org/10.1080/09243453.2023.2190130</w:t>
        </w:r>
      </w:hyperlink>
      <w:r w:rsidRPr="00BA3B07">
        <w:rPr>
          <w:rFonts w:ascii="Times New Roman" w:hAnsi="Times New Roman"/>
          <w:color w:val="000000" w:themeColor="text1"/>
          <w:sz w:val="24"/>
          <w:szCs w:val="24"/>
          <w:lang w:val="en-US"/>
        </w:rPr>
        <w:t>.</w:t>
      </w:r>
    </w:p>
    <w:p w14:paraId="5F5655DF"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Koh, G.A. and </w:t>
      </w:r>
      <w:proofErr w:type="spellStart"/>
      <w:r w:rsidRPr="00BA3B07">
        <w:rPr>
          <w:rFonts w:ascii="Times New Roman" w:hAnsi="Times New Roman"/>
          <w:color w:val="000000" w:themeColor="text1"/>
          <w:sz w:val="24"/>
          <w:szCs w:val="24"/>
          <w:lang w:val="en-US"/>
        </w:rPr>
        <w:t>Askell</w:t>
      </w:r>
      <w:proofErr w:type="spellEnd"/>
      <w:r w:rsidRPr="00BA3B07">
        <w:rPr>
          <w:rFonts w:ascii="Times New Roman" w:hAnsi="Times New Roman"/>
          <w:color w:val="000000" w:themeColor="text1"/>
          <w:sz w:val="24"/>
          <w:szCs w:val="24"/>
          <w:lang w:val="en-US"/>
        </w:rPr>
        <w:t xml:space="preserve">‐Williams, H. (2021). Sustainable school‐improvement in complex adaptive systems: A scoping review. </w:t>
      </w:r>
      <w:r w:rsidRPr="00BA3B07">
        <w:rPr>
          <w:rFonts w:ascii="Times New Roman" w:hAnsi="Times New Roman"/>
          <w:i/>
          <w:iCs/>
          <w:color w:val="000000" w:themeColor="text1"/>
          <w:sz w:val="24"/>
          <w:szCs w:val="24"/>
          <w:lang w:val="en-US"/>
        </w:rPr>
        <w:t>Review of Education</w:t>
      </w:r>
      <w:r w:rsidRPr="00BA3B07">
        <w:rPr>
          <w:rFonts w:ascii="Times New Roman" w:hAnsi="Times New Roman"/>
          <w:color w:val="000000" w:themeColor="text1"/>
          <w:sz w:val="24"/>
          <w:szCs w:val="24"/>
          <w:lang w:val="en-US"/>
        </w:rPr>
        <w:t xml:space="preserve">, 9(1), pp.281–314. </w:t>
      </w:r>
      <w:proofErr w:type="spellStart"/>
      <w:r w:rsidRPr="00BA3B07">
        <w:rPr>
          <w:rFonts w:ascii="Times New Roman" w:hAnsi="Times New Roman"/>
          <w:color w:val="000000" w:themeColor="text1"/>
          <w:sz w:val="24"/>
          <w:szCs w:val="24"/>
          <w:lang w:val="en-US"/>
        </w:rPr>
        <w:t>doi:</w:t>
      </w:r>
      <w:hyperlink r:id="rId20"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://doi.org/10.1002/rev3.3246</w:t>
        </w:r>
      </w:hyperlink>
      <w:r w:rsidRPr="00BA3B07">
        <w:rPr>
          <w:rFonts w:ascii="Times New Roman" w:hAnsi="Times New Roman"/>
          <w:color w:val="000000" w:themeColor="text1"/>
          <w:sz w:val="24"/>
          <w:szCs w:val="24"/>
          <w:lang w:val="en-US"/>
        </w:rPr>
        <w:t>.</w:t>
      </w:r>
    </w:p>
    <w:p w14:paraId="0E2944F3"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KURUM, G. and CINKIR, S. (2019). An Authentic Look at Evaluation in Education: A School Self- Evaluation Model Supporting School Development. </w:t>
      </w:r>
      <w:r w:rsidRPr="00BA3B07">
        <w:rPr>
          <w:rFonts w:ascii="Times New Roman" w:hAnsi="Times New Roman"/>
          <w:i/>
          <w:iCs/>
          <w:color w:val="000000" w:themeColor="text1"/>
          <w:sz w:val="24"/>
          <w:szCs w:val="24"/>
          <w:lang w:val="en-US"/>
        </w:rPr>
        <w:t>Eurasian Journal of Educational Research</w:t>
      </w:r>
      <w:r w:rsidRPr="00BA3B07">
        <w:rPr>
          <w:rFonts w:ascii="Times New Roman" w:hAnsi="Times New Roman"/>
          <w:color w:val="000000" w:themeColor="text1"/>
          <w:sz w:val="24"/>
          <w:szCs w:val="24"/>
          <w:lang w:val="en-US"/>
        </w:rPr>
        <w:t xml:space="preserve">, 19(83), pp.1–34. </w:t>
      </w:r>
      <w:proofErr w:type="spellStart"/>
      <w:r w:rsidRPr="00BA3B07">
        <w:rPr>
          <w:rFonts w:ascii="Times New Roman" w:hAnsi="Times New Roman"/>
          <w:color w:val="000000" w:themeColor="text1"/>
          <w:sz w:val="24"/>
          <w:szCs w:val="24"/>
          <w:lang w:val="en-US"/>
        </w:rPr>
        <w:t>doi:</w:t>
      </w:r>
      <w:hyperlink r:id="rId21"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://doi.org/10.14689/ejer.2019.83.12</w:t>
        </w:r>
      </w:hyperlink>
      <w:r w:rsidRPr="00BA3B07">
        <w:rPr>
          <w:rFonts w:ascii="Times New Roman" w:hAnsi="Times New Roman"/>
          <w:color w:val="000000" w:themeColor="text1"/>
          <w:sz w:val="24"/>
          <w:szCs w:val="24"/>
          <w:lang w:val="en-US"/>
        </w:rPr>
        <w:t>.</w:t>
      </w:r>
    </w:p>
    <w:p w14:paraId="6046D832"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MATTHEWS, M.W. and RAINER, J.D. (2001). The Quandaries of Teachers and Teacher Educators in Integrating Literacy and Mathematics. </w:t>
      </w:r>
      <w:r w:rsidRPr="00BA3B07">
        <w:rPr>
          <w:rFonts w:ascii="Times New Roman" w:hAnsi="Times New Roman"/>
          <w:i/>
          <w:iCs/>
          <w:color w:val="000000" w:themeColor="text1"/>
          <w:sz w:val="24"/>
          <w:szCs w:val="24"/>
          <w:lang w:val="en-US"/>
        </w:rPr>
        <w:t>Language arts</w:t>
      </w:r>
      <w:r w:rsidRPr="00BA3B07">
        <w:rPr>
          <w:rFonts w:ascii="Times New Roman" w:hAnsi="Times New Roman"/>
          <w:color w:val="000000" w:themeColor="text1"/>
          <w:sz w:val="24"/>
          <w:szCs w:val="24"/>
          <w:lang w:val="en-US"/>
        </w:rPr>
        <w:t>, 78(4), pp.357–364.</w:t>
      </w:r>
    </w:p>
    <w:p w14:paraId="18E0DFAA"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Meyer, F., </w:t>
      </w:r>
      <w:proofErr w:type="spellStart"/>
      <w:r w:rsidRPr="00BA3B07">
        <w:rPr>
          <w:rFonts w:ascii="Times New Roman" w:hAnsi="Times New Roman"/>
          <w:color w:val="000000" w:themeColor="text1"/>
          <w:sz w:val="24"/>
          <w:szCs w:val="24"/>
          <w:lang w:val="en-US"/>
        </w:rPr>
        <w:t>Bendikson</w:t>
      </w:r>
      <w:proofErr w:type="spellEnd"/>
      <w:r w:rsidRPr="00BA3B07">
        <w:rPr>
          <w:rFonts w:ascii="Times New Roman" w:hAnsi="Times New Roman"/>
          <w:color w:val="000000" w:themeColor="text1"/>
          <w:sz w:val="24"/>
          <w:szCs w:val="24"/>
          <w:lang w:val="en-US"/>
        </w:rPr>
        <w:t xml:space="preserve">, L. and Le </w:t>
      </w:r>
      <w:proofErr w:type="spellStart"/>
      <w:r w:rsidRPr="00BA3B07">
        <w:rPr>
          <w:rFonts w:ascii="Times New Roman" w:hAnsi="Times New Roman"/>
          <w:color w:val="000000" w:themeColor="text1"/>
          <w:sz w:val="24"/>
          <w:szCs w:val="24"/>
          <w:lang w:val="en-US"/>
        </w:rPr>
        <w:t>Fevre</w:t>
      </w:r>
      <w:proofErr w:type="spellEnd"/>
      <w:r w:rsidRPr="00BA3B07">
        <w:rPr>
          <w:rFonts w:ascii="Times New Roman" w:hAnsi="Times New Roman"/>
          <w:color w:val="000000" w:themeColor="text1"/>
          <w:sz w:val="24"/>
          <w:szCs w:val="24"/>
          <w:lang w:val="en-US"/>
        </w:rPr>
        <w:t xml:space="preserve">, D.M. (2023). Leading school improvement through </w:t>
      </w:r>
      <w:r w:rsidRPr="00BA3B07">
        <w:rPr>
          <w:rFonts w:ascii="Times New Roman" w:hAnsi="Times New Roman"/>
          <w:color w:val="000000" w:themeColor="text1"/>
          <w:sz w:val="24"/>
          <w:szCs w:val="24"/>
          <w:lang w:val="en-US"/>
        </w:rPr>
        <w:lastRenderedPageBreak/>
        <w:t xml:space="preserve">goal-setting: Evidence from New Zealand schools. </w:t>
      </w:r>
      <w:r w:rsidRPr="00BA3B07">
        <w:rPr>
          <w:rFonts w:ascii="Times New Roman" w:hAnsi="Times New Roman"/>
          <w:i/>
          <w:iCs/>
          <w:color w:val="000000" w:themeColor="text1"/>
          <w:sz w:val="24"/>
          <w:szCs w:val="24"/>
          <w:lang w:val="en-US"/>
        </w:rPr>
        <w:t>Educational Management Administration &amp; Leadership</w:t>
      </w:r>
      <w:r w:rsidRPr="00BA3B07">
        <w:rPr>
          <w:rFonts w:ascii="Times New Roman" w:hAnsi="Times New Roman"/>
          <w:color w:val="000000" w:themeColor="text1"/>
          <w:sz w:val="24"/>
          <w:szCs w:val="24"/>
          <w:lang w:val="en-US"/>
        </w:rPr>
        <w:t xml:space="preserve">, 51(2), p.174114322097971. </w:t>
      </w:r>
      <w:proofErr w:type="spellStart"/>
      <w:r w:rsidRPr="00BA3B07">
        <w:rPr>
          <w:rFonts w:ascii="Times New Roman" w:hAnsi="Times New Roman"/>
          <w:color w:val="000000" w:themeColor="text1"/>
          <w:sz w:val="24"/>
          <w:szCs w:val="24"/>
          <w:lang w:val="en-US"/>
        </w:rPr>
        <w:t>doi:</w:t>
      </w:r>
      <w:hyperlink r:id="rId22"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://doi.org/10.1177/1741143220979711</w:t>
        </w:r>
      </w:hyperlink>
      <w:r w:rsidRPr="00BA3B07">
        <w:rPr>
          <w:rFonts w:ascii="Times New Roman" w:hAnsi="Times New Roman"/>
          <w:color w:val="000000" w:themeColor="text1"/>
          <w:sz w:val="24"/>
          <w:szCs w:val="24"/>
          <w:lang w:val="en-US"/>
        </w:rPr>
        <w:t>.</w:t>
      </w:r>
    </w:p>
    <w:p w14:paraId="05F14D03"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Meyers, C.V. and </w:t>
      </w:r>
      <w:proofErr w:type="spellStart"/>
      <w:r w:rsidRPr="00BA3B07">
        <w:rPr>
          <w:rFonts w:ascii="Times New Roman" w:hAnsi="Times New Roman"/>
          <w:color w:val="000000" w:themeColor="text1"/>
          <w:sz w:val="24"/>
          <w:szCs w:val="24"/>
          <w:lang w:val="en-US"/>
        </w:rPr>
        <w:t>VanGronigen</w:t>
      </w:r>
      <w:proofErr w:type="spellEnd"/>
      <w:r w:rsidRPr="00BA3B07">
        <w:rPr>
          <w:rFonts w:ascii="Times New Roman" w:hAnsi="Times New Roman"/>
          <w:color w:val="000000" w:themeColor="text1"/>
          <w:sz w:val="24"/>
          <w:szCs w:val="24"/>
          <w:lang w:val="en-US"/>
        </w:rPr>
        <w:t xml:space="preserve">, B.A. (2019). A lack of authentic school improvement plan development. </w:t>
      </w:r>
      <w:r w:rsidRPr="00BA3B07">
        <w:rPr>
          <w:rFonts w:ascii="Times New Roman" w:hAnsi="Times New Roman"/>
          <w:i/>
          <w:iCs/>
          <w:color w:val="000000" w:themeColor="text1"/>
          <w:sz w:val="24"/>
          <w:szCs w:val="24"/>
          <w:lang w:val="en-US"/>
        </w:rPr>
        <w:t>Journal of Educational Administration</w:t>
      </w:r>
      <w:r w:rsidRPr="00BA3B07">
        <w:rPr>
          <w:rFonts w:ascii="Times New Roman" w:hAnsi="Times New Roman"/>
          <w:color w:val="000000" w:themeColor="text1"/>
          <w:sz w:val="24"/>
          <w:szCs w:val="24"/>
          <w:lang w:val="en-US"/>
        </w:rPr>
        <w:t xml:space="preserve">, 57(3), pp.261–278. </w:t>
      </w:r>
      <w:proofErr w:type="spellStart"/>
      <w:r w:rsidRPr="00BA3B07">
        <w:rPr>
          <w:rFonts w:ascii="Times New Roman" w:hAnsi="Times New Roman"/>
          <w:color w:val="000000" w:themeColor="text1"/>
          <w:sz w:val="24"/>
          <w:szCs w:val="24"/>
          <w:lang w:val="en-US"/>
        </w:rPr>
        <w:t>doi:</w:t>
      </w:r>
      <w:hyperlink r:id="rId23"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://doi.org/10.1108/jea-09-2018-0154</w:t>
        </w:r>
      </w:hyperlink>
      <w:r w:rsidRPr="00BA3B07">
        <w:rPr>
          <w:rFonts w:ascii="Times New Roman" w:hAnsi="Times New Roman"/>
          <w:color w:val="000000" w:themeColor="text1"/>
          <w:sz w:val="24"/>
          <w:szCs w:val="24"/>
          <w:lang w:val="en-US"/>
        </w:rPr>
        <w:t>.</w:t>
      </w:r>
    </w:p>
    <w:p w14:paraId="15240DCF"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2A0D3D">
        <w:rPr>
          <w:rFonts w:ascii="Times New Roman" w:hAnsi="Times New Roman"/>
          <w:color w:val="000000"/>
          <w:sz w:val="24"/>
          <w:szCs w:val="24"/>
          <w:lang w:val="en-US"/>
        </w:rPr>
        <w:t>Muir, T. et al. (2018)</w:t>
      </w:r>
      <w:r>
        <w:rPr>
          <w:rFonts w:ascii="Times New Roman" w:hAnsi="Times New Roman"/>
          <w:color w:val="000000"/>
          <w:sz w:val="24"/>
          <w:szCs w:val="24"/>
          <w:lang w:val="en-US"/>
        </w:rPr>
        <w:t xml:space="preserve">. </w:t>
      </w:r>
      <w:r w:rsidRPr="00BA3B07">
        <w:rPr>
          <w:rFonts w:ascii="Times New Roman" w:hAnsi="Times New Roman"/>
          <w:color w:val="000000" w:themeColor="text1"/>
          <w:sz w:val="24"/>
          <w:szCs w:val="24"/>
          <w:lang w:val="en-US"/>
        </w:rPr>
        <w:t xml:space="preserve">School leaders’ identification of school level and teacher practices that influence school improvement in national numeracy testing outcomes. </w:t>
      </w:r>
      <w:r w:rsidRPr="00BA3B07">
        <w:rPr>
          <w:rFonts w:ascii="Times New Roman" w:hAnsi="Times New Roman"/>
          <w:i/>
          <w:iCs/>
          <w:color w:val="000000" w:themeColor="text1"/>
          <w:sz w:val="24"/>
          <w:szCs w:val="24"/>
          <w:lang w:val="en-US"/>
        </w:rPr>
        <w:t>The Australian Educational Researcher</w:t>
      </w:r>
      <w:r w:rsidRPr="00BA3B07">
        <w:rPr>
          <w:rFonts w:ascii="Times New Roman" w:hAnsi="Times New Roman"/>
          <w:color w:val="000000" w:themeColor="text1"/>
          <w:sz w:val="24"/>
          <w:szCs w:val="24"/>
          <w:lang w:val="en-US"/>
        </w:rPr>
        <w:t xml:space="preserve">, 45(3), pp.297–313. </w:t>
      </w:r>
      <w:proofErr w:type="spellStart"/>
      <w:r w:rsidRPr="00BA3B07">
        <w:rPr>
          <w:rFonts w:ascii="Times New Roman" w:hAnsi="Times New Roman"/>
          <w:color w:val="000000" w:themeColor="text1"/>
          <w:sz w:val="24"/>
          <w:szCs w:val="24"/>
          <w:lang w:val="en-US"/>
        </w:rPr>
        <w:t>doi:</w:t>
      </w:r>
      <w:hyperlink r:id="rId24"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://doi.org/10.1007/s13384-017-0252-9</w:t>
        </w:r>
      </w:hyperlink>
      <w:r w:rsidRPr="00BA3B07">
        <w:rPr>
          <w:rFonts w:ascii="Times New Roman" w:hAnsi="Times New Roman"/>
          <w:color w:val="000000" w:themeColor="text1"/>
          <w:sz w:val="24"/>
          <w:szCs w:val="24"/>
          <w:lang w:val="en-US"/>
        </w:rPr>
        <w:t>.</w:t>
      </w:r>
    </w:p>
    <w:p w14:paraId="23328E00"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Paige, K., Lloyd, D. and Chartres, M. (2008). Moving towards </w:t>
      </w:r>
      <w:proofErr w:type="spellStart"/>
      <w:r w:rsidRPr="00BA3B07">
        <w:rPr>
          <w:rFonts w:ascii="Times New Roman" w:hAnsi="Times New Roman"/>
          <w:color w:val="000000" w:themeColor="text1"/>
          <w:sz w:val="24"/>
          <w:szCs w:val="24"/>
          <w:lang w:val="en-US"/>
        </w:rPr>
        <w:t>transdisciplinarity</w:t>
      </w:r>
      <w:proofErr w:type="spellEnd"/>
      <w:r w:rsidRPr="00BA3B07">
        <w:rPr>
          <w:rFonts w:ascii="Times New Roman" w:hAnsi="Times New Roman"/>
          <w:color w:val="000000" w:themeColor="text1"/>
          <w:sz w:val="24"/>
          <w:szCs w:val="24"/>
          <w:lang w:val="en-US"/>
        </w:rPr>
        <w:t xml:space="preserve">: an ecological sustainable focus for science and mathematics pre‐service education in the primary/middle years. </w:t>
      </w:r>
      <w:r w:rsidRPr="00BA3B07">
        <w:rPr>
          <w:rFonts w:ascii="Times New Roman" w:hAnsi="Times New Roman"/>
          <w:i/>
          <w:iCs/>
          <w:color w:val="000000" w:themeColor="text1"/>
          <w:sz w:val="24"/>
          <w:szCs w:val="24"/>
          <w:lang w:val="en-US"/>
        </w:rPr>
        <w:t>Asia-Pacific Journal of Teacher Education</w:t>
      </w:r>
      <w:r w:rsidRPr="00BA3B07">
        <w:rPr>
          <w:rFonts w:ascii="Times New Roman" w:hAnsi="Times New Roman"/>
          <w:color w:val="000000" w:themeColor="text1"/>
          <w:sz w:val="24"/>
          <w:szCs w:val="24"/>
          <w:lang w:val="en-US"/>
        </w:rPr>
        <w:t xml:space="preserve">, 36(1), pp.19–33. </w:t>
      </w:r>
      <w:proofErr w:type="spellStart"/>
      <w:r w:rsidRPr="00BA3B07">
        <w:rPr>
          <w:rFonts w:ascii="Times New Roman" w:hAnsi="Times New Roman"/>
          <w:color w:val="000000" w:themeColor="text1"/>
          <w:sz w:val="24"/>
          <w:szCs w:val="24"/>
          <w:lang w:val="en-US"/>
        </w:rPr>
        <w:t>doi:</w:t>
      </w:r>
      <w:hyperlink r:id="rId25"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://doi.org/10.1080/13598660701793350</w:t>
        </w:r>
      </w:hyperlink>
      <w:r w:rsidRPr="00BA3B07">
        <w:rPr>
          <w:rFonts w:ascii="Times New Roman" w:hAnsi="Times New Roman"/>
          <w:color w:val="000000" w:themeColor="text1"/>
          <w:sz w:val="24"/>
          <w:szCs w:val="24"/>
          <w:lang w:val="en-US"/>
        </w:rPr>
        <w:t>.</w:t>
      </w:r>
    </w:p>
    <w:p w14:paraId="657E5AA2"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proofErr w:type="spellStart"/>
      <w:r w:rsidRPr="00BA3B07">
        <w:rPr>
          <w:rFonts w:ascii="Times New Roman" w:hAnsi="Times New Roman"/>
          <w:color w:val="000000" w:themeColor="text1"/>
          <w:sz w:val="24"/>
          <w:szCs w:val="24"/>
          <w:lang w:val="en-US"/>
        </w:rPr>
        <w:t>Parnis</w:t>
      </w:r>
      <w:proofErr w:type="spellEnd"/>
      <w:r w:rsidRPr="00BA3B07">
        <w:rPr>
          <w:rFonts w:ascii="Times New Roman" w:hAnsi="Times New Roman"/>
          <w:color w:val="000000" w:themeColor="text1"/>
          <w:sz w:val="24"/>
          <w:szCs w:val="24"/>
          <w:lang w:val="en-US"/>
        </w:rPr>
        <w:t xml:space="preserve">, A.J. and </w:t>
      </w:r>
      <w:proofErr w:type="spellStart"/>
      <w:r w:rsidRPr="00BA3B07">
        <w:rPr>
          <w:rFonts w:ascii="Times New Roman" w:hAnsi="Times New Roman"/>
          <w:color w:val="000000" w:themeColor="text1"/>
          <w:sz w:val="24"/>
          <w:szCs w:val="24"/>
          <w:lang w:val="en-US"/>
        </w:rPr>
        <w:t>Petocz</w:t>
      </w:r>
      <w:proofErr w:type="spellEnd"/>
      <w:r w:rsidRPr="00BA3B07">
        <w:rPr>
          <w:rFonts w:ascii="Times New Roman" w:hAnsi="Times New Roman"/>
          <w:color w:val="000000" w:themeColor="text1"/>
          <w:sz w:val="24"/>
          <w:szCs w:val="24"/>
          <w:lang w:val="en-US"/>
        </w:rPr>
        <w:t xml:space="preserve">, P. (2016). Secondary school students’ attitudes towards numeracy: an Australian investigation based on the National Assessment Program—Literacy and Numeracy (NAPLAN). </w:t>
      </w:r>
      <w:r w:rsidRPr="00BA3B07">
        <w:rPr>
          <w:rFonts w:ascii="Times New Roman" w:hAnsi="Times New Roman"/>
          <w:i/>
          <w:iCs/>
          <w:color w:val="000000" w:themeColor="text1"/>
          <w:sz w:val="24"/>
          <w:szCs w:val="24"/>
          <w:lang w:val="en-US"/>
        </w:rPr>
        <w:t>The Australian Educational Researcher</w:t>
      </w:r>
      <w:r w:rsidRPr="00BA3B07">
        <w:rPr>
          <w:rFonts w:ascii="Times New Roman" w:hAnsi="Times New Roman"/>
          <w:color w:val="000000" w:themeColor="text1"/>
          <w:sz w:val="24"/>
          <w:szCs w:val="24"/>
          <w:lang w:val="en-US"/>
        </w:rPr>
        <w:t xml:space="preserve">, 43(5), pp.551–566. </w:t>
      </w:r>
      <w:proofErr w:type="spellStart"/>
      <w:r w:rsidRPr="00BA3B07">
        <w:rPr>
          <w:rFonts w:ascii="Times New Roman" w:hAnsi="Times New Roman"/>
          <w:color w:val="000000" w:themeColor="text1"/>
          <w:sz w:val="24"/>
          <w:szCs w:val="24"/>
          <w:lang w:val="en-US"/>
        </w:rPr>
        <w:t>doi:</w:t>
      </w:r>
      <w:hyperlink r:id="rId26"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://doi.org/10.1007/s13384-016-0218-3</w:t>
        </w:r>
      </w:hyperlink>
      <w:r w:rsidRPr="00BA3B07">
        <w:rPr>
          <w:rFonts w:ascii="Times New Roman" w:hAnsi="Times New Roman"/>
          <w:color w:val="000000" w:themeColor="text1"/>
          <w:sz w:val="24"/>
          <w:szCs w:val="24"/>
          <w:lang w:val="en-US"/>
        </w:rPr>
        <w:t>.</w:t>
      </w:r>
    </w:p>
    <w:p w14:paraId="3B67E161"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Redding, C. and </w:t>
      </w:r>
      <w:proofErr w:type="spellStart"/>
      <w:r w:rsidRPr="00BA3B07">
        <w:rPr>
          <w:rFonts w:ascii="Times New Roman" w:hAnsi="Times New Roman"/>
          <w:color w:val="000000" w:themeColor="text1"/>
          <w:sz w:val="24"/>
          <w:szCs w:val="24"/>
          <w:lang w:val="en-US"/>
        </w:rPr>
        <w:t>Searby</w:t>
      </w:r>
      <w:proofErr w:type="spellEnd"/>
      <w:r w:rsidRPr="00BA3B07">
        <w:rPr>
          <w:rFonts w:ascii="Times New Roman" w:hAnsi="Times New Roman"/>
          <w:color w:val="000000" w:themeColor="text1"/>
          <w:sz w:val="24"/>
          <w:szCs w:val="24"/>
          <w:lang w:val="en-US"/>
        </w:rPr>
        <w:t xml:space="preserve">, L. (2020). The Map Is Not the Territory: Considering the Role of School Improvement Plans in Turnaround Schools. </w:t>
      </w:r>
      <w:r w:rsidRPr="00BA3B07">
        <w:rPr>
          <w:rFonts w:ascii="Times New Roman" w:hAnsi="Times New Roman"/>
          <w:i/>
          <w:iCs/>
          <w:color w:val="000000" w:themeColor="text1"/>
          <w:sz w:val="24"/>
          <w:szCs w:val="24"/>
          <w:lang w:val="en-US"/>
        </w:rPr>
        <w:t>Journal of Cases in Educational Leadership</w:t>
      </w:r>
      <w:r w:rsidRPr="00BA3B07">
        <w:rPr>
          <w:rFonts w:ascii="Times New Roman" w:hAnsi="Times New Roman"/>
          <w:color w:val="000000" w:themeColor="text1"/>
          <w:sz w:val="24"/>
          <w:szCs w:val="24"/>
          <w:lang w:val="en-US"/>
        </w:rPr>
        <w:t xml:space="preserve">, 23(3), pp.63–75. </w:t>
      </w:r>
      <w:proofErr w:type="spellStart"/>
      <w:r w:rsidRPr="00BA3B07">
        <w:rPr>
          <w:rFonts w:ascii="Times New Roman" w:hAnsi="Times New Roman"/>
          <w:color w:val="000000" w:themeColor="text1"/>
          <w:sz w:val="24"/>
          <w:szCs w:val="24"/>
          <w:lang w:val="en-US"/>
        </w:rPr>
        <w:t>doi:</w:t>
      </w:r>
      <w:hyperlink r:id="rId27"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://doi.org/10.1177/1555458920938854</w:t>
        </w:r>
      </w:hyperlink>
      <w:r w:rsidRPr="00BA3B07">
        <w:rPr>
          <w:rFonts w:ascii="Times New Roman" w:hAnsi="Times New Roman"/>
          <w:color w:val="000000" w:themeColor="text1"/>
          <w:sz w:val="24"/>
          <w:szCs w:val="24"/>
          <w:lang w:val="en-US"/>
        </w:rPr>
        <w:t>.</w:t>
      </w:r>
    </w:p>
    <w:p w14:paraId="1B3E08A1"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School X (2022). </w:t>
      </w:r>
      <w:r w:rsidRPr="00BA3B07">
        <w:rPr>
          <w:rFonts w:ascii="Times New Roman" w:hAnsi="Times New Roman"/>
          <w:i/>
          <w:iCs/>
          <w:color w:val="000000" w:themeColor="text1"/>
          <w:sz w:val="24"/>
          <w:szCs w:val="24"/>
          <w:lang w:val="en-US"/>
        </w:rPr>
        <w:t>School Development Plan</w:t>
      </w:r>
      <w:r w:rsidRPr="00BA3B07">
        <w:rPr>
          <w:rFonts w:ascii="Times New Roman" w:hAnsi="Times New Roman"/>
          <w:color w:val="000000" w:themeColor="text1"/>
          <w:sz w:val="24"/>
          <w:szCs w:val="24"/>
          <w:lang w:val="en-US"/>
        </w:rPr>
        <w:t>.</w:t>
      </w:r>
    </w:p>
    <w:p w14:paraId="35DDB96B"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Valenzuela, J.P., </w:t>
      </w:r>
      <w:proofErr w:type="spellStart"/>
      <w:r w:rsidRPr="00BA3B07">
        <w:rPr>
          <w:rFonts w:ascii="Times New Roman" w:hAnsi="Times New Roman"/>
          <w:color w:val="000000" w:themeColor="text1"/>
          <w:sz w:val="24"/>
          <w:szCs w:val="24"/>
          <w:lang w:val="en-US"/>
        </w:rPr>
        <w:t>Bellei</w:t>
      </w:r>
      <w:proofErr w:type="spellEnd"/>
      <w:r w:rsidRPr="00BA3B07">
        <w:rPr>
          <w:rFonts w:ascii="Times New Roman" w:hAnsi="Times New Roman"/>
          <w:color w:val="000000" w:themeColor="text1"/>
          <w:sz w:val="24"/>
          <w:szCs w:val="24"/>
          <w:lang w:val="en-US"/>
        </w:rPr>
        <w:t xml:space="preserve">, C. and Allende, C. (2016). Measuring systematic long-term trajectories of school effectiveness improvement. </w:t>
      </w:r>
      <w:r w:rsidRPr="00BA3B07">
        <w:rPr>
          <w:rFonts w:ascii="Times New Roman" w:hAnsi="Times New Roman"/>
          <w:i/>
          <w:iCs/>
          <w:color w:val="000000" w:themeColor="text1"/>
          <w:sz w:val="24"/>
          <w:szCs w:val="24"/>
          <w:lang w:val="en-US"/>
        </w:rPr>
        <w:t>School Effectiveness and School Improvement</w:t>
      </w:r>
      <w:r w:rsidRPr="00BA3B07">
        <w:rPr>
          <w:rFonts w:ascii="Times New Roman" w:hAnsi="Times New Roman"/>
          <w:color w:val="000000" w:themeColor="text1"/>
          <w:sz w:val="24"/>
          <w:szCs w:val="24"/>
          <w:lang w:val="en-US"/>
        </w:rPr>
        <w:t xml:space="preserve">, 27(4), pp.473–491. </w:t>
      </w:r>
      <w:proofErr w:type="spellStart"/>
      <w:r w:rsidRPr="00BA3B07">
        <w:rPr>
          <w:rFonts w:ascii="Times New Roman" w:hAnsi="Times New Roman"/>
          <w:color w:val="000000" w:themeColor="text1"/>
          <w:sz w:val="24"/>
          <w:szCs w:val="24"/>
          <w:lang w:val="en-US"/>
        </w:rPr>
        <w:t>doi:</w:t>
      </w:r>
      <w:hyperlink r:id="rId28"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://doi.org/10.1080/09243453.2016.1150861</w:t>
        </w:r>
      </w:hyperlink>
      <w:r w:rsidRPr="00BA3B07">
        <w:rPr>
          <w:rFonts w:ascii="Times New Roman" w:hAnsi="Times New Roman"/>
          <w:color w:val="000000" w:themeColor="text1"/>
          <w:sz w:val="24"/>
          <w:szCs w:val="24"/>
          <w:lang w:val="en-US"/>
        </w:rPr>
        <w:t>.</w:t>
      </w:r>
    </w:p>
    <w:p w14:paraId="161F08CD"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Welsh Government (2014). </w:t>
      </w:r>
      <w:r w:rsidRPr="00BA3B07">
        <w:rPr>
          <w:rFonts w:ascii="Times New Roman" w:hAnsi="Times New Roman"/>
          <w:i/>
          <w:iCs/>
          <w:color w:val="000000" w:themeColor="text1"/>
          <w:sz w:val="24"/>
          <w:szCs w:val="24"/>
          <w:lang w:val="en-US"/>
        </w:rPr>
        <w:t>School development plans Guidance</w:t>
      </w:r>
      <w:r w:rsidRPr="00BA3B07">
        <w:rPr>
          <w:rFonts w:ascii="Times New Roman" w:hAnsi="Times New Roman"/>
          <w:color w:val="000000" w:themeColor="text1"/>
          <w:sz w:val="24"/>
          <w:szCs w:val="24"/>
          <w:lang w:val="en-US"/>
        </w:rPr>
        <w:t xml:space="preserve">. [online] Available at: </w:t>
      </w:r>
      <w:hyperlink r:id="rId29" w:history="1">
        <w:r w:rsidRPr="00BA3B07">
          <w:rPr>
            <w:rFonts w:ascii="Times New Roman" w:hAnsi="Times New Roman"/>
            <w:color w:val="000000" w:themeColor="text1"/>
            <w:sz w:val="24"/>
            <w:szCs w:val="24"/>
            <w:lang w:val="en-US"/>
          </w:rPr>
          <w:t>https://www.gov.wales/sites/default/files/publications/2018-03/school-development-plans.pdf</w:t>
        </w:r>
      </w:hyperlink>
      <w:r w:rsidRPr="00BA3B07">
        <w:rPr>
          <w:rFonts w:ascii="Times New Roman" w:hAnsi="Times New Roman"/>
          <w:color w:val="000000" w:themeColor="text1"/>
          <w:sz w:val="24"/>
          <w:szCs w:val="24"/>
          <w:lang w:val="en-US"/>
        </w:rPr>
        <w:t>.</w:t>
      </w:r>
    </w:p>
    <w:p w14:paraId="3FA16C86"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Welsh Government (2018). </w:t>
      </w:r>
      <w:r w:rsidRPr="00BA3B07">
        <w:rPr>
          <w:rFonts w:ascii="Times New Roman" w:hAnsi="Times New Roman"/>
          <w:i/>
          <w:iCs/>
          <w:color w:val="000000" w:themeColor="text1"/>
          <w:sz w:val="24"/>
          <w:szCs w:val="24"/>
          <w:lang w:val="en-US"/>
        </w:rPr>
        <w:t>The Achievement of 15-Year Olds in Wales: PISA 2018 National Report</w:t>
      </w:r>
      <w:r w:rsidRPr="00BA3B07">
        <w:rPr>
          <w:rFonts w:ascii="Times New Roman" w:hAnsi="Times New Roman"/>
          <w:color w:val="000000" w:themeColor="text1"/>
          <w:sz w:val="24"/>
          <w:szCs w:val="24"/>
          <w:lang w:val="en-US"/>
        </w:rPr>
        <w:t xml:space="preserve">. [online] Available at: </w:t>
      </w:r>
      <w:hyperlink r:id="rId30" w:history="1">
        <w:r w:rsidRPr="00BA3B07">
          <w:rPr>
            <w:rFonts w:ascii="Times New Roman" w:hAnsi="Times New Roman"/>
            <w:color w:val="000000" w:themeColor="text1"/>
            <w:sz w:val="24"/>
            <w:szCs w:val="24"/>
            <w:lang w:val="en-US"/>
          </w:rPr>
          <w:t>https://www.gov.wales/sites/default/files/statistics-and-</w:t>
        </w:r>
        <w:r w:rsidRPr="00BA3B07">
          <w:rPr>
            <w:rFonts w:ascii="Times New Roman" w:hAnsi="Times New Roman"/>
            <w:color w:val="000000" w:themeColor="text1"/>
            <w:sz w:val="24"/>
            <w:szCs w:val="24"/>
            <w:lang w:val="en-US"/>
          </w:rPr>
          <w:lastRenderedPageBreak/>
          <w:t>research/2019-12/achievement-15-year-olds-program-international-student-assessment-pisa-national-report-2018_0.pdf</w:t>
        </w:r>
      </w:hyperlink>
      <w:r w:rsidRPr="00BA3B07">
        <w:rPr>
          <w:rFonts w:ascii="Times New Roman" w:hAnsi="Times New Roman"/>
          <w:color w:val="000000" w:themeColor="text1"/>
          <w:sz w:val="24"/>
          <w:szCs w:val="24"/>
          <w:lang w:val="en-US"/>
        </w:rPr>
        <w:t>.</w:t>
      </w:r>
    </w:p>
    <w:p w14:paraId="2ECD3888"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Welsh Government (2019). </w:t>
      </w:r>
      <w:r w:rsidRPr="00BA3B07">
        <w:rPr>
          <w:rFonts w:ascii="Times New Roman" w:hAnsi="Times New Roman"/>
          <w:i/>
          <w:iCs/>
          <w:color w:val="000000" w:themeColor="text1"/>
          <w:sz w:val="24"/>
          <w:szCs w:val="24"/>
          <w:lang w:val="en-US"/>
        </w:rPr>
        <w:t>Professional Standards for Teaching and Leadership</w:t>
      </w:r>
      <w:r w:rsidRPr="00BA3B07">
        <w:rPr>
          <w:rFonts w:ascii="Times New Roman" w:hAnsi="Times New Roman"/>
          <w:color w:val="000000" w:themeColor="text1"/>
          <w:sz w:val="24"/>
          <w:szCs w:val="24"/>
          <w:lang w:val="en-US"/>
        </w:rPr>
        <w:t xml:space="preserve">. [online] Available at: </w:t>
      </w:r>
      <w:hyperlink r:id="rId31" w:history="1">
        <w:r w:rsidRPr="00BA3B07">
          <w:rPr>
            <w:rFonts w:ascii="Times New Roman" w:hAnsi="Times New Roman"/>
            <w:color w:val="000000" w:themeColor="text1"/>
            <w:sz w:val="24"/>
            <w:szCs w:val="24"/>
            <w:lang w:val="en-US"/>
          </w:rPr>
          <w:t>https://hwb.gov.wales/api/storage/19bc948b-8a3f-41e0-944a-7bf2cadf7d18/professional-standards-for-teaching-and-leadership-interactive-pdf-for-pc.pdf</w:t>
        </w:r>
      </w:hyperlink>
      <w:r w:rsidRPr="00BA3B07">
        <w:rPr>
          <w:rFonts w:ascii="Times New Roman" w:hAnsi="Times New Roman"/>
          <w:color w:val="000000" w:themeColor="text1"/>
          <w:sz w:val="24"/>
          <w:szCs w:val="24"/>
          <w:lang w:val="en-US"/>
        </w:rPr>
        <w:t>.</w:t>
      </w:r>
    </w:p>
    <w:p w14:paraId="11FE89CF"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Welsh Government (2022). </w:t>
      </w:r>
      <w:r w:rsidRPr="00BA3B07">
        <w:rPr>
          <w:rFonts w:ascii="Times New Roman" w:hAnsi="Times New Roman"/>
          <w:i/>
          <w:iCs/>
          <w:color w:val="000000" w:themeColor="text1"/>
          <w:sz w:val="24"/>
          <w:szCs w:val="24"/>
          <w:lang w:val="en-US"/>
        </w:rPr>
        <w:t>School improvement guidance: framework for evaluation, improvement and accountability - Hwb</w:t>
      </w:r>
      <w:r w:rsidRPr="00BA3B07">
        <w:rPr>
          <w:rFonts w:ascii="Times New Roman" w:hAnsi="Times New Roman"/>
          <w:color w:val="000000" w:themeColor="text1"/>
          <w:sz w:val="24"/>
          <w:szCs w:val="24"/>
          <w:lang w:val="en-US"/>
        </w:rPr>
        <w:t xml:space="preserve">. [online] </w:t>
      </w:r>
      <w:proofErr w:type="spellStart"/>
      <w:r w:rsidRPr="00BA3B07">
        <w:rPr>
          <w:rFonts w:ascii="Times New Roman" w:hAnsi="Times New Roman"/>
          <w:color w:val="000000" w:themeColor="text1"/>
          <w:sz w:val="24"/>
          <w:szCs w:val="24"/>
          <w:lang w:val="en-US"/>
        </w:rPr>
        <w:t>hwb.gov.wales</w:t>
      </w:r>
      <w:proofErr w:type="spellEnd"/>
      <w:r w:rsidRPr="00BA3B07">
        <w:rPr>
          <w:rFonts w:ascii="Times New Roman" w:hAnsi="Times New Roman"/>
          <w:color w:val="000000" w:themeColor="text1"/>
          <w:sz w:val="24"/>
          <w:szCs w:val="24"/>
          <w:lang w:val="en-US"/>
        </w:rPr>
        <w:t xml:space="preserve">. Available at: </w:t>
      </w:r>
      <w:hyperlink r:id="rId32" w:history="1">
        <w:r w:rsidRPr="00BA3B07">
          <w:rPr>
            <w:rFonts w:ascii="Times New Roman" w:hAnsi="Times New Roman"/>
            <w:color w:val="000000" w:themeColor="text1"/>
            <w:sz w:val="24"/>
            <w:szCs w:val="24"/>
            <w:lang w:val="en-US"/>
          </w:rPr>
          <w:t>https://hwb.gov.wales/evaluation-improvement-and-accountability/school-improvement-guidance-framework-for-evaluation-improvement-and-accountability#information-and-evidence</w:t>
        </w:r>
      </w:hyperlink>
      <w:r w:rsidRPr="00BA3B07">
        <w:rPr>
          <w:rFonts w:ascii="Times New Roman" w:hAnsi="Times New Roman"/>
          <w:color w:val="000000" w:themeColor="text1"/>
          <w:sz w:val="24"/>
          <w:szCs w:val="24"/>
          <w:lang w:val="en-US"/>
        </w:rPr>
        <w:t>.</w:t>
      </w:r>
    </w:p>
    <w:p w14:paraId="6CF979DA" w14:textId="77777777" w:rsidR="006C0784" w:rsidRPr="00BA3B07" w:rsidRDefault="006C0784" w:rsidP="006C0784">
      <w:pPr>
        <w:widowControl w:val="0"/>
        <w:autoSpaceDE w:val="0"/>
        <w:autoSpaceDN w:val="0"/>
        <w:adjustRightInd w:val="0"/>
        <w:spacing w:after="240" w:line="360" w:lineRule="auto"/>
        <w:rPr>
          <w:rFonts w:ascii="Times New Roman" w:hAnsi="Times New Roman"/>
          <w:color w:val="000000" w:themeColor="text1"/>
          <w:sz w:val="24"/>
          <w:szCs w:val="24"/>
          <w:lang w:val="en-US"/>
        </w:rPr>
      </w:pPr>
      <w:r w:rsidRPr="00BA3B07">
        <w:rPr>
          <w:rFonts w:ascii="Times New Roman" w:hAnsi="Times New Roman"/>
          <w:color w:val="000000" w:themeColor="text1"/>
          <w:sz w:val="24"/>
          <w:szCs w:val="24"/>
          <w:lang w:val="en-US"/>
        </w:rPr>
        <w:t xml:space="preserve">Wroe, A. and Halsall, R. (2001). School Self-Evaluation. </w:t>
      </w:r>
      <w:r w:rsidRPr="00BA3B07">
        <w:rPr>
          <w:rFonts w:ascii="Times New Roman" w:hAnsi="Times New Roman"/>
          <w:i/>
          <w:iCs/>
          <w:color w:val="000000" w:themeColor="text1"/>
          <w:sz w:val="24"/>
          <w:szCs w:val="24"/>
          <w:lang w:val="en-US"/>
        </w:rPr>
        <w:t>Research in Education</w:t>
      </w:r>
      <w:r w:rsidRPr="00BA3B07">
        <w:rPr>
          <w:rFonts w:ascii="Times New Roman" w:hAnsi="Times New Roman"/>
          <w:color w:val="000000" w:themeColor="text1"/>
          <w:sz w:val="24"/>
          <w:szCs w:val="24"/>
          <w:lang w:val="en-US"/>
        </w:rPr>
        <w:t xml:space="preserve">, 65(1), pp.41–52. </w:t>
      </w:r>
      <w:proofErr w:type="spellStart"/>
      <w:r w:rsidRPr="00BA3B07">
        <w:rPr>
          <w:rFonts w:ascii="Times New Roman" w:hAnsi="Times New Roman"/>
          <w:color w:val="000000" w:themeColor="text1"/>
          <w:sz w:val="24"/>
          <w:szCs w:val="24"/>
          <w:lang w:val="en-US"/>
        </w:rPr>
        <w:t>doi:</w:t>
      </w:r>
      <w:hyperlink r:id="rId33" w:history="1">
        <w:r w:rsidRPr="00BA3B07">
          <w:rPr>
            <w:rFonts w:ascii="Times New Roman" w:hAnsi="Times New Roman"/>
            <w:color w:val="000000" w:themeColor="text1"/>
            <w:sz w:val="24"/>
            <w:szCs w:val="24"/>
            <w:lang w:val="en-US"/>
          </w:rPr>
          <w:t>https</w:t>
        </w:r>
        <w:proofErr w:type="spellEnd"/>
        <w:r w:rsidRPr="00BA3B07">
          <w:rPr>
            <w:rFonts w:ascii="Times New Roman" w:hAnsi="Times New Roman"/>
            <w:color w:val="000000" w:themeColor="text1"/>
            <w:sz w:val="24"/>
            <w:szCs w:val="24"/>
            <w:lang w:val="en-US"/>
          </w:rPr>
          <w:t>://doi.org/10.7227/rie.65.4</w:t>
        </w:r>
      </w:hyperlink>
      <w:r w:rsidRPr="00BA3B07">
        <w:rPr>
          <w:rFonts w:ascii="Times New Roman" w:hAnsi="Times New Roman"/>
          <w:color w:val="000000" w:themeColor="text1"/>
          <w:sz w:val="24"/>
          <w:szCs w:val="24"/>
          <w:lang w:val="en-US"/>
        </w:rPr>
        <w:t>.</w:t>
      </w:r>
    </w:p>
    <w:p w14:paraId="4D2FEBFE" w14:textId="77777777" w:rsidR="000133EA" w:rsidRPr="006C0784" w:rsidRDefault="000133EA" w:rsidP="000133EA">
      <w:pPr>
        <w:pStyle w:val="AssignBody"/>
        <w:rPr>
          <w:lang w:val="en-US"/>
        </w:rPr>
      </w:pPr>
    </w:p>
    <w:sectPr w:rsidR="000133EA" w:rsidRPr="006C0784">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CE2C7" w14:textId="77777777" w:rsidR="00FE0DB9" w:rsidRDefault="00FE0DB9" w:rsidP="00E611D9">
      <w:pPr>
        <w:spacing w:after="0" w:line="240" w:lineRule="auto"/>
      </w:pPr>
      <w:r>
        <w:separator/>
      </w:r>
    </w:p>
  </w:endnote>
  <w:endnote w:type="continuationSeparator" w:id="0">
    <w:p w14:paraId="542CEBAE" w14:textId="77777777" w:rsidR="00FE0DB9" w:rsidRDefault="00FE0DB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A5F3F" w14:textId="77777777" w:rsidR="00FE0DB9" w:rsidRDefault="00FE0DB9" w:rsidP="00E611D9">
      <w:pPr>
        <w:spacing w:after="0" w:line="240" w:lineRule="auto"/>
      </w:pPr>
      <w:r>
        <w:separator/>
      </w:r>
    </w:p>
  </w:footnote>
  <w:footnote w:type="continuationSeparator" w:id="0">
    <w:p w14:paraId="297B1BA5" w14:textId="77777777" w:rsidR="00FE0DB9" w:rsidRDefault="00FE0DB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34C4B82"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D45640">
            <w:rPr>
              <w:rFonts w:ascii="Arial" w:hAnsi="Arial" w:cs="Arial"/>
            </w:rPr>
            <w:t>7003</w:t>
          </w:r>
        </w:p>
      </w:tc>
      <w:tc>
        <w:tcPr>
          <w:tcW w:w="4508" w:type="dxa"/>
        </w:tcPr>
        <w:p w14:paraId="51D506A0" w14:textId="6CDAB4B3" w:rsidR="00E611D9" w:rsidRPr="00E611D9" w:rsidRDefault="00E611D9" w:rsidP="00E611D9">
          <w:pPr>
            <w:pStyle w:val="Header"/>
            <w:jc w:val="right"/>
            <w:rPr>
              <w:rFonts w:ascii="Arial" w:hAnsi="Arial" w:cs="Arial"/>
            </w:rPr>
          </w:pPr>
          <w:r>
            <w:rPr>
              <w:rFonts w:ascii="Arial" w:hAnsi="Arial" w:cs="Arial"/>
            </w:rPr>
            <w:t xml:space="preserve">Student Number: </w:t>
          </w:r>
          <w:r w:rsidR="00D45640">
            <w:rPr>
              <w:rFonts w:ascii="Arial" w:hAnsi="Arial" w:cs="Arial"/>
            </w:rPr>
            <w:t>2205341</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133EA"/>
    <w:rsid w:val="00044331"/>
    <w:rsid w:val="00087FFD"/>
    <w:rsid w:val="002229F0"/>
    <w:rsid w:val="00222EAC"/>
    <w:rsid w:val="003E55AE"/>
    <w:rsid w:val="00433F17"/>
    <w:rsid w:val="00436186"/>
    <w:rsid w:val="00490D94"/>
    <w:rsid w:val="006419C3"/>
    <w:rsid w:val="00691A46"/>
    <w:rsid w:val="006B5861"/>
    <w:rsid w:val="006C0784"/>
    <w:rsid w:val="00817F7A"/>
    <w:rsid w:val="009375F7"/>
    <w:rsid w:val="009E522D"/>
    <w:rsid w:val="00AD4EBD"/>
    <w:rsid w:val="00AD5889"/>
    <w:rsid w:val="00BC651E"/>
    <w:rsid w:val="00CD1240"/>
    <w:rsid w:val="00D45640"/>
    <w:rsid w:val="00DC0536"/>
    <w:rsid w:val="00E611D9"/>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383434">
      <w:bodyDiv w:val="1"/>
      <w:marLeft w:val="0"/>
      <w:marRight w:val="0"/>
      <w:marTop w:val="0"/>
      <w:marBottom w:val="0"/>
      <w:divBdr>
        <w:top w:val="none" w:sz="0" w:space="0" w:color="auto"/>
        <w:left w:val="none" w:sz="0" w:space="0" w:color="auto"/>
        <w:bottom w:val="none" w:sz="0" w:space="0" w:color="auto"/>
        <w:right w:val="none" w:sz="0" w:space="0" w:color="auto"/>
      </w:divBdr>
      <w:divsChild>
        <w:div w:id="2013877047">
          <w:marLeft w:val="0"/>
          <w:marRight w:val="0"/>
          <w:marTop w:val="0"/>
          <w:marBottom w:val="0"/>
          <w:divBdr>
            <w:top w:val="none" w:sz="0" w:space="0" w:color="auto"/>
            <w:left w:val="none" w:sz="0" w:space="0" w:color="auto"/>
            <w:bottom w:val="none" w:sz="0" w:space="0" w:color="auto"/>
            <w:right w:val="none" w:sz="0" w:space="0" w:color="auto"/>
          </w:divBdr>
          <w:divsChild>
            <w:div w:id="991639776">
              <w:marLeft w:val="0"/>
              <w:marRight w:val="0"/>
              <w:marTop w:val="0"/>
              <w:marBottom w:val="0"/>
              <w:divBdr>
                <w:top w:val="none" w:sz="0" w:space="0" w:color="auto"/>
                <w:left w:val="none" w:sz="0" w:space="0" w:color="auto"/>
                <w:bottom w:val="none" w:sz="0" w:space="0" w:color="auto"/>
                <w:right w:val="none" w:sz="0" w:space="0" w:color="auto"/>
              </w:divBdr>
              <w:divsChild>
                <w:div w:id="209835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699700">
      <w:bodyDiv w:val="1"/>
      <w:marLeft w:val="0"/>
      <w:marRight w:val="0"/>
      <w:marTop w:val="0"/>
      <w:marBottom w:val="0"/>
      <w:divBdr>
        <w:top w:val="none" w:sz="0" w:space="0" w:color="auto"/>
        <w:left w:val="none" w:sz="0" w:space="0" w:color="auto"/>
        <w:bottom w:val="none" w:sz="0" w:space="0" w:color="auto"/>
        <w:right w:val="none" w:sz="0" w:space="0" w:color="auto"/>
      </w:divBdr>
      <w:divsChild>
        <w:div w:id="102459244">
          <w:marLeft w:val="0"/>
          <w:marRight w:val="0"/>
          <w:marTop w:val="0"/>
          <w:marBottom w:val="0"/>
          <w:divBdr>
            <w:top w:val="none" w:sz="0" w:space="0" w:color="auto"/>
            <w:left w:val="none" w:sz="0" w:space="0" w:color="auto"/>
            <w:bottom w:val="none" w:sz="0" w:space="0" w:color="auto"/>
            <w:right w:val="none" w:sz="0" w:space="0" w:color="auto"/>
          </w:divBdr>
          <w:divsChild>
            <w:div w:id="1271813636">
              <w:marLeft w:val="0"/>
              <w:marRight w:val="0"/>
              <w:marTop w:val="0"/>
              <w:marBottom w:val="0"/>
              <w:divBdr>
                <w:top w:val="none" w:sz="0" w:space="0" w:color="auto"/>
                <w:left w:val="none" w:sz="0" w:space="0" w:color="auto"/>
                <w:bottom w:val="none" w:sz="0" w:space="0" w:color="auto"/>
                <w:right w:val="none" w:sz="0" w:space="0" w:color="auto"/>
              </w:divBdr>
              <w:divsChild>
                <w:div w:id="58985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771971">
      <w:bodyDiv w:val="1"/>
      <w:marLeft w:val="0"/>
      <w:marRight w:val="0"/>
      <w:marTop w:val="0"/>
      <w:marBottom w:val="0"/>
      <w:divBdr>
        <w:top w:val="none" w:sz="0" w:space="0" w:color="auto"/>
        <w:left w:val="none" w:sz="0" w:space="0" w:color="auto"/>
        <w:bottom w:val="none" w:sz="0" w:space="0" w:color="auto"/>
        <w:right w:val="none" w:sz="0" w:space="0" w:color="auto"/>
      </w:divBdr>
      <w:divsChild>
        <w:div w:id="654577096">
          <w:marLeft w:val="0"/>
          <w:marRight w:val="0"/>
          <w:marTop w:val="0"/>
          <w:marBottom w:val="0"/>
          <w:divBdr>
            <w:top w:val="none" w:sz="0" w:space="0" w:color="auto"/>
            <w:left w:val="none" w:sz="0" w:space="0" w:color="auto"/>
            <w:bottom w:val="none" w:sz="0" w:space="0" w:color="auto"/>
            <w:right w:val="none" w:sz="0" w:space="0" w:color="auto"/>
          </w:divBdr>
          <w:divsChild>
            <w:div w:id="278294447">
              <w:marLeft w:val="0"/>
              <w:marRight w:val="0"/>
              <w:marTop w:val="0"/>
              <w:marBottom w:val="0"/>
              <w:divBdr>
                <w:top w:val="none" w:sz="0" w:space="0" w:color="auto"/>
                <w:left w:val="none" w:sz="0" w:space="0" w:color="auto"/>
                <w:bottom w:val="none" w:sz="0" w:space="0" w:color="auto"/>
                <w:right w:val="none" w:sz="0" w:space="0" w:color="auto"/>
              </w:divBdr>
              <w:divsChild>
                <w:div w:id="72444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422530069">
      <w:bodyDiv w:val="1"/>
      <w:marLeft w:val="0"/>
      <w:marRight w:val="0"/>
      <w:marTop w:val="0"/>
      <w:marBottom w:val="0"/>
      <w:divBdr>
        <w:top w:val="none" w:sz="0" w:space="0" w:color="auto"/>
        <w:left w:val="none" w:sz="0" w:space="0" w:color="auto"/>
        <w:bottom w:val="none" w:sz="0" w:space="0" w:color="auto"/>
        <w:right w:val="none" w:sz="0" w:space="0" w:color="auto"/>
      </w:divBdr>
      <w:divsChild>
        <w:div w:id="140735929">
          <w:marLeft w:val="0"/>
          <w:marRight w:val="0"/>
          <w:marTop w:val="0"/>
          <w:marBottom w:val="0"/>
          <w:divBdr>
            <w:top w:val="none" w:sz="0" w:space="0" w:color="auto"/>
            <w:left w:val="none" w:sz="0" w:space="0" w:color="auto"/>
            <w:bottom w:val="none" w:sz="0" w:space="0" w:color="auto"/>
            <w:right w:val="none" w:sz="0" w:space="0" w:color="auto"/>
          </w:divBdr>
          <w:divsChild>
            <w:div w:id="1168784285">
              <w:marLeft w:val="0"/>
              <w:marRight w:val="0"/>
              <w:marTop w:val="0"/>
              <w:marBottom w:val="0"/>
              <w:divBdr>
                <w:top w:val="none" w:sz="0" w:space="0" w:color="auto"/>
                <w:left w:val="none" w:sz="0" w:space="0" w:color="auto"/>
                <w:bottom w:val="none" w:sz="0" w:space="0" w:color="auto"/>
                <w:right w:val="none" w:sz="0" w:space="0" w:color="auto"/>
              </w:divBdr>
              <w:divsChild>
                <w:div w:id="139057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450695">
      <w:bodyDiv w:val="1"/>
      <w:marLeft w:val="0"/>
      <w:marRight w:val="0"/>
      <w:marTop w:val="0"/>
      <w:marBottom w:val="0"/>
      <w:divBdr>
        <w:top w:val="none" w:sz="0" w:space="0" w:color="auto"/>
        <w:left w:val="none" w:sz="0" w:space="0" w:color="auto"/>
        <w:bottom w:val="none" w:sz="0" w:space="0" w:color="auto"/>
        <w:right w:val="none" w:sz="0" w:space="0" w:color="auto"/>
      </w:divBdr>
      <w:divsChild>
        <w:div w:id="1796485095">
          <w:marLeft w:val="0"/>
          <w:marRight w:val="0"/>
          <w:marTop w:val="0"/>
          <w:marBottom w:val="0"/>
          <w:divBdr>
            <w:top w:val="none" w:sz="0" w:space="0" w:color="auto"/>
            <w:left w:val="none" w:sz="0" w:space="0" w:color="auto"/>
            <w:bottom w:val="none" w:sz="0" w:space="0" w:color="auto"/>
            <w:right w:val="none" w:sz="0" w:space="0" w:color="auto"/>
          </w:divBdr>
          <w:divsChild>
            <w:div w:id="404962795">
              <w:marLeft w:val="0"/>
              <w:marRight w:val="0"/>
              <w:marTop w:val="0"/>
              <w:marBottom w:val="0"/>
              <w:divBdr>
                <w:top w:val="none" w:sz="0" w:space="0" w:color="auto"/>
                <w:left w:val="none" w:sz="0" w:space="0" w:color="auto"/>
                <w:bottom w:val="none" w:sz="0" w:space="0" w:color="auto"/>
                <w:right w:val="none" w:sz="0" w:space="0" w:color="auto"/>
              </w:divBdr>
              <w:divsChild>
                <w:div w:id="129790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592964">
      <w:bodyDiv w:val="1"/>
      <w:marLeft w:val="0"/>
      <w:marRight w:val="0"/>
      <w:marTop w:val="0"/>
      <w:marBottom w:val="0"/>
      <w:divBdr>
        <w:top w:val="none" w:sz="0" w:space="0" w:color="auto"/>
        <w:left w:val="none" w:sz="0" w:space="0" w:color="auto"/>
        <w:bottom w:val="none" w:sz="0" w:space="0" w:color="auto"/>
        <w:right w:val="none" w:sz="0" w:space="0" w:color="auto"/>
      </w:divBdr>
      <w:divsChild>
        <w:div w:id="279532709">
          <w:marLeft w:val="0"/>
          <w:marRight w:val="0"/>
          <w:marTop w:val="0"/>
          <w:marBottom w:val="0"/>
          <w:divBdr>
            <w:top w:val="none" w:sz="0" w:space="0" w:color="auto"/>
            <w:left w:val="none" w:sz="0" w:space="0" w:color="auto"/>
            <w:bottom w:val="none" w:sz="0" w:space="0" w:color="auto"/>
            <w:right w:val="none" w:sz="0" w:space="0" w:color="auto"/>
          </w:divBdr>
          <w:divsChild>
            <w:div w:id="1689678132">
              <w:marLeft w:val="0"/>
              <w:marRight w:val="0"/>
              <w:marTop w:val="0"/>
              <w:marBottom w:val="0"/>
              <w:divBdr>
                <w:top w:val="none" w:sz="0" w:space="0" w:color="auto"/>
                <w:left w:val="none" w:sz="0" w:space="0" w:color="auto"/>
                <w:bottom w:val="none" w:sz="0" w:space="0" w:color="auto"/>
                <w:right w:val="none" w:sz="0" w:space="0" w:color="auto"/>
              </w:divBdr>
              <w:divsChild>
                <w:div w:id="69168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020739x.2021.1978570" TargetMode="External"/><Relationship Id="rId18" Type="http://schemas.openxmlformats.org/officeDocument/2006/relationships/hyperlink" Target="https://doi.org/10.1007/s11858-014-0648-1" TargetMode="External"/><Relationship Id="rId26" Type="http://schemas.openxmlformats.org/officeDocument/2006/relationships/hyperlink" Target="https://doi.org/10.1007/s13384-016-0218-3" TargetMode="External"/><Relationship Id="rId21" Type="http://schemas.openxmlformats.org/officeDocument/2006/relationships/hyperlink" Target="https://doi.org/10.14689/ejer.2019.83.12"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doi.org/10.1080/2372966x.2020.1761236" TargetMode="External"/><Relationship Id="rId17" Type="http://schemas.openxmlformats.org/officeDocument/2006/relationships/hyperlink" Target="https://doi.org/10.1371/journal.pone.0054651" TargetMode="External"/><Relationship Id="rId25" Type="http://schemas.openxmlformats.org/officeDocument/2006/relationships/hyperlink" Target="https://doi.org/10.1080/13598660701793350" TargetMode="External"/><Relationship Id="rId33" Type="http://schemas.openxmlformats.org/officeDocument/2006/relationships/hyperlink" Target="https://doi.org/10.7227/rie.65.4" TargetMode="External"/><Relationship Id="rId2" Type="http://schemas.openxmlformats.org/officeDocument/2006/relationships/customXml" Target="../customXml/item2.xml"/><Relationship Id="rId16" Type="http://schemas.openxmlformats.org/officeDocument/2006/relationships/hyperlink" Target="https://doi.org/10.1177/0895904809351693" TargetMode="External"/><Relationship Id="rId20" Type="http://schemas.openxmlformats.org/officeDocument/2006/relationships/hyperlink" Target="https://doi.org/10.1002/rev3.3246" TargetMode="External"/><Relationship Id="rId29" Type="http://schemas.openxmlformats.org/officeDocument/2006/relationships/hyperlink" Target="https://www.gov.wales/sites/default/files/publications/2018-03/school-development-plans.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07/s13384-015-0188-x" TargetMode="External"/><Relationship Id="rId24" Type="http://schemas.openxmlformats.org/officeDocument/2006/relationships/hyperlink" Target="https://doi.org/10.1007/s13384-017-0252-9" TargetMode="External"/><Relationship Id="rId32" Type="http://schemas.openxmlformats.org/officeDocument/2006/relationships/hyperlink" Target="https://hwb.gov.wales/evaluation-improvement-and-accountability/school-improvement-guidance-framework-for-evaluation-improvement-and-accountability#information-and-evidence"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080/09243453.2018.1504802" TargetMode="External"/><Relationship Id="rId23" Type="http://schemas.openxmlformats.org/officeDocument/2006/relationships/hyperlink" Target="https://doi.org/10.1108/jea-09-2018-0154" TargetMode="External"/><Relationship Id="rId28" Type="http://schemas.openxmlformats.org/officeDocument/2006/relationships/hyperlink" Target="https://doi.org/10.1080/09243453.2016.1150861" TargetMode="External"/><Relationship Id="rId36" Type="http://schemas.openxmlformats.org/officeDocument/2006/relationships/fontTable" Target="fontTable.xml"/><Relationship Id="rId10" Type="http://schemas.openxmlformats.org/officeDocument/2006/relationships/hyperlink" Target="https://doi.org/10.1016/j.ijer.2020.101532" TargetMode="External"/><Relationship Id="rId19" Type="http://schemas.openxmlformats.org/officeDocument/2006/relationships/hyperlink" Target="https://doi.org/10.1080/09243453.2023.2190130" TargetMode="External"/><Relationship Id="rId31" Type="http://schemas.openxmlformats.org/officeDocument/2006/relationships/hyperlink" Target="https://hwb.gov.wales/api/storage/19bc948b-8a3f-41e0-944a-7bf2cadf7d18/professional-standards-for-teaching-and-leadership-interactive-pdf-for-pc.pdf" TargetMode="External"/><Relationship Id="rId4" Type="http://schemas.openxmlformats.org/officeDocument/2006/relationships/styles" Target="styles.xml"/><Relationship Id="rId9" Type="http://schemas.openxmlformats.org/officeDocument/2006/relationships/hyperlink" Target="https://doi.org/10.1007/s11858-015-0706-3" TargetMode="External"/><Relationship Id="rId14" Type="http://schemas.openxmlformats.org/officeDocument/2006/relationships/hyperlink" Target="https://www.estyn.gov.wales/system/files/" TargetMode="External"/><Relationship Id="rId22" Type="http://schemas.openxmlformats.org/officeDocument/2006/relationships/hyperlink" Target="https://doi.org/10.1177/1741143220979711" TargetMode="External"/><Relationship Id="rId27" Type="http://schemas.openxmlformats.org/officeDocument/2006/relationships/hyperlink" Target="https://doi.org/10.1177/1555458920938854" TargetMode="External"/><Relationship Id="rId30" Type="http://schemas.openxmlformats.org/officeDocument/2006/relationships/hyperlink" Target="https://www.gov.wales/sites/default/files/statistics-and-research/2019-12/achievement-15-year-olds-program-international-student-assessment-pisa-national-report-2018_0.pdf"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3832</Words>
  <Characters>21847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Annmarie Davies (2205341)</cp:lastModifiedBy>
  <cp:revision>12</cp:revision>
  <dcterms:created xsi:type="dcterms:W3CDTF">2020-03-27T17:05:00Z</dcterms:created>
  <dcterms:modified xsi:type="dcterms:W3CDTF">2023-04-17T19:43:00Z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