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EA6E0" w14:textId="0EA64EF2" w:rsidR="00286FFC" w:rsidRPr="00507282" w:rsidRDefault="0060574D" w:rsidP="00286FFC">
      <w:pPr>
        <w:pStyle w:val="Title"/>
        <w:rPr>
          <w:rFonts w:ascii="Arial" w:hAnsi="Arial" w:cs="Arial"/>
          <w:sz w:val="22"/>
          <w:szCs w:val="22"/>
        </w:rPr>
      </w:pPr>
      <w:r w:rsidRPr="00507282">
        <w:rPr>
          <w:rFonts w:ascii="Arial" w:hAnsi="Arial" w:cs="Arial"/>
          <w:sz w:val="22"/>
          <w:szCs w:val="22"/>
        </w:rPr>
        <w:t>Student name: Stacilee Hamilton</w:t>
      </w:r>
      <w:r w:rsidR="00B47A62" w:rsidRPr="00507282">
        <w:rPr>
          <w:rFonts w:ascii="Arial" w:hAnsi="Arial" w:cs="Arial"/>
          <w:sz w:val="22"/>
          <w:szCs w:val="22"/>
        </w:rPr>
        <w:t xml:space="preserve">  </w:t>
      </w:r>
    </w:p>
    <w:p w14:paraId="15C56C6D" w14:textId="77777777" w:rsidR="0060574D" w:rsidRPr="00507282" w:rsidRDefault="0060574D" w:rsidP="0060574D">
      <w:pPr>
        <w:rPr>
          <w:rFonts w:ascii="Arial" w:hAnsi="Arial" w:cs="Arial"/>
        </w:rPr>
      </w:pPr>
      <w:r w:rsidRPr="00507282">
        <w:rPr>
          <w:rFonts w:ascii="Arial" w:hAnsi="Arial" w:cs="Arial"/>
        </w:rPr>
        <w:t>Student number:2436469</w:t>
      </w:r>
    </w:p>
    <w:p w14:paraId="2F87A8E5" w14:textId="4A451E10" w:rsidR="0060574D" w:rsidRPr="00507282" w:rsidRDefault="0060574D" w:rsidP="0060574D">
      <w:pPr>
        <w:rPr>
          <w:rFonts w:ascii="Arial" w:hAnsi="Arial" w:cs="Arial"/>
        </w:rPr>
      </w:pPr>
      <w:r w:rsidRPr="00507282">
        <w:rPr>
          <w:rFonts w:ascii="Arial" w:hAnsi="Arial" w:cs="Arial"/>
        </w:rPr>
        <w:t>BMHP5023</w:t>
      </w:r>
      <w:r w:rsidR="00286FFC" w:rsidRPr="00507282">
        <w:rPr>
          <w:rFonts w:ascii="Arial" w:hAnsi="Arial" w:cs="Arial"/>
        </w:rPr>
        <w:t>, Introduction to physiology</w:t>
      </w:r>
    </w:p>
    <w:p w14:paraId="0267350F" w14:textId="42B3ACD4" w:rsidR="0060574D" w:rsidRPr="00507282" w:rsidRDefault="0060574D" w:rsidP="0060574D">
      <w:pPr>
        <w:rPr>
          <w:rFonts w:ascii="Arial" w:hAnsi="Arial" w:cs="Arial"/>
        </w:rPr>
      </w:pPr>
      <w:r w:rsidRPr="00507282">
        <w:rPr>
          <w:rFonts w:ascii="Arial" w:hAnsi="Arial" w:cs="Arial"/>
        </w:rPr>
        <w:t xml:space="preserve">Assignment title: </w:t>
      </w:r>
      <w:r w:rsidR="00286FFC" w:rsidRPr="00507282">
        <w:rPr>
          <w:rFonts w:ascii="Arial" w:hAnsi="Arial" w:cs="Arial"/>
        </w:rPr>
        <w:t>Case study report: T</w:t>
      </w:r>
      <w:r w:rsidRPr="00507282">
        <w:rPr>
          <w:rFonts w:ascii="Arial" w:hAnsi="Arial" w:cs="Arial"/>
        </w:rPr>
        <w:t>ype 2 diabetes</w:t>
      </w:r>
    </w:p>
    <w:p w14:paraId="4C6B2816" w14:textId="77777777" w:rsidR="0060574D" w:rsidRPr="00507282" w:rsidRDefault="0060574D" w:rsidP="0060574D">
      <w:pPr>
        <w:rPr>
          <w:rFonts w:ascii="Arial" w:hAnsi="Arial" w:cs="Arial"/>
        </w:rPr>
      </w:pPr>
    </w:p>
    <w:p w14:paraId="30E1484E" w14:textId="77777777" w:rsidR="00355D88" w:rsidRPr="00507282" w:rsidRDefault="00355D88">
      <w:pPr>
        <w:rPr>
          <w:rFonts w:ascii="Arial" w:hAnsi="Arial" w:cs="Arial"/>
        </w:rPr>
      </w:pPr>
    </w:p>
    <w:p w14:paraId="307E69BA" w14:textId="77777777" w:rsidR="0060574D" w:rsidRPr="00507282" w:rsidRDefault="0060574D">
      <w:pPr>
        <w:rPr>
          <w:rFonts w:ascii="Arial" w:hAnsi="Arial" w:cs="Arial"/>
        </w:rPr>
      </w:pPr>
    </w:p>
    <w:p w14:paraId="42F50A60" w14:textId="77777777" w:rsidR="0060574D" w:rsidRPr="00507282" w:rsidRDefault="0060574D">
      <w:pPr>
        <w:rPr>
          <w:rFonts w:ascii="Arial" w:hAnsi="Arial" w:cs="Arial"/>
        </w:rPr>
      </w:pPr>
    </w:p>
    <w:p w14:paraId="70965A52" w14:textId="77777777" w:rsidR="0060574D" w:rsidRPr="00507282" w:rsidRDefault="0060574D">
      <w:pPr>
        <w:rPr>
          <w:rFonts w:ascii="Arial" w:hAnsi="Arial" w:cs="Arial"/>
        </w:rPr>
      </w:pPr>
    </w:p>
    <w:p w14:paraId="3FB45CA9" w14:textId="77777777" w:rsidR="0060574D" w:rsidRPr="00507282" w:rsidRDefault="0060574D">
      <w:pPr>
        <w:rPr>
          <w:rFonts w:ascii="Arial" w:hAnsi="Arial" w:cs="Arial"/>
        </w:rPr>
      </w:pPr>
    </w:p>
    <w:p w14:paraId="723BCF33" w14:textId="77777777" w:rsidR="0060574D" w:rsidRPr="00507282" w:rsidRDefault="0060574D">
      <w:pPr>
        <w:rPr>
          <w:rFonts w:ascii="Arial" w:hAnsi="Arial" w:cs="Arial"/>
        </w:rPr>
      </w:pPr>
    </w:p>
    <w:p w14:paraId="4B3C1918" w14:textId="77777777" w:rsidR="0060574D" w:rsidRPr="00507282" w:rsidRDefault="0060574D">
      <w:pPr>
        <w:rPr>
          <w:rFonts w:ascii="Arial" w:hAnsi="Arial" w:cs="Arial"/>
        </w:rPr>
      </w:pPr>
    </w:p>
    <w:p w14:paraId="7678E3F7" w14:textId="77777777" w:rsidR="0060574D" w:rsidRPr="00507282" w:rsidRDefault="0060574D">
      <w:pPr>
        <w:rPr>
          <w:rFonts w:ascii="Arial" w:hAnsi="Arial" w:cs="Arial"/>
        </w:rPr>
      </w:pPr>
    </w:p>
    <w:p w14:paraId="0A8E31BB" w14:textId="77777777" w:rsidR="0060574D" w:rsidRPr="00507282" w:rsidRDefault="0060574D">
      <w:pPr>
        <w:rPr>
          <w:rFonts w:ascii="Arial" w:hAnsi="Arial" w:cs="Arial"/>
        </w:rPr>
      </w:pPr>
    </w:p>
    <w:p w14:paraId="5612A89E" w14:textId="77777777" w:rsidR="0060574D" w:rsidRPr="00507282" w:rsidRDefault="0060574D">
      <w:pPr>
        <w:rPr>
          <w:rFonts w:ascii="Arial" w:hAnsi="Arial" w:cs="Arial"/>
        </w:rPr>
      </w:pPr>
    </w:p>
    <w:p w14:paraId="19A7DF94" w14:textId="77777777" w:rsidR="0060574D" w:rsidRPr="00507282" w:rsidRDefault="0060574D">
      <w:pPr>
        <w:rPr>
          <w:rFonts w:ascii="Arial" w:hAnsi="Arial" w:cs="Arial"/>
        </w:rPr>
      </w:pPr>
    </w:p>
    <w:p w14:paraId="1DBDA07A" w14:textId="77777777" w:rsidR="0060574D" w:rsidRPr="00507282" w:rsidRDefault="0060574D">
      <w:pPr>
        <w:rPr>
          <w:rFonts w:ascii="Arial" w:hAnsi="Arial" w:cs="Arial"/>
        </w:rPr>
      </w:pPr>
    </w:p>
    <w:p w14:paraId="49B3BBA2" w14:textId="77777777" w:rsidR="0060574D" w:rsidRPr="00507282" w:rsidRDefault="0060574D">
      <w:pPr>
        <w:rPr>
          <w:rFonts w:ascii="Arial" w:hAnsi="Arial" w:cs="Arial"/>
        </w:rPr>
      </w:pPr>
    </w:p>
    <w:p w14:paraId="0D2F3AE2" w14:textId="77777777" w:rsidR="0060574D" w:rsidRPr="00507282" w:rsidRDefault="0060574D">
      <w:pPr>
        <w:rPr>
          <w:rFonts w:ascii="Arial" w:hAnsi="Arial" w:cs="Arial"/>
        </w:rPr>
      </w:pPr>
    </w:p>
    <w:p w14:paraId="63A2491D" w14:textId="77777777" w:rsidR="0060574D" w:rsidRPr="00507282" w:rsidRDefault="0060574D">
      <w:pPr>
        <w:rPr>
          <w:rFonts w:ascii="Arial" w:hAnsi="Arial" w:cs="Arial"/>
        </w:rPr>
      </w:pPr>
    </w:p>
    <w:p w14:paraId="04665261" w14:textId="77777777" w:rsidR="0060574D" w:rsidRPr="00507282" w:rsidRDefault="0060574D">
      <w:pPr>
        <w:rPr>
          <w:rFonts w:ascii="Arial" w:hAnsi="Arial" w:cs="Arial"/>
        </w:rPr>
      </w:pPr>
    </w:p>
    <w:p w14:paraId="2CDB0063" w14:textId="77777777" w:rsidR="0060574D" w:rsidRPr="00507282" w:rsidRDefault="0060574D">
      <w:pPr>
        <w:rPr>
          <w:rFonts w:ascii="Arial" w:hAnsi="Arial" w:cs="Arial"/>
        </w:rPr>
      </w:pPr>
    </w:p>
    <w:p w14:paraId="72A0D7A0" w14:textId="77777777" w:rsidR="0060574D" w:rsidRPr="00507282" w:rsidRDefault="0060574D">
      <w:pPr>
        <w:rPr>
          <w:rFonts w:ascii="Arial" w:hAnsi="Arial" w:cs="Arial"/>
        </w:rPr>
      </w:pPr>
    </w:p>
    <w:p w14:paraId="18835910" w14:textId="77777777" w:rsidR="0060574D" w:rsidRPr="00507282" w:rsidRDefault="0060574D">
      <w:pPr>
        <w:rPr>
          <w:rFonts w:ascii="Arial" w:hAnsi="Arial" w:cs="Arial"/>
        </w:rPr>
      </w:pPr>
    </w:p>
    <w:p w14:paraId="4C117F33" w14:textId="77777777" w:rsidR="0060574D" w:rsidRPr="00507282" w:rsidRDefault="0060574D">
      <w:pPr>
        <w:rPr>
          <w:rFonts w:ascii="Arial" w:hAnsi="Arial" w:cs="Arial"/>
        </w:rPr>
      </w:pPr>
    </w:p>
    <w:p w14:paraId="64C5B908" w14:textId="77777777" w:rsidR="0060574D" w:rsidRPr="00507282" w:rsidRDefault="0060574D">
      <w:pPr>
        <w:rPr>
          <w:rFonts w:ascii="Arial" w:hAnsi="Arial" w:cs="Arial"/>
        </w:rPr>
      </w:pPr>
    </w:p>
    <w:p w14:paraId="29CA156A" w14:textId="77777777" w:rsidR="0060574D" w:rsidRPr="00507282" w:rsidRDefault="0060574D">
      <w:pPr>
        <w:rPr>
          <w:rFonts w:ascii="Arial" w:hAnsi="Arial" w:cs="Arial"/>
        </w:rPr>
      </w:pPr>
    </w:p>
    <w:p w14:paraId="6441F524" w14:textId="77777777" w:rsidR="0060574D" w:rsidRPr="00507282" w:rsidRDefault="0060574D">
      <w:pPr>
        <w:rPr>
          <w:rFonts w:ascii="Arial" w:hAnsi="Arial" w:cs="Arial"/>
        </w:rPr>
      </w:pPr>
    </w:p>
    <w:p w14:paraId="6D9C5C04" w14:textId="77777777" w:rsidR="00286FFC" w:rsidRPr="00507282" w:rsidRDefault="00286FFC" w:rsidP="00B47A62">
      <w:pPr>
        <w:rPr>
          <w:rFonts w:ascii="Arial" w:hAnsi="Arial" w:cs="Arial"/>
        </w:rPr>
      </w:pPr>
    </w:p>
    <w:p w14:paraId="170CB4C0" w14:textId="77777777" w:rsidR="00286FFC" w:rsidRPr="00507282" w:rsidRDefault="00286FFC" w:rsidP="00B47A62">
      <w:pPr>
        <w:rPr>
          <w:rFonts w:ascii="Arial" w:hAnsi="Arial" w:cs="Arial"/>
        </w:rPr>
      </w:pPr>
    </w:p>
    <w:p w14:paraId="6A0B242F" w14:textId="77777777" w:rsidR="0011016B" w:rsidRPr="00507282" w:rsidRDefault="0011016B" w:rsidP="00B47A62">
      <w:pPr>
        <w:rPr>
          <w:rFonts w:ascii="Arial" w:hAnsi="Arial" w:cs="Arial"/>
        </w:rPr>
      </w:pPr>
    </w:p>
    <w:p w14:paraId="3ABE714A" w14:textId="77777777" w:rsidR="00507282" w:rsidRDefault="00507282" w:rsidP="0011016B">
      <w:pPr>
        <w:rPr>
          <w:rFonts w:ascii="Arial" w:hAnsi="Arial" w:cs="Arial"/>
          <w:u w:val="single"/>
        </w:rPr>
      </w:pPr>
    </w:p>
    <w:p w14:paraId="087FB31B" w14:textId="77777777" w:rsidR="00507282" w:rsidRDefault="00507282" w:rsidP="0011016B">
      <w:pPr>
        <w:rPr>
          <w:rFonts w:ascii="Arial" w:hAnsi="Arial" w:cs="Arial"/>
          <w:u w:val="single"/>
        </w:rPr>
      </w:pPr>
    </w:p>
    <w:p w14:paraId="42E8ED47" w14:textId="370CFE2C" w:rsidR="0011016B" w:rsidRPr="00507282" w:rsidRDefault="0011016B" w:rsidP="0011016B">
      <w:pPr>
        <w:rPr>
          <w:rFonts w:ascii="Arial" w:hAnsi="Arial" w:cs="Arial"/>
          <w:u w:val="single"/>
        </w:rPr>
      </w:pPr>
      <w:r w:rsidRPr="00507282">
        <w:rPr>
          <w:rFonts w:ascii="Arial" w:hAnsi="Arial" w:cs="Arial"/>
          <w:u w:val="single"/>
        </w:rPr>
        <w:t>Introduction:</w:t>
      </w:r>
      <w:r w:rsidR="00507282" w:rsidRPr="00507282">
        <w:rPr>
          <w:rFonts w:ascii="Arial" w:hAnsi="Arial" w:cs="Arial"/>
          <w:u w:val="single"/>
        </w:rPr>
        <w:t xml:space="preserve"> </w:t>
      </w:r>
    </w:p>
    <w:p w14:paraId="21E2CD1D" w14:textId="6E645779" w:rsidR="0011016B" w:rsidRPr="00507282" w:rsidRDefault="00B47A62" w:rsidP="00B47A62">
      <w:pPr>
        <w:rPr>
          <w:rFonts w:ascii="Arial" w:hAnsi="Arial" w:cs="Arial"/>
        </w:rPr>
      </w:pPr>
      <w:r w:rsidRPr="00507282">
        <w:rPr>
          <w:rFonts w:ascii="Arial" w:hAnsi="Arial" w:cs="Arial"/>
        </w:rPr>
        <w:t xml:space="preserve">Type 2 diabetes is a long-term metabolic condition characterised by persistently raised blood glucose levels due to insulin resistance and, over time, reduced insulin production (Porth, 2021). Insulin is a hormone produced by the beta cells in the islets of Langerhans in the pancreas and plays a key role in regulating blood glucose by enabling glucose to enter body cells for energy or storage (Marieb and Hoehn, 2023). When insulin is ineffective, glucose remains in the bloodstream, resulting in hyperglycaemia and </w:t>
      </w:r>
      <w:r w:rsidR="0011016B" w:rsidRPr="00507282">
        <w:rPr>
          <w:rFonts w:ascii="Arial" w:hAnsi="Arial" w:cs="Arial"/>
        </w:rPr>
        <w:t>long-term complications.</w:t>
      </w:r>
      <w:r w:rsidR="00EC3662" w:rsidRPr="00507282">
        <w:rPr>
          <w:rFonts w:ascii="Arial" w:hAnsi="Arial" w:cs="Arial"/>
        </w:rPr>
        <w:t xml:space="preserve"> One of the most significant risk factors </w:t>
      </w:r>
      <w:r w:rsidR="00507282" w:rsidRPr="00507282">
        <w:rPr>
          <w:rFonts w:ascii="Arial" w:hAnsi="Arial" w:cs="Arial"/>
        </w:rPr>
        <w:t xml:space="preserve">of type 2 diabetes </w:t>
      </w:r>
      <w:r w:rsidR="00EC3662" w:rsidRPr="00507282">
        <w:rPr>
          <w:rFonts w:ascii="Arial" w:hAnsi="Arial" w:cs="Arial"/>
        </w:rPr>
        <w:t>is obesity, as excess body fat can reduce the body's sensitivity to insulin, leading to higher blood glucose levels. Family history also plays an important role, as individuals with close relatives who have diabetes are at a greater risk of developing the condition themselves due to genetic factors. Age is another key risk factor, with the likelihood of developing Type 2 diabetes increasing as people get older, especially after the age of 45. Ethnicity can also influence risk, as some ethnic groups have a higher prevalence of diabetes due to a combination of genetic, environmental, and lifestyle factors. Physical inactivity contributes to diabetes risk because regular exercise helps the body use insulin more effectively and maintain a healthy weight. Additionally, a poor diet that is high in sugar, saturated fats, and processed foods can increase the risk of obesity and insulin resistance, both of which are linked to the development of diabetes.</w:t>
      </w:r>
      <w:r w:rsidR="00507282" w:rsidRPr="00507282">
        <w:rPr>
          <w:rFonts w:ascii="Arial" w:hAnsi="Arial" w:cs="Arial"/>
        </w:rPr>
        <w:t xml:space="preserve"> (DRWF, 2026) Understanding these factors is important for promoting healthier lifestyles. The purpo</w:t>
      </w:r>
      <w:r w:rsidR="002D0056" w:rsidRPr="00507282">
        <w:rPr>
          <w:rFonts w:ascii="Arial" w:hAnsi="Arial" w:cs="Arial"/>
        </w:rPr>
        <w:t xml:space="preserve">se of this report is to examine diabetes in detail, including its causes, risk factors, symptoms, complications, and methods of prevention and management. </w:t>
      </w:r>
    </w:p>
    <w:p w14:paraId="0D6A07BB" w14:textId="0C0C3B53" w:rsidR="0011016B" w:rsidRPr="00507282" w:rsidRDefault="0011016B" w:rsidP="00B47A62">
      <w:pPr>
        <w:rPr>
          <w:rFonts w:ascii="Arial" w:hAnsi="Arial" w:cs="Arial"/>
          <w:u w:val="single"/>
        </w:rPr>
      </w:pPr>
      <w:r w:rsidRPr="00507282">
        <w:rPr>
          <w:rFonts w:ascii="Arial" w:hAnsi="Arial" w:cs="Arial"/>
          <w:u w:val="single"/>
        </w:rPr>
        <w:t>Anatomy and physiology of blood glucose regulation</w:t>
      </w:r>
    </w:p>
    <w:p w14:paraId="317F5234" w14:textId="144C450C" w:rsidR="00316794" w:rsidRPr="00507282" w:rsidRDefault="00B41315" w:rsidP="00B41315">
      <w:pPr>
        <w:spacing w:after="0" w:line="240" w:lineRule="auto"/>
        <w:rPr>
          <w:rFonts w:ascii="Arial" w:eastAsia="Times New Roman" w:hAnsi="Arial" w:cs="Arial"/>
          <w:color w:val="000000"/>
          <w:kern w:val="0"/>
          <w:lang w:eastAsia="en-GB"/>
          <w14:ligatures w14:val="none"/>
        </w:rPr>
      </w:pPr>
      <w:r w:rsidRPr="00507282">
        <w:rPr>
          <w:rFonts w:ascii="Arial" w:eastAsia="Times New Roman" w:hAnsi="Arial" w:cs="Arial"/>
          <w:color w:val="000000"/>
          <w:kern w:val="0"/>
          <w:lang w:eastAsia="en-GB"/>
          <w14:ligatures w14:val="none"/>
        </w:rPr>
        <w:t>The pancreas is divided into three main sections: the head, body, and tail. The pancreas has both exocrine and endocrine functions. The exocrine portion makes up most of the organ and produces digestive enzymes that are released into the small intestine to help break down carbohydrates, proteins, and fats.</w:t>
      </w:r>
      <w:r w:rsidRPr="00507282">
        <w:rPr>
          <w:rFonts w:ascii="Arial" w:hAnsi="Arial" w:cs="Arial"/>
        </w:rPr>
        <w:t xml:space="preserve"> </w:t>
      </w:r>
      <w:r w:rsidRPr="00507282">
        <w:rPr>
          <w:rFonts w:ascii="Arial" w:eastAsia="Times New Roman" w:hAnsi="Arial" w:cs="Arial"/>
          <w:color w:val="000000"/>
          <w:kern w:val="0"/>
          <w:lang w:eastAsia="en-GB"/>
          <w14:ligatures w14:val="none"/>
        </w:rPr>
        <w:t>The pancreas therefore acts as a key organ in maintaining homeostasis by ensuring that blood sugar levels remain within a normal range. When blood glucose levels rise, insulin is released to lower them, and when blood glucose levels fall, glucagon is released to increase them. This balance is essential for providing cells with a constant supply of energy and supporting normal body functions.</w:t>
      </w:r>
    </w:p>
    <w:p w14:paraId="064949DD" w14:textId="77777777" w:rsidR="00B47A62" w:rsidRPr="00B47A62" w:rsidRDefault="00B47A62" w:rsidP="00B47A62">
      <w:pPr>
        <w:rPr>
          <w:rFonts w:ascii="Arial" w:hAnsi="Arial" w:cs="Arial"/>
        </w:rPr>
      </w:pPr>
      <w:r w:rsidRPr="00B47A62">
        <w:rPr>
          <w:rFonts w:ascii="Arial" w:hAnsi="Arial" w:cs="Arial"/>
        </w:rPr>
        <w:t>Under normal physiological conditions, blood glucose regulation is controlled by a negative feedback system involving insulin and glucagon. After food intake, carbohydrate digestion increases blood glucose levels. In response, pancreatic beta cells release insulin, which stimulates glucose uptake in muscle, liver and adipose tissue. When blood glucose levels fall, pancreatic alpha cells release glucagon, which stimulates glycogen breakdown in the liver to release glucose into the bloodstream, maintaining homeostasis (Tortora and Derrickson, 2023).</w:t>
      </w:r>
    </w:p>
    <w:p w14:paraId="23427897" w14:textId="14CA926A" w:rsidR="00936A33" w:rsidRDefault="00B47A62" w:rsidP="00B47A62">
      <w:pPr>
        <w:rPr>
          <w:rFonts w:ascii="Arial" w:hAnsi="Arial" w:cs="Arial"/>
        </w:rPr>
      </w:pPr>
      <w:r w:rsidRPr="00B47A62">
        <w:rPr>
          <w:rFonts w:ascii="Arial" w:hAnsi="Arial" w:cs="Arial"/>
        </w:rPr>
        <w:t>Cell metabolism relies on glucose and oxygen for aerobic respiration, which occurs in the mitochondria and produces adenosine triphosphate (ATP). ATP is essential for muscle contraction, nerve transmission and cellular repair. Without effective glucose uptake, cells experience reduced energy production, leading to fatigue and metabolic dysfunction (Marieb and Hoehn, 2023).</w:t>
      </w:r>
    </w:p>
    <w:p w14:paraId="3A5FB6C3" w14:textId="5437330F" w:rsidR="00936A33" w:rsidRPr="00936A33" w:rsidRDefault="00936A33" w:rsidP="00B47A62">
      <w:pPr>
        <w:rPr>
          <w:rFonts w:ascii="Arial" w:hAnsi="Arial" w:cs="Arial"/>
          <w:u w:val="single"/>
        </w:rPr>
      </w:pPr>
      <w:r w:rsidRPr="00936A33">
        <w:rPr>
          <w:rFonts w:ascii="Arial" w:hAnsi="Arial" w:cs="Arial"/>
          <w:u w:val="single"/>
        </w:rPr>
        <w:t>Pathophysiology</w:t>
      </w:r>
      <w:r w:rsidR="003439E1">
        <w:rPr>
          <w:rFonts w:ascii="Arial" w:hAnsi="Arial" w:cs="Arial"/>
          <w:u w:val="single"/>
        </w:rPr>
        <w:t xml:space="preserve"> and Impact</w:t>
      </w:r>
      <w:r w:rsidRPr="00936A33">
        <w:rPr>
          <w:rFonts w:ascii="Arial" w:hAnsi="Arial" w:cs="Arial"/>
          <w:u w:val="single"/>
        </w:rPr>
        <w:t>:</w:t>
      </w:r>
    </w:p>
    <w:p w14:paraId="1AA4046B" w14:textId="1DDF92B8" w:rsidR="003439E1" w:rsidRDefault="00B47A62" w:rsidP="00B47A62">
      <w:pPr>
        <w:rPr>
          <w:rFonts w:ascii="Arial" w:hAnsi="Arial" w:cs="Arial"/>
        </w:rPr>
      </w:pPr>
      <w:r w:rsidRPr="00B47A62">
        <w:rPr>
          <w:rFonts w:ascii="Arial" w:hAnsi="Arial" w:cs="Arial"/>
        </w:rPr>
        <w:t xml:space="preserve">Type 2 diabetes develops through progressive insulin resistance, where body cells become less responsive to insulin. The pancreas initially compensates by increasing insulin production; however, over time, beta cells become exhausted, leading to chronic </w:t>
      </w:r>
      <w:r w:rsidRPr="00B47A62">
        <w:rPr>
          <w:rFonts w:ascii="Arial" w:hAnsi="Arial" w:cs="Arial"/>
        </w:rPr>
        <w:lastRenderedPageBreak/>
        <w:t xml:space="preserve">hyperglycaemia (NICE, 2024). Persistently high blood glucose damages blood vessels and nerves, increasing the risk of cardiovascular disease, kidney disease, neuropathy and </w:t>
      </w:r>
      <w:r w:rsidR="00507282" w:rsidRPr="00B47A62">
        <w:rPr>
          <w:rFonts w:ascii="Arial" w:hAnsi="Arial" w:cs="Arial"/>
        </w:rPr>
        <w:t xml:space="preserve">retinopathy. </w:t>
      </w:r>
    </w:p>
    <w:p w14:paraId="3DD50933" w14:textId="64AEA2AF" w:rsidR="00B47A62" w:rsidRDefault="00507282" w:rsidP="00B47A62">
      <w:pPr>
        <w:rPr>
          <w:rFonts w:ascii="Arial" w:hAnsi="Arial" w:cs="Arial"/>
        </w:rPr>
      </w:pPr>
      <w:r w:rsidRPr="00B47A62">
        <w:rPr>
          <w:rFonts w:ascii="Arial" w:hAnsi="Arial" w:cs="Arial"/>
        </w:rPr>
        <w:t>Lifestyle</w:t>
      </w:r>
      <w:r w:rsidR="00B47A62" w:rsidRPr="00B47A62">
        <w:rPr>
          <w:rFonts w:ascii="Arial" w:hAnsi="Arial" w:cs="Arial"/>
        </w:rPr>
        <w:t xml:space="preserve"> factors significantly contribute to disease progression. Obesity increases insulin resistance due to inflammatory chemicals released from adipose tissue. </w:t>
      </w:r>
      <w:r w:rsidRPr="00B47A62">
        <w:rPr>
          <w:rFonts w:ascii="Arial" w:hAnsi="Arial" w:cs="Arial"/>
        </w:rPr>
        <w:t>Physical inactivity</w:t>
      </w:r>
      <w:r w:rsidR="00316794" w:rsidRPr="00B47A62">
        <w:rPr>
          <w:rFonts w:ascii="Arial" w:hAnsi="Arial" w:cs="Arial"/>
        </w:rPr>
        <w:t xml:space="preserve"> reduces</w:t>
      </w:r>
      <w:r w:rsidR="00B47A62" w:rsidRPr="00B47A62">
        <w:rPr>
          <w:rFonts w:ascii="Arial" w:hAnsi="Arial" w:cs="Arial"/>
        </w:rPr>
        <w:t xml:space="preserve"> muscle glucose uptake, worsening glycaemic control. Diets high in sugar, saturated fat and processed foods contribute to weight gain and unstable blood glucose levels. Smoking increases vascular inflammation and worsens insulin resistance (WHO, 2024).</w:t>
      </w:r>
    </w:p>
    <w:p w14:paraId="6D69504C" w14:textId="0AE5DC74" w:rsidR="00901907" w:rsidRPr="00901907" w:rsidRDefault="00901907" w:rsidP="00B47A62">
      <w:pPr>
        <w:rPr>
          <w:rFonts w:ascii="Arial" w:hAnsi="Arial" w:cs="Arial"/>
          <w:u w:val="single"/>
        </w:rPr>
      </w:pPr>
      <w:r w:rsidRPr="00901907">
        <w:rPr>
          <w:rFonts w:ascii="Arial" w:hAnsi="Arial" w:cs="Arial"/>
          <w:u w:val="single"/>
        </w:rPr>
        <w:t>Monitoring and data use:</w:t>
      </w:r>
    </w:p>
    <w:p w14:paraId="619BB74A" w14:textId="77777777" w:rsidR="00221D54" w:rsidRPr="00221D54" w:rsidRDefault="00221D54" w:rsidP="00221D54">
      <w:pPr>
        <w:rPr>
          <w:rFonts w:ascii="Arial" w:hAnsi="Arial" w:cs="Arial"/>
        </w:rPr>
      </w:pPr>
      <w:r w:rsidRPr="00221D54">
        <w:rPr>
          <w:rFonts w:ascii="Arial" w:hAnsi="Arial" w:cs="Arial"/>
        </w:rPr>
        <w:t>Regular monitoring is essential in the management of Type 2 diabetes because it provides information about how effectively blood glucose levels are being controlled and helps to reduce the risk of long-term complications (NICE, 2024). Healthcare professionals use a range of data, including blood glucose readings, HbA1c results, blood pressure measurements, body weight and cholesterol levels, to assess a patient's overall health and determine whether current treatment strategies are effective (NHS, 2024).</w:t>
      </w:r>
    </w:p>
    <w:p w14:paraId="2DD37B02" w14:textId="77777777" w:rsidR="00221D54" w:rsidRPr="00221D54" w:rsidRDefault="00221D54" w:rsidP="00221D54">
      <w:pPr>
        <w:rPr>
          <w:rFonts w:ascii="Arial" w:hAnsi="Arial" w:cs="Arial"/>
        </w:rPr>
      </w:pPr>
      <w:r w:rsidRPr="00221D54">
        <w:rPr>
          <w:rFonts w:ascii="Arial" w:hAnsi="Arial" w:cs="Arial"/>
        </w:rPr>
        <w:t>One of the most important monitoring tools is the HbA1c test, which measures average blood glucose levels over the previous two to three months (Diabetes UK, 2024). Unlike a single blood glucose reading, HbA1c provides a longer-term picture of glycaemic control. Monitoring HbA1c trends over time allows clinicians to identify whether a patient's diabetes is improving, remaining stable or deteriorating. A rising HbA1c level may indicate worsening insulin resistance, poor dietary control, inadequate physical activity or ineffective medication management, whereas a reduction in HbA1c suggests that treatment interventions are successfully improving glucose regulation (NICE, 2024).</w:t>
      </w:r>
    </w:p>
    <w:p w14:paraId="2522CF80" w14:textId="77777777" w:rsidR="00221D54" w:rsidRPr="00221D54" w:rsidRDefault="00221D54" w:rsidP="00221D54">
      <w:pPr>
        <w:rPr>
          <w:rFonts w:ascii="Arial" w:hAnsi="Arial" w:cs="Arial"/>
        </w:rPr>
      </w:pPr>
      <w:r w:rsidRPr="00221D54">
        <w:rPr>
          <w:rFonts w:ascii="Arial" w:hAnsi="Arial" w:cs="Arial"/>
        </w:rPr>
        <w:t>The analysis of routine monitoring data enables healthcare professionals to make evidence-based decisions regarding treatment. If HbA1c levels remain above recommended targets, clinicians may recommend lifestyle modifications, adjust medication dosages or introduce additional therapies to improve blood glucose control (NICE, 2024). This personalised approach helps to optimise patient outcomes and reduce the risk of disease progression (Davies et al., 2025).</w:t>
      </w:r>
    </w:p>
    <w:p w14:paraId="437F17D3" w14:textId="77777777" w:rsidR="00221D54" w:rsidRPr="00221D54" w:rsidRDefault="00221D54" w:rsidP="00221D54">
      <w:pPr>
        <w:rPr>
          <w:rFonts w:ascii="Arial" w:hAnsi="Arial" w:cs="Arial"/>
        </w:rPr>
      </w:pPr>
      <w:r w:rsidRPr="00221D54">
        <w:rPr>
          <w:rFonts w:ascii="Arial" w:hAnsi="Arial" w:cs="Arial"/>
        </w:rPr>
        <w:t>Regular monitoring also plays a crucial role in preventing complications associated with Type 2 diabetes. Long-term hyperglycaemia can damage blood vessels and nerves, increasing the risk of cardiovascular disease, kidney disease, neuropathy and retinopathy (WHO, 2024). By identifying poor glycaemic control at an early stage, healthcare professionals can intervene before significant complications develop, thereby improving long-term health outcomes (NHS, 2024).</w:t>
      </w:r>
    </w:p>
    <w:p w14:paraId="7DC1C793" w14:textId="77777777" w:rsidR="00221D54" w:rsidRPr="00221D54" w:rsidRDefault="00221D54" w:rsidP="00221D54">
      <w:pPr>
        <w:rPr>
          <w:rFonts w:ascii="Arial" w:hAnsi="Arial" w:cs="Arial"/>
        </w:rPr>
      </w:pPr>
      <w:r w:rsidRPr="00221D54">
        <w:rPr>
          <w:rFonts w:ascii="Arial" w:hAnsi="Arial" w:cs="Arial"/>
        </w:rPr>
        <w:t>Patient self-management is an important component of diabetes care. Many individuals regularly monitor their blood glucose levels and record information relating to diet, exercise and medication adherence. This allows them to recognise patterns and understand how lifestyle behaviours affect blood glucose control. Research suggests that patients who actively engage in self-management are more likely to achieve improved glycaemic control and better health outcomes (Diabetes UK, 2024; American Diabetes Association, 2024).</w:t>
      </w:r>
    </w:p>
    <w:p w14:paraId="5310670F" w14:textId="674CBF3D" w:rsidR="00FD4BAB" w:rsidRPr="00FD4BAB" w:rsidRDefault="00FD4BAB" w:rsidP="00FD4BAB">
      <w:pPr>
        <w:rPr>
          <w:rFonts w:ascii="Arial" w:hAnsi="Arial" w:cs="Arial"/>
        </w:rPr>
      </w:pPr>
    </w:p>
    <w:p w14:paraId="3E85B020" w14:textId="6CAFA6B1" w:rsidR="00B47A62" w:rsidRDefault="00B47A62" w:rsidP="00B47A62">
      <w:pPr>
        <w:rPr>
          <w:rFonts w:ascii="Arial" w:hAnsi="Arial" w:cs="Arial"/>
        </w:rPr>
      </w:pPr>
    </w:p>
    <w:p w14:paraId="3D4FB56C" w14:textId="77777777" w:rsidR="00CA249A" w:rsidRPr="00B47A62" w:rsidRDefault="00CA249A" w:rsidP="00B47A62">
      <w:pPr>
        <w:rPr>
          <w:rFonts w:ascii="Arial" w:hAnsi="Arial" w:cs="Arial"/>
        </w:rPr>
      </w:pPr>
    </w:p>
    <w:p w14:paraId="529CF5FE" w14:textId="4E419F69" w:rsidR="00901907" w:rsidRPr="00901907" w:rsidRDefault="00901907" w:rsidP="00B47A62">
      <w:pPr>
        <w:rPr>
          <w:rFonts w:ascii="Arial" w:hAnsi="Arial" w:cs="Arial"/>
          <w:u w:val="single"/>
        </w:rPr>
      </w:pPr>
      <w:r w:rsidRPr="00901907">
        <w:rPr>
          <w:rFonts w:ascii="Arial" w:hAnsi="Arial" w:cs="Arial"/>
          <w:u w:val="single"/>
        </w:rPr>
        <w:lastRenderedPageBreak/>
        <w:t>Evidence-based lifestyle recommendations:</w:t>
      </w:r>
    </w:p>
    <w:p w14:paraId="0502CCEF" w14:textId="77777777" w:rsidR="00F271FA" w:rsidRPr="00F271FA" w:rsidRDefault="00F271FA" w:rsidP="00F271FA">
      <w:pPr>
        <w:rPr>
          <w:rFonts w:ascii="Arial" w:hAnsi="Arial" w:cs="Arial"/>
        </w:rPr>
      </w:pPr>
      <w:r w:rsidRPr="00F271FA">
        <w:rPr>
          <w:rFonts w:ascii="Arial" w:hAnsi="Arial" w:cs="Arial"/>
        </w:rPr>
        <w:t xml:space="preserve">Weight loss is clinically significant in Type 2 diabetes because it reduces visceral adiposity, particularly around the liver and pancreas. This is important because excess visceral fat is metabolically active and releases inflammatory cytokines such as TNF-α and interleukins, which interfere with insulin signalling pathways. As a result, insulin receptors become less responsive, increasing insulin resistance. When weight is reduced, fat accumulation in the liver decreases, improving hepatic insulin sensitivity and restoring more normal regulation of glucose production and uptake. This explains why substantial weight loss can lead to remission in some individuals (Lean </w:t>
      </w:r>
      <w:r w:rsidRPr="00F271FA">
        <w:rPr>
          <w:rFonts w:ascii="Arial" w:hAnsi="Arial" w:cs="Arial"/>
          <w:i/>
          <w:iCs/>
        </w:rPr>
        <w:t>et al</w:t>
      </w:r>
      <w:r w:rsidRPr="00F271FA">
        <w:rPr>
          <w:rFonts w:ascii="Arial" w:hAnsi="Arial" w:cs="Arial"/>
        </w:rPr>
        <w:t>., 2018).</w:t>
      </w:r>
    </w:p>
    <w:p w14:paraId="577CAAA4" w14:textId="77777777" w:rsidR="00F271FA" w:rsidRPr="00F271FA" w:rsidRDefault="00F271FA" w:rsidP="00F271FA">
      <w:pPr>
        <w:rPr>
          <w:rFonts w:ascii="Arial" w:hAnsi="Arial" w:cs="Arial"/>
        </w:rPr>
      </w:pPr>
      <w:r w:rsidRPr="00F271FA">
        <w:rPr>
          <w:rFonts w:ascii="Arial" w:hAnsi="Arial" w:cs="Arial"/>
        </w:rPr>
        <w:t>Physical activity improves glucose regulation through both acute and chronic physiological mechanisms. During muscle contraction, glucose uptake increases independently of insulin through activation of GLUT4 transporters, which move to the cell surface and allow glucose entry into skeletal muscle cells. Over time, regular exercise improves insulin sensitivity and metabolic efficiency, reducing the amount of insulin required to control blood glucose levels (NHS, 2024).</w:t>
      </w:r>
    </w:p>
    <w:p w14:paraId="64AB29CC" w14:textId="77777777" w:rsidR="00F271FA" w:rsidRPr="00F271FA" w:rsidRDefault="00F271FA" w:rsidP="00F271FA">
      <w:pPr>
        <w:rPr>
          <w:rFonts w:ascii="Arial" w:hAnsi="Arial" w:cs="Arial"/>
        </w:rPr>
      </w:pPr>
      <w:r w:rsidRPr="00F271FA">
        <w:rPr>
          <w:rFonts w:ascii="Arial" w:hAnsi="Arial" w:cs="Arial"/>
        </w:rPr>
        <w:t>Dietary fibre plays a key role in stabilising blood glucose levels by slowing gastric emptying and reducing the rate of carbohydrate absorption in the small intestine. This leads to a more gradual rise in postprandial blood glucose, reducing stress on pancreatic beta cells and helping preserve insulin function. High-fibre diets also improve satiety, supporting weight management and improving long-term glycaemic control (WHO, 2024).</w:t>
      </w:r>
    </w:p>
    <w:p w14:paraId="156F573F" w14:textId="77777777" w:rsidR="00F271FA" w:rsidRPr="00F271FA" w:rsidRDefault="00F271FA" w:rsidP="00F271FA">
      <w:pPr>
        <w:rPr>
          <w:rFonts w:ascii="Arial" w:hAnsi="Arial" w:cs="Arial"/>
        </w:rPr>
      </w:pPr>
      <w:r w:rsidRPr="00F271FA">
        <w:rPr>
          <w:rFonts w:ascii="Arial" w:hAnsi="Arial" w:cs="Arial"/>
        </w:rPr>
        <w:t>Overall, these interventions are effective because they directly target the underlying pathophysiology of Type 2 diabetes, including insulin resistance, impaired glucose uptake, and pancreatic stress, which is why they are recommended as first-line treatment (NICE, 2024).</w:t>
      </w:r>
    </w:p>
    <w:p w14:paraId="595B4D41" w14:textId="25B8D2F0" w:rsidR="00B47A62" w:rsidRDefault="00B47A62" w:rsidP="00B47A62">
      <w:pPr>
        <w:rPr>
          <w:rFonts w:ascii="Arial" w:hAnsi="Arial" w:cs="Arial"/>
        </w:rPr>
      </w:pPr>
    </w:p>
    <w:p w14:paraId="381447CA" w14:textId="403200DF" w:rsidR="00901907" w:rsidRDefault="00901907" w:rsidP="00B47A62">
      <w:pPr>
        <w:rPr>
          <w:rFonts w:ascii="Arial" w:hAnsi="Arial" w:cs="Arial"/>
          <w:u w:val="single"/>
        </w:rPr>
      </w:pPr>
      <w:r w:rsidRPr="00901907">
        <w:rPr>
          <w:rFonts w:ascii="Arial" w:hAnsi="Arial" w:cs="Arial"/>
          <w:u w:val="single"/>
        </w:rPr>
        <w:t>Conclusion:</w:t>
      </w:r>
    </w:p>
    <w:p w14:paraId="65E411E1" w14:textId="3BE0F55F" w:rsidR="00936A33" w:rsidRPr="00936A33" w:rsidRDefault="00936A33" w:rsidP="00936A33">
      <w:pPr>
        <w:rPr>
          <w:rFonts w:ascii="Arial" w:hAnsi="Arial" w:cs="Arial"/>
        </w:rPr>
      </w:pPr>
      <w:r w:rsidRPr="00936A33">
        <w:rPr>
          <w:rFonts w:ascii="Arial" w:hAnsi="Arial" w:cs="Arial"/>
        </w:rPr>
        <w:t>To conclude,</w:t>
      </w:r>
      <w:r w:rsidRPr="00936A33">
        <w:t xml:space="preserve"> </w:t>
      </w:r>
      <w:r w:rsidRPr="00936A33">
        <w:rPr>
          <w:rFonts w:ascii="Arial" w:hAnsi="Arial" w:cs="Arial"/>
        </w:rPr>
        <w:t>Type 2 diabetes is a complex metabolic disorder that disrupts normal glucose regulation and cellular energy production. When unmanaged, it leads to serious long-term complications affecting multiple body systems. However, evidence shows that lifestyle modification, routine monitoring and healthcare professional support significantly improve outcomes. Understanding the condition and its pathophysiology is essential for effective management, while patient education remains central to improving quality of life and reducing complications.</w:t>
      </w:r>
      <w:r>
        <w:rPr>
          <w:rFonts w:ascii="Arial" w:hAnsi="Arial" w:cs="Arial"/>
        </w:rPr>
        <w:t xml:space="preserve"> H</w:t>
      </w:r>
      <w:r w:rsidRPr="00936A33">
        <w:rPr>
          <w:rFonts w:ascii="Arial" w:hAnsi="Arial" w:cs="Arial"/>
        </w:rPr>
        <w:t>ealthcare professionals play a vital role in supporting individuals with Type 2 d</w:t>
      </w:r>
      <w:r>
        <w:rPr>
          <w:rFonts w:ascii="Arial" w:hAnsi="Arial" w:cs="Arial"/>
        </w:rPr>
        <w:t>iabetes. They provide education as w</w:t>
      </w:r>
      <w:r w:rsidRPr="00936A33">
        <w:rPr>
          <w:rFonts w:ascii="Arial" w:hAnsi="Arial" w:cs="Arial"/>
        </w:rPr>
        <w:t>hen treating a patient with Type 2 diabetes, patient education is essential in empowering individuals to manage their condition effectively and make informed lifestyle choices.</w:t>
      </w:r>
      <w:r>
        <w:rPr>
          <w:rFonts w:ascii="Arial" w:hAnsi="Arial" w:cs="Arial"/>
        </w:rPr>
        <w:t xml:space="preserve"> Alongside education, healthcare professionals, monitor and personalise care planning</w:t>
      </w:r>
      <w:r w:rsidRPr="00936A33">
        <w:rPr>
          <w:rFonts w:ascii="Arial" w:hAnsi="Arial" w:cs="Arial"/>
        </w:rPr>
        <w:t xml:space="preserve"> beside multidisciplinary teams which include nurses, doctors and dietitians. These professionals ensure coordinated care across primary, secondary and community services.</w:t>
      </w:r>
    </w:p>
    <w:p w14:paraId="7F2F300C" w14:textId="6EC0D213" w:rsidR="00507282" w:rsidRDefault="00A30E7A" w:rsidP="00B47A62">
      <w:pPr>
        <w:rPr>
          <w:rFonts w:ascii="Arial" w:hAnsi="Arial" w:cs="Arial"/>
        </w:rPr>
      </w:pPr>
      <w:r>
        <w:rPr>
          <w:rFonts w:ascii="Arial" w:hAnsi="Arial" w:cs="Arial"/>
        </w:rPr>
        <w:t xml:space="preserve">This report has aimed to explore Type 2 diabetes by defining the condition, outlining key risk factors associated with developing the condition and exploring how the condition affects the normal functions of the body and the impact this has as well as how particular lifestyle factors can affect glucose control. The report also aimed to explore the importance of tracking health data and how routine data can help manage Type 2 diabetes, afterwards realistic evidence based lifestyle recommendations were given with an explanation of how </w:t>
      </w:r>
      <w:r>
        <w:rPr>
          <w:rFonts w:ascii="Arial" w:hAnsi="Arial" w:cs="Arial"/>
        </w:rPr>
        <w:lastRenderedPageBreak/>
        <w:t>these changes can improve physiological outcomes. The report ends with a summary of key findings and the role of healthcare professionals in patient education.</w:t>
      </w:r>
    </w:p>
    <w:p w14:paraId="4C97FC05" w14:textId="77777777" w:rsidR="00CA249A" w:rsidRDefault="00CA249A" w:rsidP="00B47A62">
      <w:pPr>
        <w:rPr>
          <w:rFonts w:ascii="Arial" w:hAnsi="Arial" w:cs="Arial"/>
          <w:u w:val="single"/>
        </w:rPr>
      </w:pPr>
    </w:p>
    <w:p w14:paraId="518C1FED" w14:textId="77777777" w:rsidR="00CA249A" w:rsidRDefault="00CA249A" w:rsidP="00B47A62">
      <w:pPr>
        <w:rPr>
          <w:rFonts w:ascii="Arial" w:hAnsi="Arial" w:cs="Arial"/>
          <w:u w:val="single"/>
        </w:rPr>
      </w:pPr>
    </w:p>
    <w:p w14:paraId="43CB709E" w14:textId="77777777" w:rsidR="00CA249A" w:rsidRDefault="00CA249A" w:rsidP="00B47A62">
      <w:pPr>
        <w:rPr>
          <w:rFonts w:ascii="Arial" w:hAnsi="Arial" w:cs="Arial"/>
          <w:u w:val="single"/>
        </w:rPr>
      </w:pPr>
    </w:p>
    <w:p w14:paraId="624E141F" w14:textId="77777777" w:rsidR="00CA249A" w:rsidRDefault="00CA249A" w:rsidP="00B47A62">
      <w:pPr>
        <w:rPr>
          <w:rFonts w:ascii="Arial" w:hAnsi="Arial" w:cs="Arial"/>
          <w:u w:val="single"/>
        </w:rPr>
      </w:pPr>
    </w:p>
    <w:p w14:paraId="4A2684CE" w14:textId="77777777" w:rsidR="00CA249A" w:rsidRDefault="00CA249A" w:rsidP="00B47A62">
      <w:pPr>
        <w:rPr>
          <w:rFonts w:ascii="Arial" w:hAnsi="Arial" w:cs="Arial"/>
          <w:u w:val="single"/>
        </w:rPr>
      </w:pPr>
    </w:p>
    <w:p w14:paraId="1C7FE9B6" w14:textId="77777777" w:rsidR="00CA249A" w:rsidRDefault="00CA249A" w:rsidP="00B47A62">
      <w:pPr>
        <w:rPr>
          <w:rFonts w:ascii="Arial" w:hAnsi="Arial" w:cs="Arial"/>
          <w:u w:val="single"/>
        </w:rPr>
      </w:pPr>
    </w:p>
    <w:p w14:paraId="0E347D58" w14:textId="77777777" w:rsidR="00CA249A" w:rsidRDefault="00CA249A" w:rsidP="00B47A62">
      <w:pPr>
        <w:rPr>
          <w:rFonts w:ascii="Arial" w:hAnsi="Arial" w:cs="Arial"/>
          <w:u w:val="single"/>
        </w:rPr>
      </w:pPr>
    </w:p>
    <w:p w14:paraId="740196BE" w14:textId="77777777" w:rsidR="00CA249A" w:rsidRDefault="00CA249A" w:rsidP="00B47A62">
      <w:pPr>
        <w:rPr>
          <w:rFonts w:ascii="Arial" w:hAnsi="Arial" w:cs="Arial"/>
          <w:u w:val="single"/>
        </w:rPr>
      </w:pPr>
    </w:p>
    <w:p w14:paraId="482B2B15" w14:textId="77777777" w:rsidR="00CA249A" w:rsidRDefault="00CA249A" w:rsidP="00B47A62">
      <w:pPr>
        <w:rPr>
          <w:rFonts w:ascii="Arial" w:hAnsi="Arial" w:cs="Arial"/>
          <w:u w:val="single"/>
        </w:rPr>
      </w:pPr>
    </w:p>
    <w:p w14:paraId="6C190286" w14:textId="77777777" w:rsidR="00CA249A" w:rsidRDefault="00CA249A" w:rsidP="00B47A62">
      <w:pPr>
        <w:rPr>
          <w:rFonts w:ascii="Arial" w:hAnsi="Arial" w:cs="Arial"/>
          <w:u w:val="single"/>
        </w:rPr>
      </w:pPr>
    </w:p>
    <w:p w14:paraId="31591C18" w14:textId="77777777" w:rsidR="00CA249A" w:rsidRDefault="00CA249A" w:rsidP="00B47A62">
      <w:pPr>
        <w:rPr>
          <w:rFonts w:ascii="Arial" w:hAnsi="Arial" w:cs="Arial"/>
          <w:u w:val="single"/>
        </w:rPr>
      </w:pPr>
    </w:p>
    <w:p w14:paraId="4BA25D07" w14:textId="77777777" w:rsidR="00CA249A" w:rsidRDefault="00CA249A" w:rsidP="00B47A62">
      <w:pPr>
        <w:rPr>
          <w:rFonts w:ascii="Arial" w:hAnsi="Arial" w:cs="Arial"/>
          <w:u w:val="single"/>
        </w:rPr>
      </w:pPr>
    </w:p>
    <w:p w14:paraId="25EB57B2" w14:textId="77777777" w:rsidR="00CA249A" w:rsidRDefault="00CA249A" w:rsidP="00B47A62">
      <w:pPr>
        <w:rPr>
          <w:rFonts w:ascii="Arial" w:hAnsi="Arial" w:cs="Arial"/>
          <w:u w:val="single"/>
        </w:rPr>
      </w:pPr>
    </w:p>
    <w:p w14:paraId="400F7553" w14:textId="77777777" w:rsidR="00CA249A" w:rsidRDefault="00CA249A" w:rsidP="00B47A62">
      <w:pPr>
        <w:rPr>
          <w:rFonts w:ascii="Arial" w:hAnsi="Arial" w:cs="Arial"/>
          <w:u w:val="single"/>
        </w:rPr>
      </w:pPr>
    </w:p>
    <w:p w14:paraId="36B90D0E" w14:textId="77777777" w:rsidR="00CA249A" w:rsidRDefault="00CA249A" w:rsidP="00B47A62">
      <w:pPr>
        <w:rPr>
          <w:rFonts w:ascii="Arial" w:hAnsi="Arial" w:cs="Arial"/>
          <w:u w:val="single"/>
        </w:rPr>
      </w:pPr>
    </w:p>
    <w:p w14:paraId="70491673" w14:textId="77777777" w:rsidR="00CA249A" w:rsidRDefault="00CA249A" w:rsidP="00B47A62">
      <w:pPr>
        <w:rPr>
          <w:rFonts w:ascii="Arial" w:hAnsi="Arial" w:cs="Arial"/>
          <w:u w:val="single"/>
        </w:rPr>
      </w:pPr>
    </w:p>
    <w:p w14:paraId="77098C89" w14:textId="77777777" w:rsidR="00CA249A" w:rsidRDefault="00CA249A" w:rsidP="00B47A62">
      <w:pPr>
        <w:rPr>
          <w:rFonts w:ascii="Arial" w:hAnsi="Arial" w:cs="Arial"/>
          <w:u w:val="single"/>
        </w:rPr>
      </w:pPr>
    </w:p>
    <w:p w14:paraId="66B27FB9" w14:textId="77777777" w:rsidR="00CA249A" w:rsidRDefault="00CA249A" w:rsidP="00B47A62">
      <w:pPr>
        <w:rPr>
          <w:rFonts w:ascii="Arial" w:hAnsi="Arial" w:cs="Arial"/>
          <w:u w:val="single"/>
        </w:rPr>
      </w:pPr>
    </w:p>
    <w:p w14:paraId="2C35BD20" w14:textId="77777777" w:rsidR="00CA249A" w:rsidRDefault="00CA249A" w:rsidP="00B47A62">
      <w:pPr>
        <w:rPr>
          <w:rFonts w:ascii="Arial" w:hAnsi="Arial" w:cs="Arial"/>
          <w:u w:val="single"/>
        </w:rPr>
      </w:pPr>
    </w:p>
    <w:p w14:paraId="70CF0A4B" w14:textId="77777777" w:rsidR="00CA249A" w:rsidRDefault="00CA249A" w:rsidP="00B47A62">
      <w:pPr>
        <w:rPr>
          <w:rFonts w:ascii="Arial" w:hAnsi="Arial" w:cs="Arial"/>
          <w:u w:val="single"/>
        </w:rPr>
      </w:pPr>
    </w:p>
    <w:p w14:paraId="6D27C4E7" w14:textId="77777777" w:rsidR="00CA249A" w:rsidRDefault="00CA249A" w:rsidP="00B47A62">
      <w:pPr>
        <w:rPr>
          <w:rFonts w:ascii="Arial" w:hAnsi="Arial" w:cs="Arial"/>
          <w:u w:val="single"/>
        </w:rPr>
      </w:pPr>
    </w:p>
    <w:p w14:paraId="543E14F1" w14:textId="77777777" w:rsidR="00CA249A" w:rsidRDefault="00CA249A" w:rsidP="00B47A62">
      <w:pPr>
        <w:rPr>
          <w:rFonts w:ascii="Arial" w:hAnsi="Arial" w:cs="Arial"/>
          <w:u w:val="single"/>
        </w:rPr>
      </w:pPr>
    </w:p>
    <w:p w14:paraId="2886C0AE" w14:textId="77777777" w:rsidR="00CA249A" w:rsidRDefault="00CA249A" w:rsidP="00B47A62">
      <w:pPr>
        <w:rPr>
          <w:rFonts w:ascii="Arial" w:hAnsi="Arial" w:cs="Arial"/>
          <w:u w:val="single"/>
        </w:rPr>
      </w:pPr>
    </w:p>
    <w:p w14:paraId="49DA00D4" w14:textId="77777777" w:rsidR="00CA249A" w:rsidRDefault="00CA249A" w:rsidP="00B47A62">
      <w:pPr>
        <w:rPr>
          <w:rFonts w:ascii="Arial" w:hAnsi="Arial" w:cs="Arial"/>
          <w:u w:val="single"/>
        </w:rPr>
      </w:pPr>
    </w:p>
    <w:p w14:paraId="0A6DED4D" w14:textId="77777777" w:rsidR="00CA249A" w:rsidRDefault="00CA249A" w:rsidP="00B47A62">
      <w:pPr>
        <w:rPr>
          <w:rFonts w:ascii="Arial" w:hAnsi="Arial" w:cs="Arial"/>
          <w:u w:val="single"/>
        </w:rPr>
      </w:pPr>
    </w:p>
    <w:p w14:paraId="360619AD" w14:textId="77777777" w:rsidR="00CA249A" w:rsidRDefault="00CA249A" w:rsidP="00B47A62">
      <w:pPr>
        <w:rPr>
          <w:rFonts w:ascii="Arial" w:hAnsi="Arial" w:cs="Arial"/>
          <w:u w:val="single"/>
        </w:rPr>
      </w:pPr>
    </w:p>
    <w:p w14:paraId="4AC04D8B" w14:textId="77777777" w:rsidR="00CA249A" w:rsidRDefault="00CA249A" w:rsidP="00B47A62">
      <w:pPr>
        <w:rPr>
          <w:rFonts w:ascii="Arial" w:hAnsi="Arial" w:cs="Arial"/>
          <w:u w:val="single"/>
        </w:rPr>
      </w:pPr>
    </w:p>
    <w:p w14:paraId="1172B1C4" w14:textId="77777777" w:rsidR="00CA249A" w:rsidRDefault="00CA249A" w:rsidP="00B47A62">
      <w:pPr>
        <w:rPr>
          <w:rFonts w:ascii="Arial" w:hAnsi="Arial" w:cs="Arial"/>
          <w:u w:val="single"/>
        </w:rPr>
      </w:pPr>
    </w:p>
    <w:p w14:paraId="25C1744D" w14:textId="77777777" w:rsidR="00CA249A" w:rsidRDefault="00CA249A" w:rsidP="00B47A62">
      <w:pPr>
        <w:rPr>
          <w:rFonts w:ascii="Arial" w:hAnsi="Arial" w:cs="Arial"/>
          <w:u w:val="single"/>
        </w:rPr>
      </w:pPr>
    </w:p>
    <w:p w14:paraId="1142B647" w14:textId="77777777" w:rsidR="00CA249A" w:rsidRDefault="00CA249A" w:rsidP="00B47A62">
      <w:pPr>
        <w:rPr>
          <w:rFonts w:ascii="Arial" w:hAnsi="Arial" w:cs="Arial"/>
          <w:u w:val="single"/>
        </w:rPr>
      </w:pPr>
    </w:p>
    <w:p w14:paraId="028DDA7B" w14:textId="77777777" w:rsidR="00CA249A" w:rsidRDefault="00CA249A" w:rsidP="00B47A62">
      <w:pPr>
        <w:rPr>
          <w:rFonts w:ascii="Arial" w:hAnsi="Arial" w:cs="Arial"/>
          <w:u w:val="single"/>
        </w:rPr>
      </w:pPr>
    </w:p>
    <w:p w14:paraId="0061BA2B" w14:textId="47577E1C" w:rsidR="00507282" w:rsidRPr="00507282" w:rsidRDefault="00507282" w:rsidP="00B47A62">
      <w:pPr>
        <w:rPr>
          <w:rFonts w:ascii="Arial" w:hAnsi="Arial" w:cs="Arial"/>
          <w:u w:val="single"/>
        </w:rPr>
      </w:pPr>
      <w:r w:rsidRPr="00507282">
        <w:rPr>
          <w:rFonts w:ascii="Arial" w:hAnsi="Arial" w:cs="Arial"/>
          <w:u w:val="single"/>
        </w:rPr>
        <w:lastRenderedPageBreak/>
        <w:t>Reference list:</w:t>
      </w:r>
    </w:p>
    <w:p w14:paraId="7E70EFB4" w14:textId="77777777" w:rsidR="00507282" w:rsidRDefault="00507282" w:rsidP="00B47A62">
      <w:pPr>
        <w:rPr>
          <w:rFonts w:ascii="Arial" w:hAnsi="Arial" w:cs="Arial"/>
        </w:rPr>
      </w:pPr>
    </w:p>
    <w:p w14:paraId="0A33B121" w14:textId="77777777" w:rsidR="00507282" w:rsidRPr="00550294" w:rsidRDefault="00507282" w:rsidP="00550294">
      <w:pPr>
        <w:rPr>
          <w:rFonts w:ascii="Arial" w:hAnsi="Arial" w:cs="Arial"/>
        </w:rPr>
      </w:pPr>
      <w:r w:rsidRPr="00550294">
        <w:rPr>
          <w:rFonts w:ascii="Arial" w:hAnsi="Arial" w:cs="Arial"/>
        </w:rPr>
        <w:t xml:space="preserve">American Diabetes Association (2024) ‘Standards of Care in Diabetes—2024’, </w:t>
      </w:r>
      <w:r w:rsidRPr="00550294">
        <w:rPr>
          <w:rFonts w:ascii="Arial" w:hAnsi="Arial" w:cs="Arial"/>
          <w:i/>
          <w:iCs/>
        </w:rPr>
        <w:t>Diabetes Care</w:t>
      </w:r>
      <w:r w:rsidRPr="00550294">
        <w:rPr>
          <w:rFonts w:ascii="Arial" w:hAnsi="Arial" w:cs="Arial"/>
        </w:rPr>
        <w:t>, 47(Suppl. 1), pp. S1–S350.</w:t>
      </w:r>
    </w:p>
    <w:p w14:paraId="7C1EF934" w14:textId="77777777" w:rsidR="00507282" w:rsidRPr="00550294" w:rsidRDefault="00507282" w:rsidP="00550294">
      <w:pPr>
        <w:rPr>
          <w:rFonts w:ascii="Arial" w:hAnsi="Arial" w:cs="Arial"/>
        </w:rPr>
      </w:pPr>
      <w:r w:rsidRPr="00550294">
        <w:rPr>
          <w:rFonts w:ascii="Arial" w:hAnsi="Arial" w:cs="Arial"/>
        </w:rPr>
        <w:t xml:space="preserve">British Heart Foundation (2024) </w:t>
      </w:r>
      <w:r w:rsidRPr="00550294">
        <w:rPr>
          <w:rFonts w:ascii="Arial" w:hAnsi="Arial" w:cs="Arial"/>
          <w:i/>
          <w:iCs/>
        </w:rPr>
        <w:t>Diabetes and cardiovascular disease</w:t>
      </w:r>
      <w:r w:rsidRPr="00550294">
        <w:rPr>
          <w:rFonts w:ascii="Arial" w:hAnsi="Arial" w:cs="Arial"/>
        </w:rPr>
        <w:t xml:space="preserve">. Available at: </w:t>
      </w:r>
      <w:hyperlink r:id="rId7" w:history="1">
        <w:r w:rsidRPr="00550294">
          <w:rPr>
            <w:rStyle w:val="Hyperlink"/>
            <w:rFonts w:ascii="Arial" w:hAnsi="Arial" w:cs="Arial"/>
          </w:rPr>
          <w:t>https://www.bhf.org.uk</w:t>
        </w:r>
      </w:hyperlink>
      <w:r w:rsidRPr="00550294">
        <w:rPr>
          <w:rFonts w:ascii="Arial" w:hAnsi="Arial" w:cs="Arial"/>
        </w:rPr>
        <w:t xml:space="preserve"> (Accessed: 20 June 2026).</w:t>
      </w:r>
    </w:p>
    <w:p w14:paraId="4B4B4543" w14:textId="77777777" w:rsidR="00507282" w:rsidRDefault="00507282" w:rsidP="00550294">
      <w:pPr>
        <w:rPr>
          <w:rFonts w:ascii="Arial" w:hAnsi="Arial" w:cs="Arial"/>
        </w:rPr>
      </w:pPr>
      <w:r w:rsidRPr="00550294">
        <w:rPr>
          <w:rFonts w:ascii="Arial" w:hAnsi="Arial" w:cs="Arial"/>
        </w:rPr>
        <w:t xml:space="preserve">Davies, M.J., </w:t>
      </w:r>
      <w:proofErr w:type="spellStart"/>
      <w:r w:rsidRPr="00550294">
        <w:rPr>
          <w:rFonts w:ascii="Arial" w:hAnsi="Arial" w:cs="Arial"/>
        </w:rPr>
        <w:t>Aroda</w:t>
      </w:r>
      <w:proofErr w:type="spellEnd"/>
      <w:r w:rsidRPr="00550294">
        <w:rPr>
          <w:rFonts w:ascii="Arial" w:hAnsi="Arial" w:cs="Arial"/>
        </w:rPr>
        <w:t xml:space="preserve">, V.R., Collins, B.S., Gabbay, R.A., Green, J., </w:t>
      </w:r>
      <w:proofErr w:type="spellStart"/>
      <w:r w:rsidRPr="00550294">
        <w:rPr>
          <w:rFonts w:ascii="Arial" w:hAnsi="Arial" w:cs="Arial"/>
        </w:rPr>
        <w:t>Maruthur</w:t>
      </w:r>
      <w:proofErr w:type="spellEnd"/>
      <w:r w:rsidRPr="00550294">
        <w:rPr>
          <w:rFonts w:ascii="Arial" w:hAnsi="Arial" w:cs="Arial"/>
        </w:rPr>
        <w:t xml:space="preserve">, N.M., Rosas, S.E., Del Prato, S., Mathieu, C. and Mingrone, G. (2025) ‘Management of hyperglycaemia in type 2 diabetes’, </w:t>
      </w:r>
      <w:r w:rsidRPr="00550294">
        <w:rPr>
          <w:rFonts w:ascii="Arial" w:hAnsi="Arial" w:cs="Arial"/>
          <w:i/>
          <w:iCs/>
        </w:rPr>
        <w:t>Diabetes Care</w:t>
      </w:r>
      <w:r w:rsidRPr="00550294">
        <w:rPr>
          <w:rFonts w:ascii="Arial" w:hAnsi="Arial" w:cs="Arial"/>
        </w:rPr>
        <w:t>, 48(1), pp. 10–35.</w:t>
      </w:r>
    </w:p>
    <w:p w14:paraId="21AD0178" w14:textId="77777777" w:rsidR="00507282" w:rsidRPr="00507282" w:rsidRDefault="00507282" w:rsidP="00550294">
      <w:pPr>
        <w:rPr>
          <w:rFonts w:ascii="Arial" w:hAnsi="Arial" w:cs="Arial"/>
        </w:rPr>
      </w:pPr>
      <w:r>
        <w:rPr>
          <w:rFonts w:ascii="Arial" w:hAnsi="Arial" w:cs="Arial"/>
        </w:rPr>
        <w:t xml:space="preserve">Diabetes Research and Wellness Foundation (2026) </w:t>
      </w:r>
      <w:r>
        <w:rPr>
          <w:rFonts w:ascii="Arial" w:hAnsi="Arial" w:cs="Arial"/>
          <w:i/>
        </w:rPr>
        <w:t xml:space="preserve">Type 2 Diabetes. </w:t>
      </w:r>
      <w:r>
        <w:rPr>
          <w:rFonts w:ascii="Arial" w:hAnsi="Arial" w:cs="Arial"/>
        </w:rPr>
        <w:t>Available at:</w:t>
      </w:r>
      <w:r w:rsidRPr="00507282">
        <w:t xml:space="preserve"> </w:t>
      </w:r>
      <w:hyperlink r:id="rId8" w:history="1">
        <w:r w:rsidRPr="00EF143E">
          <w:rPr>
            <w:rStyle w:val="Hyperlink"/>
            <w:rFonts w:ascii="Arial" w:hAnsi="Arial" w:cs="Arial"/>
          </w:rPr>
          <w:t>https://www.drwf.org.uk/understanding-diabetes/type-2-diabetes/</w:t>
        </w:r>
      </w:hyperlink>
      <w:r>
        <w:rPr>
          <w:rFonts w:ascii="Arial" w:hAnsi="Arial" w:cs="Arial"/>
        </w:rPr>
        <w:t xml:space="preserve"> (Accessed: 20 June 2026)</w:t>
      </w:r>
    </w:p>
    <w:p w14:paraId="051E222D" w14:textId="77777777" w:rsidR="00507282" w:rsidRPr="00550294" w:rsidRDefault="00507282" w:rsidP="00550294">
      <w:pPr>
        <w:rPr>
          <w:rFonts w:ascii="Arial" w:hAnsi="Arial" w:cs="Arial"/>
        </w:rPr>
      </w:pPr>
      <w:r w:rsidRPr="00550294">
        <w:rPr>
          <w:rFonts w:ascii="Arial" w:hAnsi="Arial" w:cs="Arial"/>
        </w:rPr>
        <w:t xml:space="preserve">Diabetes UK (2024) </w:t>
      </w:r>
      <w:r w:rsidRPr="00550294">
        <w:rPr>
          <w:rFonts w:ascii="Arial" w:hAnsi="Arial" w:cs="Arial"/>
          <w:i/>
          <w:iCs/>
        </w:rPr>
        <w:t>Understanding Type 2 Diabetes</w:t>
      </w:r>
      <w:r w:rsidRPr="00550294">
        <w:rPr>
          <w:rFonts w:ascii="Arial" w:hAnsi="Arial" w:cs="Arial"/>
        </w:rPr>
        <w:t xml:space="preserve">. Available at: </w:t>
      </w:r>
      <w:hyperlink r:id="rId9" w:history="1">
        <w:r w:rsidRPr="00550294">
          <w:rPr>
            <w:rStyle w:val="Hyperlink"/>
            <w:rFonts w:ascii="Arial" w:hAnsi="Arial" w:cs="Arial"/>
          </w:rPr>
          <w:t>https://www.diabetes.org.uk</w:t>
        </w:r>
      </w:hyperlink>
      <w:r w:rsidRPr="00550294">
        <w:rPr>
          <w:rFonts w:ascii="Arial" w:hAnsi="Arial" w:cs="Arial"/>
        </w:rPr>
        <w:t xml:space="preserve"> (Accessed: 20 June 2026).</w:t>
      </w:r>
    </w:p>
    <w:p w14:paraId="7011DA0F" w14:textId="77777777" w:rsidR="00507282" w:rsidRPr="00550294" w:rsidRDefault="00507282" w:rsidP="00550294">
      <w:pPr>
        <w:rPr>
          <w:rFonts w:ascii="Arial" w:hAnsi="Arial" w:cs="Arial"/>
        </w:rPr>
      </w:pPr>
      <w:r w:rsidRPr="00550294">
        <w:rPr>
          <w:rFonts w:ascii="Arial" w:hAnsi="Arial" w:cs="Arial"/>
        </w:rPr>
        <w:t xml:space="preserve">International Diabetes Federation (2024) </w:t>
      </w:r>
      <w:r w:rsidRPr="00550294">
        <w:rPr>
          <w:rFonts w:ascii="Arial" w:hAnsi="Arial" w:cs="Arial"/>
          <w:i/>
          <w:iCs/>
        </w:rPr>
        <w:t>IDF Diabetes Atlas</w:t>
      </w:r>
      <w:r w:rsidRPr="00550294">
        <w:rPr>
          <w:rFonts w:ascii="Arial" w:hAnsi="Arial" w:cs="Arial"/>
        </w:rPr>
        <w:t xml:space="preserve">. Brussels: IDF. Available at: </w:t>
      </w:r>
      <w:hyperlink r:id="rId10" w:history="1">
        <w:r w:rsidRPr="00550294">
          <w:rPr>
            <w:rStyle w:val="Hyperlink"/>
            <w:rFonts w:ascii="Arial" w:hAnsi="Arial" w:cs="Arial"/>
          </w:rPr>
          <w:t>https://diabetesatlas.org</w:t>
        </w:r>
      </w:hyperlink>
      <w:r w:rsidRPr="00550294">
        <w:rPr>
          <w:rFonts w:ascii="Arial" w:hAnsi="Arial" w:cs="Arial"/>
        </w:rPr>
        <w:t xml:space="preserve"> (Accessed: 20 June 2026).</w:t>
      </w:r>
    </w:p>
    <w:p w14:paraId="77E756C0" w14:textId="77777777" w:rsidR="00507282" w:rsidRPr="00550294" w:rsidRDefault="00507282" w:rsidP="00550294">
      <w:pPr>
        <w:rPr>
          <w:rFonts w:ascii="Arial" w:hAnsi="Arial" w:cs="Arial"/>
        </w:rPr>
      </w:pPr>
      <w:r w:rsidRPr="00550294">
        <w:rPr>
          <w:rFonts w:ascii="Arial" w:hAnsi="Arial" w:cs="Arial"/>
        </w:rPr>
        <w:t xml:space="preserve">Lean, M.E.J., Leslie, W.S., Barnes, A.C., Brosnahan, N., Thom, G., McCombie, L., Peters, C., </w:t>
      </w:r>
      <w:proofErr w:type="spellStart"/>
      <w:r w:rsidRPr="00550294">
        <w:rPr>
          <w:rFonts w:ascii="Arial" w:hAnsi="Arial" w:cs="Arial"/>
        </w:rPr>
        <w:t>Zhyzhneuskaya</w:t>
      </w:r>
      <w:proofErr w:type="spellEnd"/>
      <w:r w:rsidRPr="00550294">
        <w:rPr>
          <w:rFonts w:ascii="Arial" w:hAnsi="Arial" w:cs="Arial"/>
        </w:rPr>
        <w:t>, S., Al-</w:t>
      </w:r>
      <w:proofErr w:type="spellStart"/>
      <w:r w:rsidRPr="00550294">
        <w:rPr>
          <w:rFonts w:ascii="Arial" w:hAnsi="Arial" w:cs="Arial"/>
        </w:rPr>
        <w:t>Mrabeh</w:t>
      </w:r>
      <w:proofErr w:type="spellEnd"/>
      <w:r w:rsidRPr="00550294">
        <w:rPr>
          <w:rFonts w:ascii="Arial" w:hAnsi="Arial" w:cs="Arial"/>
        </w:rPr>
        <w:t>, A., Hollingsworth, K.G. and Rodrigues, A.M. (2018) ‘Primary care-led weight management for remission of type 2 diabetes (</w:t>
      </w:r>
      <w:proofErr w:type="spellStart"/>
      <w:r w:rsidRPr="00550294">
        <w:rPr>
          <w:rFonts w:ascii="Arial" w:hAnsi="Arial" w:cs="Arial"/>
        </w:rPr>
        <w:t>DiRECT</w:t>
      </w:r>
      <w:proofErr w:type="spellEnd"/>
      <w:r w:rsidRPr="00550294">
        <w:rPr>
          <w:rFonts w:ascii="Arial" w:hAnsi="Arial" w:cs="Arial"/>
        </w:rPr>
        <w:t xml:space="preserve">): an open-label, cluster-randomised trial’, </w:t>
      </w:r>
      <w:r w:rsidRPr="00550294">
        <w:rPr>
          <w:rFonts w:ascii="Arial" w:hAnsi="Arial" w:cs="Arial"/>
          <w:i/>
          <w:iCs/>
        </w:rPr>
        <w:t>The Lancet</w:t>
      </w:r>
      <w:r w:rsidRPr="00550294">
        <w:rPr>
          <w:rFonts w:ascii="Arial" w:hAnsi="Arial" w:cs="Arial"/>
        </w:rPr>
        <w:t>, 391(10120), pp. 541–551.</w:t>
      </w:r>
    </w:p>
    <w:p w14:paraId="00F7F3C6" w14:textId="77777777" w:rsidR="00507282" w:rsidRPr="00550294" w:rsidRDefault="00507282" w:rsidP="00550294">
      <w:pPr>
        <w:rPr>
          <w:rFonts w:ascii="Arial" w:hAnsi="Arial" w:cs="Arial"/>
        </w:rPr>
      </w:pPr>
      <w:r w:rsidRPr="00550294">
        <w:rPr>
          <w:rFonts w:ascii="Arial" w:hAnsi="Arial" w:cs="Arial"/>
        </w:rPr>
        <w:t xml:space="preserve">Marieb, E.N. and Hoehn, K. (2023) </w:t>
      </w:r>
      <w:r w:rsidRPr="00550294">
        <w:rPr>
          <w:rFonts w:ascii="Arial" w:hAnsi="Arial" w:cs="Arial"/>
          <w:i/>
          <w:iCs/>
        </w:rPr>
        <w:t>Human Anatomy and Physiology</w:t>
      </w:r>
      <w:r w:rsidRPr="00550294">
        <w:rPr>
          <w:rFonts w:ascii="Arial" w:hAnsi="Arial" w:cs="Arial"/>
        </w:rPr>
        <w:t xml:space="preserve">. 12th </w:t>
      </w:r>
      <w:proofErr w:type="spellStart"/>
      <w:r w:rsidRPr="00550294">
        <w:rPr>
          <w:rFonts w:ascii="Arial" w:hAnsi="Arial" w:cs="Arial"/>
        </w:rPr>
        <w:t>edn</w:t>
      </w:r>
      <w:proofErr w:type="spellEnd"/>
      <w:r w:rsidRPr="00550294">
        <w:rPr>
          <w:rFonts w:ascii="Arial" w:hAnsi="Arial" w:cs="Arial"/>
        </w:rPr>
        <w:t>. Harlow: Pearson.</w:t>
      </w:r>
    </w:p>
    <w:p w14:paraId="434F9552" w14:textId="77777777" w:rsidR="00507282" w:rsidRPr="00550294" w:rsidRDefault="00507282" w:rsidP="00550294">
      <w:pPr>
        <w:rPr>
          <w:rFonts w:ascii="Arial" w:hAnsi="Arial" w:cs="Arial"/>
        </w:rPr>
      </w:pPr>
      <w:r w:rsidRPr="00550294">
        <w:rPr>
          <w:rFonts w:ascii="Arial" w:hAnsi="Arial" w:cs="Arial"/>
        </w:rPr>
        <w:t xml:space="preserve">National Health Service (NHS) (2024) </w:t>
      </w:r>
      <w:r w:rsidRPr="00550294">
        <w:rPr>
          <w:rFonts w:ascii="Arial" w:hAnsi="Arial" w:cs="Arial"/>
          <w:i/>
          <w:iCs/>
        </w:rPr>
        <w:t>Type 2 diabetes</w:t>
      </w:r>
      <w:r w:rsidRPr="00550294">
        <w:rPr>
          <w:rFonts w:ascii="Arial" w:hAnsi="Arial" w:cs="Arial"/>
        </w:rPr>
        <w:t xml:space="preserve">. Available at: </w:t>
      </w:r>
      <w:hyperlink r:id="rId11" w:history="1">
        <w:r w:rsidRPr="00550294">
          <w:rPr>
            <w:rStyle w:val="Hyperlink"/>
            <w:rFonts w:ascii="Arial" w:hAnsi="Arial" w:cs="Arial"/>
          </w:rPr>
          <w:t>https://www.nhs.uk/conditions/type-2-diabetes/</w:t>
        </w:r>
      </w:hyperlink>
      <w:r w:rsidRPr="00550294">
        <w:rPr>
          <w:rFonts w:ascii="Arial" w:hAnsi="Arial" w:cs="Arial"/>
        </w:rPr>
        <w:t xml:space="preserve"> (Accessed: 20 June 2026).</w:t>
      </w:r>
    </w:p>
    <w:p w14:paraId="5F2052F0" w14:textId="77777777" w:rsidR="00507282" w:rsidRPr="00550294" w:rsidRDefault="00507282" w:rsidP="00550294">
      <w:pPr>
        <w:rPr>
          <w:rFonts w:ascii="Arial" w:hAnsi="Arial" w:cs="Arial"/>
        </w:rPr>
      </w:pPr>
      <w:r w:rsidRPr="00550294">
        <w:rPr>
          <w:rFonts w:ascii="Arial" w:hAnsi="Arial" w:cs="Arial"/>
        </w:rPr>
        <w:t xml:space="preserve">National Institute for Health and Care Excellence (NICE) (2024) </w:t>
      </w:r>
      <w:r w:rsidRPr="00550294">
        <w:rPr>
          <w:rFonts w:ascii="Arial" w:hAnsi="Arial" w:cs="Arial"/>
          <w:i/>
          <w:iCs/>
        </w:rPr>
        <w:t>Obesity prevention and lifestyle guidance</w:t>
      </w:r>
      <w:r w:rsidRPr="00550294">
        <w:rPr>
          <w:rFonts w:ascii="Arial" w:hAnsi="Arial" w:cs="Arial"/>
        </w:rPr>
        <w:t>. London: NICE.</w:t>
      </w:r>
    </w:p>
    <w:p w14:paraId="761AB8EC" w14:textId="77777777" w:rsidR="00507282" w:rsidRPr="00550294" w:rsidRDefault="00507282" w:rsidP="00550294">
      <w:pPr>
        <w:rPr>
          <w:rFonts w:ascii="Arial" w:hAnsi="Arial" w:cs="Arial"/>
        </w:rPr>
      </w:pPr>
      <w:r w:rsidRPr="00550294">
        <w:rPr>
          <w:rFonts w:ascii="Arial" w:hAnsi="Arial" w:cs="Arial"/>
        </w:rPr>
        <w:t xml:space="preserve">National Institute for Health and Care Excellence (NICE) (2024) </w:t>
      </w:r>
      <w:r w:rsidRPr="00550294">
        <w:rPr>
          <w:rFonts w:ascii="Arial" w:hAnsi="Arial" w:cs="Arial"/>
          <w:i/>
          <w:iCs/>
        </w:rPr>
        <w:t>Type 2 diabetes in adults: management (NG28)</w:t>
      </w:r>
      <w:r w:rsidRPr="00550294">
        <w:rPr>
          <w:rFonts w:ascii="Arial" w:hAnsi="Arial" w:cs="Arial"/>
        </w:rPr>
        <w:t xml:space="preserve">. London: NICE. Available at: </w:t>
      </w:r>
      <w:hyperlink r:id="rId12" w:history="1">
        <w:r w:rsidRPr="00550294">
          <w:rPr>
            <w:rStyle w:val="Hyperlink"/>
            <w:rFonts w:ascii="Arial" w:hAnsi="Arial" w:cs="Arial"/>
          </w:rPr>
          <w:t>https://www.nice.org.uk/guidance/ng28</w:t>
        </w:r>
      </w:hyperlink>
      <w:r w:rsidRPr="00550294">
        <w:rPr>
          <w:rFonts w:ascii="Arial" w:hAnsi="Arial" w:cs="Arial"/>
        </w:rPr>
        <w:t xml:space="preserve"> (Accessed: 20 June 2026).</w:t>
      </w:r>
    </w:p>
    <w:p w14:paraId="7A35199C" w14:textId="77777777" w:rsidR="00507282" w:rsidRPr="00550294" w:rsidRDefault="00507282" w:rsidP="00550294">
      <w:pPr>
        <w:rPr>
          <w:rFonts w:ascii="Arial" w:hAnsi="Arial" w:cs="Arial"/>
        </w:rPr>
      </w:pPr>
      <w:r w:rsidRPr="00550294">
        <w:rPr>
          <w:rFonts w:ascii="Arial" w:hAnsi="Arial" w:cs="Arial"/>
        </w:rPr>
        <w:t xml:space="preserve">National Institute of Diabetes and Digestive and Kidney Diseases (NIDDK) (2024) </w:t>
      </w:r>
      <w:r w:rsidRPr="00550294">
        <w:rPr>
          <w:rFonts w:ascii="Arial" w:hAnsi="Arial" w:cs="Arial"/>
          <w:i/>
          <w:iCs/>
        </w:rPr>
        <w:t>Insulin Resistance and Prediabetes</w:t>
      </w:r>
      <w:r w:rsidRPr="00550294">
        <w:rPr>
          <w:rFonts w:ascii="Arial" w:hAnsi="Arial" w:cs="Arial"/>
        </w:rPr>
        <w:t xml:space="preserve">. Bethesda: NIDDK. Available at: </w:t>
      </w:r>
      <w:hyperlink r:id="rId13" w:history="1">
        <w:r w:rsidRPr="00550294">
          <w:rPr>
            <w:rStyle w:val="Hyperlink"/>
            <w:rFonts w:ascii="Arial" w:hAnsi="Arial" w:cs="Arial"/>
          </w:rPr>
          <w:t>https://www.niddk.nih.gov</w:t>
        </w:r>
      </w:hyperlink>
      <w:r w:rsidRPr="00550294">
        <w:rPr>
          <w:rFonts w:ascii="Arial" w:hAnsi="Arial" w:cs="Arial"/>
        </w:rPr>
        <w:t xml:space="preserve"> (Accessed: 20 June 2026).</w:t>
      </w:r>
    </w:p>
    <w:p w14:paraId="62247AD1" w14:textId="77777777" w:rsidR="00507282" w:rsidRPr="00550294" w:rsidRDefault="00507282" w:rsidP="00550294">
      <w:pPr>
        <w:rPr>
          <w:rFonts w:ascii="Arial" w:hAnsi="Arial" w:cs="Arial"/>
        </w:rPr>
      </w:pPr>
      <w:r w:rsidRPr="00550294">
        <w:rPr>
          <w:rFonts w:ascii="Arial" w:hAnsi="Arial" w:cs="Arial"/>
        </w:rPr>
        <w:t xml:space="preserve">Porth, C.M. (2021) </w:t>
      </w:r>
      <w:r w:rsidRPr="00550294">
        <w:rPr>
          <w:rFonts w:ascii="Arial" w:hAnsi="Arial" w:cs="Arial"/>
          <w:i/>
          <w:iCs/>
        </w:rPr>
        <w:t>Essentials of Pathophysiology: Concepts of Altered Health States</w:t>
      </w:r>
      <w:r w:rsidRPr="00550294">
        <w:rPr>
          <w:rFonts w:ascii="Arial" w:hAnsi="Arial" w:cs="Arial"/>
        </w:rPr>
        <w:t xml:space="preserve">. 5th </w:t>
      </w:r>
      <w:proofErr w:type="spellStart"/>
      <w:r w:rsidRPr="00550294">
        <w:rPr>
          <w:rFonts w:ascii="Arial" w:hAnsi="Arial" w:cs="Arial"/>
        </w:rPr>
        <w:t>edn</w:t>
      </w:r>
      <w:proofErr w:type="spellEnd"/>
      <w:r w:rsidRPr="00550294">
        <w:rPr>
          <w:rFonts w:ascii="Arial" w:hAnsi="Arial" w:cs="Arial"/>
        </w:rPr>
        <w:t>. Philadelphia: Wolters Kluwer.</w:t>
      </w:r>
    </w:p>
    <w:p w14:paraId="2C889B96" w14:textId="77777777" w:rsidR="00507282" w:rsidRPr="00550294" w:rsidRDefault="00507282" w:rsidP="00550294">
      <w:pPr>
        <w:rPr>
          <w:rFonts w:ascii="Arial" w:hAnsi="Arial" w:cs="Arial"/>
        </w:rPr>
      </w:pPr>
      <w:r w:rsidRPr="00550294">
        <w:rPr>
          <w:rFonts w:ascii="Arial" w:hAnsi="Arial" w:cs="Arial"/>
        </w:rPr>
        <w:t xml:space="preserve">Public Health England (2023) </w:t>
      </w:r>
      <w:r w:rsidRPr="00550294">
        <w:rPr>
          <w:rFonts w:ascii="Arial" w:hAnsi="Arial" w:cs="Arial"/>
          <w:i/>
          <w:iCs/>
        </w:rPr>
        <w:t>Adult obesity and type 2 diabetes risk</w:t>
      </w:r>
      <w:r w:rsidRPr="00550294">
        <w:rPr>
          <w:rFonts w:ascii="Arial" w:hAnsi="Arial" w:cs="Arial"/>
        </w:rPr>
        <w:t>. London: PHE.</w:t>
      </w:r>
    </w:p>
    <w:p w14:paraId="0FC5A668" w14:textId="77777777" w:rsidR="00507282" w:rsidRPr="00550294" w:rsidRDefault="00507282" w:rsidP="00550294">
      <w:pPr>
        <w:rPr>
          <w:rFonts w:ascii="Arial" w:hAnsi="Arial" w:cs="Arial"/>
        </w:rPr>
      </w:pPr>
      <w:r w:rsidRPr="00550294">
        <w:rPr>
          <w:rFonts w:ascii="Arial" w:hAnsi="Arial" w:cs="Arial"/>
        </w:rPr>
        <w:t xml:space="preserve">Tortora, G.J. and Derrickson, B.H. (2023) </w:t>
      </w:r>
      <w:r w:rsidRPr="00550294">
        <w:rPr>
          <w:rFonts w:ascii="Arial" w:hAnsi="Arial" w:cs="Arial"/>
          <w:i/>
          <w:iCs/>
        </w:rPr>
        <w:t>Principles of Anatomy and Physiology</w:t>
      </w:r>
      <w:r w:rsidRPr="00550294">
        <w:rPr>
          <w:rFonts w:ascii="Arial" w:hAnsi="Arial" w:cs="Arial"/>
        </w:rPr>
        <w:t xml:space="preserve">. 16th </w:t>
      </w:r>
      <w:proofErr w:type="spellStart"/>
      <w:r w:rsidRPr="00550294">
        <w:rPr>
          <w:rFonts w:ascii="Arial" w:hAnsi="Arial" w:cs="Arial"/>
        </w:rPr>
        <w:t>edn</w:t>
      </w:r>
      <w:proofErr w:type="spellEnd"/>
      <w:r w:rsidRPr="00550294">
        <w:rPr>
          <w:rFonts w:ascii="Arial" w:hAnsi="Arial" w:cs="Arial"/>
        </w:rPr>
        <w:t>. Hoboken: Wiley.</w:t>
      </w:r>
    </w:p>
    <w:p w14:paraId="2C8DA040" w14:textId="77777777" w:rsidR="00507282" w:rsidRPr="00550294" w:rsidRDefault="00507282" w:rsidP="00550294">
      <w:pPr>
        <w:rPr>
          <w:rFonts w:ascii="Arial" w:hAnsi="Arial" w:cs="Arial"/>
        </w:rPr>
      </w:pPr>
      <w:r w:rsidRPr="00550294">
        <w:rPr>
          <w:rFonts w:ascii="Arial" w:hAnsi="Arial" w:cs="Arial"/>
        </w:rPr>
        <w:t xml:space="preserve">World Health Organization (WHO) (2024) </w:t>
      </w:r>
      <w:r w:rsidRPr="00550294">
        <w:rPr>
          <w:rFonts w:ascii="Arial" w:hAnsi="Arial" w:cs="Arial"/>
          <w:i/>
          <w:iCs/>
        </w:rPr>
        <w:t>Diabetes</w:t>
      </w:r>
      <w:r w:rsidRPr="00550294">
        <w:rPr>
          <w:rFonts w:ascii="Arial" w:hAnsi="Arial" w:cs="Arial"/>
        </w:rPr>
        <w:t xml:space="preserve">. Geneva: World Health Organization. Available at: </w:t>
      </w:r>
      <w:hyperlink r:id="rId14" w:history="1">
        <w:r w:rsidRPr="00550294">
          <w:rPr>
            <w:rStyle w:val="Hyperlink"/>
            <w:rFonts w:ascii="Arial" w:hAnsi="Arial" w:cs="Arial"/>
          </w:rPr>
          <w:t>https://www.who.int/news-room/fact-sheets/detail/diabetes</w:t>
        </w:r>
      </w:hyperlink>
      <w:r w:rsidRPr="00550294">
        <w:rPr>
          <w:rFonts w:ascii="Arial" w:hAnsi="Arial" w:cs="Arial"/>
        </w:rPr>
        <w:t xml:space="preserve"> (Accessed: 20 June 2026).</w:t>
      </w:r>
    </w:p>
    <w:p w14:paraId="5D218FD9" w14:textId="4C6D4DDC" w:rsidR="0060574D" w:rsidRPr="00B47A62" w:rsidRDefault="0060574D">
      <w:pPr>
        <w:rPr>
          <w:rFonts w:ascii="Arial" w:hAnsi="Arial" w:cs="Arial"/>
        </w:rPr>
      </w:pPr>
    </w:p>
    <w:sectPr w:rsidR="0060574D" w:rsidRPr="00B47A62">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E2524" w14:textId="77777777" w:rsidR="00130A12" w:rsidRDefault="00130A12" w:rsidP="00CA249A">
      <w:pPr>
        <w:spacing w:after="0" w:line="240" w:lineRule="auto"/>
      </w:pPr>
      <w:r>
        <w:separator/>
      </w:r>
    </w:p>
  </w:endnote>
  <w:endnote w:type="continuationSeparator" w:id="0">
    <w:p w14:paraId="59710E05" w14:textId="77777777" w:rsidR="00130A12" w:rsidRDefault="00130A12" w:rsidP="00CA24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7475200"/>
      <w:docPartObj>
        <w:docPartGallery w:val="Page Numbers (Bottom of Page)"/>
        <w:docPartUnique/>
      </w:docPartObj>
    </w:sdtPr>
    <w:sdtEndPr/>
    <w:sdtContent>
      <w:p w14:paraId="50B80B83" w14:textId="64B836A4" w:rsidR="00CA249A" w:rsidRDefault="00CA249A">
        <w:pPr>
          <w:pStyle w:val="Footer"/>
          <w:jc w:val="center"/>
        </w:pPr>
        <w:r>
          <w:fldChar w:fldCharType="begin"/>
        </w:r>
        <w:r>
          <w:instrText>PAGE   \* MERGEFORMAT</w:instrText>
        </w:r>
        <w:r>
          <w:fldChar w:fldCharType="separate"/>
        </w:r>
        <w:r>
          <w:t>2</w:t>
        </w:r>
        <w:r>
          <w:fldChar w:fldCharType="end"/>
        </w:r>
      </w:p>
    </w:sdtContent>
  </w:sdt>
  <w:p w14:paraId="71505240" w14:textId="77777777" w:rsidR="00CA249A" w:rsidRDefault="00CA24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7F80B" w14:textId="77777777" w:rsidR="00130A12" w:rsidRDefault="00130A12" w:rsidP="00CA249A">
      <w:pPr>
        <w:spacing w:after="0" w:line="240" w:lineRule="auto"/>
      </w:pPr>
      <w:r>
        <w:separator/>
      </w:r>
    </w:p>
  </w:footnote>
  <w:footnote w:type="continuationSeparator" w:id="0">
    <w:p w14:paraId="7C1E8E98" w14:textId="77777777" w:rsidR="00130A12" w:rsidRDefault="00130A12" w:rsidP="00CA24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112B71"/>
    <w:multiLevelType w:val="multilevel"/>
    <w:tmpl w:val="7A3CDD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400176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74D"/>
    <w:rsid w:val="0011016B"/>
    <w:rsid w:val="00130A12"/>
    <w:rsid w:val="00131D1C"/>
    <w:rsid w:val="00221D54"/>
    <w:rsid w:val="00286FFC"/>
    <w:rsid w:val="002B03A5"/>
    <w:rsid w:val="002D0056"/>
    <w:rsid w:val="00316794"/>
    <w:rsid w:val="003439E1"/>
    <w:rsid w:val="00355D88"/>
    <w:rsid w:val="003C7416"/>
    <w:rsid w:val="004961F0"/>
    <w:rsid w:val="00507282"/>
    <w:rsid w:val="00550294"/>
    <w:rsid w:val="0060574D"/>
    <w:rsid w:val="00706FA0"/>
    <w:rsid w:val="007D0D12"/>
    <w:rsid w:val="008E63DF"/>
    <w:rsid w:val="00901907"/>
    <w:rsid w:val="00936A33"/>
    <w:rsid w:val="009851E1"/>
    <w:rsid w:val="009C7820"/>
    <w:rsid w:val="00A30E7A"/>
    <w:rsid w:val="00B41315"/>
    <w:rsid w:val="00B47A62"/>
    <w:rsid w:val="00BA4284"/>
    <w:rsid w:val="00CA249A"/>
    <w:rsid w:val="00CD6909"/>
    <w:rsid w:val="00CE6119"/>
    <w:rsid w:val="00EC3662"/>
    <w:rsid w:val="00F271FA"/>
    <w:rsid w:val="00FD4B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5201F"/>
  <w15:chartTrackingRefBased/>
  <w15:docId w15:val="{BDC2641C-DC0D-4F45-816C-8208C3D2E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74D"/>
  </w:style>
  <w:style w:type="paragraph" w:styleId="Heading1">
    <w:name w:val="heading 1"/>
    <w:basedOn w:val="Normal"/>
    <w:next w:val="Normal"/>
    <w:link w:val="Heading1Char"/>
    <w:uiPriority w:val="9"/>
    <w:qFormat/>
    <w:rsid w:val="0060574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60574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60574D"/>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60574D"/>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60574D"/>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057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57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57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57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74D"/>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60574D"/>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60574D"/>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60574D"/>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60574D"/>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6057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57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57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574D"/>
    <w:rPr>
      <w:rFonts w:eastAsiaTheme="majorEastAsia" w:cstheme="majorBidi"/>
      <w:color w:val="272727" w:themeColor="text1" w:themeTint="D8"/>
    </w:rPr>
  </w:style>
  <w:style w:type="paragraph" w:styleId="Title">
    <w:name w:val="Title"/>
    <w:basedOn w:val="Normal"/>
    <w:next w:val="Normal"/>
    <w:link w:val="TitleChar"/>
    <w:uiPriority w:val="10"/>
    <w:qFormat/>
    <w:rsid w:val="006057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57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57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57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574D"/>
    <w:pPr>
      <w:spacing w:before="160"/>
      <w:jc w:val="center"/>
    </w:pPr>
    <w:rPr>
      <w:i/>
      <w:iCs/>
      <w:color w:val="404040" w:themeColor="text1" w:themeTint="BF"/>
    </w:rPr>
  </w:style>
  <w:style w:type="character" w:customStyle="1" w:styleId="QuoteChar">
    <w:name w:val="Quote Char"/>
    <w:basedOn w:val="DefaultParagraphFont"/>
    <w:link w:val="Quote"/>
    <w:uiPriority w:val="29"/>
    <w:rsid w:val="0060574D"/>
    <w:rPr>
      <w:i/>
      <w:iCs/>
      <w:color w:val="404040" w:themeColor="text1" w:themeTint="BF"/>
    </w:rPr>
  </w:style>
  <w:style w:type="paragraph" w:styleId="ListParagraph">
    <w:name w:val="List Paragraph"/>
    <w:basedOn w:val="Normal"/>
    <w:uiPriority w:val="34"/>
    <w:qFormat/>
    <w:rsid w:val="0060574D"/>
    <w:pPr>
      <w:ind w:left="720"/>
      <w:contextualSpacing/>
    </w:pPr>
  </w:style>
  <w:style w:type="character" w:styleId="IntenseEmphasis">
    <w:name w:val="Intense Emphasis"/>
    <w:basedOn w:val="DefaultParagraphFont"/>
    <w:uiPriority w:val="21"/>
    <w:qFormat/>
    <w:rsid w:val="0060574D"/>
    <w:rPr>
      <w:i/>
      <w:iCs/>
      <w:color w:val="2E74B5" w:themeColor="accent1" w:themeShade="BF"/>
    </w:rPr>
  </w:style>
  <w:style w:type="paragraph" w:styleId="IntenseQuote">
    <w:name w:val="Intense Quote"/>
    <w:basedOn w:val="Normal"/>
    <w:next w:val="Normal"/>
    <w:link w:val="IntenseQuoteChar"/>
    <w:uiPriority w:val="30"/>
    <w:qFormat/>
    <w:rsid w:val="0060574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0574D"/>
    <w:rPr>
      <w:i/>
      <w:iCs/>
      <w:color w:val="2E74B5" w:themeColor="accent1" w:themeShade="BF"/>
    </w:rPr>
  </w:style>
  <w:style w:type="character" w:styleId="IntenseReference">
    <w:name w:val="Intense Reference"/>
    <w:basedOn w:val="DefaultParagraphFont"/>
    <w:uiPriority w:val="32"/>
    <w:qFormat/>
    <w:rsid w:val="0060574D"/>
    <w:rPr>
      <w:b/>
      <w:bCs/>
      <w:smallCaps/>
      <w:color w:val="2E74B5" w:themeColor="accent1" w:themeShade="BF"/>
      <w:spacing w:val="5"/>
    </w:rPr>
  </w:style>
  <w:style w:type="character" w:styleId="Hyperlink">
    <w:name w:val="Hyperlink"/>
    <w:basedOn w:val="DefaultParagraphFont"/>
    <w:uiPriority w:val="99"/>
    <w:unhideWhenUsed/>
    <w:rsid w:val="009C7820"/>
    <w:rPr>
      <w:color w:val="0563C1" w:themeColor="hyperlink"/>
      <w:u w:val="single"/>
    </w:rPr>
  </w:style>
  <w:style w:type="character" w:customStyle="1" w:styleId="UnresolvedMention1">
    <w:name w:val="Unresolved Mention1"/>
    <w:basedOn w:val="DefaultParagraphFont"/>
    <w:uiPriority w:val="99"/>
    <w:semiHidden/>
    <w:unhideWhenUsed/>
    <w:rsid w:val="009C7820"/>
    <w:rPr>
      <w:color w:val="605E5C"/>
      <w:shd w:val="clear" w:color="auto" w:fill="E1DFDD"/>
    </w:rPr>
  </w:style>
  <w:style w:type="character" w:customStyle="1" w:styleId="UnresolvedMention2">
    <w:name w:val="Unresolved Mention2"/>
    <w:basedOn w:val="DefaultParagraphFont"/>
    <w:uiPriority w:val="99"/>
    <w:semiHidden/>
    <w:unhideWhenUsed/>
    <w:rsid w:val="004961F0"/>
    <w:rPr>
      <w:color w:val="605E5C"/>
      <w:shd w:val="clear" w:color="auto" w:fill="E1DFDD"/>
    </w:rPr>
  </w:style>
  <w:style w:type="character" w:styleId="FollowedHyperlink">
    <w:name w:val="FollowedHyperlink"/>
    <w:basedOn w:val="DefaultParagraphFont"/>
    <w:uiPriority w:val="99"/>
    <w:semiHidden/>
    <w:unhideWhenUsed/>
    <w:rsid w:val="00507282"/>
    <w:rPr>
      <w:color w:val="954F72" w:themeColor="followedHyperlink"/>
      <w:u w:val="single"/>
    </w:rPr>
  </w:style>
  <w:style w:type="paragraph" w:styleId="Header">
    <w:name w:val="header"/>
    <w:basedOn w:val="Normal"/>
    <w:link w:val="HeaderChar"/>
    <w:uiPriority w:val="99"/>
    <w:unhideWhenUsed/>
    <w:rsid w:val="00CA24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49A"/>
  </w:style>
  <w:style w:type="paragraph" w:styleId="Footer">
    <w:name w:val="footer"/>
    <w:basedOn w:val="Normal"/>
    <w:link w:val="FooterChar"/>
    <w:uiPriority w:val="99"/>
    <w:unhideWhenUsed/>
    <w:rsid w:val="00CA24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4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rwf.org.uk/understanding-diabetes/type-2-diabetes/" TargetMode="External"/><Relationship Id="rId13" Type="http://schemas.openxmlformats.org/officeDocument/2006/relationships/hyperlink" Target="https://www.niddk.nih.gov" TargetMode="External"/><Relationship Id="rId3" Type="http://schemas.openxmlformats.org/officeDocument/2006/relationships/settings" Target="settings.xml"/><Relationship Id="rId7" Type="http://schemas.openxmlformats.org/officeDocument/2006/relationships/hyperlink" Target="https://www.bhf.org.uk" TargetMode="External"/><Relationship Id="rId12" Type="http://schemas.openxmlformats.org/officeDocument/2006/relationships/hyperlink" Target="https://www.nice.org.uk/guidance/ng28"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uk/conditions/type-2-diabete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iabetesatlas.org" TargetMode="External"/><Relationship Id="rId4" Type="http://schemas.openxmlformats.org/officeDocument/2006/relationships/webSettings" Target="webSettings.xml"/><Relationship Id="rId9" Type="http://schemas.openxmlformats.org/officeDocument/2006/relationships/hyperlink" Target="https://www.diabetes.org.uk" TargetMode="External"/><Relationship Id="rId14" Type="http://schemas.openxmlformats.org/officeDocument/2006/relationships/hyperlink" Target="https://www.who.int/news-room/fact-sheets/detail/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2087</Words>
  <Characters>11898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BCPFT</Company>
  <LinksUpToDate>false</LinksUpToDate>
  <CharactersWithSpaces>13958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HAMILTON, Stacilee (BLACK COUNTRY HEALTHCARE NHS FOUNDATION TRUST)</dc:creator>
  <cp:keywords/>
  <dc:description/>
  <cp:lastModifiedBy>stacilee Hamilton</cp:lastModifiedBy>
  <cp:revision>2</cp:revision>
  <dcterms:created xsi:type="dcterms:W3CDTF">2026-06-27T08:55:00Z</dcterms:created>
  <dcterms:modified xsi:type="dcterms:W3CDTF">2026-06-27T08:55:00Z</dcterms:modified>
</cp:coreProperties>
</file>