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D8BA0" w14:textId="77777777" w:rsidR="00FD2EFA" w:rsidRDefault="00FD2EFA" w:rsidP="00FD2EFA">
      <w:pPr>
        <w:jc w:val="center"/>
      </w:pPr>
      <w:r w:rsidRPr="00FD2EFA">
        <w:rPr>
          <w:noProof/>
        </w:rPr>
        <w:drawing>
          <wp:inline distT="0" distB="0" distL="0" distR="0" wp14:anchorId="229E91FF" wp14:editId="74510CF9">
            <wp:extent cx="5549900" cy="2313856"/>
            <wp:effectExtent l="0" t="0" r="0" b="0"/>
            <wp:docPr id="1348742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42127" name=""/>
                    <pic:cNvPicPr/>
                  </pic:nvPicPr>
                  <pic:blipFill>
                    <a:blip r:embed="rId8"/>
                    <a:stretch>
                      <a:fillRect/>
                    </a:stretch>
                  </pic:blipFill>
                  <pic:spPr>
                    <a:xfrm>
                      <a:off x="0" y="0"/>
                      <a:ext cx="5563479" cy="2319517"/>
                    </a:xfrm>
                    <a:prstGeom prst="rect">
                      <a:avLst/>
                    </a:prstGeom>
                  </pic:spPr>
                </pic:pic>
              </a:graphicData>
            </a:graphic>
          </wp:inline>
        </w:drawing>
      </w:r>
    </w:p>
    <w:p w14:paraId="0F11207F" w14:textId="77777777" w:rsidR="00FD2EFA" w:rsidRDefault="00FD2EFA" w:rsidP="00FD2EFA">
      <w:pPr>
        <w:jc w:val="center"/>
      </w:pPr>
    </w:p>
    <w:p w14:paraId="050681A2" w14:textId="254B736B" w:rsidR="00FD2EFA" w:rsidRDefault="00FD2EFA" w:rsidP="00FD2EFA">
      <w:pPr>
        <w:jc w:val="center"/>
        <w:rPr>
          <w:b/>
          <w:bCs/>
          <w:sz w:val="40"/>
          <w:szCs w:val="40"/>
        </w:rPr>
      </w:pPr>
      <w:r w:rsidRPr="00FD2EFA">
        <w:rPr>
          <w:b/>
          <w:bCs/>
          <w:sz w:val="40"/>
          <w:szCs w:val="40"/>
        </w:rPr>
        <w:t>Introduction to Health and Social Care LCHS4003</w:t>
      </w:r>
    </w:p>
    <w:p w14:paraId="3C19E6C5" w14:textId="77777777" w:rsidR="00FD2EFA" w:rsidRDefault="00FD2EFA" w:rsidP="00FD2EFA">
      <w:pPr>
        <w:jc w:val="center"/>
        <w:rPr>
          <w:b/>
          <w:bCs/>
          <w:sz w:val="40"/>
          <w:szCs w:val="40"/>
        </w:rPr>
      </w:pPr>
    </w:p>
    <w:p w14:paraId="2D56D99A" w14:textId="77777777" w:rsidR="00FD2EFA" w:rsidRDefault="00FD2EFA" w:rsidP="00FD2EFA">
      <w:pPr>
        <w:jc w:val="center"/>
        <w:rPr>
          <w:b/>
          <w:bCs/>
          <w:sz w:val="40"/>
          <w:szCs w:val="40"/>
        </w:rPr>
      </w:pPr>
    </w:p>
    <w:p w14:paraId="66BDB960" w14:textId="42274867" w:rsidR="00FD2EFA" w:rsidRDefault="00FD2EFA" w:rsidP="00FD2EFA">
      <w:pPr>
        <w:jc w:val="center"/>
        <w:rPr>
          <w:b/>
          <w:bCs/>
          <w:sz w:val="40"/>
          <w:szCs w:val="40"/>
        </w:rPr>
      </w:pPr>
      <w:r w:rsidRPr="00FD2EFA">
        <w:rPr>
          <w:b/>
          <w:bCs/>
          <w:sz w:val="40"/>
          <w:szCs w:val="40"/>
        </w:rPr>
        <w:t>Written Assignment</w:t>
      </w:r>
    </w:p>
    <w:p w14:paraId="6CDF1850" w14:textId="77777777" w:rsidR="00FD2EFA" w:rsidRDefault="00FD2EFA" w:rsidP="00FD2EFA">
      <w:pPr>
        <w:jc w:val="center"/>
        <w:rPr>
          <w:b/>
          <w:bCs/>
          <w:sz w:val="40"/>
          <w:szCs w:val="40"/>
        </w:rPr>
      </w:pPr>
    </w:p>
    <w:p w14:paraId="3C31165A" w14:textId="77777777" w:rsidR="00FD2EFA" w:rsidRDefault="00FD2EFA" w:rsidP="00FD2EFA">
      <w:pPr>
        <w:jc w:val="center"/>
        <w:rPr>
          <w:b/>
          <w:bCs/>
          <w:sz w:val="40"/>
          <w:szCs w:val="40"/>
        </w:rPr>
      </w:pPr>
    </w:p>
    <w:p w14:paraId="43C39A06" w14:textId="283C3409" w:rsidR="00FD2EFA" w:rsidRPr="00FD2EFA" w:rsidRDefault="00FD2EFA" w:rsidP="00FD2EFA">
      <w:pPr>
        <w:jc w:val="center"/>
        <w:rPr>
          <w:b/>
          <w:bCs/>
          <w:sz w:val="32"/>
          <w:szCs w:val="32"/>
        </w:rPr>
      </w:pPr>
      <w:r w:rsidRPr="00FD2EFA">
        <w:rPr>
          <w:b/>
          <w:bCs/>
          <w:sz w:val="32"/>
          <w:szCs w:val="32"/>
        </w:rPr>
        <w:t>Student Name:</w:t>
      </w:r>
      <w:r w:rsidR="0006425B">
        <w:rPr>
          <w:b/>
          <w:bCs/>
          <w:sz w:val="32"/>
          <w:szCs w:val="32"/>
        </w:rPr>
        <w:t xml:space="preserve"> </w:t>
      </w:r>
      <w:r w:rsidR="0006425B" w:rsidRPr="0006425B">
        <w:rPr>
          <w:b/>
          <w:bCs/>
          <w:sz w:val="32"/>
          <w:szCs w:val="32"/>
        </w:rPr>
        <w:t>Mary Vicentina Novais</w:t>
      </w:r>
    </w:p>
    <w:p w14:paraId="3377887C" w14:textId="77777777" w:rsidR="0006425B" w:rsidRPr="0006425B" w:rsidRDefault="00FD2EFA" w:rsidP="0006425B">
      <w:pPr>
        <w:jc w:val="center"/>
        <w:rPr>
          <w:b/>
          <w:bCs/>
          <w:sz w:val="32"/>
          <w:szCs w:val="32"/>
        </w:rPr>
      </w:pPr>
      <w:r w:rsidRPr="00FD2EFA">
        <w:rPr>
          <w:b/>
          <w:bCs/>
          <w:sz w:val="32"/>
          <w:szCs w:val="32"/>
        </w:rPr>
        <w:t>Student ID:</w:t>
      </w:r>
      <w:r w:rsidR="0006425B">
        <w:rPr>
          <w:b/>
          <w:bCs/>
          <w:sz w:val="32"/>
          <w:szCs w:val="32"/>
        </w:rPr>
        <w:t xml:space="preserve"> </w:t>
      </w:r>
      <w:r w:rsidR="0006425B" w:rsidRPr="0006425B">
        <w:rPr>
          <w:b/>
          <w:bCs/>
          <w:sz w:val="32"/>
          <w:szCs w:val="32"/>
        </w:rPr>
        <w:t>2436907</w:t>
      </w:r>
    </w:p>
    <w:p w14:paraId="40328E90" w14:textId="0BBBD371" w:rsidR="00FD2EFA" w:rsidRDefault="00FD2EFA" w:rsidP="00FD2EFA">
      <w:pPr>
        <w:jc w:val="center"/>
        <w:rPr>
          <w:b/>
          <w:bCs/>
          <w:sz w:val="32"/>
          <w:szCs w:val="32"/>
        </w:rPr>
      </w:pPr>
    </w:p>
    <w:p w14:paraId="4038E594" w14:textId="1E706C7F" w:rsidR="00FD2EFA" w:rsidRPr="00FD2EFA" w:rsidRDefault="00FD2EFA" w:rsidP="00FD2EFA">
      <w:pPr>
        <w:jc w:val="center"/>
        <w:rPr>
          <w:b/>
          <w:bCs/>
          <w:sz w:val="32"/>
          <w:szCs w:val="32"/>
        </w:rPr>
      </w:pPr>
      <w:r>
        <w:rPr>
          <w:b/>
          <w:bCs/>
          <w:sz w:val="32"/>
          <w:szCs w:val="32"/>
        </w:rPr>
        <w:t>Wordcount: 160</w:t>
      </w:r>
      <w:r w:rsidR="00122F4D">
        <w:rPr>
          <w:b/>
          <w:bCs/>
          <w:sz w:val="32"/>
          <w:szCs w:val="32"/>
        </w:rPr>
        <w:t>5</w:t>
      </w:r>
    </w:p>
    <w:p w14:paraId="41ACE720" w14:textId="77777777" w:rsidR="00FD2EFA" w:rsidRDefault="00FD2EFA" w:rsidP="00FD2EFA">
      <w:pPr>
        <w:jc w:val="center"/>
      </w:pPr>
    </w:p>
    <w:p w14:paraId="1FFB8F46" w14:textId="77777777" w:rsidR="00FD2EFA" w:rsidRDefault="00FD2EFA" w:rsidP="00FD2EFA">
      <w:pPr>
        <w:jc w:val="center"/>
      </w:pPr>
    </w:p>
    <w:p w14:paraId="593D5FDB" w14:textId="49D69276" w:rsidR="00FD2EFA" w:rsidRDefault="00FD2EFA">
      <w:r>
        <w:br w:type="page"/>
      </w:r>
    </w:p>
    <w:sdt>
      <w:sdtPr>
        <w:rPr>
          <w:rFonts w:ascii="Arial" w:eastAsia="Arial" w:hAnsi="Arial" w:cs="Arial"/>
          <w:b/>
          <w:bCs/>
          <w:color w:val="auto"/>
          <w:sz w:val="22"/>
          <w:szCs w:val="22"/>
          <w:lang w:val="en" w:eastAsia="en-GB"/>
        </w:rPr>
        <w:id w:val="-1454546490"/>
        <w:docPartObj>
          <w:docPartGallery w:val="Table of Contents"/>
          <w:docPartUnique/>
        </w:docPartObj>
      </w:sdtPr>
      <w:sdtEndPr>
        <w:rPr>
          <w:noProof/>
        </w:rPr>
      </w:sdtEndPr>
      <w:sdtContent>
        <w:p w14:paraId="1C054CFD" w14:textId="1770923F" w:rsidR="00FD2EFA" w:rsidRPr="00FD2EFA" w:rsidRDefault="00FD2EFA" w:rsidP="00FD2EFA">
          <w:pPr>
            <w:pStyle w:val="TOCHeading"/>
            <w:shd w:val="clear" w:color="auto" w:fill="DAEEF3" w:themeFill="accent5" w:themeFillTint="33"/>
            <w:rPr>
              <w:rFonts w:ascii="Arial" w:hAnsi="Arial" w:cs="Arial"/>
              <w:b/>
              <w:bCs/>
            </w:rPr>
          </w:pPr>
          <w:r w:rsidRPr="00FD2EFA">
            <w:rPr>
              <w:rFonts w:ascii="Arial" w:hAnsi="Arial" w:cs="Arial"/>
              <w:b/>
              <w:bCs/>
            </w:rPr>
            <w:t>Table of Contents</w:t>
          </w:r>
        </w:p>
        <w:p w14:paraId="3054FE92" w14:textId="74E470DA" w:rsidR="00FD2EFA" w:rsidRDefault="00FD2EFA">
          <w:pPr>
            <w:pStyle w:val="TOC1"/>
            <w:tabs>
              <w:tab w:val="right" w:leader="dot" w:pos="9016"/>
            </w:tabs>
            <w:rPr>
              <w:noProof/>
            </w:rPr>
          </w:pPr>
          <w:r>
            <w:fldChar w:fldCharType="begin"/>
          </w:r>
          <w:r>
            <w:instrText xml:space="preserve"> TOC \o "1-3" \h \z \u </w:instrText>
          </w:r>
          <w:r>
            <w:fldChar w:fldCharType="separate"/>
          </w:r>
          <w:hyperlink w:anchor="_Toc213706421" w:history="1">
            <w:r w:rsidRPr="00D8147D">
              <w:rPr>
                <w:rStyle w:val="Hyperlink"/>
                <w:noProof/>
              </w:rPr>
              <w:t>Introduction</w:t>
            </w:r>
            <w:r>
              <w:rPr>
                <w:noProof/>
                <w:webHidden/>
              </w:rPr>
              <w:tab/>
            </w:r>
            <w:r>
              <w:rPr>
                <w:noProof/>
                <w:webHidden/>
              </w:rPr>
              <w:fldChar w:fldCharType="begin"/>
            </w:r>
            <w:r>
              <w:rPr>
                <w:noProof/>
                <w:webHidden/>
              </w:rPr>
              <w:instrText xml:space="preserve"> PAGEREF _Toc213706421 \h </w:instrText>
            </w:r>
            <w:r>
              <w:rPr>
                <w:noProof/>
                <w:webHidden/>
              </w:rPr>
            </w:r>
            <w:r>
              <w:rPr>
                <w:noProof/>
                <w:webHidden/>
              </w:rPr>
              <w:fldChar w:fldCharType="separate"/>
            </w:r>
            <w:r>
              <w:rPr>
                <w:noProof/>
                <w:webHidden/>
              </w:rPr>
              <w:t>3</w:t>
            </w:r>
            <w:r>
              <w:rPr>
                <w:noProof/>
                <w:webHidden/>
              </w:rPr>
              <w:fldChar w:fldCharType="end"/>
            </w:r>
          </w:hyperlink>
        </w:p>
        <w:p w14:paraId="47B6FC88" w14:textId="40D361C9" w:rsidR="00FD2EFA" w:rsidRDefault="00FD2EFA">
          <w:pPr>
            <w:pStyle w:val="TOC1"/>
            <w:tabs>
              <w:tab w:val="right" w:leader="dot" w:pos="9016"/>
            </w:tabs>
            <w:rPr>
              <w:noProof/>
            </w:rPr>
          </w:pPr>
          <w:hyperlink w:anchor="_Toc213706422" w:history="1">
            <w:r w:rsidRPr="00D8147D">
              <w:rPr>
                <w:rStyle w:val="Hyperlink"/>
                <w:noProof/>
              </w:rPr>
              <w:t>Importance of Effective Communication</w:t>
            </w:r>
            <w:r>
              <w:rPr>
                <w:noProof/>
                <w:webHidden/>
              </w:rPr>
              <w:tab/>
            </w:r>
            <w:r>
              <w:rPr>
                <w:noProof/>
                <w:webHidden/>
              </w:rPr>
              <w:fldChar w:fldCharType="begin"/>
            </w:r>
            <w:r>
              <w:rPr>
                <w:noProof/>
                <w:webHidden/>
              </w:rPr>
              <w:instrText xml:space="preserve"> PAGEREF _Toc213706422 \h </w:instrText>
            </w:r>
            <w:r>
              <w:rPr>
                <w:noProof/>
                <w:webHidden/>
              </w:rPr>
            </w:r>
            <w:r>
              <w:rPr>
                <w:noProof/>
                <w:webHidden/>
              </w:rPr>
              <w:fldChar w:fldCharType="separate"/>
            </w:r>
            <w:r>
              <w:rPr>
                <w:noProof/>
                <w:webHidden/>
              </w:rPr>
              <w:t>4</w:t>
            </w:r>
            <w:r>
              <w:rPr>
                <w:noProof/>
                <w:webHidden/>
              </w:rPr>
              <w:fldChar w:fldCharType="end"/>
            </w:r>
          </w:hyperlink>
        </w:p>
        <w:p w14:paraId="5202D0E9" w14:textId="2B5F6AED" w:rsidR="00FD2EFA" w:rsidRDefault="00FD2EFA">
          <w:pPr>
            <w:pStyle w:val="TOC1"/>
            <w:tabs>
              <w:tab w:val="right" w:leader="dot" w:pos="9016"/>
            </w:tabs>
            <w:rPr>
              <w:noProof/>
            </w:rPr>
          </w:pPr>
          <w:hyperlink w:anchor="_Toc213706423" w:history="1">
            <w:r w:rsidRPr="00D8147D">
              <w:rPr>
                <w:rStyle w:val="Hyperlink"/>
                <w:noProof/>
              </w:rPr>
              <w:t>Importance of Good Administrative Skills</w:t>
            </w:r>
            <w:r>
              <w:rPr>
                <w:noProof/>
                <w:webHidden/>
              </w:rPr>
              <w:tab/>
            </w:r>
            <w:r>
              <w:rPr>
                <w:noProof/>
                <w:webHidden/>
              </w:rPr>
              <w:fldChar w:fldCharType="begin"/>
            </w:r>
            <w:r>
              <w:rPr>
                <w:noProof/>
                <w:webHidden/>
              </w:rPr>
              <w:instrText xml:space="preserve"> PAGEREF _Toc213706423 \h </w:instrText>
            </w:r>
            <w:r>
              <w:rPr>
                <w:noProof/>
                <w:webHidden/>
              </w:rPr>
            </w:r>
            <w:r>
              <w:rPr>
                <w:noProof/>
                <w:webHidden/>
              </w:rPr>
              <w:fldChar w:fldCharType="separate"/>
            </w:r>
            <w:r>
              <w:rPr>
                <w:noProof/>
                <w:webHidden/>
              </w:rPr>
              <w:t>6</w:t>
            </w:r>
            <w:r>
              <w:rPr>
                <w:noProof/>
                <w:webHidden/>
              </w:rPr>
              <w:fldChar w:fldCharType="end"/>
            </w:r>
          </w:hyperlink>
        </w:p>
        <w:p w14:paraId="51155CE0" w14:textId="3DD6D635" w:rsidR="00FD2EFA" w:rsidRDefault="00FD2EFA">
          <w:pPr>
            <w:pStyle w:val="TOC1"/>
            <w:tabs>
              <w:tab w:val="right" w:leader="dot" w:pos="9016"/>
            </w:tabs>
            <w:rPr>
              <w:noProof/>
            </w:rPr>
          </w:pPr>
          <w:hyperlink w:anchor="_Toc213706424" w:history="1">
            <w:r w:rsidRPr="00D8147D">
              <w:rPr>
                <w:rStyle w:val="Hyperlink"/>
                <w:noProof/>
              </w:rPr>
              <w:t>Importance of Collaborative Working</w:t>
            </w:r>
            <w:r>
              <w:rPr>
                <w:noProof/>
                <w:webHidden/>
              </w:rPr>
              <w:tab/>
            </w:r>
            <w:r>
              <w:rPr>
                <w:noProof/>
                <w:webHidden/>
              </w:rPr>
              <w:fldChar w:fldCharType="begin"/>
            </w:r>
            <w:r>
              <w:rPr>
                <w:noProof/>
                <w:webHidden/>
              </w:rPr>
              <w:instrText xml:space="preserve"> PAGEREF _Toc213706424 \h </w:instrText>
            </w:r>
            <w:r>
              <w:rPr>
                <w:noProof/>
                <w:webHidden/>
              </w:rPr>
            </w:r>
            <w:r>
              <w:rPr>
                <w:noProof/>
                <w:webHidden/>
              </w:rPr>
              <w:fldChar w:fldCharType="separate"/>
            </w:r>
            <w:r>
              <w:rPr>
                <w:noProof/>
                <w:webHidden/>
              </w:rPr>
              <w:t>8</w:t>
            </w:r>
            <w:r>
              <w:rPr>
                <w:noProof/>
                <w:webHidden/>
              </w:rPr>
              <w:fldChar w:fldCharType="end"/>
            </w:r>
          </w:hyperlink>
        </w:p>
        <w:p w14:paraId="3B98DC3C" w14:textId="59050B11" w:rsidR="00FD2EFA" w:rsidRDefault="00FD2EFA">
          <w:pPr>
            <w:pStyle w:val="TOC1"/>
            <w:tabs>
              <w:tab w:val="right" w:leader="dot" w:pos="9016"/>
            </w:tabs>
            <w:rPr>
              <w:noProof/>
            </w:rPr>
          </w:pPr>
          <w:hyperlink w:anchor="_Toc213706425" w:history="1">
            <w:r w:rsidRPr="00D8147D">
              <w:rPr>
                <w:rStyle w:val="Hyperlink"/>
                <w:noProof/>
              </w:rPr>
              <w:t>Conclusion</w:t>
            </w:r>
            <w:r>
              <w:rPr>
                <w:noProof/>
                <w:webHidden/>
              </w:rPr>
              <w:tab/>
            </w:r>
            <w:r>
              <w:rPr>
                <w:noProof/>
                <w:webHidden/>
              </w:rPr>
              <w:fldChar w:fldCharType="begin"/>
            </w:r>
            <w:r>
              <w:rPr>
                <w:noProof/>
                <w:webHidden/>
              </w:rPr>
              <w:instrText xml:space="preserve"> PAGEREF _Toc213706425 \h </w:instrText>
            </w:r>
            <w:r>
              <w:rPr>
                <w:noProof/>
                <w:webHidden/>
              </w:rPr>
            </w:r>
            <w:r>
              <w:rPr>
                <w:noProof/>
                <w:webHidden/>
              </w:rPr>
              <w:fldChar w:fldCharType="separate"/>
            </w:r>
            <w:r>
              <w:rPr>
                <w:noProof/>
                <w:webHidden/>
              </w:rPr>
              <w:t>9</w:t>
            </w:r>
            <w:r>
              <w:rPr>
                <w:noProof/>
                <w:webHidden/>
              </w:rPr>
              <w:fldChar w:fldCharType="end"/>
            </w:r>
          </w:hyperlink>
        </w:p>
        <w:p w14:paraId="7245C1FC" w14:textId="0BBB9DAE" w:rsidR="00FD2EFA" w:rsidRDefault="00FD2EFA">
          <w:pPr>
            <w:pStyle w:val="TOC1"/>
            <w:tabs>
              <w:tab w:val="right" w:leader="dot" w:pos="9016"/>
            </w:tabs>
            <w:rPr>
              <w:noProof/>
            </w:rPr>
          </w:pPr>
          <w:hyperlink w:anchor="_Toc213706426" w:history="1">
            <w:r w:rsidRPr="00D8147D">
              <w:rPr>
                <w:rStyle w:val="Hyperlink"/>
                <w:noProof/>
              </w:rPr>
              <w:t>References</w:t>
            </w:r>
            <w:r>
              <w:rPr>
                <w:noProof/>
                <w:webHidden/>
              </w:rPr>
              <w:tab/>
            </w:r>
            <w:r>
              <w:rPr>
                <w:noProof/>
                <w:webHidden/>
              </w:rPr>
              <w:fldChar w:fldCharType="begin"/>
            </w:r>
            <w:r>
              <w:rPr>
                <w:noProof/>
                <w:webHidden/>
              </w:rPr>
              <w:instrText xml:space="preserve"> PAGEREF _Toc213706426 \h </w:instrText>
            </w:r>
            <w:r>
              <w:rPr>
                <w:noProof/>
                <w:webHidden/>
              </w:rPr>
            </w:r>
            <w:r>
              <w:rPr>
                <w:noProof/>
                <w:webHidden/>
              </w:rPr>
              <w:fldChar w:fldCharType="separate"/>
            </w:r>
            <w:r>
              <w:rPr>
                <w:noProof/>
                <w:webHidden/>
              </w:rPr>
              <w:t>10</w:t>
            </w:r>
            <w:r>
              <w:rPr>
                <w:noProof/>
                <w:webHidden/>
              </w:rPr>
              <w:fldChar w:fldCharType="end"/>
            </w:r>
          </w:hyperlink>
        </w:p>
        <w:p w14:paraId="126737BE" w14:textId="379CDA54" w:rsidR="00FD2EFA" w:rsidRDefault="00FD2EFA">
          <w:r>
            <w:rPr>
              <w:b/>
              <w:bCs/>
              <w:noProof/>
            </w:rPr>
            <w:fldChar w:fldCharType="end"/>
          </w:r>
        </w:p>
      </w:sdtContent>
    </w:sdt>
    <w:p w14:paraId="3024DE8C" w14:textId="319FC460" w:rsidR="00511A67" w:rsidRDefault="00000000">
      <w:r>
        <w:br w:type="page"/>
      </w:r>
    </w:p>
    <w:p w14:paraId="117A6B31" w14:textId="77777777" w:rsidR="00511A67" w:rsidRPr="00FD2EFA" w:rsidRDefault="00000000" w:rsidP="00FD2EFA">
      <w:pPr>
        <w:pStyle w:val="Heading1"/>
      </w:pPr>
      <w:bookmarkStart w:id="0" w:name="_pdvj8syt4i4h" w:colFirst="0" w:colLast="0"/>
      <w:bookmarkStart w:id="1" w:name="_Toc213706421"/>
      <w:bookmarkEnd w:id="0"/>
      <w:r w:rsidRPr="00FD2EFA">
        <w:lastRenderedPageBreak/>
        <w:t>Introduction</w:t>
      </w:r>
      <w:bookmarkEnd w:id="1"/>
    </w:p>
    <w:p w14:paraId="206EF179" w14:textId="77777777" w:rsidR="00511A67" w:rsidRDefault="00000000">
      <w:r>
        <w:t xml:space="preserve">Healthcare is premised on effective communication, maintenance of files and effective interaction amongst professionals who make the decision on the care of the patient, who is a 72-year-old female, </w:t>
      </w:r>
      <w:proofErr w:type="spellStart"/>
      <w:r>
        <w:t>Mrs</w:t>
      </w:r>
      <w:proofErr w:type="spellEnd"/>
      <w:r>
        <w:t xml:space="preserve"> Man, who has undergone hip surgery but is recovering. Three primary areas of her care that have been discussed by this report are: the worth of good communication with Mrs. Mann and her family, the worth of good administration skills of recording the proper records and the worth of collaboration toward a collective of her care </w:t>
      </w:r>
      <w:proofErr w:type="spellStart"/>
      <w:r>
        <w:t>centre</w:t>
      </w:r>
      <w:proofErr w:type="spellEnd"/>
      <w:r>
        <w:t xml:space="preserve"> team that includes physiotherapist, GP and care workers. Also, proper </w:t>
      </w:r>
      <w:proofErr w:type="spellStart"/>
      <w:r>
        <w:t>organisation</w:t>
      </w:r>
      <w:proofErr w:type="spellEnd"/>
      <w:r>
        <w:t xml:space="preserve"> of medical data and their documentation will be ensured with appropriate record-keeping as it is expected per the Data Protection Act 2018. Lastly, the professional collaboration that will be accepted will ensure that </w:t>
      </w:r>
      <w:proofErr w:type="spellStart"/>
      <w:r>
        <w:t>Mrs</w:t>
      </w:r>
      <w:proofErr w:type="spellEnd"/>
      <w:r>
        <w:t xml:space="preserve"> Mann receives quality and integrated healthcare. These are some of the aspects that this report talks about in more detail and offers suggestions about the best practice in her care.</w:t>
      </w:r>
      <w:r>
        <w:br w:type="page"/>
      </w:r>
    </w:p>
    <w:p w14:paraId="5B326B0C" w14:textId="77777777" w:rsidR="00511A67" w:rsidRDefault="00000000" w:rsidP="00FD2EFA">
      <w:pPr>
        <w:pStyle w:val="Heading1"/>
      </w:pPr>
      <w:bookmarkStart w:id="2" w:name="_3r3q0u8p99gq" w:colFirst="0" w:colLast="0"/>
      <w:bookmarkStart w:id="3" w:name="_Toc213706422"/>
      <w:bookmarkEnd w:id="2"/>
      <w:r>
        <w:lastRenderedPageBreak/>
        <w:t>Importance of Effective Communication</w:t>
      </w:r>
      <w:bookmarkEnd w:id="3"/>
    </w:p>
    <w:p w14:paraId="38419F20" w14:textId="77777777" w:rsidR="00511A67" w:rsidRDefault="00000000">
      <w:r>
        <w:t xml:space="preserve">Good communication skills form the foundation of good healthcare, particularly for patients who are 72 years old, just like in the case of </w:t>
      </w:r>
      <w:proofErr w:type="spellStart"/>
      <w:r>
        <w:t>Mrs</w:t>
      </w:r>
      <w:proofErr w:type="spellEnd"/>
      <w:r>
        <w:t xml:space="preserve"> Mann, who is recovering after undergoing operations on her hips, and has little knowledge of the English language. In this case, communication plays an important role in ensuring that the needs of </w:t>
      </w:r>
      <w:proofErr w:type="spellStart"/>
      <w:r>
        <w:t>Mrs</w:t>
      </w:r>
      <w:proofErr w:type="spellEnd"/>
      <w:r>
        <w:t xml:space="preserve"> Manns are well understood and addressed (Møllebæk et al., 2019). </w:t>
      </w:r>
    </w:p>
    <w:p w14:paraId="48825A74" w14:textId="77777777" w:rsidR="00511A67" w:rsidRDefault="00511A67"/>
    <w:p w14:paraId="4BD4E716" w14:textId="77777777" w:rsidR="00511A67" w:rsidRDefault="00000000">
      <w:pPr>
        <w:rPr>
          <w:b/>
          <w:bCs/>
          <w:i/>
          <w:iCs/>
        </w:rPr>
      </w:pPr>
      <w:r>
        <w:rPr>
          <w:b/>
          <w:bCs/>
          <w:i/>
          <w:iCs/>
        </w:rPr>
        <w:t>Service User Interaction and Family Interaction.</w:t>
      </w:r>
    </w:p>
    <w:p w14:paraId="41B213C1" w14:textId="77777777" w:rsidR="00511A67" w:rsidRDefault="00000000">
      <w:r>
        <w:t xml:space="preserve">In the example of </w:t>
      </w:r>
      <w:proofErr w:type="spellStart"/>
      <w:r>
        <w:t>Mrs</w:t>
      </w:r>
      <w:proofErr w:type="spellEnd"/>
      <w:r>
        <w:t xml:space="preserve"> Mann, the communication involved is not only with her health practitioners but also with her own family and daughter, to be more particular, because she is an interpreter. According to the Equality Act 2010, healthcare practitioners are expected to make reasonable adjustments to allow all individuals who face problems with communication to be accommodated (GOV.UK, 2023). Application of an interpreter is required; a person should use plain and clear language in this instance because </w:t>
      </w:r>
      <w:proofErr w:type="spellStart"/>
      <w:r>
        <w:t>Mrs</w:t>
      </w:r>
      <w:proofErr w:type="spellEnd"/>
      <w:r>
        <w:t xml:space="preserve"> Mann should fully understand the plan of her care. The fact that the Act is </w:t>
      </w:r>
      <w:proofErr w:type="spellStart"/>
      <w:r>
        <w:t>centred</w:t>
      </w:r>
      <w:proofErr w:type="spellEnd"/>
      <w:r>
        <w:t xml:space="preserve"> on reasonable adjustments implies that patients like Mrs. Mann are not disadvantaged by the fact that they have language obstacles to accessing healthcare services.</w:t>
      </w:r>
    </w:p>
    <w:p w14:paraId="67ACA801" w14:textId="77777777" w:rsidR="00511A67" w:rsidRDefault="00511A67"/>
    <w:p w14:paraId="65B626D9" w14:textId="77777777" w:rsidR="00511A67" w:rsidRDefault="00000000">
      <w:pPr>
        <w:rPr>
          <w:b/>
          <w:bCs/>
          <w:i/>
          <w:iCs/>
        </w:rPr>
      </w:pPr>
      <w:r>
        <w:rPr>
          <w:b/>
          <w:bCs/>
          <w:i/>
          <w:iCs/>
        </w:rPr>
        <w:t>Communication Model</w:t>
      </w:r>
    </w:p>
    <w:p w14:paraId="17FD2FAC" w14:textId="77777777" w:rsidR="00511A67" w:rsidRDefault="00000000">
      <w:r>
        <w:t xml:space="preserve">In this case, the Transactional Model of Communication (Cornett and Kuziemsky, 2018) is quite timely due to offering a focus on communication as a two-way process of engaging the sender and receiver. </w:t>
      </w:r>
      <w:proofErr w:type="spellStart"/>
      <w:r>
        <w:t>Mrs</w:t>
      </w:r>
      <w:proofErr w:type="spellEnd"/>
      <w:r>
        <w:t xml:space="preserve"> Mann's healthcare providers should have the capacity not only to provide her with the information in a manner that she can comprehend but also to provide feedback to her and her daughter so that they can understand each other (Ratna, 2019). This kind of interaction plays a significant role in making sure that Mrs. Mann is well </w:t>
      </w:r>
      <w:proofErr w:type="spellStart"/>
      <w:r>
        <w:t>recognised</w:t>
      </w:r>
      <w:proofErr w:type="spellEnd"/>
      <w:r>
        <w:t xml:space="preserve"> in her care process, especially when she may not be by a position to speak English well.</w:t>
      </w:r>
    </w:p>
    <w:p w14:paraId="671A8EFB" w14:textId="77777777" w:rsidR="00511A67" w:rsidRDefault="00511A67"/>
    <w:p w14:paraId="00EC278D" w14:textId="77777777" w:rsidR="00511A67" w:rsidRDefault="00000000">
      <w:pPr>
        <w:rPr>
          <w:b/>
          <w:bCs/>
          <w:i/>
          <w:iCs/>
        </w:rPr>
      </w:pPr>
      <w:r>
        <w:rPr>
          <w:b/>
          <w:bCs/>
          <w:i/>
          <w:iCs/>
        </w:rPr>
        <w:t>Barriers to Communication</w:t>
      </w:r>
    </w:p>
    <w:p w14:paraId="11CDB613" w14:textId="77777777" w:rsidR="00122F4D" w:rsidRDefault="00122F4D" w:rsidP="00122F4D">
      <w:r>
        <w:t xml:space="preserve">The problem of language barriers is manifest in the language case of </w:t>
      </w:r>
      <w:proofErr w:type="spellStart"/>
      <w:r>
        <w:t>Mrs</w:t>
      </w:r>
      <w:proofErr w:type="spellEnd"/>
      <w:r>
        <w:t xml:space="preserve"> Manns. In order to overcome these obstacles, interprofessional communication is necessary, as Foronda et al. (2016) suggest. It will require the medical staff to communicate well with </w:t>
      </w:r>
      <w:proofErr w:type="spellStart"/>
      <w:r>
        <w:t>Mrs</w:t>
      </w:r>
      <w:proofErr w:type="spellEnd"/>
      <w:r>
        <w:t xml:space="preserve"> Mann and her daughter, who ought to understand her care requirements. This may involve use of translators, illustration effects as well as simplification of the medical phraseology. </w:t>
      </w:r>
      <w:proofErr w:type="spellStart"/>
      <w:r>
        <w:t>Molllebjorn</w:t>
      </w:r>
      <w:proofErr w:type="spellEnd"/>
      <w:r>
        <w:t xml:space="preserve"> et al. (2019) assert that despite language barriers, direct communication with the medical workers can still be implemented to improve care provision. </w:t>
      </w:r>
    </w:p>
    <w:p w14:paraId="27A0A1E2" w14:textId="1BCEB924" w:rsidR="00511A67" w:rsidRDefault="00122F4D" w:rsidP="00122F4D">
      <w:r>
        <w:lastRenderedPageBreak/>
        <w:t xml:space="preserve">Quality care provision to </w:t>
      </w:r>
      <w:proofErr w:type="spellStart"/>
      <w:r>
        <w:t>Mrs</w:t>
      </w:r>
      <w:proofErr w:type="spellEnd"/>
      <w:r>
        <w:t xml:space="preserve"> Mann entails communication. By adhering to the Equality Act 2010 healthcare providers are expected to ensure that the communication channels used are adjusted to her language needs. A beneficial model where communication between the family and care team and </w:t>
      </w:r>
      <w:proofErr w:type="spellStart"/>
      <w:r>
        <w:t>Mrs</w:t>
      </w:r>
      <w:proofErr w:type="spellEnd"/>
      <w:r>
        <w:t xml:space="preserve"> Mann can be effective and transparent can be provided using the Transactional Model of Communication proposed.</w:t>
      </w:r>
    </w:p>
    <w:p w14:paraId="586F201C" w14:textId="77777777" w:rsidR="00511A67" w:rsidRDefault="00511A67">
      <w:pPr>
        <w:rPr>
          <w:sz w:val="24"/>
          <w:szCs w:val="24"/>
        </w:rPr>
      </w:pPr>
    </w:p>
    <w:p w14:paraId="3A2FB72D" w14:textId="77777777" w:rsidR="00511A67" w:rsidRDefault="00000000">
      <w:r>
        <w:br w:type="page"/>
      </w:r>
    </w:p>
    <w:p w14:paraId="53930D7E" w14:textId="77777777" w:rsidR="00511A67" w:rsidRDefault="00000000" w:rsidP="00FD2EFA">
      <w:pPr>
        <w:pStyle w:val="Heading1"/>
      </w:pPr>
      <w:bookmarkStart w:id="4" w:name="_l83d49peddec" w:colFirst="0" w:colLast="0"/>
      <w:bookmarkStart w:id="5" w:name="_Toc213706423"/>
      <w:bookmarkEnd w:id="4"/>
      <w:r>
        <w:lastRenderedPageBreak/>
        <w:t>Importance of Good Administrative Skills</w:t>
      </w:r>
      <w:bookmarkEnd w:id="5"/>
    </w:p>
    <w:p w14:paraId="4B7973F0" w14:textId="77777777" w:rsidR="00511A67" w:rsidRDefault="00000000">
      <w:r>
        <w:t xml:space="preserve">The administration skills are required to be strong in ensuring effective and safe provision of healthcare, especially in the area of patient record keeping and confidentiality. To provide the patient with the necessary care, as in the case of </w:t>
      </w:r>
      <w:proofErr w:type="spellStart"/>
      <w:r>
        <w:t>Mrs</w:t>
      </w:r>
      <w:proofErr w:type="spellEnd"/>
      <w:r>
        <w:t xml:space="preserve"> Mann, a 72-year-old female who has recently experienced hip surgery.</w:t>
      </w:r>
    </w:p>
    <w:p w14:paraId="0D619DE0" w14:textId="77777777" w:rsidR="00511A67" w:rsidRDefault="00511A67"/>
    <w:p w14:paraId="74F24C20" w14:textId="77777777" w:rsidR="00511A67" w:rsidRDefault="00000000">
      <w:pPr>
        <w:rPr>
          <w:b/>
          <w:bCs/>
        </w:rPr>
      </w:pPr>
      <w:r>
        <w:rPr>
          <w:b/>
          <w:bCs/>
        </w:rPr>
        <w:t>Record Keeping in the Healthcare Practice.</w:t>
      </w:r>
    </w:p>
    <w:p w14:paraId="0E5F58D8" w14:textId="77777777" w:rsidR="00511A67" w:rsidRDefault="00000000">
      <w:r>
        <w:t xml:space="preserve">Proper record-keeping by the healthcare staff members of </w:t>
      </w:r>
      <w:proofErr w:type="spellStart"/>
      <w:r>
        <w:t>Mrs</w:t>
      </w:r>
      <w:proofErr w:type="spellEnd"/>
      <w:r>
        <w:t xml:space="preserve"> Manns ought to be precise and timely in order that the staff can trace her progress and make appropriate decisions about her care (Ratna, 2019). Any medical and other medical staff who would attend to her, like the GP and the physiotherapist, and care workers, need to ensure that the interaction and any form of treatment given to her would be duly documented. Fanelli et al. (2021) note that healthcare professionals must adopt the habit of maintaining good records because it will involve upholding continuity in regard to care delivery and enhancing the </w:t>
      </w:r>
      <w:proofErr w:type="spellStart"/>
      <w:r>
        <w:t>minimisation</w:t>
      </w:r>
      <w:proofErr w:type="spellEnd"/>
      <w:r>
        <w:t xml:space="preserve"> of errors.  The Data Protection Act 2018 is a legal statute that advances the legal provisions on how personal information is handled in the healthcare sector (GOV.UK, 2018). This legislation will ensure that the records on patient information, including her medical history, treatment plan and her personal information, are not released to malevolent hands by connecting the role of the medical practitioners. </w:t>
      </w:r>
    </w:p>
    <w:p w14:paraId="7AE01BA0" w14:textId="77777777" w:rsidR="00511A67" w:rsidRDefault="00511A67"/>
    <w:p w14:paraId="0290BC12" w14:textId="77777777" w:rsidR="00511A67" w:rsidRDefault="00000000">
      <w:pPr>
        <w:rPr>
          <w:b/>
          <w:bCs/>
        </w:rPr>
      </w:pPr>
      <w:r>
        <w:rPr>
          <w:b/>
          <w:bCs/>
        </w:rPr>
        <w:t>Data Protection Principles</w:t>
      </w:r>
    </w:p>
    <w:p w14:paraId="058BA43B" w14:textId="77777777" w:rsidR="00511A67" w:rsidRDefault="00000000">
      <w:r>
        <w:t xml:space="preserve">The Data Protection Act 2018 has significant principles of processing of personal data that are important to the care given to </w:t>
      </w:r>
      <w:proofErr w:type="spellStart"/>
      <w:r>
        <w:t>Mrs</w:t>
      </w:r>
      <w:proofErr w:type="spellEnd"/>
      <w:r>
        <w:t xml:space="preserve"> Manns (GOV.UK, 2018):</w:t>
      </w:r>
    </w:p>
    <w:p w14:paraId="59282CEC" w14:textId="77777777" w:rsidR="00511A67" w:rsidRDefault="00511A67"/>
    <w:p w14:paraId="75504120" w14:textId="77777777" w:rsidR="00511A67" w:rsidRDefault="00000000">
      <w:pPr>
        <w:numPr>
          <w:ilvl w:val="0"/>
          <w:numId w:val="1"/>
        </w:numPr>
      </w:pPr>
      <w:proofErr w:type="spellStart"/>
      <w:r>
        <w:rPr>
          <w:b/>
          <w:bCs/>
        </w:rPr>
        <w:t>Minimisation</w:t>
      </w:r>
      <w:proofErr w:type="spellEnd"/>
      <w:r>
        <w:rPr>
          <w:b/>
          <w:bCs/>
        </w:rPr>
        <w:t xml:space="preserve"> of Data:</w:t>
      </w:r>
      <w:r>
        <w:t xml:space="preserve"> Data that is gathered and kept should have only the required information that she requires. This is in such a way that her records will not have irrelevant information (Smith et al., 2024).</w:t>
      </w:r>
    </w:p>
    <w:p w14:paraId="22DF4CA8" w14:textId="77777777" w:rsidR="00511A67" w:rsidRDefault="00000000">
      <w:pPr>
        <w:numPr>
          <w:ilvl w:val="0"/>
          <w:numId w:val="1"/>
        </w:numPr>
      </w:pPr>
      <w:r>
        <w:rPr>
          <w:b/>
          <w:bCs/>
        </w:rPr>
        <w:t>Accuracy:</w:t>
      </w:r>
      <w:r>
        <w:t xml:space="preserve"> The documentation maintained regarding </w:t>
      </w:r>
      <w:proofErr w:type="spellStart"/>
      <w:r>
        <w:t>Mrs</w:t>
      </w:r>
      <w:proofErr w:type="spellEnd"/>
      <w:r>
        <w:t xml:space="preserve"> Mann's needs </w:t>
      </w:r>
      <w:proofErr w:type="spellStart"/>
      <w:r>
        <w:t>needs</w:t>
      </w:r>
      <w:proofErr w:type="spellEnd"/>
      <w:r>
        <w:t xml:space="preserve"> to be updated frequently in an attempt to reflect her current condition to ensure that the health care judgments made by them will be informed with the correct information (Shabbir et al., 2022).</w:t>
      </w:r>
    </w:p>
    <w:p w14:paraId="6B8C8F63" w14:textId="77777777" w:rsidR="00511A67" w:rsidRDefault="00000000">
      <w:pPr>
        <w:numPr>
          <w:ilvl w:val="0"/>
          <w:numId w:val="1"/>
        </w:numPr>
      </w:pPr>
      <w:r>
        <w:rPr>
          <w:b/>
          <w:bCs/>
        </w:rPr>
        <w:t>Armed Confidentiality:</w:t>
      </w:r>
      <w:r>
        <w:t xml:space="preserve"> All information that is related to the health of </w:t>
      </w:r>
      <w:proofErr w:type="spellStart"/>
      <w:r>
        <w:t>Mrs</w:t>
      </w:r>
      <w:proofErr w:type="spellEnd"/>
      <w:r>
        <w:t xml:space="preserve"> Manns must remain within the strict rule of secrecy and must be available only to the health workers who directly take care of her health status.</w:t>
      </w:r>
    </w:p>
    <w:p w14:paraId="0A65B850" w14:textId="77777777" w:rsidR="00511A67" w:rsidRDefault="00000000">
      <w:pPr>
        <w:numPr>
          <w:ilvl w:val="0"/>
          <w:numId w:val="1"/>
        </w:numPr>
      </w:pPr>
      <w:r>
        <w:rPr>
          <w:b/>
          <w:bCs/>
        </w:rPr>
        <w:lastRenderedPageBreak/>
        <w:t>Security:</w:t>
      </w:r>
      <w:r>
        <w:t xml:space="preserve"> To prevent privacy invasion, it is important that </w:t>
      </w:r>
      <w:proofErr w:type="spellStart"/>
      <w:r>
        <w:t>Mrs</w:t>
      </w:r>
      <w:proofErr w:type="spellEnd"/>
      <w:r>
        <w:t xml:space="preserve"> Mann's personal data is stored in a safe location and access to the data is restricted to prevent the possibility of </w:t>
      </w:r>
      <w:proofErr w:type="spellStart"/>
      <w:r>
        <w:t>unauthorised</w:t>
      </w:r>
      <w:proofErr w:type="spellEnd"/>
      <w:r>
        <w:t xml:space="preserve"> access to these data or data leakages (Ratna, 2019).</w:t>
      </w:r>
    </w:p>
    <w:p w14:paraId="7B5C858A" w14:textId="77777777" w:rsidR="00511A67" w:rsidRDefault="00000000">
      <w:r>
        <w:t xml:space="preserve">The cooperation between the medical practitioners can also be secured with effective record-keeping. </w:t>
      </w:r>
      <w:proofErr w:type="spellStart"/>
      <w:r>
        <w:t>Schot</w:t>
      </w:r>
      <w:proofErr w:type="spellEnd"/>
      <w:r>
        <w:t xml:space="preserve"> et al. (2020) argue that without communication and collaboration, it is not possible to integrate, as it is an important component of delivering integrated care. It is also a factor that brings about collaboration of her care team, as appropriate record-keeping promotes this element with the aim of providing high-quality and coordinated care.</w:t>
      </w:r>
      <w:r>
        <w:br w:type="page"/>
      </w:r>
    </w:p>
    <w:p w14:paraId="277BECFB" w14:textId="77777777" w:rsidR="00511A67" w:rsidRDefault="00000000" w:rsidP="00FD2EFA">
      <w:pPr>
        <w:pStyle w:val="Heading1"/>
      </w:pPr>
      <w:bookmarkStart w:id="6" w:name="_4pg259ek48d" w:colFirst="0" w:colLast="0"/>
      <w:bookmarkStart w:id="7" w:name="_Toc213706424"/>
      <w:bookmarkEnd w:id="6"/>
      <w:r>
        <w:lastRenderedPageBreak/>
        <w:t>Importance of Collaborative Working</w:t>
      </w:r>
      <w:bookmarkEnd w:id="7"/>
    </w:p>
    <w:p w14:paraId="583F17BF" w14:textId="77777777" w:rsidR="00511A67" w:rsidRDefault="00000000">
      <w:r>
        <w:t xml:space="preserve">Collaborative working should be involved in taking care of </w:t>
      </w:r>
      <w:proofErr w:type="spellStart"/>
      <w:r>
        <w:t>Mrs</w:t>
      </w:r>
      <w:proofErr w:type="spellEnd"/>
      <w:r>
        <w:t xml:space="preserve"> Mann, and all the professionals that must be involved in the care of the patient, such as the physiotherapist, GP, and the care workers, need to work together in ensuring that the patient is cured (Pitt, 2019). With the amalgamation of skills, the care team would be in a position to offer holistic care through vast support to improve her health. Teamwork will lead to all the fields of her care being well-handled in a </w:t>
      </w:r>
      <w:proofErr w:type="spellStart"/>
      <w:r>
        <w:t>synchronised</w:t>
      </w:r>
      <w:proofErr w:type="spellEnd"/>
      <w:r>
        <w:t xml:space="preserve"> and just-in-time manner. This type of collaboration practice is significant in removing the complexity to deliver continuity in her treatment (Smith et al., 2024). The tactics which can be employed to facilitate collaboration in attending to </w:t>
      </w:r>
      <w:proofErr w:type="spellStart"/>
      <w:r>
        <w:t>Mrs</w:t>
      </w:r>
      <w:proofErr w:type="spellEnd"/>
      <w:r>
        <w:t xml:space="preserve"> Mann are normal communication, decision-making and shared care planning. Such practices enhance teamwork and ensure that all the medical workers are consistent in their relationship towards her treatment. </w:t>
      </w:r>
    </w:p>
    <w:p w14:paraId="077EEDEE" w14:textId="77777777" w:rsidR="00511A67" w:rsidRDefault="00511A67"/>
    <w:tbl>
      <w:tblPr>
        <w:tblStyle w:val="a"/>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30"/>
        <w:gridCol w:w="6600"/>
      </w:tblGrid>
      <w:tr w:rsidR="00511A67" w14:paraId="20822649" w14:textId="77777777">
        <w:trPr>
          <w:trHeight w:val="435"/>
        </w:trPr>
        <w:tc>
          <w:tcPr>
            <w:tcW w:w="27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B7A7A63" w14:textId="77777777" w:rsidR="00511A67" w:rsidRDefault="00000000">
            <w:pPr>
              <w:spacing w:before="240" w:after="160" w:line="256" w:lineRule="auto"/>
              <w:rPr>
                <w:b/>
                <w:bCs/>
              </w:rPr>
            </w:pPr>
            <w:r>
              <w:rPr>
                <w:b/>
                <w:bCs/>
              </w:rPr>
              <w:t>Approach</w:t>
            </w:r>
          </w:p>
        </w:tc>
        <w:tc>
          <w:tcPr>
            <w:tcW w:w="66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4B5E0EA" w14:textId="77777777" w:rsidR="00511A67" w:rsidRDefault="00000000">
            <w:pPr>
              <w:spacing w:before="240" w:after="160" w:line="256" w:lineRule="auto"/>
              <w:rPr>
                <w:b/>
                <w:bCs/>
              </w:rPr>
            </w:pPr>
            <w:r>
              <w:rPr>
                <w:b/>
                <w:bCs/>
              </w:rPr>
              <w:t>Description</w:t>
            </w:r>
          </w:p>
        </w:tc>
      </w:tr>
      <w:tr w:rsidR="00511A67" w14:paraId="569456E3" w14:textId="77777777">
        <w:trPr>
          <w:trHeight w:val="945"/>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C03779E" w14:textId="77777777" w:rsidR="00511A67" w:rsidRDefault="00000000">
            <w:pPr>
              <w:spacing w:before="240" w:after="160" w:line="256" w:lineRule="auto"/>
              <w:rPr>
                <w:b/>
                <w:bCs/>
              </w:rPr>
            </w:pPr>
            <w:r>
              <w:rPr>
                <w:b/>
                <w:bCs/>
              </w:rPr>
              <w:t>Regular Multidisciplinary Meetings</w:t>
            </w:r>
          </w:p>
        </w:tc>
        <w:tc>
          <w:tcPr>
            <w:tcW w:w="6600" w:type="dxa"/>
            <w:tcBorders>
              <w:top w:val="nil"/>
              <w:left w:val="nil"/>
              <w:bottom w:val="single" w:sz="5" w:space="0" w:color="000000"/>
              <w:right w:val="single" w:sz="5" w:space="0" w:color="000000"/>
            </w:tcBorders>
            <w:tcMar>
              <w:top w:w="0" w:type="dxa"/>
              <w:left w:w="100" w:type="dxa"/>
              <w:bottom w:w="0" w:type="dxa"/>
              <w:right w:w="100" w:type="dxa"/>
            </w:tcMar>
          </w:tcPr>
          <w:p w14:paraId="6C10AB9B" w14:textId="77777777" w:rsidR="00511A67" w:rsidRDefault="00000000">
            <w:pPr>
              <w:spacing w:before="240" w:after="160" w:line="256" w:lineRule="auto"/>
            </w:pPr>
            <w:r>
              <w:t>Holding regular meetings where each healthcare professional discusses their observations and updates on Mrs. Mann’s care.</w:t>
            </w:r>
          </w:p>
        </w:tc>
      </w:tr>
      <w:tr w:rsidR="00511A67" w14:paraId="648B5C0F" w14:textId="77777777">
        <w:trPr>
          <w:trHeight w:val="690"/>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3D62CCB" w14:textId="77777777" w:rsidR="00511A67" w:rsidRDefault="00000000">
            <w:pPr>
              <w:spacing w:before="240" w:after="160" w:line="256" w:lineRule="auto"/>
              <w:rPr>
                <w:b/>
                <w:bCs/>
              </w:rPr>
            </w:pPr>
            <w:r>
              <w:rPr>
                <w:b/>
                <w:bCs/>
              </w:rPr>
              <w:t>Clear Documentation Systems</w:t>
            </w:r>
          </w:p>
        </w:tc>
        <w:tc>
          <w:tcPr>
            <w:tcW w:w="6600" w:type="dxa"/>
            <w:tcBorders>
              <w:top w:val="nil"/>
              <w:left w:val="nil"/>
              <w:bottom w:val="single" w:sz="5" w:space="0" w:color="000000"/>
              <w:right w:val="single" w:sz="5" w:space="0" w:color="000000"/>
            </w:tcBorders>
            <w:tcMar>
              <w:top w:w="0" w:type="dxa"/>
              <w:left w:w="100" w:type="dxa"/>
              <w:bottom w:w="0" w:type="dxa"/>
              <w:right w:w="100" w:type="dxa"/>
            </w:tcMar>
          </w:tcPr>
          <w:p w14:paraId="1A81118F" w14:textId="77777777" w:rsidR="00511A67" w:rsidRDefault="00000000">
            <w:pPr>
              <w:spacing w:before="240" w:after="160" w:line="256" w:lineRule="auto"/>
            </w:pPr>
            <w:r>
              <w:t>Ensuring all professionals use a unified system to document Mrs. Mann's care plan, updates, and progress (Smith et al., 2024).</w:t>
            </w:r>
          </w:p>
        </w:tc>
      </w:tr>
      <w:tr w:rsidR="00511A67" w14:paraId="3A42F0A2" w14:textId="77777777">
        <w:trPr>
          <w:trHeight w:val="690"/>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57A5BB" w14:textId="77777777" w:rsidR="00511A67" w:rsidRDefault="00000000">
            <w:pPr>
              <w:spacing w:before="240" w:after="160" w:line="256" w:lineRule="auto"/>
              <w:rPr>
                <w:b/>
                <w:bCs/>
              </w:rPr>
            </w:pPr>
            <w:r>
              <w:rPr>
                <w:b/>
                <w:bCs/>
              </w:rPr>
              <w:t>Shared Care Plans</w:t>
            </w:r>
          </w:p>
        </w:tc>
        <w:tc>
          <w:tcPr>
            <w:tcW w:w="6600" w:type="dxa"/>
            <w:tcBorders>
              <w:top w:val="nil"/>
              <w:left w:val="nil"/>
              <w:bottom w:val="single" w:sz="5" w:space="0" w:color="000000"/>
              <w:right w:val="single" w:sz="5" w:space="0" w:color="000000"/>
            </w:tcBorders>
            <w:tcMar>
              <w:top w:w="0" w:type="dxa"/>
              <w:left w:w="100" w:type="dxa"/>
              <w:bottom w:w="0" w:type="dxa"/>
              <w:right w:w="100" w:type="dxa"/>
            </w:tcMar>
          </w:tcPr>
          <w:p w14:paraId="2A7DE18F" w14:textId="77777777" w:rsidR="00511A67" w:rsidRDefault="00000000">
            <w:pPr>
              <w:spacing w:before="240" w:after="160" w:line="256" w:lineRule="auto"/>
            </w:pPr>
            <w:r>
              <w:t>Developing a single, shared care plan that is updated by all professionals involved, ensuring consistency.</w:t>
            </w:r>
          </w:p>
        </w:tc>
      </w:tr>
      <w:tr w:rsidR="00511A67" w14:paraId="4887DD00" w14:textId="77777777">
        <w:trPr>
          <w:trHeight w:val="945"/>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5164DD8" w14:textId="77777777" w:rsidR="00511A67" w:rsidRDefault="00000000">
            <w:pPr>
              <w:spacing w:before="240" w:after="160" w:line="256" w:lineRule="auto"/>
              <w:rPr>
                <w:b/>
                <w:bCs/>
              </w:rPr>
            </w:pPr>
            <w:r>
              <w:rPr>
                <w:b/>
                <w:bCs/>
              </w:rPr>
              <w:t>Open Communication Channels</w:t>
            </w:r>
          </w:p>
        </w:tc>
        <w:tc>
          <w:tcPr>
            <w:tcW w:w="6600" w:type="dxa"/>
            <w:tcBorders>
              <w:top w:val="nil"/>
              <w:left w:val="nil"/>
              <w:bottom w:val="single" w:sz="5" w:space="0" w:color="000000"/>
              <w:right w:val="single" w:sz="5" w:space="0" w:color="000000"/>
            </w:tcBorders>
            <w:tcMar>
              <w:top w:w="0" w:type="dxa"/>
              <w:left w:w="100" w:type="dxa"/>
              <w:bottom w:w="0" w:type="dxa"/>
              <w:right w:w="100" w:type="dxa"/>
            </w:tcMar>
          </w:tcPr>
          <w:p w14:paraId="33B52CE3" w14:textId="77777777" w:rsidR="00511A67" w:rsidRDefault="00000000">
            <w:pPr>
              <w:spacing w:before="240" w:after="160" w:line="256" w:lineRule="auto"/>
            </w:pPr>
            <w:r>
              <w:t>Ensuring ongoing communication between all members of the care team, making it easier to discuss changes in Mrs. Mann’s condition (Pitt, 2019).</w:t>
            </w:r>
          </w:p>
        </w:tc>
      </w:tr>
    </w:tbl>
    <w:p w14:paraId="1F362F5B" w14:textId="77777777" w:rsidR="00511A67" w:rsidRDefault="00511A67"/>
    <w:p w14:paraId="7CC36E2D" w14:textId="77777777" w:rsidR="00511A67" w:rsidRDefault="00000000">
      <w:r>
        <w:t xml:space="preserve">In spite of the necessity to work in teams, cooperation may experience some challenges because of the lack of mutual understanding, conflicts of working objectives or misunderstandings (Shabbir et al., 2022). These barriers can be overcome by coming up with clear roles and responsibilities, expectations of communication and conducting a regular assessment of the effectiveness of the collaborative activities. The established structures, when attached to the communication and joint care planning and alleviation of these problems, will help in the integrated strategy for the care of </w:t>
      </w:r>
      <w:proofErr w:type="spellStart"/>
      <w:r>
        <w:t>Mrs</w:t>
      </w:r>
      <w:proofErr w:type="spellEnd"/>
      <w:r>
        <w:t xml:space="preserve"> Mann.</w:t>
      </w:r>
    </w:p>
    <w:p w14:paraId="7066B66C" w14:textId="77777777" w:rsidR="00511A67" w:rsidRDefault="00511A67"/>
    <w:p w14:paraId="2F7133AA" w14:textId="77777777" w:rsidR="00511A67" w:rsidRDefault="00000000">
      <w:r>
        <w:br w:type="page"/>
      </w:r>
    </w:p>
    <w:p w14:paraId="24D7BFED" w14:textId="77777777" w:rsidR="00511A67" w:rsidRDefault="00000000" w:rsidP="00FD2EFA">
      <w:pPr>
        <w:pStyle w:val="Heading1"/>
      </w:pPr>
      <w:bookmarkStart w:id="8" w:name="_tgui6m8cby39" w:colFirst="0" w:colLast="0"/>
      <w:bookmarkStart w:id="9" w:name="_Toc213706425"/>
      <w:bookmarkEnd w:id="8"/>
      <w:r>
        <w:lastRenderedPageBreak/>
        <w:t>Conclusion</w:t>
      </w:r>
      <w:bookmarkEnd w:id="9"/>
    </w:p>
    <w:p w14:paraId="03EA9F4C" w14:textId="77777777" w:rsidR="00511A67" w:rsidRDefault="00000000">
      <w:r>
        <w:t>To provide Mrs. Mann with high quality care, communication, the administrative practices and the harmonious working process of the medical professionals is the key. The language negative will be addressed by embracing language communication strategies such as using interpreters and simplification of language but that will significantly determine that Mrs. Mann is informed about her care plan. The need to reasonably adjust the communication is noted in International Equality Act 2010, and such patients as Mrs. Mann receive a fair treatment. The appropriate administrative competence and especially record keeping will facilitate the proper capture and storage of health information of Mrs. Manns in the Data Protection Act 2018. Collaborative working should bind the care delivery of the patient through the use of regular sessions and joint care plans to ensure that other professionals working with her share the same approach to the treatment. The practices will enable the coordination of the care accorded to Mrs. Mann which will result in positive outcomes and a smooth recovery process.</w:t>
      </w:r>
    </w:p>
    <w:p w14:paraId="51DD3E54" w14:textId="2FAD0B90" w:rsidR="00FD2EFA" w:rsidRDefault="00FD2EFA" w:rsidP="00FD2EFA">
      <w:r>
        <w:tab/>
      </w:r>
    </w:p>
    <w:p w14:paraId="73278067" w14:textId="764720C6" w:rsidR="00FD2EFA" w:rsidRDefault="00FD2EFA">
      <w:r>
        <w:br w:type="page"/>
      </w:r>
    </w:p>
    <w:p w14:paraId="0CACE778" w14:textId="77777777" w:rsidR="00FD2EFA" w:rsidRDefault="00FD2EFA" w:rsidP="00FD2EFA">
      <w:pPr>
        <w:pStyle w:val="Heading1"/>
      </w:pPr>
      <w:bookmarkStart w:id="10" w:name="_Toc213706426"/>
      <w:r>
        <w:lastRenderedPageBreak/>
        <w:t>References</w:t>
      </w:r>
      <w:bookmarkEnd w:id="10"/>
    </w:p>
    <w:p w14:paraId="21C138CD" w14:textId="77777777" w:rsidR="00511A67" w:rsidRDefault="00511A67" w:rsidP="00FD2EFA"/>
    <w:p w14:paraId="3418A795" w14:textId="77777777" w:rsidR="00FD2EFA" w:rsidRPr="00FD2EFA" w:rsidRDefault="00FD2EFA" w:rsidP="00FD2EFA">
      <w:pPr>
        <w:rPr>
          <w:lang w:val="en-GB"/>
        </w:rPr>
      </w:pPr>
      <w:r w:rsidRPr="00FD2EFA">
        <w:rPr>
          <w:lang w:val="en-GB"/>
        </w:rPr>
        <w:t xml:space="preserve">Cornett, J.A. and Kuziemsky, C. (2018). Team based communication and the healthcare communication space. </w:t>
      </w:r>
      <w:r w:rsidRPr="00FD2EFA">
        <w:rPr>
          <w:i/>
          <w:iCs/>
          <w:lang w:val="en-GB"/>
        </w:rPr>
        <w:t>Journal of Health Organization and Management</w:t>
      </w:r>
      <w:r w:rsidRPr="00FD2EFA">
        <w:rPr>
          <w:lang w:val="en-GB"/>
        </w:rPr>
        <w:t xml:space="preserve">, 32(6), pp.825–840. </w:t>
      </w:r>
      <w:proofErr w:type="spellStart"/>
      <w:r w:rsidRPr="00FD2EFA">
        <w:rPr>
          <w:lang w:val="en-GB"/>
        </w:rPr>
        <w:t>doi:https</w:t>
      </w:r>
      <w:proofErr w:type="spellEnd"/>
      <w:r w:rsidRPr="00FD2EFA">
        <w:rPr>
          <w:lang w:val="en-GB"/>
        </w:rPr>
        <w:t>://doi.org/10.1108/jhom-07-2017-0189.</w:t>
      </w:r>
    </w:p>
    <w:p w14:paraId="30E1BCCC" w14:textId="77777777" w:rsidR="00FD2EFA" w:rsidRPr="00FD2EFA" w:rsidRDefault="00FD2EFA" w:rsidP="00FD2EFA">
      <w:pPr>
        <w:rPr>
          <w:lang w:val="en-GB"/>
        </w:rPr>
      </w:pPr>
      <w:r w:rsidRPr="00FD2EFA">
        <w:rPr>
          <w:lang w:val="en-GB"/>
        </w:rPr>
        <w:t xml:space="preserve">Fanelli, S., </w:t>
      </w:r>
      <w:proofErr w:type="spellStart"/>
      <w:r w:rsidRPr="00FD2EFA">
        <w:rPr>
          <w:lang w:val="en-GB"/>
        </w:rPr>
        <w:t>Pratici</w:t>
      </w:r>
      <w:proofErr w:type="spellEnd"/>
      <w:r w:rsidRPr="00FD2EFA">
        <w:rPr>
          <w:lang w:val="en-GB"/>
        </w:rPr>
        <w:t xml:space="preserve">, L. and </w:t>
      </w:r>
      <w:proofErr w:type="spellStart"/>
      <w:r w:rsidRPr="00FD2EFA">
        <w:rPr>
          <w:lang w:val="en-GB"/>
        </w:rPr>
        <w:t>Zangrandi</w:t>
      </w:r>
      <w:proofErr w:type="spellEnd"/>
      <w:r w:rsidRPr="00FD2EFA">
        <w:rPr>
          <w:lang w:val="en-GB"/>
        </w:rPr>
        <w:t xml:space="preserve">, A. (2021). Managing healthcare services: Are professionals ready to play the role of manager? </w:t>
      </w:r>
      <w:r w:rsidRPr="00FD2EFA">
        <w:rPr>
          <w:i/>
          <w:iCs/>
          <w:lang w:val="en-GB"/>
        </w:rPr>
        <w:t>Health Services Management Research</w:t>
      </w:r>
      <w:r w:rsidRPr="00FD2EFA">
        <w:rPr>
          <w:lang w:val="en-GB"/>
        </w:rPr>
        <w:t xml:space="preserve">, 35(1), pp.16–26. </w:t>
      </w:r>
      <w:proofErr w:type="spellStart"/>
      <w:r w:rsidRPr="00FD2EFA">
        <w:rPr>
          <w:lang w:val="en-GB"/>
        </w:rPr>
        <w:t>doi:https</w:t>
      </w:r>
      <w:proofErr w:type="spellEnd"/>
      <w:r w:rsidRPr="00FD2EFA">
        <w:rPr>
          <w:lang w:val="en-GB"/>
        </w:rPr>
        <w:t>://doi.org/10.1177/09514848211010264.</w:t>
      </w:r>
    </w:p>
    <w:p w14:paraId="5F14A464" w14:textId="77777777" w:rsidR="00FD2EFA" w:rsidRPr="00FD2EFA" w:rsidRDefault="00FD2EFA" w:rsidP="00FD2EFA">
      <w:pPr>
        <w:rPr>
          <w:lang w:val="en-GB"/>
        </w:rPr>
      </w:pPr>
      <w:r w:rsidRPr="00FD2EFA">
        <w:rPr>
          <w:lang w:val="en-GB"/>
        </w:rPr>
        <w:t xml:space="preserve">Foronda, C., MacWilliams, B. and McArthur, E. (2016). Interprofessional communication in healthcare: An integrative review. </w:t>
      </w:r>
      <w:r w:rsidRPr="00FD2EFA">
        <w:rPr>
          <w:i/>
          <w:iCs/>
          <w:lang w:val="en-GB"/>
        </w:rPr>
        <w:t>Nurse Education in Practice</w:t>
      </w:r>
      <w:r w:rsidRPr="00FD2EFA">
        <w:rPr>
          <w:lang w:val="en-GB"/>
        </w:rPr>
        <w:t xml:space="preserve">, [online] 19(1), pp.36–40. </w:t>
      </w:r>
      <w:proofErr w:type="spellStart"/>
      <w:r w:rsidRPr="00FD2EFA">
        <w:rPr>
          <w:lang w:val="en-GB"/>
        </w:rPr>
        <w:t>doi:https</w:t>
      </w:r>
      <w:proofErr w:type="spellEnd"/>
      <w:r w:rsidRPr="00FD2EFA">
        <w:rPr>
          <w:lang w:val="en-GB"/>
        </w:rPr>
        <w:t>://doi.org/10.1016/j.nepr.2016.04.005.</w:t>
      </w:r>
    </w:p>
    <w:p w14:paraId="35F378B4" w14:textId="77777777" w:rsidR="00FD2EFA" w:rsidRPr="00FD2EFA" w:rsidRDefault="00FD2EFA" w:rsidP="00FD2EFA">
      <w:pPr>
        <w:rPr>
          <w:lang w:val="en-GB"/>
        </w:rPr>
      </w:pPr>
      <w:r w:rsidRPr="00FD2EFA">
        <w:rPr>
          <w:lang w:val="en-GB"/>
        </w:rPr>
        <w:t xml:space="preserve">GOV.UK (2018). </w:t>
      </w:r>
      <w:r w:rsidRPr="00FD2EFA">
        <w:rPr>
          <w:i/>
          <w:iCs/>
          <w:lang w:val="en-GB"/>
        </w:rPr>
        <w:t>Data Protection Act 2018</w:t>
      </w:r>
      <w:r w:rsidRPr="00FD2EFA">
        <w:rPr>
          <w:lang w:val="en-GB"/>
        </w:rPr>
        <w:t>. [online] legislation.gov.uk. Available at: https://www.legislation.gov.uk/ukpga/2018/12/contents [Accessed 10 Nov. 2025].</w:t>
      </w:r>
    </w:p>
    <w:p w14:paraId="586A6C34" w14:textId="77777777" w:rsidR="00FD2EFA" w:rsidRPr="00FD2EFA" w:rsidRDefault="00FD2EFA" w:rsidP="00FD2EFA">
      <w:pPr>
        <w:rPr>
          <w:lang w:val="en-GB"/>
        </w:rPr>
      </w:pPr>
      <w:r w:rsidRPr="00FD2EFA">
        <w:rPr>
          <w:lang w:val="en-GB"/>
        </w:rPr>
        <w:t xml:space="preserve">GOV.UK (2023). </w:t>
      </w:r>
      <w:r w:rsidRPr="00FD2EFA">
        <w:rPr>
          <w:i/>
          <w:iCs/>
          <w:lang w:val="en-GB"/>
        </w:rPr>
        <w:t>Equality Act 2010</w:t>
      </w:r>
      <w:r w:rsidRPr="00FD2EFA">
        <w:rPr>
          <w:lang w:val="en-GB"/>
        </w:rPr>
        <w:t>. [online] Legislation.gov.uk. Available at: https://www.legislation.gov.uk/ukpga/2010/15/contents [Accessed 10 Nov. 2025].</w:t>
      </w:r>
    </w:p>
    <w:p w14:paraId="05C5E66E" w14:textId="77777777" w:rsidR="00FD2EFA" w:rsidRPr="00FD2EFA" w:rsidRDefault="00FD2EFA" w:rsidP="00FD2EFA">
      <w:pPr>
        <w:rPr>
          <w:lang w:val="en-GB"/>
        </w:rPr>
      </w:pPr>
      <w:r w:rsidRPr="00FD2EFA">
        <w:rPr>
          <w:lang w:val="en-GB"/>
        </w:rPr>
        <w:t xml:space="preserve">Møllebæk, M., Kaae, S., De Bruin, M.L., Callréus, T., Jossan, S. and Hallgreen, C.E. (2019). The effectiveness of direct to healthcare professional communication – A systematic review of communication factor studies. </w:t>
      </w:r>
      <w:r w:rsidRPr="00FD2EFA">
        <w:rPr>
          <w:i/>
          <w:iCs/>
          <w:lang w:val="en-GB"/>
        </w:rPr>
        <w:t>Research in Social and Administrative Pharmacy</w:t>
      </w:r>
      <w:r w:rsidRPr="00FD2EFA">
        <w:rPr>
          <w:lang w:val="en-GB"/>
        </w:rPr>
        <w:t xml:space="preserve">, 15(5), pp.475–482. </w:t>
      </w:r>
      <w:proofErr w:type="spellStart"/>
      <w:r w:rsidRPr="00FD2EFA">
        <w:rPr>
          <w:lang w:val="en-GB"/>
        </w:rPr>
        <w:t>doi:https</w:t>
      </w:r>
      <w:proofErr w:type="spellEnd"/>
      <w:r w:rsidRPr="00FD2EFA">
        <w:rPr>
          <w:lang w:val="en-GB"/>
        </w:rPr>
        <w:t>://doi.org/10.1016/j.sapharm.2018.06.015.</w:t>
      </w:r>
    </w:p>
    <w:p w14:paraId="1425ADC8" w14:textId="77777777" w:rsidR="00FD2EFA" w:rsidRPr="00FD2EFA" w:rsidRDefault="00FD2EFA" w:rsidP="00FD2EFA">
      <w:pPr>
        <w:rPr>
          <w:lang w:val="en-GB"/>
        </w:rPr>
      </w:pPr>
      <w:r w:rsidRPr="00FD2EFA">
        <w:rPr>
          <w:lang w:val="en-GB"/>
        </w:rPr>
        <w:t xml:space="preserve">Pitt, A. (2019). Working collaboratively. </w:t>
      </w:r>
      <w:r w:rsidRPr="00FD2EFA">
        <w:rPr>
          <w:i/>
          <w:iCs/>
          <w:lang w:val="en-GB"/>
        </w:rPr>
        <w:t>Routledge eBooks</w:t>
      </w:r>
      <w:r w:rsidRPr="00FD2EFA">
        <w:rPr>
          <w:lang w:val="en-GB"/>
        </w:rPr>
        <w:t xml:space="preserve">, pp.49–57. </w:t>
      </w:r>
      <w:proofErr w:type="spellStart"/>
      <w:r w:rsidRPr="00FD2EFA">
        <w:rPr>
          <w:lang w:val="en-GB"/>
        </w:rPr>
        <w:t>doi:https</w:t>
      </w:r>
      <w:proofErr w:type="spellEnd"/>
      <w:r w:rsidRPr="00FD2EFA">
        <w:rPr>
          <w:lang w:val="en-GB"/>
        </w:rPr>
        <w:t>://doi.org/10.4324/9781351060714-7.</w:t>
      </w:r>
    </w:p>
    <w:p w14:paraId="04887E64" w14:textId="77777777" w:rsidR="00FD2EFA" w:rsidRPr="00FD2EFA" w:rsidRDefault="00FD2EFA" w:rsidP="00FD2EFA">
      <w:pPr>
        <w:rPr>
          <w:lang w:val="en-GB"/>
        </w:rPr>
      </w:pPr>
      <w:r w:rsidRPr="00FD2EFA">
        <w:rPr>
          <w:lang w:val="en-GB"/>
        </w:rPr>
        <w:t xml:space="preserve">Ratna, H. (2019). The Importance of Effective Communication in Healthcare Practice. </w:t>
      </w:r>
      <w:r w:rsidRPr="00FD2EFA">
        <w:rPr>
          <w:i/>
          <w:iCs/>
          <w:lang w:val="en-GB"/>
        </w:rPr>
        <w:t>Harvard Public Health Review</w:t>
      </w:r>
      <w:r w:rsidRPr="00FD2EFA">
        <w:rPr>
          <w:lang w:val="en-GB"/>
        </w:rPr>
        <w:t xml:space="preserve">, [online] 23(1), pp.1–6. </w:t>
      </w:r>
      <w:proofErr w:type="spellStart"/>
      <w:r w:rsidRPr="00FD2EFA">
        <w:rPr>
          <w:lang w:val="en-GB"/>
        </w:rPr>
        <w:t>doi:https</w:t>
      </w:r>
      <w:proofErr w:type="spellEnd"/>
      <w:r w:rsidRPr="00FD2EFA">
        <w:rPr>
          <w:lang w:val="en-GB"/>
        </w:rPr>
        <w:t>://doi.org/10.2307/48546767.</w:t>
      </w:r>
    </w:p>
    <w:p w14:paraId="036586AB" w14:textId="77777777" w:rsidR="00FD2EFA" w:rsidRPr="00FD2EFA" w:rsidRDefault="00FD2EFA" w:rsidP="00FD2EFA">
      <w:pPr>
        <w:rPr>
          <w:lang w:val="en-GB"/>
        </w:rPr>
      </w:pPr>
      <w:proofErr w:type="spellStart"/>
      <w:r w:rsidRPr="00FD2EFA">
        <w:rPr>
          <w:lang w:val="en-GB"/>
        </w:rPr>
        <w:t>Schot</w:t>
      </w:r>
      <w:proofErr w:type="spellEnd"/>
      <w:r w:rsidRPr="00FD2EFA">
        <w:rPr>
          <w:lang w:val="en-GB"/>
        </w:rPr>
        <w:t xml:space="preserve">, E., </w:t>
      </w:r>
      <w:proofErr w:type="spellStart"/>
      <w:r w:rsidRPr="00FD2EFA">
        <w:rPr>
          <w:lang w:val="en-GB"/>
        </w:rPr>
        <w:t>Tummers</w:t>
      </w:r>
      <w:proofErr w:type="spellEnd"/>
      <w:r w:rsidRPr="00FD2EFA">
        <w:rPr>
          <w:lang w:val="en-GB"/>
        </w:rPr>
        <w:t xml:space="preserve">, L. and </w:t>
      </w:r>
      <w:proofErr w:type="spellStart"/>
      <w:r w:rsidRPr="00FD2EFA">
        <w:rPr>
          <w:lang w:val="en-GB"/>
        </w:rPr>
        <w:t>Noordegraaf</w:t>
      </w:r>
      <w:proofErr w:type="spellEnd"/>
      <w:r w:rsidRPr="00FD2EFA">
        <w:rPr>
          <w:lang w:val="en-GB"/>
        </w:rPr>
        <w:t xml:space="preserve">, M. (2020). Working on Working together: a Systematic Review on How Healthcare Professionals Contribute to Interprofessional Collaboration. </w:t>
      </w:r>
      <w:r w:rsidRPr="00FD2EFA">
        <w:rPr>
          <w:i/>
          <w:iCs/>
          <w:lang w:val="en-GB"/>
        </w:rPr>
        <w:t>Journal of Interprofessional Care</w:t>
      </w:r>
      <w:r w:rsidRPr="00FD2EFA">
        <w:rPr>
          <w:lang w:val="en-GB"/>
        </w:rPr>
        <w:t xml:space="preserve">, [online] 34(3), pp.332–342. </w:t>
      </w:r>
      <w:proofErr w:type="spellStart"/>
      <w:r w:rsidRPr="00FD2EFA">
        <w:rPr>
          <w:lang w:val="en-GB"/>
        </w:rPr>
        <w:t>doi:https</w:t>
      </w:r>
      <w:proofErr w:type="spellEnd"/>
      <w:r w:rsidRPr="00FD2EFA">
        <w:rPr>
          <w:lang w:val="en-GB"/>
        </w:rPr>
        <w:t>://doi.org/10.1080/13561820.2019.1636007.</w:t>
      </w:r>
    </w:p>
    <w:p w14:paraId="68EBF468" w14:textId="77777777" w:rsidR="00FD2EFA" w:rsidRPr="00FD2EFA" w:rsidRDefault="00FD2EFA" w:rsidP="00FD2EFA">
      <w:pPr>
        <w:rPr>
          <w:lang w:val="en-GB"/>
        </w:rPr>
      </w:pPr>
      <w:r w:rsidRPr="00FD2EFA">
        <w:rPr>
          <w:lang w:val="en-GB"/>
        </w:rPr>
        <w:t xml:space="preserve">Shabbir, R., Abrar, M. and Batool, A. (2022). Role of Professional Skills in Promoting Healthcare System: A Performance Perspective. </w:t>
      </w:r>
      <w:r w:rsidRPr="00FD2EFA">
        <w:rPr>
          <w:i/>
          <w:iCs/>
          <w:lang w:val="en-GB"/>
        </w:rPr>
        <w:t>Review of Economics and Development Studies</w:t>
      </w:r>
      <w:r w:rsidRPr="00FD2EFA">
        <w:rPr>
          <w:lang w:val="en-GB"/>
        </w:rPr>
        <w:t xml:space="preserve">, 8(2), pp.141–153. </w:t>
      </w:r>
      <w:proofErr w:type="spellStart"/>
      <w:r w:rsidRPr="00FD2EFA">
        <w:rPr>
          <w:lang w:val="en-GB"/>
        </w:rPr>
        <w:t>doi:https</w:t>
      </w:r>
      <w:proofErr w:type="spellEnd"/>
      <w:r w:rsidRPr="00FD2EFA">
        <w:rPr>
          <w:lang w:val="en-GB"/>
        </w:rPr>
        <w:t>://doi.org/10.47067/reads.v8i2.443.</w:t>
      </w:r>
    </w:p>
    <w:p w14:paraId="3F0C3304" w14:textId="77777777" w:rsidR="00FD2EFA" w:rsidRPr="00FD2EFA" w:rsidRDefault="00FD2EFA" w:rsidP="00FD2EFA">
      <w:pPr>
        <w:rPr>
          <w:lang w:val="en-GB"/>
        </w:rPr>
      </w:pPr>
      <w:r w:rsidRPr="00FD2EFA">
        <w:rPr>
          <w:lang w:val="en-GB"/>
        </w:rPr>
        <w:t xml:space="preserve">Smith, C.M., Horne, C.E. and Wei, H. (2024). Nursing practice in modern healthcare environments: A systematic review of attributes, characteristics, and demonstrations. </w:t>
      </w:r>
      <w:r w:rsidRPr="00FD2EFA">
        <w:rPr>
          <w:i/>
          <w:iCs/>
          <w:lang w:val="en-GB"/>
        </w:rPr>
        <w:t>Journal of Advanced Nursing</w:t>
      </w:r>
      <w:r w:rsidRPr="00FD2EFA">
        <w:rPr>
          <w:lang w:val="en-GB"/>
        </w:rPr>
        <w:t xml:space="preserve">, 80(9). </w:t>
      </w:r>
      <w:proofErr w:type="spellStart"/>
      <w:r w:rsidRPr="00FD2EFA">
        <w:rPr>
          <w:lang w:val="en-GB"/>
        </w:rPr>
        <w:t>doi:https</w:t>
      </w:r>
      <w:proofErr w:type="spellEnd"/>
      <w:r w:rsidRPr="00FD2EFA">
        <w:rPr>
          <w:lang w:val="en-GB"/>
        </w:rPr>
        <w:t>://doi.org/10.1111/jan.16088.</w:t>
      </w:r>
    </w:p>
    <w:p w14:paraId="4821BCF5" w14:textId="77777777" w:rsidR="00FD2EFA" w:rsidRDefault="00FD2EFA"/>
    <w:p w14:paraId="638070F2" w14:textId="77777777" w:rsidR="004B5A53" w:rsidRDefault="004B5A53" w:rsidP="004B5A53"/>
    <w:p w14:paraId="48B1D877" w14:textId="0A3AF2F6" w:rsidR="004B5A53" w:rsidRPr="004B5A53" w:rsidRDefault="004B5A53" w:rsidP="004B5A53"/>
    <w:sectPr w:rsidR="004B5A53" w:rsidRPr="004B5A53" w:rsidSect="00FD2EFA">
      <w:pgSz w:w="11906" w:h="16838"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3F07A" w14:textId="77777777" w:rsidR="006B336F" w:rsidRDefault="006B336F">
      <w:pPr>
        <w:spacing w:line="240" w:lineRule="auto"/>
      </w:pPr>
      <w:r>
        <w:separator/>
      </w:r>
    </w:p>
  </w:endnote>
  <w:endnote w:type="continuationSeparator" w:id="0">
    <w:p w14:paraId="3953A9B1" w14:textId="77777777" w:rsidR="006B336F" w:rsidRDefault="006B33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0D8C146-B224-4B8B-ABF1-12ACBA8D1E16}"/>
  </w:font>
  <w:font w:name="Cambria">
    <w:panose1 w:val="02040503050406030204"/>
    <w:charset w:val="00"/>
    <w:family w:val="roman"/>
    <w:pitch w:val="variable"/>
    <w:sig w:usb0="E00006FF" w:usb1="420024FF" w:usb2="02000000" w:usb3="00000000" w:csb0="0000019F" w:csb1="00000000"/>
    <w:embedRegular r:id="rId2" w:fontKey="{FF417F34-1EA6-4170-A4F0-F957186DB2B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A2361" w14:textId="77777777" w:rsidR="006B336F" w:rsidRDefault="006B336F">
      <w:pPr>
        <w:spacing w:line="240" w:lineRule="auto"/>
      </w:pPr>
      <w:r>
        <w:separator/>
      </w:r>
    </w:p>
  </w:footnote>
  <w:footnote w:type="continuationSeparator" w:id="0">
    <w:p w14:paraId="034654B8" w14:textId="77777777" w:rsidR="006B336F" w:rsidRDefault="006B33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F2EAC"/>
    <w:multiLevelType w:val="multilevel"/>
    <w:tmpl w:val="54560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98020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67"/>
    <w:rsid w:val="0006425B"/>
    <w:rsid w:val="00122F4D"/>
    <w:rsid w:val="0046541C"/>
    <w:rsid w:val="004B5A53"/>
    <w:rsid w:val="00511A67"/>
    <w:rsid w:val="006B336F"/>
    <w:rsid w:val="009F1008"/>
    <w:rsid w:val="00BD47C6"/>
    <w:rsid w:val="00E50355"/>
    <w:rsid w:val="00ED4CCF"/>
    <w:rsid w:val="00FB5D7D"/>
    <w:rsid w:val="00FD2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F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D2EFA"/>
    <w:pPr>
      <w:keepNext/>
      <w:keepLines/>
      <w:pBdr>
        <w:bottom w:val="single" w:sz="4" w:space="1" w:color="auto"/>
      </w:pBdr>
      <w:shd w:val="clear" w:color="auto" w:fill="DAEEF3" w:themeFill="accent5" w:themeFillTint="33"/>
      <w:outlineLvl w:val="0"/>
    </w:pPr>
    <w:rPr>
      <w:b/>
      <w:bCs/>
      <w:color w:val="073763"/>
      <w:sz w:val="30"/>
      <w:szCs w:val="30"/>
    </w:rPr>
  </w:style>
  <w:style w:type="paragraph" w:styleId="Heading2">
    <w:name w:val="heading 2"/>
    <w:basedOn w:val="Normal"/>
    <w:next w:val="Normal"/>
    <w:uiPriority w:val="9"/>
    <w:semiHidden/>
    <w:unhideWhenUsed/>
    <w:qFormat/>
    <w:pPr>
      <w:keepNext/>
      <w:keepLines/>
      <w:outlineLvl w:val="1"/>
    </w:pPr>
    <w:rPr>
      <w:b/>
      <w:bCs/>
      <w:color w:val="0B5394"/>
      <w:sz w:val="28"/>
      <w:szCs w:val="28"/>
    </w:rPr>
  </w:style>
  <w:style w:type="paragraph" w:styleId="Heading3">
    <w:name w:val="heading 3"/>
    <w:basedOn w:val="Normal"/>
    <w:next w:val="Normal"/>
    <w:uiPriority w:val="9"/>
    <w:semiHidden/>
    <w:unhideWhenUsed/>
    <w:qFormat/>
    <w:pPr>
      <w:keepNext/>
      <w:keepLines/>
      <w:outlineLvl w:val="2"/>
    </w:pPr>
    <w:rPr>
      <w:b/>
      <w:bCs/>
      <w:color w:val="1155CC"/>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FD2EFA"/>
    <w:pPr>
      <w:pBdr>
        <w:bottom w:val="none" w:sz="0" w:space="0" w:color="auto"/>
      </w:pBdr>
      <w:shd w:val="clear" w:color="auto" w:fill="auto"/>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D2EFA"/>
    <w:pPr>
      <w:spacing w:after="100"/>
    </w:pPr>
  </w:style>
  <w:style w:type="character" w:styleId="Hyperlink">
    <w:name w:val="Hyperlink"/>
    <w:basedOn w:val="DefaultParagraphFont"/>
    <w:uiPriority w:val="99"/>
    <w:unhideWhenUsed/>
    <w:rsid w:val="00FD2EFA"/>
    <w:rPr>
      <w:color w:val="0000FF" w:themeColor="hyperlink"/>
      <w:u w:val="single"/>
    </w:rPr>
  </w:style>
  <w:style w:type="paragraph" w:styleId="Header">
    <w:name w:val="header"/>
    <w:basedOn w:val="Normal"/>
    <w:link w:val="HeaderChar"/>
    <w:uiPriority w:val="99"/>
    <w:unhideWhenUsed/>
    <w:rsid w:val="00ED4CCF"/>
    <w:pPr>
      <w:tabs>
        <w:tab w:val="center" w:pos="4513"/>
        <w:tab w:val="right" w:pos="9026"/>
      </w:tabs>
      <w:spacing w:line="240" w:lineRule="auto"/>
    </w:pPr>
  </w:style>
  <w:style w:type="character" w:customStyle="1" w:styleId="HeaderChar">
    <w:name w:val="Header Char"/>
    <w:basedOn w:val="DefaultParagraphFont"/>
    <w:link w:val="Header"/>
    <w:uiPriority w:val="99"/>
    <w:rsid w:val="00ED4CCF"/>
  </w:style>
  <w:style w:type="paragraph" w:styleId="Footer">
    <w:name w:val="footer"/>
    <w:basedOn w:val="Normal"/>
    <w:link w:val="FooterChar"/>
    <w:uiPriority w:val="99"/>
    <w:unhideWhenUsed/>
    <w:rsid w:val="00ED4CCF"/>
    <w:pPr>
      <w:tabs>
        <w:tab w:val="center" w:pos="4513"/>
        <w:tab w:val="right" w:pos="9026"/>
      </w:tabs>
      <w:spacing w:line="240" w:lineRule="auto"/>
    </w:pPr>
  </w:style>
  <w:style w:type="character" w:customStyle="1" w:styleId="FooterChar">
    <w:name w:val="Footer Char"/>
    <w:basedOn w:val="DefaultParagraphFont"/>
    <w:link w:val="Footer"/>
    <w:uiPriority w:val="99"/>
    <w:rsid w:val="00ED4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C502C-30F1-47FC-8464-3BA8C3BA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2025-11-10T16:35:00Z</dcterms:created>
  <dcterms:modified xsi:type="dcterms:W3CDTF">2025-12-14T14:27:00Z</dcterms:modified>
</cp:coreProperties>
</file>