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D63698" w:rsidRDefault="00000000">
      <w:pPr>
        <w:jc w:val="center"/>
        <w:rPr>
          <w:b/>
          <w:sz w:val="36"/>
          <w:szCs w:val="36"/>
        </w:rPr>
      </w:pPr>
      <w:r>
        <w:rPr>
          <w:b/>
          <w:sz w:val="36"/>
          <w:szCs w:val="36"/>
        </w:rPr>
        <w:t>Programme: BA Leadership and Management</w:t>
      </w:r>
    </w:p>
    <w:p w14:paraId="00000002" w14:textId="77777777" w:rsidR="00D63698" w:rsidRDefault="00000000">
      <w:pPr>
        <w:jc w:val="center"/>
        <w:rPr>
          <w:b/>
          <w:sz w:val="36"/>
          <w:szCs w:val="36"/>
        </w:rPr>
      </w:pPr>
      <w:r>
        <w:rPr>
          <w:b/>
          <w:sz w:val="36"/>
          <w:szCs w:val="36"/>
        </w:rPr>
        <w:t>Module: Coaching and Mentoring Skills for the Workplace</w:t>
      </w:r>
    </w:p>
    <w:p w14:paraId="00000003" w14:textId="77777777" w:rsidR="00D63698" w:rsidRDefault="00000000">
      <w:pPr>
        <w:jc w:val="center"/>
        <w:rPr>
          <w:b/>
          <w:sz w:val="36"/>
          <w:szCs w:val="36"/>
        </w:rPr>
      </w:pPr>
      <w:r>
        <w:rPr>
          <w:b/>
          <w:sz w:val="36"/>
          <w:szCs w:val="36"/>
        </w:rPr>
        <w:t>Module code: BMSW6105</w:t>
      </w:r>
    </w:p>
    <w:p w14:paraId="00000004" w14:textId="77777777" w:rsidR="00D63698" w:rsidRDefault="00000000">
      <w:pPr>
        <w:jc w:val="center"/>
        <w:rPr>
          <w:b/>
          <w:sz w:val="32"/>
          <w:szCs w:val="32"/>
        </w:rPr>
      </w:pPr>
      <w:r>
        <w:rPr>
          <w:b/>
          <w:sz w:val="32"/>
          <w:szCs w:val="32"/>
        </w:rPr>
        <w:t>‘Task 3 – Written Reflection’</w:t>
      </w:r>
    </w:p>
    <w:p w14:paraId="00000005" w14:textId="77777777" w:rsidR="00D63698" w:rsidRDefault="00D63698"/>
    <w:p w14:paraId="00000006" w14:textId="77777777" w:rsidR="00D63698" w:rsidRDefault="00D63698"/>
    <w:p w14:paraId="00000007" w14:textId="77777777" w:rsidR="00D63698" w:rsidRDefault="00D63698"/>
    <w:p w14:paraId="00000008" w14:textId="77777777" w:rsidR="00D63698" w:rsidRDefault="00D63698"/>
    <w:p w14:paraId="00000009" w14:textId="77777777" w:rsidR="00D63698" w:rsidRDefault="00D63698"/>
    <w:p w14:paraId="0000000A" w14:textId="77777777" w:rsidR="00D63698" w:rsidRDefault="00D63698"/>
    <w:p w14:paraId="0000000B" w14:textId="77777777" w:rsidR="00D63698" w:rsidRDefault="00D63698"/>
    <w:p w14:paraId="0000000C" w14:textId="77777777" w:rsidR="00D63698" w:rsidRDefault="00D63698"/>
    <w:p w14:paraId="0000000D" w14:textId="77777777" w:rsidR="00D63698" w:rsidRDefault="00D63698"/>
    <w:p w14:paraId="0000000E" w14:textId="77777777" w:rsidR="00D63698" w:rsidRDefault="00D63698"/>
    <w:p w14:paraId="0000000F" w14:textId="77777777" w:rsidR="00D63698" w:rsidRDefault="00D63698"/>
    <w:p w14:paraId="00000010" w14:textId="77777777" w:rsidR="00D63698" w:rsidRDefault="00D63698"/>
    <w:p w14:paraId="00000011" w14:textId="77777777" w:rsidR="00D63698" w:rsidRDefault="00000000">
      <w:pPr>
        <w:rPr>
          <w:b/>
          <w:sz w:val="32"/>
          <w:szCs w:val="32"/>
        </w:rPr>
      </w:pPr>
      <w:r>
        <w:rPr>
          <w:b/>
          <w:sz w:val="32"/>
          <w:szCs w:val="32"/>
        </w:rPr>
        <w:t>Student Name:</w:t>
      </w:r>
    </w:p>
    <w:p w14:paraId="00000012" w14:textId="77777777" w:rsidR="00D63698" w:rsidRDefault="00000000">
      <w:pPr>
        <w:rPr>
          <w:b/>
          <w:sz w:val="32"/>
          <w:szCs w:val="32"/>
        </w:rPr>
      </w:pPr>
      <w:r>
        <w:rPr>
          <w:b/>
          <w:sz w:val="32"/>
          <w:szCs w:val="32"/>
        </w:rPr>
        <w:t>Student ID:</w:t>
      </w:r>
    </w:p>
    <w:p w14:paraId="00000013" w14:textId="287E5BC0" w:rsidR="00D63698" w:rsidRDefault="00000000">
      <w:pPr>
        <w:rPr>
          <w:b/>
          <w:sz w:val="32"/>
          <w:szCs w:val="32"/>
        </w:rPr>
      </w:pPr>
      <w:r>
        <w:rPr>
          <w:b/>
          <w:sz w:val="32"/>
          <w:szCs w:val="32"/>
        </w:rPr>
        <w:t>Word Count: 2</w:t>
      </w:r>
      <w:r w:rsidR="00BF6032">
        <w:rPr>
          <w:b/>
          <w:sz w:val="32"/>
          <w:szCs w:val="32"/>
        </w:rPr>
        <w:t>5</w:t>
      </w:r>
      <w:r>
        <w:rPr>
          <w:b/>
          <w:sz w:val="32"/>
          <w:szCs w:val="32"/>
        </w:rPr>
        <w:t>59 Words.</w:t>
      </w:r>
    </w:p>
    <w:p w14:paraId="00000014" w14:textId="77777777" w:rsidR="00D63698" w:rsidRDefault="00000000">
      <w:pPr>
        <w:spacing w:line="259" w:lineRule="auto"/>
        <w:jc w:val="left"/>
      </w:pPr>
      <w:r>
        <w:br w:type="page"/>
      </w:r>
    </w:p>
    <w:sdt>
      <w:sdtPr>
        <w:rPr>
          <w:rFonts w:eastAsia="Times New Roman" w:cs="Times New Roman"/>
          <w:b w:val="0"/>
          <w:sz w:val="24"/>
          <w:szCs w:val="24"/>
        </w:rPr>
        <w:id w:val="568935908"/>
        <w:docPartObj>
          <w:docPartGallery w:val="Table of Contents"/>
          <w:docPartUnique/>
        </w:docPartObj>
      </w:sdtPr>
      <w:sdtEndPr>
        <w:rPr>
          <w:bCs/>
          <w:noProof/>
        </w:rPr>
      </w:sdtEndPr>
      <w:sdtContent>
        <w:p w14:paraId="622E66D1" w14:textId="0F6AD834" w:rsidR="007B45DA" w:rsidRDefault="007B45DA">
          <w:pPr>
            <w:pStyle w:val="TOCHeading"/>
          </w:pPr>
          <w:r>
            <w:t>Table of Contents</w:t>
          </w:r>
        </w:p>
        <w:p w14:paraId="0C4C408C" w14:textId="216D2240" w:rsidR="000A09BE" w:rsidRDefault="007B45DA">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71072644" w:history="1">
            <w:r w:rsidR="000A09BE" w:rsidRPr="005323F7">
              <w:rPr>
                <w:rStyle w:val="Hyperlink"/>
                <w:noProof/>
              </w:rPr>
              <w:t>Introduction</w:t>
            </w:r>
            <w:r w:rsidR="000A09BE">
              <w:rPr>
                <w:noProof/>
                <w:webHidden/>
              </w:rPr>
              <w:tab/>
            </w:r>
            <w:r w:rsidR="000A09BE">
              <w:rPr>
                <w:noProof/>
                <w:webHidden/>
              </w:rPr>
              <w:fldChar w:fldCharType="begin"/>
            </w:r>
            <w:r w:rsidR="000A09BE">
              <w:rPr>
                <w:noProof/>
                <w:webHidden/>
              </w:rPr>
              <w:instrText xml:space="preserve"> PAGEREF _Toc171072644 \h </w:instrText>
            </w:r>
            <w:r w:rsidR="000A09BE">
              <w:rPr>
                <w:noProof/>
                <w:webHidden/>
              </w:rPr>
            </w:r>
            <w:r w:rsidR="000A09BE">
              <w:rPr>
                <w:noProof/>
                <w:webHidden/>
              </w:rPr>
              <w:fldChar w:fldCharType="separate"/>
            </w:r>
            <w:r w:rsidR="000A09BE">
              <w:rPr>
                <w:noProof/>
                <w:webHidden/>
              </w:rPr>
              <w:t>3</w:t>
            </w:r>
            <w:r w:rsidR="000A09BE">
              <w:rPr>
                <w:noProof/>
                <w:webHidden/>
              </w:rPr>
              <w:fldChar w:fldCharType="end"/>
            </w:r>
          </w:hyperlink>
        </w:p>
        <w:p w14:paraId="6454EBC9" w14:textId="2FFDA954" w:rsidR="000A09BE" w:rsidRDefault="000A09BE">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1072645" w:history="1">
            <w:r w:rsidRPr="005323F7">
              <w:rPr>
                <w:rStyle w:val="Hyperlink"/>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_Toc171072645 \h </w:instrText>
            </w:r>
            <w:r>
              <w:rPr>
                <w:noProof/>
                <w:webHidden/>
              </w:rPr>
            </w:r>
            <w:r>
              <w:rPr>
                <w:noProof/>
                <w:webHidden/>
              </w:rPr>
              <w:fldChar w:fldCharType="separate"/>
            </w:r>
            <w:r>
              <w:rPr>
                <w:noProof/>
                <w:webHidden/>
              </w:rPr>
              <w:t>4</w:t>
            </w:r>
            <w:r>
              <w:rPr>
                <w:noProof/>
                <w:webHidden/>
              </w:rPr>
              <w:fldChar w:fldCharType="end"/>
            </w:r>
          </w:hyperlink>
        </w:p>
        <w:p w14:paraId="28E66F50" w14:textId="023BA214" w:rsidR="000A09BE" w:rsidRDefault="000A09BE">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1072646" w:history="1">
            <w:r w:rsidRPr="005323F7">
              <w:rPr>
                <w:rStyle w:val="Hyperlink"/>
                <w:noProof/>
              </w:rPr>
              <w:t>Critical Analysis of a Specific Model of Coaching: The GROW Model</w:t>
            </w:r>
            <w:r>
              <w:rPr>
                <w:noProof/>
                <w:webHidden/>
              </w:rPr>
              <w:tab/>
            </w:r>
            <w:r>
              <w:rPr>
                <w:noProof/>
                <w:webHidden/>
              </w:rPr>
              <w:fldChar w:fldCharType="begin"/>
            </w:r>
            <w:r>
              <w:rPr>
                <w:noProof/>
                <w:webHidden/>
              </w:rPr>
              <w:instrText xml:space="preserve"> PAGEREF _Toc171072646 \h </w:instrText>
            </w:r>
            <w:r>
              <w:rPr>
                <w:noProof/>
                <w:webHidden/>
              </w:rPr>
            </w:r>
            <w:r>
              <w:rPr>
                <w:noProof/>
                <w:webHidden/>
              </w:rPr>
              <w:fldChar w:fldCharType="separate"/>
            </w:r>
            <w:r>
              <w:rPr>
                <w:noProof/>
                <w:webHidden/>
              </w:rPr>
              <w:t>5</w:t>
            </w:r>
            <w:r>
              <w:rPr>
                <w:noProof/>
                <w:webHidden/>
              </w:rPr>
              <w:fldChar w:fldCharType="end"/>
            </w:r>
          </w:hyperlink>
        </w:p>
        <w:p w14:paraId="2B491C1E" w14:textId="2AF736C1" w:rsidR="000A09BE" w:rsidRDefault="000A09BE">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1072647" w:history="1">
            <w:r w:rsidRPr="005323F7">
              <w:rPr>
                <w:rStyle w:val="Hyperlink"/>
                <w:noProof/>
              </w:rPr>
              <w:t>Reflection on Practical 1</w:t>
            </w:r>
            <w:r>
              <w:rPr>
                <w:noProof/>
                <w:webHidden/>
              </w:rPr>
              <w:tab/>
            </w:r>
            <w:r>
              <w:rPr>
                <w:noProof/>
                <w:webHidden/>
              </w:rPr>
              <w:fldChar w:fldCharType="begin"/>
            </w:r>
            <w:r>
              <w:rPr>
                <w:noProof/>
                <w:webHidden/>
              </w:rPr>
              <w:instrText xml:space="preserve"> PAGEREF _Toc171072647 \h </w:instrText>
            </w:r>
            <w:r>
              <w:rPr>
                <w:noProof/>
                <w:webHidden/>
              </w:rPr>
            </w:r>
            <w:r>
              <w:rPr>
                <w:noProof/>
                <w:webHidden/>
              </w:rPr>
              <w:fldChar w:fldCharType="separate"/>
            </w:r>
            <w:r>
              <w:rPr>
                <w:noProof/>
                <w:webHidden/>
              </w:rPr>
              <w:t>7</w:t>
            </w:r>
            <w:r>
              <w:rPr>
                <w:noProof/>
                <w:webHidden/>
              </w:rPr>
              <w:fldChar w:fldCharType="end"/>
            </w:r>
          </w:hyperlink>
        </w:p>
        <w:p w14:paraId="2EC86C63" w14:textId="01638C25" w:rsidR="000A09BE" w:rsidRDefault="000A09BE">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1072648" w:history="1">
            <w:r w:rsidRPr="005323F7">
              <w:rPr>
                <w:rStyle w:val="Hyperlink"/>
                <w:noProof/>
              </w:rPr>
              <w:t>Reflection on Practical 2</w:t>
            </w:r>
            <w:r>
              <w:rPr>
                <w:noProof/>
                <w:webHidden/>
              </w:rPr>
              <w:tab/>
            </w:r>
            <w:r>
              <w:rPr>
                <w:noProof/>
                <w:webHidden/>
              </w:rPr>
              <w:fldChar w:fldCharType="begin"/>
            </w:r>
            <w:r>
              <w:rPr>
                <w:noProof/>
                <w:webHidden/>
              </w:rPr>
              <w:instrText xml:space="preserve"> PAGEREF _Toc171072648 \h </w:instrText>
            </w:r>
            <w:r>
              <w:rPr>
                <w:noProof/>
                <w:webHidden/>
              </w:rPr>
            </w:r>
            <w:r>
              <w:rPr>
                <w:noProof/>
                <w:webHidden/>
              </w:rPr>
              <w:fldChar w:fldCharType="separate"/>
            </w:r>
            <w:r>
              <w:rPr>
                <w:noProof/>
                <w:webHidden/>
              </w:rPr>
              <w:t>9</w:t>
            </w:r>
            <w:r>
              <w:rPr>
                <w:noProof/>
                <w:webHidden/>
              </w:rPr>
              <w:fldChar w:fldCharType="end"/>
            </w:r>
          </w:hyperlink>
        </w:p>
        <w:p w14:paraId="59F2E25D" w14:textId="09B22050" w:rsidR="000A09BE" w:rsidRDefault="000A09BE">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1072649" w:history="1">
            <w:r w:rsidRPr="005323F7">
              <w:rPr>
                <w:rStyle w:val="Hyperlink"/>
                <w:noProof/>
              </w:rPr>
              <w:t>Conclusion</w:t>
            </w:r>
            <w:r>
              <w:rPr>
                <w:noProof/>
                <w:webHidden/>
              </w:rPr>
              <w:tab/>
            </w:r>
            <w:r>
              <w:rPr>
                <w:noProof/>
                <w:webHidden/>
              </w:rPr>
              <w:fldChar w:fldCharType="begin"/>
            </w:r>
            <w:r>
              <w:rPr>
                <w:noProof/>
                <w:webHidden/>
              </w:rPr>
              <w:instrText xml:space="preserve"> PAGEREF _Toc171072649 \h </w:instrText>
            </w:r>
            <w:r>
              <w:rPr>
                <w:noProof/>
                <w:webHidden/>
              </w:rPr>
            </w:r>
            <w:r>
              <w:rPr>
                <w:noProof/>
                <w:webHidden/>
              </w:rPr>
              <w:fldChar w:fldCharType="separate"/>
            </w:r>
            <w:r>
              <w:rPr>
                <w:noProof/>
                <w:webHidden/>
              </w:rPr>
              <w:t>11</w:t>
            </w:r>
            <w:r>
              <w:rPr>
                <w:noProof/>
                <w:webHidden/>
              </w:rPr>
              <w:fldChar w:fldCharType="end"/>
            </w:r>
          </w:hyperlink>
        </w:p>
        <w:p w14:paraId="55E2DFCD" w14:textId="0A98243B" w:rsidR="000A09BE" w:rsidRDefault="000A09BE">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71072650" w:history="1">
            <w:r w:rsidRPr="005323F7">
              <w:rPr>
                <w:rStyle w:val="Hyperlink"/>
                <w:noProof/>
              </w:rPr>
              <w:t>References</w:t>
            </w:r>
            <w:r>
              <w:rPr>
                <w:noProof/>
                <w:webHidden/>
              </w:rPr>
              <w:tab/>
            </w:r>
            <w:r>
              <w:rPr>
                <w:noProof/>
                <w:webHidden/>
              </w:rPr>
              <w:fldChar w:fldCharType="begin"/>
            </w:r>
            <w:r>
              <w:rPr>
                <w:noProof/>
                <w:webHidden/>
              </w:rPr>
              <w:instrText xml:space="preserve"> PAGEREF _Toc171072650 \h </w:instrText>
            </w:r>
            <w:r>
              <w:rPr>
                <w:noProof/>
                <w:webHidden/>
              </w:rPr>
            </w:r>
            <w:r>
              <w:rPr>
                <w:noProof/>
                <w:webHidden/>
              </w:rPr>
              <w:fldChar w:fldCharType="separate"/>
            </w:r>
            <w:r>
              <w:rPr>
                <w:noProof/>
                <w:webHidden/>
              </w:rPr>
              <w:t>12</w:t>
            </w:r>
            <w:r>
              <w:rPr>
                <w:noProof/>
                <w:webHidden/>
              </w:rPr>
              <w:fldChar w:fldCharType="end"/>
            </w:r>
          </w:hyperlink>
        </w:p>
        <w:p w14:paraId="292B4874" w14:textId="7BB0A964" w:rsidR="007B45DA" w:rsidRDefault="007B45DA">
          <w:r>
            <w:rPr>
              <w:b/>
              <w:bCs/>
              <w:noProof/>
            </w:rPr>
            <w:fldChar w:fldCharType="end"/>
          </w:r>
        </w:p>
      </w:sdtContent>
    </w:sdt>
    <w:p w14:paraId="4A6D0BF8" w14:textId="0F865B1D" w:rsidR="00B1322C" w:rsidRDefault="00B1322C" w:rsidP="006E41B3">
      <w:r>
        <w:br w:type="page"/>
      </w:r>
    </w:p>
    <w:p w14:paraId="00000017" w14:textId="517A625C" w:rsidR="00D63698" w:rsidRDefault="00000000" w:rsidP="00B1322C">
      <w:pPr>
        <w:pStyle w:val="Heading1"/>
      </w:pPr>
      <w:bookmarkStart w:id="0" w:name="_Toc171072644"/>
      <w:r>
        <w:lastRenderedPageBreak/>
        <w:t>Introduction</w:t>
      </w:r>
      <w:bookmarkEnd w:id="0"/>
      <w:r>
        <w:t xml:space="preserve"> </w:t>
      </w:r>
    </w:p>
    <w:p w14:paraId="00000018" w14:textId="02480379" w:rsidR="00D63698" w:rsidRDefault="00000000">
      <w:r w:rsidRPr="000F1667">
        <w:t xml:space="preserve">This </w:t>
      </w:r>
      <w:r w:rsidR="00AB462F" w:rsidRPr="000F1667">
        <w:t>self-written reflection</w:t>
      </w:r>
      <w:r w:rsidRPr="000F1667">
        <w:t xml:space="preserve"> focuses on the analysis of </w:t>
      </w:r>
      <w:r w:rsidR="00AB462F" w:rsidRPr="000F1667">
        <w:t>my</w:t>
      </w:r>
      <w:r w:rsidRPr="000F1667">
        <w:t xml:space="preserve"> coaching and mentoring practice within the work setting as a form of structured reflection. </w:t>
      </w:r>
      <w:r w:rsidR="00AB462F" w:rsidRPr="000F1667">
        <w:t>I</w:t>
      </w:r>
      <w:r w:rsidRPr="000F1667">
        <w:t xml:space="preserve"> will employ</w:t>
      </w:r>
      <w:r>
        <w:t xml:space="preserve"> the </w:t>
      </w:r>
      <w:r w:rsidR="00B1322C">
        <w:t xml:space="preserve">Force Field analysis and </w:t>
      </w:r>
      <w:r>
        <w:t>Gibbs Reflective Cycle</w:t>
      </w:r>
      <w:r w:rsidR="00AB462F">
        <w:t xml:space="preserve"> for the reflective approach of this particular reflection</w:t>
      </w:r>
      <w:r w:rsidR="00B1322C">
        <w:t xml:space="preserve"> </w:t>
      </w:r>
      <w:r>
        <w:t xml:space="preserve">(Hymans, 2019). In the given case, coaching can be described as an individualized, developmental relationship where an auxiliary is provided to become more skilled, perform better, and progress in one’s career through purposeful partnering. Mentoring, however, refers to the process in which one with more experience assists another person with less experience in the same field, by providing them with advice, information and guidance, which helps in personal and or professional development. Thus, while development is a common goal of both coaching and mentoring, the two practices differ in terms of time horizon, which is normally short for coaching as opposed to the long-term nature of mentoring (Garvey, 2018). To provide constructive criticism, a coach must exhibit active listening, empathy, patience, and other traits. The above traits are essential for a positive and supportive environment. The GROW coaching paradigm, its significance, and its practical implementation in diverse circumstances will be discussed first, together with the Mentor-Coach Framework principles. After a critical analysis, </w:t>
      </w:r>
      <w:r w:rsidR="00EE17C5">
        <w:t>I</w:t>
      </w:r>
      <w:r>
        <w:t xml:space="preserve"> will describe coaching and mentoring and their use from literature and personal experience. </w:t>
      </w:r>
    </w:p>
    <w:p w14:paraId="00000019" w14:textId="77777777" w:rsidR="00D63698" w:rsidRDefault="00000000">
      <w:r>
        <w:t xml:space="preserve"> </w:t>
      </w:r>
    </w:p>
    <w:p w14:paraId="0000001A" w14:textId="77777777" w:rsidR="00D63698" w:rsidRDefault="00D63698"/>
    <w:p w14:paraId="0000001B" w14:textId="77777777" w:rsidR="00D63698" w:rsidRDefault="00000000">
      <w:pPr>
        <w:spacing w:line="259" w:lineRule="auto"/>
        <w:jc w:val="left"/>
      </w:pPr>
      <w:r>
        <w:br w:type="page"/>
      </w:r>
    </w:p>
    <w:p w14:paraId="0000001C" w14:textId="77777777" w:rsidR="00D63698" w:rsidRDefault="00000000">
      <w:pPr>
        <w:pStyle w:val="Heading1"/>
      </w:pPr>
      <w:bookmarkStart w:id="1" w:name="_Toc171072645"/>
      <w:r>
        <w:lastRenderedPageBreak/>
        <w:t>Critical evaluation of the purpose of coaching and mentoring within a workplace</w:t>
      </w:r>
      <w:bookmarkEnd w:id="1"/>
    </w:p>
    <w:p w14:paraId="0000001D" w14:textId="77777777" w:rsidR="00D63698" w:rsidRDefault="00000000">
      <w:sdt>
        <w:sdtPr>
          <w:tag w:val="goog_rdk_2"/>
          <w:id w:val="442036458"/>
        </w:sdtPr>
        <w:sdtContent/>
      </w:sdt>
      <w:r>
        <w:t xml:space="preserve">Coaching and mentoring are important tools in organizational development as they have different yet interdependent functions in an organization. The primary focus of coaching exists in the improvements of performance, the acquisition of certain skills, and other career-related objectives. This is done by engaging in activities that would create well-defined and scheduled interactions with well-defined and achievable objectives. Coaching is for instance used for performance enhancement, executive internship and to support change in the workplace (Grant, 2017). For instance, a sales team is likely to undergo coaching in the sales practices and processes to enhance the size of the sales. While coaching entails short-term issue-solving, often with an emphasis on the business aspect of an employee’s life, mentoring focuses on the creation of a long-term, positive relationship meant for the enhancement of the person and his or her career (Kram, 1985). Mentors offer information, including career information, which assists the protégé in his or her organizational progress, addressing obstacles, and attainment of one’s full capability. An example of coaching could be a mentor selecting a junior employee for a management position and helping them to acquire adequate skills. </w:t>
      </w:r>
    </w:p>
    <w:p w14:paraId="0000001E" w14:textId="55BE7F88" w:rsidR="00D63698" w:rsidRDefault="00000000">
      <w:r>
        <w:t xml:space="preserve">Peculiarities of the systems of coaching and mentoring can be described and compared in the following aspects. Coaching is characteristically for a brief duration and solution-oriented based on the </w:t>
      </w:r>
      <w:sdt>
        <w:sdtPr>
          <w:tag w:val="goog_rdk_3"/>
          <w:id w:val="-1498811265"/>
        </w:sdtPr>
        <w:sdtContent/>
      </w:sdt>
      <w:r w:rsidR="00AB462F">
        <w:t>coaches’</w:t>
      </w:r>
      <w:r>
        <w:t xml:space="preserve"> current requirements and goals (Whitmore, 2009). It can be carried out in systematic meetings within a certain timeframe or schedule and the main role of the coach is to guide the</w:t>
      </w:r>
      <w:sdt>
        <w:sdtPr>
          <w:tag w:val="goog_rdk_4"/>
          <w:id w:val="-859353083"/>
        </w:sdtPr>
        <w:sdtContent/>
      </w:sdt>
      <w:r>
        <w:t xml:space="preserve"> </w:t>
      </w:r>
      <w:r w:rsidR="00AB462F">
        <w:t xml:space="preserve">coaches </w:t>
      </w:r>
      <w:r>
        <w:t xml:space="preserve">to arrive at the solutions and strategies. On the other hand, mentoring is more of a long-term relationship that requires the development of the mentee as a person. The information exchange is less structured but more of a deep conversation between the mentor and the mentee that could include career paths, what the various persons or the mentee hold dear, and their overall life goals (Ragins and Kram, 2007). Literature supports the distinction between job coaching and mentoring. Grant and Cavanagh say coaching structures train competencies and performance indicators. Coaching is especially useful when immediate action or improvement is needed, they say. Mentoring, as described by Kram and backed by Allen et al., is efficient for knowledge exchange and management, career advancement, and succession. Bourdieu says that mentoring </w:t>
      </w:r>
      <w:r>
        <w:lastRenderedPageBreak/>
        <w:t xml:space="preserve">gives the mentee an acceptable view of the organization's personality and space and a safe space to establish a new habitus. </w:t>
      </w:r>
    </w:p>
    <w:p w14:paraId="0000001F" w14:textId="77777777" w:rsidR="00D63698" w:rsidRDefault="00000000">
      <w:r>
        <w:t xml:space="preserve">However, there are similarities between coaching and mentoring, which include; increased employees’ productivity, job satisfaction, and organizational commitment (Hymans, 2019). Both practices play a tremendous role in fostering an effective climate that embraces learning organization and where there is an encouragement of organization members to continue learning as well as sharing knowledge. For example, an organization introducing both coaching and mentoring initiatives in its training solutions will be able to establish a combination of short-term efficiency improvement and long-term personnel advancement. </w:t>
      </w:r>
    </w:p>
    <w:p w14:paraId="00000020" w14:textId="77777777" w:rsidR="00D63698" w:rsidRDefault="00000000">
      <w:pPr>
        <w:pStyle w:val="Heading1"/>
      </w:pPr>
      <w:bookmarkStart w:id="2" w:name="_Toc171072646"/>
      <w:r>
        <w:t>Critical Analysis of a Specific Model of Coaching: The GROW Model</w:t>
      </w:r>
      <w:bookmarkEnd w:id="2"/>
    </w:p>
    <w:p w14:paraId="00000021" w14:textId="66F29C62" w:rsidR="00D63698" w:rsidRDefault="00000000">
      <w:sdt>
        <w:sdtPr>
          <w:tag w:val="goog_rdk_5"/>
          <w:id w:val="-30041691"/>
        </w:sdtPr>
        <w:sdtContent/>
      </w:sdt>
      <w:r>
        <w:t xml:space="preserve">When determining the style of coaching in the given analysis, one of the most popular structures, </w:t>
      </w:r>
      <w:r w:rsidR="00AB462F">
        <w:t xml:space="preserve">I have selected </w:t>
      </w:r>
      <w:r>
        <w:t xml:space="preserve">the GROW model for the analysis. The GROW model is used by John Whitmore and consists of the Goal, Reality, Options/Obstacles, and Will (or Way forward). This model has a clear sequence of stages that a </w:t>
      </w:r>
      <w:r w:rsidR="00931D36">
        <w:t>coach</w:t>
      </w:r>
      <w:r>
        <w:t xml:space="preserve"> has to go through to meet the planned goals (Whitmore, 2009). </w:t>
      </w:r>
    </w:p>
    <w:p w14:paraId="00000022" w14:textId="77777777" w:rsidR="00D63698" w:rsidRDefault="00000000">
      <w:pPr>
        <w:keepNext/>
        <w:jc w:val="center"/>
      </w:pPr>
      <w:r>
        <w:rPr>
          <w:noProof/>
        </w:rPr>
        <w:drawing>
          <wp:inline distT="0" distB="0" distL="0" distR="0" wp14:anchorId="2A7FE2AC" wp14:editId="07279AEF">
            <wp:extent cx="3316933" cy="2487700"/>
            <wp:effectExtent l="0" t="0" r="0" b="0"/>
            <wp:docPr id="867092384" name="image1.jpg" descr="The GROW model Coaching Framework | Culture at Work"/>
            <wp:cNvGraphicFramePr/>
            <a:graphic xmlns:a="http://schemas.openxmlformats.org/drawingml/2006/main">
              <a:graphicData uri="http://schemas.openxmlformats.org/drawingml/2006/picture">
                <pic:pic xmlns:pic="http://schemas.openxmlformats.org/drawingml/2006/picture">
                  <pic:nvPicPr>
                    <pic:cNvPr id="0" name="image1.jpg" descr="The GROW model Coaching Framework | Culture at Work"/>
                    <pic:cNvPicPr preferRelativeResize="0"/>
                  </pic:nvPicPr>
                  <pic:blipFill>
                    <a:blip r:embed="rId9"/>
                    <a:srcRect/>
                    <a:stretch>
                      <a:fillRect/>
                    </a:stretch>
                  </pic:blipFill>
                  <pic:spPr>
                    <a:xfrm>
                      <a:off x="0" y="0"/>
                      <a:ext cx="3316933" cy="2487700"/>
                    </a:xfrm>
                    <a:prstGeom prst="rect">
                      <a:avLst/>
                    </a:prstGeom>
                    <a:ln/>
                  </pic:spPr>
                </pic:pic>
              </a:graphicData>
            </a:graphic>
          </wp:inline>
        </w:drawing>
      </w:r>
    </w:p>
    <w:p w14:paraId="00000023" w14:textId="77777777" w:rsidR="00D63698" w:rsidRDefault="00000000">
      <w:pPr>
        <w:pBdr>
          <w:top w:val="nil"/>
          <w:left w:val="nil"/>
          <w:bottom w:val="nil"/>
          <w:right w:val="nil"/>
          <w:between w:val="nil"/>
        </w:pBdr>
        <w:spacing w:after="200"/>
        <w:jc w:val="center"/>
        <w:rPr>
          <w:b/>
          <w:color w:val="000000"/>
          <w:sz w:val="20"/>
          <w:szCs w:val="20"/>
        </w:rPr>
      </w:pPr>
      <w:r>
        <w:rPr>
          <w:b/>
          <w:color w:val="000000"/>
          <w:sz w:val="20"/>
          <w:szCs w:val="20"/>
        </w:rPr>
        <w:t xml:space="preserve">Figure 1: The GROW model. </w:t>
      </w:r>
    </w:p>
    <w:p w14:paraId="00000024" w14:textId="149D340C" w:rsidR="00D63698" w:rsidRDefault="00000000">
      <w:pPr>
        <w:pBdr>
          <w:top w:val="nil"/>
          <w:left w:val="nil"/>
          <w:bottom w:val="nil"/>
          <w:right w:val="nil"/>
          <w:between w:val="nil"/>
        </w:pBdr>
        <w:spacing w:after="200"/>
        <w:jc w:val="center"/>
        <w:rPr>
          <w:b/>
          <w:color w:val="000000"/>
          <w:sz w:val="20"/>
          <w:szCs w:val="20"/>
        </w:rPr>
      </w:pPr>
      <w:r>
        <w:rPr>
          <w:b/>
          <w:color w:val="000000"/>
          <w:sz w:val="20"/>
          <w:szCs w:val="20"/>
        </w:rPr>
        <w:t xml:space="preserve">Source: </w:t>
      </w:r>
      <w:r w:rsidR="00931D36">
        <w:t>(Yates, 2022).</w:t>
      </w:r>
    </w:p>
    <w:p w14:paraId="00000025" w14:textId="77777777" w:rsidR="00D63698" w:rsidRDefault="00000000">
      <w:r>
        <w:lastRenderedPageBreak/>
        <w:t xml:space="preserve">The first of these is Goal where the </w:t>
      </w:r>
      <w:proofErr w:type="spellStart"/>
      <w:r>
        <w:t>coachee</w:t>
      </w:r>
      <w:proofErr w:type="spellEnd"/>
      <w:r>
        <w:t xml:space="preserve"> identifies what they want. It is during this stage that functional and detailed goals need to be established. The second of the four phases is called Reality, which entails a healthy analysis of the present state of affairs, issues, and context. The third one is more focused on the options or the ways how one could eliminate the problem or get over the hurdles. Last, of all, the Will stage is a stage where the </w:t>
      </w:r>
      <w:proofErr w:type="spellStart"/>
      <w:r>
        <w:t>coachee</w:t>
      </w:r>
      <w:proofErr w:type="spellEnd"/>
      <w:r>
        <w:t xml:space="preserve"> personally opts for action and ensures that he or she maps out a course of action to fulfil the core desired outcome. The GROW model is quite helpful and has the following advantages (Yates, 2022). It is easy to understand regardless of the level of knowledge that the reader may possess from a beginner coach to an experienced one. The structured form of facilitation means that there is a lot of achievement during the coaching sessions because of the goals that are set. The delegation of leadership to the subjects lets the </w:t>
      </w:r>
      <w:proofErr w:type="spellStart"/>
      <w:r>
        <w:t>coachees</w:t>
      </w:r>
      <w:proofErr w:type="spellEnd"/>
      <w:r>
        <w:t xml:space="preserve"> be in charge of the improvement process, which is always healthy when hoping for change. This model is most useful in performance coaching since here targets that require focal attainment have to be well defined in terms of behaviour, quantifiable and attainable within a given time. For instance, a project manager can apply the GROW model specifically to increase the performance of their teams with the help of clear objectives and plans of action. </w:t>
      </w:r>
    </w:p>
    <w:p w14:paraId="00000026" w14:textId="046B9321" w:rsidR="00D63698" w:rsidRDefault="00000000">
      <w:r>
        <w:t xml:space="preserve">Nevertheless, </w:t>
      </w:r>
      <w:r w:rsidR="004A575F">
        <w:t>in this</w:t>
      </w:r>
      <w:r>
        <w:t xml:space="preserve"> study</w:t>
      </w:r>
      <w:r w:rsidR="00A975B4">
        <w:t>,</w:t>
      </w:r>
      <w:r>
        <w:t xml:space="preserve"> </w:t>
      </w:r>
      <w:r w:rsidR="004A575F">
        <w:t>I have</w:t>
      </w:r>
      <w:r>
        <w:t xml:space="preserve"> found some limitations of the GROW model. It may not be applicable in some complicated and unclear scenarios of the </w:t>
      </w:r>
      <w:proofErr w:type="spellStart"/>
      <w:r>
        <w:t>coachee’s</w:t>
      </w:r>
      <w:proofErr w:type="spellEnd"/>
      <w:r>
        <w:t xml:space="preserve"> work where the goals are less clear or when the </w:t>
      </w:r>
      <w:proofErr w:type="spellStart"/>
      <w:r>
        <w:t>coachee</w:t>
      </w:r>
      <w:proofErr w:type="spellEnd"/>
      <w:r>
        <w:t xml:space="preserve"> requires generic overhauls. The model might not consider other factors that hinder the achievement of the set goals such as psychological barriers which need a different kind of treatment (</w:t>
      </w:r>
      <w:proofErr w:type="spellStart"/>
      <w:r>
        <w:t>Hoidn</w:t>
      </w:r>
      <w:proofErr w:type="spellEnd"/>
      <w:r>
        <w:t xml:space="preserve"> &amp; Ritter, 2021). The technique relies on </w:t>
      </w:r>
      <w:proofErr w:type="spellStart"/>
      <w:r>
        <w:t>coachees'</w:t>
      </w:r>
      <w:proofErr w:type="spellEnd"/>
      <w:r>
        <w:t xml:space="preserve"> skill and willingness to think and explore options, which may be difficult for those with low self-esteem. The GROW model works best in sales coaching. A sales professional who wishes to increase their monthly sales quota can use the GROW approach. The sales professional is guaranteed not to drift aimlessly when approaching consumers via the Internet and other communication channels, so they stay productive and motivated to meet sales goals. </w:t>
      </w:r>
    </w:p>
    <w:p w14:paraId="00000027" w14:textId="77777777" w:rsidR="00D63698" w:rsidRDefault="00000000">
      <w:r>
        <w:t xml:space="preserve"> </w:t>
      </w:r>
    </w:p>
    <w:p w14:paraId="00000028" w14:textId="77777777" w:rsidR="00D63698" w:rsidRDefault="00000000">
      <w:pPr>
        <w:spacing w:line="259" w:lineRule="auto"/>
        <w:jc w:val="left"/>
      </w:pPr>
      <w:r>
        <w:br w:type="page"/>
      </w:r>
    </w:p>
    <w:p w14:paraId="00000029" w14:textId="77777777" w:rsidR="00D63698" w:rsidRDefault="00000000">
      <w:pPr>
        <w:pStyle w:val="Heading1"/>
      </w:pPr>
      <w:bookmarkStart w:id="3" w:name="_Toc171072647"/>
      <w:r>
        <w:lastRenderedPageBreak/>
        <w:t>Reflection on Practical 1</w:t>
      </w:r>
      <w:bookmarkEnd w:id="3"/>
      <w:r>
        <w:t xml:space="preserve"> </w:t>
      </w:r>
    </w:p>
    <w:p w14:paraId="0000002A" w14:textId="685D1369" w:rsidR="00D63698" w:rsidRDefault="00931D36">
      <w:r>
        <w:t xml:space="preserve">In </w:t>
      </w:r>
      <w:r w:rsidR="009308EF">
        <w:t>t</w:t>
      </w:r>
      <w:r>
        <w:t>his section</w:t>
      </w:r>
      <w:r w:rsidR="009308EF">
        <w:t>,</w:t>
      </w:r>
      <w:r>
        <w:t xml:space="preserve"> I will utilise the Gibbs Reflective Cycle to reflect on the first of the assessed experiences which is coaching and goal setting (Turner et al., 2018). The cycle comprises six stages: A model of reflection also called by Gibbs is as follows: Goals, Subjects, Attitude to the Subject, Emotions felt, Consequence, Evaluation, and Summary of the experience. </w:t>
      </w:r>
    </w:p>
    <w:p w14:paraId="0000002B" w14:textId="77777777" w:rsidR="00D63698" w:rsidRDefault="00000000">
      <w:pPr>
        <w:keepNext/>
        <w:jc w:val="center"/>
      </w:pPr>
      <w:r>
        <w:rPr>
          <w:noProof/>
        </w:rPr>
        <w:drawing>
          <wp:inline distT="0" distB="0" distL="0" distR="0" wp14:anchorId="156F6A04" wp14:editId="6E42CEDA">
            <wp:extent cx="2723290" cy="2370012"/>
            <wp:effectExtent l="0" t="0" r="0" b="0"/>
            <wp:docPr id="867092385" name="image2.jpg" descr="The Gibbs Reflective Cycle - Free Template Download &amp; Guide"/>
            <wp:cNvGraphicFramePr/>
            <a:graphic xmlns:a="http://schemas.openxmlformats.org/drawingml/2006/main">
              <a:graphicData uri="http://schemas.openxmlformats.org/drawingml/2006/picture">
                <pic:pic xmlns:pic="http://schemas.openxmlformats.org/drawingml/2006/picture">
                  <pic:nvPicPr>
                    <pic:cNvPr id="0" name="image2.jpg" descr="The Gibbs Reflective Cycle - Free Template Download &amp; Guide"/>
                    <pic:cNvPicPr preferRelativeResize="0"/>
                  </pic:nvPicPr>
                  <pic:blipFill>
                    <a:blip r:embed="rId10"/>
                    <a:srcRect/>
                    <a:stretch>
                      <a:fillRect/>
                    </a:stretch>
                  </pic:blipFill>
                  <pic:spPr>
                    <a:xfrm>
                      <a:off x="0" y="0"/>
                      <a:ext cx="2723290" cy="2370012"/>
                    </a:xfrm>
                    <a:prstGeom prst="rect">
                      <a:avLst/>
                    </a:prstGeom>
                    <a:ln/>
                  </pic:spPr>
                </pic:pic>
              </a:graphicData>
            </a:graphic>
          </wp:inline>
        </w:drawing>
      </w:r>
    </w:p>
    <w:p w14:paraId="0000002C" w14:textId="77777777" w:rsidR="00D63698" w:rsidRDefault="00000000">
      <w:pPr>
        <w:pBdr>
          <w:top w:val="nil"/>
          <w:left w:val="nil"/>
          <w:bottom w:val="nil"/>
          <w:right w:val="nil"/>
          <w:between w:val="nil"/>
        </w:pBdr>
        <w:spacing w:after="200"/>
        <w:jc w:val="center"/>
        <w:rPr>
          <w:b/>
          <w:color w:val="000000"/>
          <w:sz w:val="20"/>
          <w:szCs w:val="20"/>
        </w:rPr>
      </w:pPr>
      <w:r>
        <w:rPr>
          <w:b/>
          <w:color w:val="000000"/>
          <w:sz w:val="20"/>
          <w:szCs w:val="20"/>
        </w:rPr>
        <w:t xml:space="preserve">Figure 2: The Gibbs Reflective Cycle. </w:t>
      </w:r>
    </w:p>
    <w:p w14:paraId="0000002D" w14:textId="37545D13" w:rsidR="00D63698" w:rsidRDefault="00000000">
      <w:pPr>
        <w:pBdr>
          <w:top w:val="nil"/>
          <w:left w:val="nil"/>
          <w:bottom w:val="nil"/>
          <w:right w:val="nil"/>
          <w:between w:val="nil"/>
        </w:pBdr>
        <w:spacing w:after="200"/>
        <w:jc w:val="center"/>
        <w:rPr>
          <w:b/>
          <w:color w:val="000000"/>
          <w:sz w:val="20"/>
          <w:szCs w:val="20"/>
        </w:rPr>
      </w:pPr>
      <w:r>
        <w:rPr>
          <w:b/>
          <w:color w:val="000000"/>
          <w:sz w:val="20"/>
          <w:szCs w:val="20"/>
        </w:rPr>
        <w:t>Source:</w:t>
      </w:r>
      <w:r w:rsidR="00931D36" w:rsidRPr="00931D36">
        <w:t xml:space="preserve"> </w:t>
      </w:r>
      <w:r w:rsidR="00931D36">
        <w:t>(Williams et al., 2014)</w:t>
      </w:r>
      <w:r w:rsidR="00931D36">
        <w:rPr>
          <w:b/>
          <w:color w:val="000000"/>
          <w:sz w:val="20"/>
          <w:szCs w:val="20"/>
        </w:rPr>
        <w:t>.</w:t>
      </w:r>
    </w:p>
    <w:p w14:paraId="0000002E" w14:textId="77777777" w:rsidR="00D63698" w:rsidRDefault="00D63698"/>
    <w:p w14:paraId="0000002F" w14:textId="77777777" w:rsidR="00D63698" w:rsidRDefault="00000000">
      <w:pPr>
        <w:keepNext/>
        <w:pBdr>
          <w:top w:val="nil"/>
          <w:left w:val="nil"/>
          <w:bottom w:val="nil"/>
          <w:right w:val="nil"/>
          <w:between w:val="nil"/>
        </w:pBdr>
        <w:spacing w:after="200"/>
        <w:jc w:val="center"/>
        <w:rPr>
          <w:b/>
          <w:color w:val="000000"/>
          <w:sz w:val="20"/>
          <w:szCs w:val="20"/>
        </w:rPr>
      </w:pPr>
      <w:r>
        <w:rPr>
          <w:b/>
          <w:color w:val="000000"/>
          <w:sz w:val="20"/>
          <w:szCs w:val="20"/>
        </w:rPr>
        <w:t>Table 1: Reflection on Practical 1</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52"/>
        <w:gridCol w:w="7198"/>
      </w:tblGrid>
      <w:tr w:rsidR="00D63698" w14:paraId="00BFE94E" w14:textId="77777777">
        <w:trPr>
          <w:trHeight w:val="656"/>
        </w:trPr>
        <w:tc>
          <w:tcPr>
            <w:tcW w:w="9350" w:type="dxa"/>
            <w:gridSpan w:val="2"/>
          </w:tcPr>
          <w:p w14:paraId="00000030" w14:textId="77777777" w:rsidR="00D63698" w:rsidRDefault="00000000">
            <w:pPr>
              <w:jc w:val="center"/>
              <w:rPr>
                <w:b/>
                <w:sz w:val="28"/>
                <w:szCs w:val="28"/>
              </w:rPr>
            </w:pPr>
            <w:r>
              <w:rPr>
                <w:b/>
                <w:sz w:val="28"/>
                <w:szCs w:val="28"/>
              </w:rPr>
              <w:t>Reflection on Practical 1</w:t>
            </w:r>
          </w:p>
        </w:tc>
      </w:tr>
      <w:tr w:rsidR="00D63698" w14:paraId="5D660225" w14:textId="77777777">
        <w:tc>
          <w:tcPr>
            <w:tcW w:w="2152" w:type="dxa"/>
          </w:tcPr>
          <w:p w14:paraId="00000032" w14:textId="77777777" w:rsidR="00D63698" w:rsidRDefault="00000000">
            <w:r>
              <w:rPr>
                <w:b/>
              </w:rPr>
              <w:t>Description</w:t>
            </w:r>
          </w:p>
        </w:tc>
        <w:tc>
          <w:tcPr>
            <w:tcW w:w="7198" w:type="dxa"/>
          </w:tcPr>
          <w:p w14:paraId="00000033" w14:textId="05DCD549" w:rsidR="00D63698" w:rsidRPr="003A15B4" w:rsidRDefault="00000000" w:rsidP="003A15B4">
            <w:pPr>
              <w:spacing w:line="360" w:lineRule="auto"/>
            </w:pPr>
            <w:r w:rsidRPr="003A15B4">
              <w:t xml:space="preserve">The first practical was a peer coaching session in which </w:t>
            </w:r>
            <w:r w:rsidR="00A975B4" w:rsidRPr="003A15B4">
              <w:t>I aimed</w:t>
            </w:r>
            <w:r w:rsidRPr="003A15B4">
              <w:t xml:space="preserve"> to help the </w:t>
            </w:r>
            <w:proofErr w:type="spellStart"/>
            <w:r w:rsidR="004A575F" w:rsidRPr="003A15B4">
              <w:t>coachee</w:t>
            </w:r>
            <w:proofErr w:type="spellEnd"/>
            <w:r w:rsidRPr="003A15B4">
              <w:t xml:space="preserve"> set a professional using the GROW model (Williams et al., 2014). It started with the creation of a relationship with the patient and then followed by the common features which were Goal, followed by Reality, Options and finally Will. The </w:t>
            </w:r>
            <w:proofErr w:type="spellStart"/>
            <w:r w:rsidR="004A575F" w:rsidRPr="003A15B4">
              <w:t>coachee</w:t>
            </w:r>
            <w:proofErr w:type="spellEnd"/>
            <w:r w:rsidR="004A575F" w:rsidRPr="003A15B4">
              <w:t xml:space="preserve"> </w:t>
            </w:r>
            <w:r w:rsidRPr="003A15B4">
              <w:t>intended to increase effective time management to increase efficiency in the workplace.</w:t>
            </w:r>
          </w:p>
        </w:tc>
      </w:tr>
      <w:tr w:rsidR="00D63698" w14:paraId="2D6D1C3F" w14:textId="77777777">
        <w:tc>
          <w:tcPr>
            <w:tcW w:w="2152" w:type="dxa"/>
          </w:tcPr>
          <w:p w14:paraId="00000034" w14:textId="77777777" w:rsidR="00D63698" w:rsidRDefault="00000000">
            <w:r>
              <w:rPr>
                <w:b/>
              </w:rPr>
              <w:t>Feelings</w:t>
            </w:r>
          </w:p>
        </w:tc>
        <w:tc>
          <w:tcPr>
            <w:tcW w:w="7198" w:type="dxa"/>
          </w:tcPr>
          <w:p w14:paraId="00000035" w14:textId="69DE81B8" w:rsidR="00D63698" w:rsidRPr="003A15B4" w:rsidRDefault="00000000" w:rsidP="003A15B4">
            <w:pPr>
              <w:spacing w:line="360" w:lineRule="auto"/>
            </w:pPr>
            <w:r w:rsidRPr="003A15B4">
              <w:t xml:space="preserve">In the beginning, certain apprehension was observed regarding the ability to implement the GROW model and also, to assure the </w:t>
            </w:r>
            <w:r w:rsidR="004A575F" w:rsidRPr="003A15B4">
              <w:t>coaches ‘comfort</w:t>
            </w:r>
            <w:r w:rsidR="00931D36" w:rsidRPr="003A15B4">
              <w:t xml:space="preserve"> </w:t>
            </w:r>
            <w:r w:rsidR="00931D36" w:rsidRPr="003A15B4">
              <w:lastRenderedPageBreak/>
              <w:t>(ed.ac.uk, 2023)</w:t>
            </w:r>
            <w:r w:rsidRPr="003A15B4">
              <w:t xml:space="preserve">. Although, as the session went on confidence increased and this was down to the GROW model as it follows a set template. This </w:t>
            </w:r>
            <w:r w:rsidR="004A575F" w:rsidRPr="003A15B4">
              <w:t xml:space="preserve">coach </w:t>
            </w:r>
            <w:r w:rsidRPr="003A15B4">
              <w:t>was enlightened and made to take active participation and even note down plausible courses of action.</w:t>
            </w:r>
          </w:p>
        </w:tc>
      </w:tr>
      <w:tr w:rsidR="00D63698" w14:paraId="4DE15D1A" w14:textId="77777777">
        <w:tc>
          <w:tcPr>
            <w:tcW w:w="2152" w:type="dxa"/>
          </w:tcPr>
          <w:p w14:paraId="00000036" w14:textId="77777777" w:rsidR="00D63698" w:rsidRDefault="00000000">
            <w:r>
              <w:rPr>
                <w:b/>
              </w:rPr>
              <w:lastRenderedPageBreak/>
              <w:t>Evaluation</w:t>
            </w:r>
          </w:p>
        </w:tc>
        <w:tc>
          <w:tcPr>
            <w:tcW w:w="7198" w:type="dxa"/>
          </w:tcPr>
          <w:p w14:paraId="00000037" w14:textId="21497CA6" w:rsidR="00D63698" w:rsidRPr="003A15B4" w:rsidRDefault="00000000" w:rsidP="003A15B4">
            <w:pPr>
              <w:spacing w:line="360" w:lineRule="auto"/>
            </w:pPr>
            <w:r w:rsidRPr="003A15B4">
              <w:t xml:space="preserve">The coaching session revealed the following strengths. GROW model provided a foundation for useful debate. The </w:t>
            </w:r>
            <w:proofErr w:type="spellStart"/>
            <w:r w:rsidR="004A575F" w:rsidRPr="003A15B4">
              <w:t>coachee</w:t>
            </w:r>
            <w:proofErr w:type="spellEnd"/>
            <w:r w:rsidR="004A575F" w:rsidRPr="003A15B4">
              <w:t xml:space="preserve"> </w:t>
            </w:r>
            <w:r w:rsidRPr="003A15B4">
              <w:t xml:space="preserve">was able to convey the aim clearly and liked the coherence of going from a current state evaluation to possibilities (Potter, 2015). The event had various enhancement opportunities. The session was fast, especially during the Optioning section, and more time should have been spent brainstorming options. Making the </w:t>
            </w:r>
            <w:r w:rsidR="004A575F" w:rsidRPr="003A15B4">
              <w:t xml:space="preserve">coach </w:t>
            </w:r>
            <w:r w:rsidRPr="003A15B4">
              <w:t>feel like he owns the solutions rather than prescribing what to do most of the time was another problem.</w:t>
            </w:r>
          </w:p>
        </w:tc>
      </w:tr>
      <w:tr w:rsidR="00D63698" w14:paraId="59BD7B78" w14:textId="77777777">
        <w:tc>
          <w:tcPr>
            <w:tcW w:w="2152" w:type="dxa"/>
          </w:tcPr>
          <w:p w14:paraId="00000038" w14:textId="77777777" w:rsidR="00D63698" w:rsidRDefault="00000000">
            <w:r>
              <w:rPr>
                <w:b/>
              </w:rPr>
              <w:t>Analysis</w:t>
            </w:r>
          </w:p>
        </w:tc>
        <w:tc>
          <w:tcPr>
            <w:tcW w:w="7198" w:type="dxa"/>
          </w:tcPr>
          <w:p w14:paraId="00000039" w14:textId="40FBB3CA" w:rsidR="00D63698" w:rsidRPr="003A15B4" w:rsidRDefault="004A575F" w:rsidP="003A15B4">
            <w:pPr>
              <w:spacing w:line="360" w:lineRule="auto"/>
            </w:pPr>
            <w:r w:rsidRPr="003A15B4">
              <w:t xml:space="preserve">My Analysis of the facilitation showed that the GROW model guided the session. Its simplicity and simple structure kept it focused on all performance aspects and tracks. </w:t>
            </w:r>
            <w:r w:rsidR="001B4570">
              <w:t>C</w:t>
            </w:r>
            <w:r w:rsidRPr="003A15B4">
              <w:t>oach interaction supported the paradigm for goal setting (Naudé, 2016). However, the Options stage feels rushed, indicating poor time management in the session. It also stressed being sympathetic but not over-directive to help the coach find solutions. Thus, instead of asking particular questions, coaches should use more generic inquiries to encourage deeper thinking.</w:t>
            </w:r>
          </w:p>
        </w:tc>
      </w:tr>
      <w:tr w:rsidR="00D63698" w14:paraId="5536A04E" w14:textId="77777777">
        <w:tc>
          <w:tcPr>
            <w:tcW w:w="2152" w:type="dxa"/>
          </w:tcPr>
          <w:p w14:paraId="0000003A" w14:textId="77777777" w:rsidR="00D63698" w:rsidRDefault="00000000">
            <w:r>
              <w:rPr>
                <w:b/>
              </w:rPr>
              <w:t>Conclusion</w:t>
            </w:r>
          </w:p>
        </w:tc>
        <w:tc>
          <w:tcPr>
            <w:tcW w:w="7198" w:type="dxa"/>
          </w:tcPr>
          <w:p w14:paraId="0000003B" w14:textId="358C33C6" w:rsidR="00D63698" w:rsidRPr="003A15B4" w:rsidRDefault="00000000" w:rsidP="003A15B4">
            <w:pPr>
              <w:spacing w:line="360" w:lineRule="auto"/>
            </w:pPr>
            <w:r w:rsidRPr="003A15B4">
              <w:t xml:space="preserve">This session brought out time management and preparation a key issue that needs to be observed well by a coach. The processes in the GROW model were orderly thus the flexibility in the model was helpful but the strictness of the model had to be modified to fit the </w:t>
            </w:r>
            <w:proofErr w:type="spellStart"/>
            <w:r w:rsidR="004A575F" w:rsidRPr="003A15B4">
              <w:t>coachee</w:t>
            </w:r>
            <w:proofErr w:type="spellEnd"/>
            <w:r w:rsidR="004A575F" w:rsidRPr="003A15B4">
              <w:t xml:space="preserve"> </w:t>
            </w:r>
            <w:r w:rsidRPr="003A15B4">
              <w:t xml:space="preserve">(O’Doherty, 2022). It also highlighted the need to engage the </w:t>
            </w:r>
            <w:r w:rsidR="004A575F" w:rsidRPr="003A15B4">
              <w:t xml:space="preserve">coach </w:t>
            </w:r>
            <w:r w:rsidRPr="003A15B4">
              <w:t xml:space="preserve">in active listening and use probing questions that have open-ended questions to encourage the </w:t>
            </w:r>
            <w:r w:rsidR="004A575F" w:rsidRPr="003A15B4">
              <w:t xml:space="preserve">coach </w:t>
            </w:r>
            <w:r w:rsidRPr="003A15B4">
              <w:t>to reflect on the set goals.</w:t>
            </w:r>
          </w:p>
        </w:tc>
      </w:tr>
      <w:tr w:rsidR="00D63698" w14:paraId="2BB0B7E3" w14:textId="77777777">
        <w:tc>
          <w:tcPr>
            <w:tcW w:w="2152" w:type="dxa"/>
          </w:tcPr>
          <w:p w14:paraId="0000003C" w14:textId="77777777" w:rsidR="00D63698" w:rsidRDefault="00000000">
            <w:r>
              <w:rPr>
                <w:b/>
              </w:rPr>
              <w:t>Action Plan</w:t>
            </w:r>
          </w:p>
        </w:tc>
        <w:tc>
          <w:tcPr>
            <w:tcW w:w="7198" w:type="dxa"/>
          </w:tcPr>
          <w:p w14:paraId="0000003D" w14:textId="111CFB8A" w:rsidR="00D63698" w:rsidRPr="003A15B4" w:rsidRDefault="00000000" w:rsidP="003A15B4">
            <w:pPr>
              <w:spacing w:line="360" w:lineRule="auto"/>
            </w:pPr>
            <w:r w:rsidRPr="003A15B4">
              <w:t xml:space="preserve">In future coaching meetings, the time division plan will be well-outlined to explore all GROW model stages. More open-ended inquiries will encourage </w:t>
            </w:r>
            <w:r w:rsidR="004A575F" w:rsidRPr="003A15B4">
              <w:t xml:space="preserve">coach </w:t>
            </w:r>
            <w:r w:rsidRPr="003A15B4">
              <w:t xml:space="preserve">participation and identification. Requesting </w:t>
            </w:r>
            <w:r w:rsidR="004A575F" w:rsidRPr="003A15B4">
              <w:t xml:space="preserve">coach </w:t>
            </w:r>
            <w:r w:rsidRPr="003A15B4">
              <w:t xml:space="preserve">comments after the session will help </w:t>
            </w:r>
            <w:r w:rsidR="004A575F" w:rsidRPr="003A15B4">
              <w:t xml:space="preserve">me to </w:t>
            </w:r>
            <w:r w:rsidRPr="003A15B4">
              <w:t xml:space="preserve">identify areas for intervention </w:t>
            </w:r>
            <w:r w:rsidRPr="003A15B4">
              <w:lastRenderedPageBreak/>
              <w:t xml:space="preserve">improvement (Forde &amp; O'Brien, 2011). For instance, in the next subsequent session, </w:t>
            </w:r>
            <w:r w:rsidR="004A575F" w:rsidRPr="003A15B4">
              <w:t>I</w:t>
            </w:r>
            <w:r w:rsidRPr="003A15B4">
              <w:t xml:space="preserve"> decide</w:t>
            </w:r>
            <w:r w:rsidR="004A575F" w:rsidRPr="003A15B4">
              <w:t>d</w:t>
            </w:r>
            <w:r w:rsidRPr="003A15B4">
              <w:t xml:space="preserve"> to spend more time on the Option stage and end</w:t>
            </w:r>
            <w:r w:rsidR="00A975B4" w:rsidRPr="003A15B4">
              <w:t>ed</w:t>
            </w:r>
            <w:r w:rsidRPr="003A15B4">
              <w:t xml:space="preserve"> up asking the </w:t>
            </w:r>
            <w:proofErr w:type="spellStart"/>
            <w:r w:rsidRPr="003A15B4">
              <w:t>coachee</w:t>
            </w:r>
            <w:proofErr w:type="spellEnd"/>
            <w:r w:rsidRPr="003A15B4">
              <w:t xml:space="preserve"> to give feedback on how the pacing and structuring of the session was done.</w:t>
            </w:r>
          </w:p>
        </w:tc>
      </w:tr>
    </w:tbl>
    <w:p w14:paraId="0000003E" w14:textId="77777777" w:rsidR="00D63698" w:rsidRDefault="00D63698"/>
    <w:p w14:paraId="0000003F" w14:textId="77777777" w:rsidR="00D63698" w:rsidRDefault="00000000">
      <w:r>
        <w:t xml:space="preserve">Through the use of the Gibbs Reflective Cycle, there is the realisation that has been generated from the experience that will enhance better future coaching procedures. </w:t>
      </w:r>
    </w:p>
    <w:p w14:paraId="00000040" w14:textId="77777777" w:rsidR="00D63698" w:rsidRDefault="00000000">
      <w:r>
        <w:t xml:space="preserve"> </w:t>
      </w:r>
    </w:p>
    <w:p w14:paraId="00000041" w14:textId="77777777" w:rsidR="00D63698" w:rsidRDefault="00000000">
      <w:pPr>
        <w:pStyle w:val="Heading1"/>
      </w:pPr>
      <w:bookmarkStart w:id="4" w:name="_Toc171072648"/>
      <w:r>
        <w:t>Reflection on Practical 2</w:t>
      </w:r>
      <w:bookmarkEnd w:id="4"/>
      <w:r>
        <w:t xml:space="preserve"> </w:t>
      </w:r>
    </w:p>
    <w:p w14:paraId="4B43EF15" w14:textId="34F9EB99" w:rsidR="00DD2413" w:rsidRDefault="00000000" w:rsidP="00DD2413">
      <w:r>
        <w:t xml:space="preserve">In this section, </w:t>
      </w:r>
      <w:r w:rsidR="000C382A">
        <w:t>I</w:t>
      </w:r>
      <w:r>
        <w:t xml:space="preserve"> </w:t>
      </w:r>
      <w:r w:rsidR="009308EF">
        <w:t xml:space="preserve">have </w:t>
      </w:r>
      <w:r>
        <w:t>appl</w:t>
      </w:r>
      <w:r w:rsidR="009308EF">
        <w:t>ied</w:t>
      </w:r>
      <w:r>
        <w:t xml:space="preserve"> the </w:t>
      </w:r>
      <w:r w:rsidR="00DD2413">
        <w:t xml:space="preserve">Force Field Analysis </w:t>
      </w:r>
      <w:r>
        <w:t>to analyse the second assessed experience which relates to both mentoring and providing feedback</w:t>
      </w:r>
      <w:r w:rsidR="00DD2413">
        <w:t xml:space="preserve"> (Falbo, 2017)</w:t>
      </w:r>
      <w:r>
        <w:t xml:space="preserve">. </w:t>
      </w:r>
      <w:r w:rsidR="00DD2413">
        <w:t>In the last few weeks, I engaged myself as a peer mentor to another employee, Willium, who wants to advance to the management level in our construction firm. He is at the moment in management training, and I additionally stood ready to give him Feedback about the Force Field Analysis.</w:t>
      </w:r>
    </w:p>
    <w:p w14:paraId="0837D445" w14:textId="77777777" w:rsidR="00DD2413" w:rsidRDefault="00DD2413" w:rsidP="00DD2413">
      <w:pPr>
        <w:keepNext/>
        <w:jc w:val="center"/>
      </w:pPr>
      <w:r>
        <w:rPr>
          <w:noProof/>
        </w:rPr>
        <w:drawing>
          <wp:inline distT="0" distB="0" distL="0" distR="0" wp14:anchorId="569219AC" wp14:editId="3DEFAF68">
            <wp:extent cx="3219450" cy="2463800"/>
            <wp:effectExtent l="0" t="0" r="0" b="0"/>
            <wp:docPr id="4834502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23112" cy="2466602"/>
                    </a:xfrm>
                    <a:prstGeom prst="rect">
                      <a:avLst/>
                    </a:prstGeom>
                    <a:noFill/>
                  </pic:spPr>
                </pic:pic>
              </a:graphicData>
            </a:graphic>
          </wp:inline>
        </w:drawing>
      </w:r>
    </w:p>
    <w:p w14:paraId="60D71429" w14:textId="77777777" w:rsidR="00DD2413" w:rsidRDefault="00DD2413" w:rsidP="00DD2413">
      <w:pPr>
        <w:pStyle w:val="Caption"/>
      </w:pPr>
      <w:bookmarkStart w:id="5" w:name="_Toc170576204"/>
      <w:r>
        <w:t xml:space="preserve">Figure </w:t>
      </w:r>
      <w:r>
        <w:fldChar w:fldCharType="begin"/>
      </w:r>
      <w:r>
        <w:instrText xml:space="preserve"> SEQ Figure \* ARABIC </w:instrText>
      </w:r>
      <w:r>
        <w:fldChar w:fldCharType="separate"/>
      </w:r>
      <w:r>
        <w:rPr>
          <w:noProof/>
        </w:rPr>
        <w:t>1</w:t>
      </w:r>
      <w:r>
        <w:fldChar w:fldCharType="end"/>
      </w:r>
      <w:r>
        <w:t xml:space="preserve">: </w:t>
      </w:r>
      <w:bookmarkStart w:id="6" w:name="_Hlk170575815"/>
      <w:r>
        <w:t>Force Field Analysis</w:t>
      </w:r>
      <w:bookmarkEnd w:id="6"/>
      <w:r>
        <w:t>.</w:t>
      </w:r>
      <w:bookmarkEnd w:id="5"/>
      <w:r>
        <w:t xml:space="preserve"> </w:t>
      </w:r>
    </w:p>
    <w:p w14:paraId="362D5278" w14:textId="77777777" w:rsidR="00DD2413" w:rsidRDefault="00DD2413" w:rsidP="00DD2413">
      <w:pPr>
        <w:pStyle w:val="Caption"/>
      </w:pPr>
      <w:r>
        <w:t>Source: (Falbo, 2017).</w:t>
      </w:r>
    </w:p>
    <w:p w14:paraId="03C19CD0" w14:textId="0CB0ADDD" w:rsidR="00DD2413" w:rsidRDefault="00DD2413" w:rsidP="00DD2413">
      <w:r>
        <w:t xml:space="preserve">To begin with, I engaged in active listening while Willium was expressing his ideas and objectives concerning the training as well as any difficulties he experienced. I guided him to finally point out </w:t>
      </w:r>
      <w:r>
        <w:lastRenderedPageBreak/>
        <w:t xml:space="preserve">his strengths as to technical ability which he expressed as having been involved in construction sites. Thus, we resorted to Force Field Analysis to proceed to the next level of inquiry. Here, </w:t>
      </w:r>
      <w:r w:rsidR="00173F66">
        <w:t>I</w:t>
      </w:r>
      <w:r>
        <w:t xml:space="preserve"> provided the list of the “drivers” to enhance the support of the person to become a manager. Others were his past and present experience, ongoing training, and of course genuine interest in leadership</w:t>
      </w:r>
      <w:r w:rsidRPr="000D0461">
        <w:t xml:space="preserve"> </w:t>
      </w:r>
      <w:r>
        <w:t xml:space="preserve">(MacLennan, 2017). Nevertheless, </w:t>
      </w:r>
      <w:r w:rsidR="00173F66">
        <w:t>I am</w:t>
      </w:r>
      <w:r>
        <w:t xml:space="preserve"> not afraid of the “restraining forces” either and included them in the analysis. These might include the lack of specific management experience, the possibility that he is comfortable in the current job position, and even supernatural fears regarding the supervisory role. Thus, through the visualization of these forces, it was easier to have a precise conversation. About the driving forces, it is possible to extend the experience by observing managers learn from them or take more responsibilities if it is within the capacity to advance to a higher rank. Likewise, the restraining forces and possible ways to cope with them were also outlined. Maybe increasing delegation skills or studying typical management issues can decrease his concern. </w:t>
      </w:r>
    </w:p>
    <w:p w14:paraId="35A99B86" w14:textId="65F77FF7" w:rsidR="00DD2413" w:rsidRDefault="00DD2413" w:rsidP="00DD2413">
      <w:r>
        <w:t>In summary, it can therefore be seen that the Force Field Analysis was helpful for our mentoring session. It proved to be a useful framework for breaking down the situation and coming up with recommendations towards Willium</w:t>
      </w:r>
      <w:r w:rsidR="001B4570">
        <w:t>'s</w:t>
      </w:r>
      <w:r>
        <w:t xml:space="preserve"> objective. Thinking about the session, I think, the most effective things I used were active listening and questioning. </w:t>
      </w:r>
      <w:r w:rsidR="001B4570">
        <w:t>I</w:t>
      </w:r>
      <w:r>
        <w:t xml:space="preserve"> assisted Willium in expressing </w:t>
      </w:r>
      <w:r w:rsidR="001B4570">
        <w:t>his</w:t>
      </w:r>
      <w:r>
        <w:t xml:space="preserve"> ideas and complaints coherently</w:t>
      </w:r>
      <w:r w:rsidRPr="000D0461">
        <w:t xml:space="preserve"> </w:t>
      </w:r>
      <w:r>
        <w:t>(Mouton &amp; Wildschut, 2015). To reduce digressing and to cleanse, major points which have been made in the course of the conversation were summarized to consolidate them. Because I have been a mentee in the past, I consider how it feels to receive feedback from other people therefore my focus will be to provide constructive feedback in an encouraging setting. As a result of identifying quite tangible areas of improvement and providing my recommendations, I helped Willi</w:t>
      </w:r>
      <w:r w:rsidR="001B4570">
        <w:t>a</w:t>
      </w:r>
      <w:r>
        <w:t xml:space="preserve">m enhance his overall management career goal. Overall, this made me appreciate the concept of peer mentoring as well as Force Field Analysis particularly when it comes to policies and changes in one’s career path. I believe that this session will help Willium obtain important information when he moves up the ranks toward a managerial position. </w:t>
      </w:r>
    </w:p>
    <w:p w14:paraId="53574E52" w14:textId="77777777" w:rsidR="00173F66" w:rsidRDefault="00173F66">
      <w:r>
        <w:br w:type="page"/>
      </w:r>
    </w:p>
    <w:p w14:paraId="00000053" w14:textId="77777777" w:rsidR="00D63698" w:rsidRDefault="00000000">
      <w:pPr>
        <w:pStyle w:val="Heading1"/>
      </w:pPr>
      <w:bookmarkStart w:id="7" w:name="_Toc171072649"/>
      <w:r>
        <w:lastRenderedPageBreak/>
        <w:t>Conclusion</w:t>
      </w:r>
      <w:bookmarkEnd w:id="7"/>
      <w:r>
        <w:t xml:space="preserve"> </w:t>
      </w:r>
    </w:p>
    <w:p w14:paraId="00000054" w14:textId="77777777" w:rsidR="00D63698" w:rsidRDefault="00000000">
      <w:r>
        <w:t>This written proposal has closely looked at the development of coaching and mentoring tools within the workplace and their main use, as well as the various models available, supported by real-life experiences. Another method, the GROW model of coaching which implies strict stages like Goal, Reality, Options, and Will, can be effective in setting clear goals, but it would be precise to state that it is rather rigid in terms of time management and may need flexible amendments. In the context of the study, the feedback sandwich method in the mentoring process contributed to the creation of a POSITIVE behavioural environment in giving feedback, and ensuring that constructive critique is balanced by appreciation (</w:t>
      </w:r>
      <w:proofErr w:type="spellStart"/>
      <w:r>
        <w:t>Parsloe</w:t>
      </w:r>
      <w:proofErr w:type="spellEnd"/>
      <w:r>
        <w:t xml:space="preserve"> &amp; Leedham, 2022). The GROW model discussed by Whitmore and Kram’s frameworks depicts the differences in the roles of these strategies in organizational learning. While coaching is concerned with change in the shortest time possible, mentoring aims at developing the individual and his or her career in the long run. I have learned that to be effective in mentoring and coaching, adequate preparation should be done, and the listener should pay attention well and give detailed feedback where necessary. In future practice, these findings will be applied by focusing on the coordinated objective setting, and non-linear feedback combined with active appreciation of the </w:t>
      </w:r>
      <w:proofErr w:type="spellStart"/>
      <w:r>
        <w:t>coachee’s</w:t>
      </w:r>
      <w:proofErr w:type="spellEnd"/>
      <w:r>
        <w:t xml:space="preserve"> or mentee’s needs and preferences. Incorporation of these reflections into the work settings will improve how developmental interactions are conducted hence promoting supportive and continuous growth.</w:t>
      </w:r>
    </w:p>
    <w:p w14:paraId="00000055" w14:textId="77777777" w:rsidR="00D63698" w:rsidRDefault="00000000">
      <w:pPr>
        <w:spacing w:after="200" w:line="276" w:lineRule="auto"/>
        <w:jc w:val="left"/>
      </w:pPr>
      <w:r>
        <w:br w:type="page"/>
      </w:r>
    </w:p>
    <w:p w14:paraId="00000056" w14:textId="77777777" w:rsidR="00D63698" w:rsidRDefault="00000000">
      <w:pPr>
        <w:pStyle w:val="Heading1"/>
      </w:pPr>
      <w:bookmarkStart w:id="8" w:name="_Toc171072650"/>
      <w:r>
        <w:lastRenderedPageBreak/>
        <w:t>References</w:t>
      </w:r>
      <w:bookmarkEnd w:id="8"/>
    </w:p>
    <w:p w14:paraId="32743E40" w14:textId="77777777" w:rsidR="006E41B3" w:rsidRDefault="006E41B3">
      <w:pPr>
        <w:spacing w:line="276" w:lineRule="auto"/>
      </w:pPr>
      <w:r>
        <w:t xml:space="preserve">Allen, T.D., Eby, L.T., Poteet, M.L., Lentz, E. and Lima, L. (2004) </w:t>
      </w:r>
      <w:r>
        <w:rPr>
          <w:i/>
        </w:rPr>
        <w:t>‘Career benefits associated with mentoring for protégés: a meta-analysis’,</w:t>
      </w:r>
      <w:r>
        <w:t xml:space="preserve"> Journal of Applied Psychology, 89(1), pp. 127-136.</w:t>
      </w:r>
    </w:p>
    <w:p w14:paraId="3084F105"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Coachingcultureatwork.com (2023) </w:t>
      </w:r>
      <w:r>
        <w:rPr>
          <w:i/>
          <w:color w:val="000000"/>
        </w:rPr>
        <w:t>The grow model</w:t>
      </w:r>
      <w:r>
        <w:rPr>
          <w:color w:val="000000"/>
        </w:rPr>
        <w:t xml:space="preserve">, </w:t>
      </w:r>
      <w:r>
        <w:rPr>
          <w:i/>
          <w:color w:val="000000"/>
        </w:rPr>
        <w:t>Culture at Work</w:t>
      </w:r>
      <w:r>
        <w:rPr>
          <w:color w:val="000000"/>
        </w:rPr>
        <w:t xml:space="preserve">. Available at: https://www.coachingcultureatwork.com/the-grow-model (Accessed: 26 June 2024). </w:t>
      </w:r>
    </w:p>
    <w:p w14:paraId="771F2980" w14:textId="52AA2FC5" w:rsidR="006E41B3" w:rsidRDefault="001B4570">
      <w:pPr>
        <w:pBdr>
          <w:top w:val="nil"/>
          <w:left w:val="nil"/>
          <w:bottom w:val="nil"/>
          <w:right w:val="nil"/>
          <w:between w:val="nil"/>
        </w:pBdr>
        <w:spacing w:before="280" w:after="280" w:line="276" w:lineRule="auto"/>
        <w:rPr>
          <w:color w:val="000000"/>
        </w:rPr>
      </w:pPr>
      <w:r>
        <w:rPr>
          <w:color w:val="000000"/>
        </w:rPr>
        <w:t>E</w:t>
      </w:r>
      <w:r w:rsidR="006E41B3">
        <w:rPr>
          <w:color w:val="000000"/>
        </w:rPr>
        <w:t xml:space="preserve">d.ac.uk (2023) </w:t>
      </w:r>
      <w:r w:rsidR="006E41B3">
        <w:rPr>
          <w:i/>
          <w:color w:val="000000"/>
        </w:rPr>
        <w:t>Gibbs’ reflective cycle</w:t>
      </w:r>
      <w:r w:rsidR="006E41B3">
        <w:rPr>
          <w:color w:val="000000"/>
        </w:rPr>
        <w:t xml:space="preserve">, </w:t>
      </w:r>
      <w:r w:rsidR="006E41B3">
        <w:rPr>
          <w:i/>
          <w:color w:val="000000"/>
        </w:rPr>
        <w:t>The University of Edinburgh</w:t>
      </w:r>
      <w:r w:rsidR="006E41B3">
        <w:rPr>
          <w:color w:val="000000"/>
        </w:rPr>
        <w:t xml:space="preserve">. Available at: https://www.ed.ac.uk/reflection/reflectors-toolkit/reflecting-on-experience/gibbs-reflective-cycle (Accessed: 26 June 2024). </w:t>
      </w:r>
    </w:p>
    <w:p w14:paraId="018807CB" w14:textId="77777777" w:rsidR="006E41B3" w:rsidRDefault="006E41B3" w:rsidP="006E41B3">
      <w:pPr>
        <w:pStyle w:val="NormalWeb"/>
        <w:spacing w:line="360" w:lineRule="auto"/>
        <w:jc w:val="both"/>
      </w:pPr>
      <w:r>
        <w:t xml:space="preserve">Falbo, E. (2017) ‘Force Field Analysis’, </w:t>
      </w:r>
      <w:r>
        <w:rPr>
          <w:i/>
          <w:iCs/>
        </w:rPr>
        <w:t>Techniques and Sample Outputs that Drive Business Excellence</w:t>
      </w:r>
      <w:r>
        <w:t xml:space="preserve">, pp. 134–139. doi:10.1201/b18008-25. </w:t>
      </w:r>
    </w:p>
    <w:p w14:paraId="5A9FA6A0"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Forde, C. and O’Brien, J. (2011) </w:t>
      </w:r>
      <w:r>
        <w:rPr>
          <w:i/>
          <w:color w:val="000000"/>
        </w:rPr>
        <w:t>Coaching and mentoring: Developing teachers and leaders</w:t>
      </w:r>
      <w:r>
        <w:rPr>
          <w:color w:val="000000"/>
        </w:rPr>
        <w:t xml:space="preserve">. Edinburgh: Dunedin Academic Press Ltd. </w:t>
      </w:r>
    </w:p>
    <w:p w14:paraId="39C82497"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Garvey, B. (2018) ‘Mentoring and coaching’, </w:t>
      </w:r>
      <w:r>
        <w:rPr>
          <w:i/>
          <w:color w:val="000000"/>
        </w:rPr>
        <w:t>The Handbook of Communication Skills</w:t>
      </w:r>
      <w:r>
        <w:rPr>
          <w:color w:val="000000"/>
        </w:rPr>
        <w:t xml:space="preserve">, pp. 423–450. doi:10.4324/9781315436135-15. </w:t>
      </w:r>
    </w:p>
    <w:p w14:paraId="4E307957" w14:textId="77777777" w:rsidR="006E41B3" w:rsidRDefault="006E41B3">
      <w:pPr>
        <w:spacing w:line="276" w:lineRule="auto"/>
      </w:pPr>
      <w:r>
        <w:t xml:space="preserve">Gibbs, G. (1988) </w:t>
      </w:r>
      <w:r>
        <w:rPr>
          <w:i/>
        </w:rPr>
        <w:t>Learning by Doing: A Guide to Teaching and Learning Methods.</w:t>
      </w:r>
      <w:r>
        <w:t xml:space="preserve"> Oxford: Further Education Unit, Oxford Polytechnic.</w:t>
      </w:r>
    </w:p>
    <w:p w14:paraId="34ABD932" w14:textId="77777777" w:rsidR="006E41B3" w:rsidRDefault="006E41B3">
      <w:pPr>
        <w:spacing w:line="276" w:lineRule="auto"/>
      </w:pPr>
      <w:r>
        <w:t xml:space="preserve">Grant, A.M. (2017) </w:t>
      </w:r>
      <w:r>
        <w:rPr>
          <w:i/>
        </w:rPr>
        <w:t>‘The Third “Generation” of Workplace Coaching: Creating a Culture of Quality Conversations’,</w:t>
      </w:r>
      <w:r>
        <w:t xml:space="preserve"> Coaching: An International Journal of Theory, Research and Practice, 10(1), pp. 37-53.</w:t>
      </w:r>
    </w:p>
    <w:p w14:paraId="3FB81DCB" w14:textId="77777777" w:rsidR="006E41B3" w:rsidRDefault="006E41B3">
      <w:pPr>
        <w:spacing w:line="276" w:lineRule="auto"/>
      </w:pPr>
      <w:r>
        <w:t xml:space="preserve">Grant, A.M. and Cavanagh, M.J. (2010) </w:t>
      </w:r>
      <w:r>
        <w:rPr>
          <w:i/>
        </w:rPr>
        <w:t>‘Designing Positive Psychology Interventions to Promote Student Engagement and Retention’,</w:t>
      </w:r>
      <w:r>
        <w:t xml:space="preserve"> in Linley, P.A., Harrington, S. and Garcea, N. (eds.) Oxford Handbook of Positive Psychology and Work. Oxford: Oxford University Press, pp. 191-204.</w:t>
      </w:r>
    </w:p>
    <w:p w14:paraId="155BCB4B" w14:textId="77777777" w:rsidR="006E41B3" w:rsidRDefault="006E41B3">
      <w:pPr>
        <w:pBdr>
          <w:top w:val="nil"/>
          <w:left w:val="nil"/>
          <w:bottom w:val="nil"/>
          <w:right w:val="nil"/>
          <w:between w:val="nil"/>
        </w:pBdr>
        <w:spacing w:before="280" w:after="280" w:line="276" w:lineRule="auto"/>
        <w:rPr>
          <w:color w:val="000000"/>
        </w:rPr>
      </w:pPr>
      <w:proofErr w:type="spellStart"/>
      <w:r>
        <w:rPr>
          <w:color w:val="000000"/>
        </w:rPr>
        <w:t>Hoidn</w:t>
      </w:r>
      <w:proofErr w:type="spellEnd"/>
      <w:r>
        <w:rPr>
          <w:color w:val="000000"/>
        </w:rPr>
        <w:t xml:space="preserve">, S. and Ritter, B. (2021) ‘The grow model of coaching and mentoring’, </w:t>
      </w:r>
      <w:r>
        <w:rPr>
          <w:i/>
          <w:color w:val="000000"/>
        </w:rPr>
        <w:t>Coaching and Mentoring</w:t>
      </w:r>
      <w:r>
        <w:rPr>
          <w:color w:val="000000"/>
        </w:rPr>
        <w:t xml:space="preserve"> [Preprint]. doi:10.4135/9781071860533. </w:t>
      </w:r>
    </w:p>
    <w:p w14:paraId="7D92A7DA"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Hymans, M. (2019) ‘Key principles, skills and steps of effective coaching and mentoring and best practices’, </w:t>
      </w:r>
      <w:r>
        <w:rPr>
          <w:i/>
          <w:color w:val="000000"/>
        </w:rPr>
        <w:t>Coaching and Mentoring Staff in Schools: A Practical Guide</w:t>
      </w:r>
      <w:r>
        <w:rPr>
          <w:color w:val="000000"/>
        </w:rPr>
        <w:t xml:space="preserve">, pp. 67–81. doi:10.4324/9781315168562-7. </w:t>
      </w:r>
    </w:p>
    <w:p w14:paraId="7E3E4B74" w14:textId="77777777" w:rsidR="006E41B3" w:rsidRDefault="006E41B3">
      <w:pPr>
        <w:spacing w:line="276" w:lineRule="auto"/>
      </w:pPr>
      <w:r>
        <w:t xml:space="preserve">Kram, K.E. (1985) Mentoring at Work: </w:t>
      </w:r>
      <w:r>
        <w:rPr>
          <w:i/>
        </w:rPr>
        <w:t>Developmental Relationships in Organizational Life.</w:t>
      </w:r>
      <w:r>
        <w:t xml:space="preserve"> Glenview, IL: Scott Foresman.</w:t>
      </w:r>
    </w:p>
    <w:p w14:paraId="36E1ABAF" w14:textId="77777777" w:rsidR="006E41B3" w:rsidRDefault="006E41B3" w:rsidP="006E41B3">
      <w:pPr>
        <w:pStyle w:val="NormalWeb"/>
        <w:spacing w:line="360" w:lineRule="auto"/>
        <w:ind w:left="567" w:hanging="567"/>
        <w:jc w:val="both"/>
      </w:pPr>
      <w:r>
        <w:lastRenderedPageBreak/>
        <w:t xml:space="preserve">MacLennan, N. (2017) </w:t>
      </w:r>
      <w:r>
        <w:rPr>
          <w:i/>
          <w:iCs/>
        </w:rPr>
        <w:t>Coaching and mentoring</w:t>
      </w:r>
      <w:r>
        <w:t xml:space="preserve">. London: Routledge. </w:t>
      </w:r>
    </w:p>
    <w:p w14:paraId="0A842CDF" w14:textId="77777777" w:rsidR="006E41B3" w:rsidRDefault="006E41B3" w:rsidP="006E41B3">
      <w:pPr>
        <w:spacing w:line="259" w:lineRule="auto"/>
        <w:jc w:val="left"/>
      </w:pPr>
      <w:r>
        <w:t xml:space="preserve">Mouton, J. and Wildschut, L. (2015) </w:t>
      </w:r>
      <w:r>
        <w:rPr>
          <w:i/>
          <w:iCs/>
        </w:rPr>
        <w:t>Leadership and management</w:t>
      </w:r>
      <w:r>
        <w:t>. African Minds.</w:t>
      </w:r>
    </w:p>
    <w:p w14:paraId="0BBA27C1"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Naudé, J. (2016) ‘Coaching and mentoring’, </w:t>
      </w:r>
      <w:r>
        <w:rPr>
          <w:i/>
          <w:color w:val="000000"/>
        </w:rPr>
        <w:t>Management and Leadership Skills for Medical Faculty</w:t>
      </w:r>
      <w:r>
        <w:rPr>
          <w:color w:val="000000"/>
        </w:rPr>
        <w:t xml:space="preserve">, pp. 151–162. doi:10.1007/978-3-319-27781-3_15. </w:t>
      </w:r>
    </w:p>
    <w:p w14:paraId="7F93C830"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O’Doherty, A. (2022) ‘Mentoring and coaching: Educational leadership development’, </w:t>
      </w:r>
      <w:r>
        <w:rPr>
          <w:i/>
          <w:color w:val="000000"/>
        </w:rPr>
        <w:t>Mentoring and Coaching: Educational Leadership Development</w:t>
      </w:r>
      <w:r>
        <w:rPr>
          <w:color w:val="000000"/>
        </w:rPr>
        <w:t xml:space="preserve"> [Preprint]. doi:10.4324/9781138609877-ree66-1. </w:t>
      </w:r>
    </w:p>
    <w:p w14:paraId="6373D8AA" w14:textId="77777777" w:rsidR="006E41B3" w:rsidRDefault="006E41B3">
      <w:pPr>
        <w:pBdr>
          <w:top w:val="nil"/>
          <w:left w:val="nil"/>
          <w:bottom w:val="nil"/>
          <w:right w:val="nil"/>
          <w:between w:val="nil"/>
        </w:pBdr>
        <w:spacing w:before="280" w:after="280" w:line="276" w:lineRule="auto"/>
        <w:rPr>
          <w:color w:val="000000"/>
        </w:rPr>
      </w:pPr>
      <w:proofErr w:type="spellStart"/>
      <w:r>
        <w:rPr>
          <w:color w:val="000000"/>
        </w:rPr>
        <w:t>Parsloe</w:t>
      </w:r>
      <w:proofErr w:type="spellEnd"/>
      <w:r>
        <w:rPr>
          <w:color w:val="000000"/>
        </w:rPr>
        <w:t xml:space="preserve">, E. and Leedham, M. (2022) </w:t>
      </w:r>
      <w:r>
        <w:rPr>
          <w:i/>
          <w:color w:val="000000"/>
        </w:rPr>
        <w:t>Coaching and mentoring: Practical techniques for developing learning and performance</w:t>
      </w:r>
      <w:r>
        <w:rPr>
          <w:color w:val="000000"/>
        </w:rPr>
        <w:t xml:space="preserve">. New York, NY: Kogan Page Limited. </w:t>
      </w:r>
    </w:p>
    <w:p w14:paraId="6E4BDC14"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Potter, C. (2015) ‘Leadership development: An applied comparison of Gibbs’ reflective cycle and Scharmer’s theory U’, </w:t>
      </w:r>
      <w:r>
        <w:rPr>
          <w:i/>
          <w:color w:val="000000"/>
        </w:rPr>
        <w:t>Industrial and Commercial Training</w:t>
      </w:r>
      <w:r>
        <w:rPr>
          <w:color w:val="000000"/>
        </w:rPr>
        <w:t xml:space="preserve">, 47(6), pp. 336–342. doi:10.1108/ict-03-2015-0024. </w:t>
      </w:r>
    </w:p>
    <w:p w14:paraId="6F46E1CD" w14:textId="77777777" w:rsidR="006E41B3" w:rsidRDefault="006E41B3">
      <w:pPr>
        <w:spacing w:line="276" w:lineRule="auto"/>
      </w:pPr>
      <w:r>
        <w:t>Ragins, B.R. and Kram, K.E. (2007) The Handbook of Mentoring at Work: Theory, Research, and Practice. Thousand Oaks, CA: SAGE Publications.</w:t>
      </w:r>
    </w:p>
    <w:p w14:paraId="0D515D1A"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Turner, T., Lucas, M. and Whitaker, C. (2018) ‘Understanding reflective practice’, </w:t>
      </w:r>
      <w:r>
        <w:rPr>
          <w:i/>
          <w:color w:val="000000"/>
        </w:rPr>
        <w:t>Peer Supervision in Coaching and Mentoring</w:t>
      </w:r>
      <w:r>
        <w:rPr>
          <w:color w:val="000000"/>
        </w:rPr>
        <w:t xml:space="preserve">, pp. 25–46. doi:10.4324/9781315162454-3. </w:t>
      </w:r>
    </w:p>
    <w:p w14:paraId="056D6A04" w14:textId="77777777" w:rsidR="006E41B3" w:rsidRDefault="006E41B3">
      <w:pPr>
        <w:spacing w:line="276" w:lineRule="auto"/>
      </w:pPr>
      <w:r>
        <w:t xml:space="preserve">Whitmore, J. (2009) Coaching for Performance: </w:t>
      </w:r>
      <w:proofErr w:type="spellStart"/>
      <w:r>
        <w:t>GROWing</w:t>
      </w:r>
      <w:proofErr w:type="spellEnd"/>
      <w:r>
        <w:t xml:space="preserve"> Human Potential and Purpose - </w:t>
      </w:r>
      <w:r>
        <w:rPr>
          <w:i/>
        </w:rPr>
        <w:t xml:space="preserve">The Principles and Practice of Coaching and Leadership. </w:t>
      </w:r>
      <w:r>
        <w:t>4th ed. London: Nicholas Brealey Publishing.</w:t>
      </w:r>
    </w:p>
    <w:p w14:paraId="5188DE70"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Williams, K., </w:t>
      </w:r>
      <w:proofErr w:type="spellStart"/>
      <w:r>
        <w:rPr>
          <w:color w:val="000000"/>
        </w:rPr>
        <w:t>Woolliams</w:t>
      </w:r>
      <w:proofErr w:type="spellEnd"/>
      <w:r>
        <w:rPr>
          <w:color w:val="000000"/>
        </w:rPr>
        <w:t xml:space="preserve">, M. and Spiro, J. (2014) ‘Using a framework for Reflection: Gibbs’ reflective cycle’, </w:t>
      </w:r>
      <w:r>
        <w:rPr>
          <w:i/>
          <w:color w:val="000000"/>
        </w:rPr>
        <w:t>Reflective Writing</w:t>
      </w:r>
      <w:r>
        <w:rPr>
          <w:color w:val="000000"/>
        </w:rPr>
        <w:t xml:space="preserve">, pp. 90–102. doi:10.1007/978-0-230-37724-0_16. </w:t>
      </w:r>
    </w:p>
    <w:p w14:paraId="0ACA575E" w14:textId="77777777" w:rsidR="006E41B3" w:rsidRDefault="006E41B3">
      <w:pPr>
        <w:pBdr>
          <w:top w:val="nil"/>
          <w:left w:val="nil"/>
          <w:bottom w:val="nil"/>
          <w:right w:val="nil"/>
          <w:between w:val="nil"/>
        </w:pBdr>
        <w:spacing w:before="280" w:after="280" w:line="276" w:lineRule="auto"/>
        <w:rPr>
          <w:color w:val="000000"/>
        </w:rPr>
      </w:pPr>
      <w:r>
        <w:rPr>
          <w:color w:val="000000"/>
        </w:rPr>
        <w:t xml:space="preserve">Yates, J. (2022) ‘The grow model’, </w:t>
      </w:r>
      <w:r>
        <w:rPr>
          <w:i/>
          <w:color w:val="000000"/>
        </w:rPr>
        <w:t>The Career Coaching Handbook</w:t>
      </w:r>
      <w:r>
        <w:rPr>
          <w:color w:val="000000"/>
        </w:rPr>
        <w:t xml:space="preserve">, pp. 118–127. doi:10.4324/9781003104827-12. </w:t>
      </w:r>
    </w:p>
    <w:sectPr w:rsidR="006E41B3">
      <w:footerReference w:type="default" r:id="rId1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9595B9" w14:textId="77777777" w:rsidR="00C11481" w:rsidRDefault="00C11481">
      <w:pPr>
        <w:spacing w:after="0" w:line="240" w:lineRule="auto"/>
      </w:pPr>
      <w:r>
        <w:separator/>
      </w:r>
    </w:p>
  </w:endnote>
  <w:endnote w:type="continuationSeparator" w:id="0">
    <w:p w14:paraId="5DEEDA9A" w14:textId="77777777" w:rsidR="00C11481" w:rsidRDefault="00C11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6C" w14:textId="7BD85438" w:rsidR="00D63698"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B45DA">
      <w:rPr>
        <w:noProof/>
        <w:color w:val="000000"/>
      </w:rPr>
      <w:t>1</w:t>
    </w:r>
    <w:r>
      <w:rPr>
        <w:color w:val="000000"/>
      </w:rPr>
      <w:fldChar w:fldCharType="end"/>
    </w:r>
  </w:p>
  <w:p w14:paraId="0000006D" w14:textId="77777777" w:rsidR="00D63698" w:rsidRDefault="00D6369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BFDAEE" w14:textId="77777777" w:rsidR="00C11481" w:rsidRDefault="00C11481">
      <w:pPr>
        <w:spacing w:after="0" w:line="240" w:lineRule="auto"/>
      </w:pPr>
      <w:r>
        <w:separator/>
      </w:r>
    </w:p>
  </w:footnote>
  <w:footnote w:type="continuationSeparator" w:id="0">
    <w:p w14:paraId="1AD2E367" w14:textId="77777777" w:rsidR="00C11481" w:rsidRDefault="00C114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CD7442"/>
    <w:multiLevelType w:val="hybridMultilevel"/>
    <w:tmpl w:val="776E57DE"/>
    <w:lvl w:ilvl="0" w:tplc="0409000B">
      <w:start w:val="1"/>
      <w:numFmt w:val="bullet"/>
      <w:lvlText w:val=""/>
      <w:lvlJc w:val="left"/>
      <w:pPr>
        <w:ind w:left="420" w:hanging="360"/>
      </w:pPr>
      <w:rPr>
        <w:rFonts w:ascii="Wingdings" w:hAnsi="Wingdings" w:hint="default"/>
      </w:rPr>
    </w:lvl>
    <w:lvl w:ilvl="1" w:tplc="FFFFFFFF" w:tentative="1">
      <w:start w:val="1"/>
      <w:numFmt w:val="bullet"/>
      <w:lvlText w:val="o"/>
      <w:lvlJc w:val="left"/>
      <w:pPr>
        <w:ind w:left="1140" w:hanging="360"/>
      </w:pPr>
      <w:rPr>
        <w:rFonts w:ascii="Courier New" w:hAnsi="Courier New" w:cs="Courier New" w:hint="default"/>
      </w:rPr>
    </w:lvl>
    <w:lvl w:ilvl="2" w:tplc="FFFFFFFF" w:tentative="1">
      <w:start w:val="1"/>
      <w:numFmt w:val="bullet"/>
      <w:lvlText w:val=""/>
      <w:lvlJc w:val="left"/>
      <w:pPr>
        <w:ind w:left="1860" w:hanging="360"/>
      </w:pPr>
      <w:rPr>
        <w:rFonts w:ascii="Wingdings" w:hAnsi="Wingdings" w:hint="default"/>
      </w:rPr>
    </w:lvl>
    <w:lvl w:ilvl="3" w:tplc="FFFFFFFF" w:tentative="1">
      <w:start w:val="1"/>
      <w:numFmt w:val="bullet"/>
      <w:lvlText w:val=""/>
      <w:lvlJc w:val="left"/>
      <w:pPr>
        <w:ind w:left="2580" w:hanging="360"/>
      </w:pPr>
      <w:rPr>
        <w:rFonts w:ascii="Symbol" w:hAnsi="Symbol" w:hint="default"/>
      </w:rPr>
    </w:lvl>
    <w:lvl w:ilvl="4" w:tplc="FFFFFFFF" w:tentative="1">
      <w:start w:val="1"/>
      <w:numFmt w:val="bullet"/>
      <w:lvlText w:val="o"/>
      <w:lvlJc w:val="left"/>
      <w:pPr>
        <w:ind w:left="3300" w:hanging="360"/>
      </w:pPr>
      <w:rPr>
        <w:rFonts w:ascii="Courier New" w:hAnsi="Courier New" w:cs="Courier New" w:hint="default"/>
      </w:rPr>
    </w:lvl>
    <w:lvl w:ilvl="5" w:tplc="FFFFFFFF" w:tentative="1">
      <w:start w:val="1"/>
      <w:numFmt w:val="bullet"/>
      <w:lvlText w:val=""/>
      <w:lvlJc w:val="left"/>
      <w:pPr>
        <w:ind w:left="4020" w:hanging="360"/>
      </w:pPr>
      <w:rPr>
        <w:rFonts w:ascii="Wingdings" w:hAnsi="Wingdings" w:hint="default"/>
      </w:rPr>
    </w:lvl>
    <w:lvl w:ilvl="6" w:tplc="FFFFFFFF" w:tentative="1">
      <w:start w:val="1"/>
      <w:numFmt w:val="bullet"/>
      <w:lvlText w:val=""/>
      <w:lvlJc w:val="left"/>
      <w:pPr>
        <w:ind w:left="4740" w:hanging="360"/>
      </w:pPr>
      <w:rPr>
        <w:rFonts w:ascii="Symbol" w:hAnsi="Symbol" w:hint="default"/>
      </w:rPr>
    </w:lvl>
    <w:lvl w:ilvl="7" w:tplc="FFFFFFFF" w:tentative="1">
      <w:start w:val="1"/>
      <w:numFmt w:val="bullet"/>
      <w:lvlText w:val="o"/>
      <w:lvlJc w:val="left"/>
      <w:pPr>
        <w:ind w:left="5460" w:hanging="360"/>
      </w:pPr>
      <w:rPr>
        <w:rFonts w:ascii="Courier New" w:hAnsi="Courier New" w:cs="Courier New" w:hint="default"/>
      </w:rPr>
    </w:lvl>
    <w:lvl w:ilvl="8" w:tplc="FFFFFFFF" w:tentative="1">
      <w:start w:val="1"/>
      <w:numFmt w:val="bullet"/>
      <w:lvlText w:val=""/>
      <w:lvlJc w:val="left"/>
      <w:pPr>
        <w:ind w:left="6180" w:hanging="360"/>
      </w:pPr>
      <w:rPr>
        <w:rFonts w:ascii="Wingdings" w:hAnsi="Wingdings" w:hint="default"/>
      </w:rPr>
    </w:lvl>
  </w:abstractNum>
  <w:abstractNum w:abstractNumId="1" w15:restartNumberingAfterBreak="0">
    <w:nsid w:val="35EA1E77"/>
    <w:multiLevelType w:val="hybridMultilevel"/>
    <w:tmpl w:val="C08C6F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516B11"/>
    <w:multiLevelType w:val="hybridMultilevel"/>
    <w:tmpl w:val="7258F8AA"/>
    <w:lvl w:ilvl="0" w:tplc="0409000B">
      <w:start w:val="1"/>
      <w:numFmt w:val="bullet"/>
      <w:lvlText w:val=""/>
      <w:lvlJc w:val="left"/>
      <w:pPr>
        <w:ind w:left="720" w:hanging="360"/>
      </w:pPr>
      <w:rPr>
        <w:rFonts w:ascii="Wingdings" w:hAnsi="Wingdings" w:hint="default"/>
      </w:rPr>
    </w:lvl>
    <w:lvl w:ilvl="1" w:tplc="5D6C6FAC">
      <w:numFmt w:val="bullet"/>
      <w:lvlText w:val="-"/>
      <w:lvlJc w:val="left"/>
      <w:pPr>
        <w:ind w:left="1440" w:hanging="360"/>
      </w:pPr>
      <w:rPr>
        <w:rFonts w:ascii="Times New Roman" w:eastAsia="Arial"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B53B9D"/>
    <w:multiLevelType w:val="hybridMultilevel"/>
    <w:tmpl w:val="614E80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6529908">
    <w:abstractNumId w:val="3"/>
  </w:num>
  <w:num w:numId="2" w16cid:durableId="1197885829">
    <w:abstractNumId w:val="0"/>
  </w:num>
  <w:num w:numId="3" w16cid:durableId="1263882247">
    <w:abstractNumId w:val="2"/>
  </w:num>
  <w:num w:numId="4" w16cid:durableId="1191527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Y0sTA0szQwNTM3NzVQ0lEKTi0uzszPAykwqQUAhoxLASwAAAA="/>
  </w:docVars>
  <w:rsids>
    <w:rsidRoot w:val="00D63698"/>
    <w:rsid w:val="000353F6"/>
    <w:rsid w:val="00036BCE"/>
    <w:rsid w:val="000A09BE"/>
    <w:rsid w:val="000C382A"/>
    <w:rsid w:val="000F1667"/>
    <w:rsid w:val="00173F66"/>
    <w:rsid w:val="001B4570"/>
    <w:rsid w:val="002C3331"/>
    <w:rsid w:val="003A15B4"/>
    <w:rsid w:val="004A37DB"/>
    <w:rsid w:val="004A575F"/>
    <w:rsid w:val="005C3824"/>
    <w:rsid w:val="00611BD0"/>
    <w:rsid w:val="006E41B3"/>
    <w:rsid w:val="007B45DA"/>
    <w:rsid w:val="007F6779"/>
    <w:rsid w:val="0084681D"/>
    <w:rsid w:val="009308EF"/>
    <w:rsid w:val="00931D36"/>
    <w:rsid w:val="00A975B4"/>
    <w:rsid w:val="00AA1FCF"/>
    <w:rsid w:val="00AB462F"/>
    <w:rsid w:val="00B1322C"/>
    <w:rsid w:val="00BF6032"/>
    <w:rsid w:val="00C11481"/>
    <w:rsid w:val="00C134DF"/>
    <w:rsid w:val="00C507C0"/>
    <w:rsid w:val="00C90D83"/>
    <w:rsid w:val="00D63698"/>
    <w:rsid w:val="00DD2413"/>
    <w:rsid w:val="00E16225"/>
    <w:rsid w:val="00E64765"/>
    <w:rsid w:val="00EE17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E64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BDB"/>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77BDB"/>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077BDB"/>
    <w:pPr>
      <w:keepNext/>
      <w:keepLines/>
      <w:spacing w:before="40" w:after="0"/>
      <w:outlineLvl w:val="2"/>
    </w:pPr>
    <w:rPr>
      <w:rFonts w:eastAsiaTheme="majorEastAsia" w:cstheme="majorBidi"/>
      <w:b/>
      <w:szCs w:val="3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77BDB"/>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semiHidden/>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175F11"/>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59"/>
    <w:rsid w:val="00372C0C"/>
    <w:pPr>
      <w:spacing w:after="0" w:line="240" w:lineRule="auto"/>
    </w:pPr>
    <w:rPr>
      <w:rFonts w:eastAsia="Arial"/>
      <w:kern w:val="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138E5"/>
    <w:pPr>
      <w:spacing w:before="100" w:beforeAutospacing="1" w:after="100" w:afterAutospacing="1" w:line="240" w:lineRule="auto"/>
      <w:jc w:val="left"/>
    </w:pPr>
    <w:rPr>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7B45DA"/>
    <w:pPr>
      <w:spacing w:after="100"/>
    </w:pPr>
  </w:style>
  <w:style w:type="character" w:styleId="Hyperlink">
    <w:name w:val="Hyperlink"/>
    <w:basedOn w:val="DefaultParagraphFont"/>
    <w:uiPriority w:val="99"/>
    <w:unhideWhenUsed/>
    <w:rsid w:val="007B45DA"/>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AB462F"/>
    <w:rPr>
      <w:b/>
      <w:bCs/>
    </w:rPr>
  </w:style>
  <w:style w:type="character" w:customStyle="1" w:styleId="CommentSubjectChar">
    <w:name w:val="Comment Subject Char"/>
    <w:basedOn w:val="CommentTextChar"/>
    <w:link w:val="CommentSubject"/>
    <w:uiPriority w:val="99"/>
    <w:semiHidden/>
    <w:rsid w:val="00AB462F"/>
    <w:rPr>
      <w:b/>
      <w:bCs/>
      <w:sz w:val="20"/>
      <w:szCs w:val="20"/>
    </w:rPr>
  </w:style>
  <w:style w:type="paragraph" w:styleId="ListParagraph">
    <w:name w:val="List Paragraph"/>
    <w:basedOn w:val="Normal"/>
    <w:uiPriority w:val="34"/>
    <w:qFormat/>
    <w:rsid w:val="00B1322C"/>
    <w:pPr>
      <w:spacing w:after="0"/>
      <w:ind w:left="720"/>
      <w:contextualSpacing/>
    </w:pPr>
    <w:rPr>
      <w:rFonts w:eastAsia="Arial" w:cs="Arial"/>
      <w:szCs w:val="22"/>
      <w:lang w:val="en-US"/>
    </w:rPr>
  </w:style>
  <w:style w:type="paragraph" w:styleId="TableofFigures">
    <w:name w:val="table of figures"/>
    <w:basedOn w:val="Normal"/>
    <w:next w:val="Normal"/>
    <w:uiPriority w:val="99"/>
    <w:unhideWhenUsed/>
    <w:rsid w:val="006E41B3"/>
    <w:pPr>
      <w:spacing w:after="0"/>
    </w:pPr>
  </w:style>
  <w:style w:type="paragraph" w:styleId="TOC2">
    <w:name w:val="toc 2"/>
    <w:basedOn w:val="Normal"/>
    <w:next w:val="Normal"/>
    <w:autoRedefine/>
    <w:uiPriority w:val="39"/>
    <w:unhideWhenUsed/>
    <w:rsid w:val="001B45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T5A7f+cpw+/mQXbhf4kqqaaQmg==">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</go:docsCustomData>
</go:gDocsCustomXmlDataStorage>
</file>

<file path=customXml/itemProps1.xml><?xml version="1.0" encoding="utf-8"?>
<ds:datastoreItem xmlns:ds="http://schemas.openxmlformats.org/officeDocument/2006/customXml" ds:itemID="{8172EF12-EFC2-47DB-90DC-65FE247763B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3109</Words>
  <Characters>17722</Characters>
  <Application>Microsoft Office Word</Application>
  <DocSecurity>0</DocSecurity>
  <Lines>147</Lines>
  <Paragraphs>41</Paragraphs>
  <ScaleCrop>false</ScaleCrop>
  <Company/>
  <LinksUpToDate>false</LinksUpToDate>
  <CharactersWithSpaces>20790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2024-06-29T11:58:00Z</dcterms:created>
  <dcterms:modified xsi:type="dcterms:W3CDTF">2024-07-05T05:50:00Z</dcterms:modified>
</cp:coreProperties>
</file>