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FE3F7" w14:textId="77777777" w:rsidR="00C423D8" w:rsidRPr="00067A48" w:rsidRDefault="00C423D8" w:rsidP="00953776">
      <w:pPr>
        <w:spacing w:before="120" w:after="120" w:line="360" w:lineRule="auto"/>
        <w:jc w:val="center"/>
        <w:rPr>
          <w:rFonts w:ascii="Arial" w:eastAsia="Arial" w:hAnsi="Arial" w:cs="Arial"/>
          <w:kern w:val="0"/>
          <w:sz w:val="24"/>
          <w:szCs w:val="24"/>
          <w:lang w:val="en-GB"/>
          <w14:ligatures w14:val="none"/>
        </w:rPr>
      </w:pPr>
      <w:r w:rsidRPr="00067A48">
        <w:rPr>
          <w:rFonts w:ascii="Arial" w:eastAsia="Arial" w:hAnsi="Arial" w:cs="Arial"/>
          <w:noProof/>
          <w:kern w:val="0"/>
          <w:sz w:val="24"/>
          <w:szCs w:val="24"/>
          <w:lang w:val="en-GB"/>
          <w14:ligatures w14:val="none"/>
        </w:rPr>
        <w:drawing>
          <wp:inline distT="0" distB="0" distL="0" distR="0" wp14:anchorId="7518C305" wp14:editId="657DE747">
            <wp:extent cx="2276475" cy="845774"/>
            <wp:effectExtent l="0" t="0" r="0" b="0"/>
            <wp:docPr id="213903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3963" name=""/>
                    <pic:cNvPicPr/>
                  </pic:nvPicPr>
                  <pic:blipFill>
                    <a:blip r:embed="rId7"/>
                    <a:stretch>
                      <a:fillRect/>
                    </a:stretch>
                  </pic:blipFill>
                  <pic:spPr>
                    <a:xfrm>
                      <a:off x="0" y="0"/>
                      <a:ext cx="2291825" cy="851477"/>
                    </a:xfrm>
                    <a:prstGeom prst="rect">
                      <a:avLst/>
                    </a:prstGeom>
                  </pic:spPr>
                </pic:pic>
              </a:graphicData>
            </a:graphic>
          </wp:inline>
        </w:drawing>
      </w:r>
    </w:p>
    <w:p w14:paraId="4E70BF83" w14:textId="6FA10805" w:rsidR="001D564A" w:rsidRDefault="001D564A" w:rsidP="001D564A">
      <w:pPr>
        <w:spacing w:before="120" w:after="120" w:line="360" w:lineRule="auto"/>
        <w:jc w:val="center"/>
        <w:rPr>
          <w:rFonts w:ascii="Arial" w:eastAsia="Arial" w:hAnsi="Arial" w:cs="Arial"/>
          <w:b/>
          <w:bCs/>
          <w:kern w:val="0"/>
          <w:sz w:val="32"/>
          <w:szCs w:val="32"/>
          <w:lang w:val="en-GB"/>
          <w14:ligatures w14:val="none"/>
        </w:rPr>
      </w:pPr>
      <w:r w:rsidRPr="001D564A">
        <w:rPr>
          <w:rFonts w:ascii="Arial" w:eastAsia="Arial" w:hAnsi="Arial" w:cs="Arial"/>
          <w:b/>
          <w:bCs/>
          <w:kern w:val="0"/>
          <w:sz w:val="32"/>
          <w:szCs w:val="32"/>
          <w:lang w:val="en-GB"/>
          <w14:ligatures w14:val="none"/>
        </w:rPr>
        <w:t>Programme: Master of Business Administration</w:t>
      </w:r>
    </w:p>
    <w:p w14:paraId="73C9DE8F" w14:textId="77777777" w:rsidR="001D564A" w:rsidRPr="001D564A" w:rsidRDefault="001D564A" w:rsidP="00953776">
      <w:pPr>
        <w:spacing w:before="120" w:after="120" w:line="360" w:lineRule="auto"/>
        <w:jc w:val="center"/>
        <w:rPr>
          <w:rFonts w:ascii="Arial" w:eastAsia="Arial" w:hAnsi="Arial" w:cs="Arial"/>
          <w:b/>
          <w:bCs/>
          <w:kern w:val="0"/>
          <w:sz w:val="28"/>
          <w:szCs w:val="28"/>
          <w:lang w:val="en-GB"/>
          <w14:ligatures w14:val="none"/>
        </w:rPr>
      </w:pPr>
      <w:r w:rsidRPr="001D564A">
        <w:rPr>
          <w:rFonts w:ascii="Arial" w:eastAsia="Arial" w:hAnsi="Arial" w:cs="Arial"/>
          <w:b/>
          <w:bCs/>
          <w:kern w:val="0"/>
          <w:sz w:val="28"/>
          <w:szCs w:val="28"/>
          <w:lang w:val="en-GB"/>
          <w14:ligatures w14:val="none"/>
        </w:rPr>
        <w:t xml:space="preserve">Module: Human Capital Management </w:t>
      </w:r>
    </w:p>
    <w:p w14:paraId="36F68F90" w14:textId="2BEE65F3" w:rsidR="001D564A" w:rsidRPr="001D564A" w:rsidRDefault="001D564A" w:rsidP="00953776">
      <w:pPr>
        <w:spacing w:before="120" w:after="120" w:line="360" w:lineRule="auto"/>
        <w:jc w:val="center"/>
        <w:rPr>
          <w:rFonts w:ascii="Arial" w:eastAsia="Arial" w:hAnsi="Arial" w:cs="Arial"/>
          <w:b/>
          <w:bCs/>
          <w:kern w:val="0"/>
          <w:sz w:val="28"/>
          <w:szCs w:val="28"/>
          <w:lang w:val="en-GB"/>
          <w14:ligatures w14:val="none"/>
        </w:rPr>
      </w:pPr>
      <w:r w:rsidRPr="001D564A">
        <w:rPr>
          <w:rFonts w:ascii="Arial" w:eastAsia="Arial" w:hAnsi="Arial" w:cs="Arial"/>
          <w:b/>
          <w:bCs/>
          <w:kern w:val="0"/>
          <w:sz w:val="28"/>
          <w:szCs w:val="28"/>
          <w:lang w:val="en-GB"/>
          <w14:ligatures w14:val="none"/>
        </w:rPr>
        <w:t xml:space="preserve">Module code: LCMB7023 </w:t>
      </w:r>
    </w:p>
    <w:p w14:paraId="27F4A66A" w14:textId="77777777" w:rsidR="001D564A" w:rsidRDefault="001D564A" w:rsidP="00953776">
      <w:pPr>
        <w:spacing w:before="120" w:after="120" w:line="360" w:lineRule="auto"/>
        <w:jc w:val="center"/>
        <w:rPr>
          <w:rFonts w:ascii="Arial" w:eastAsia="Arial" w:hAnsi="Arial" w:cs="Arial"/>
          <w:b/>
          <w:bCs/>
          <w:kern w:val="0"/>
          <w:sz w:val="32"/>
          <w:szCs w:val="32"/>
          <w:lang w:val="en-GB"/>
          <w14:ligatures w14:val="none"/>
        </w:rPr>
      </w:pPr>
    </w:p>
    <w:p w14:paraId="0258FCE6" w14:textId="6E7C708C" w:rsidR="00C423D8" w:rsidRPr="00067A48" w:rsidRDefault="00C423D8" w:rsidP="00953776">
      <w:pPr>
        <w:spacing w:before="120" w:after="120" w:line="360" w:lineRule="auto"/>
        <w:jc w:val="center"/>
        <w:rPr>
          <w:rFonts w:ascii="Arial" w:eastAsia="Arial" w:hAnsi="Arial" w:cs="Arial"/>
          <w:b/>
          <w:bCs/>
          <w:kern w:val="0"/>
          <w:sz w:val="24"/>
          <w:szCs w:val="24"/>
          <w:lang w:val="en-GB"/>
          <w14:ligatures w14:val="none"/>
        </w:rPr>
      </w:pPr>
      <w:r w:rsidRPr="00067A48">
        <w:rPr>
          <w:rFonts w:ascii="Arial" w:eastAsia="Arial" w:hAnsi="Arial" w:cs="Arial"/>
          <w:b/>
          <w:bCs/>
          <w:kern w:val="0"/>
          <w:sz w:val="28"/>
          <w:szCs w:val="28"/>
          <w:lang w:val="en-GB"/>
          <w14:ligatures w14:val="none"/>
        </w:rPr>
        <w:t xml:space="preserve">Assessment </w:t>
      </w:r>
      <w:r w:rsidR="00067A48" w:rsidRPr="00067A48">
        <w:rPr>
          <w:rFonts w:ascii="Arial" w:eastAsia="Arial" w:hAnsi="Arial" w:cs="Arial"/>
          <w:b/>
          <w:bCs/>
          <w:kern w:val="0"/>
          <w:sz w:val="28"/>
          <w:szCs w:val="28"/>
          <w:lang w:val="en-GB"/>
          <w14:ligatures w14:val="none"/>
        </w:rPr>
        <w:t>C</w:t>
      </w:r>
      <w:r w:rsidRPr="00067A48">
        <w:rPr>
          <w:rFonts w:ascii="Arial" w:eastAsia="Arial" w:hAnsi="Arial" w:cs="Arial"/>
          <w:b/>
          <w:bCs/>
          <w:kern w:val="0"/>
          <w:sz w:val="28"/>
          <w:szCs w:val="28"/>
          <w:lang w:val="en-GB"/>
          <w14:ligatures w14:val="none"/>
        </w:rPr>
        <w:t xml:space="preserve">omponent 1: Individual </w:t>
      </w:r>
      <w:r w:rsidR="00067A48" w:rsidRPr="00067A48">
        <w:rPr>
          <w:rFonts w:ascii="Arial" w:eastAsia="Arial" w:hAnsi="Arial" w:cs="Arial"/>
          <w:b/>
          <w:bCs/>
          <w:kern w:val="0"/>
          <w:sz w:val="28"/>
          <w:szCs w:val="28"/>
          <w:lang w:val="en-GB"/>
          <w14:ligatures w14:val="none"/>
        </w:rPr>
        <w:t>R</w:t>
      </w:r>
      <w:r w:rsidRPr="00067A48">
        <w:rPr>
          <w:rFonts w:ascii="Arial" w:eastAsia="Arial" w:hAnsi="Arial" w:cs="Arial"/>
          <w:b/>
          <w:bCs/>
          <w:kern w:val="0"/>
          <w:sz w:val="28"/>
          <w:szCs w:val="28"/>
          <w:lang w:val="en-GB"/>
          <w14:ligatures w14:val="none"/>
        </w:rPr>
        <w:t>eport</w:t>
      </w:r>
    </w:p>
    <w:p w14:paraId="2AEAC80A" w14:textId="6356C69B" w:rsidR="00C423D8" w:rsidRDefault="00C423D8" w:rsidP="00953776">
      <w:pPr>
        <w:spacing w:before="120" w:after="120" w:line="360" w:lineRule="auto"/>
        <w:jc w:val="center"/>
        <w:rPr>
          <w:rFonts w:ascii="Arial" w:eastAsia="Arial" w:hAnsi="Arial" w:cs="Arial"/>
          <w:kern w:val="0"/>
          <w:sz w:val="24"/>
          <w:szCs w:val="24"/>
          <w:lang w:val="en-GB"/>
          <w14:ligatures w14:val="none"/>
        </w:rPr>
      </w:pPr>
    </w:p>
    <w:p w14:paraId="130E1C73" w14:textId="77777777" w:rsidR="008853C5" w:rsidRPr="00067A48" w:rsidRDefault="008853C5" w:rsidP="00953776">
      <w:pPr>
        <w:spacing w:before="120" w:after="120" w:line="360" w:lineRule="auto"/>
        <w:jc w:val="center"/>
        <w:rPr>
          <w:rFonts w:ascii="Arial" w:eastAsia="Arial" w:hAnsi="Arial" w:cs="Arial"/>
          <w:kern w:val="0"/>
          <w:sz w:val="24"/>
          <w:szCs w:val="24"/>
          <w:lang w:val="en-GB"/>
          <w14:ligatures w14:val="none"/>
        </w:rPr>
      </w:pPr>
    </w:p>
    <w:p w14:paraId="28A02008" w14:textId="51064C15" w:rsidR="00067A48" w:rsidRPr="001D564A" w:rsidRDefault="00067A48" w:rsidP="00953776">
      <w:pPr>
        <w:spacing w:before="120" w:after="120" w:line="360" w:lineRule="auto"/>
        <w:jc w:val="center"/>
        <w:rPr>
          <w:rFonts w:ascii="Arial" w:eastAsia="Arial" w:hAnsi="Arial" w:cs="Arial"/>
          <w:b/>
          <w:bCs/>
          <w:kern w:val="0"/>
          <w:sz w:val="28"/>
          <w:szCs w:val="28"/>
          <w:lang w:val="en-GB"/>
          <w14:ligatures w14:val="none"/>
        </w:rPr>
      </w:pPr>
      <w:r w:rsidRPr="001D564A">
        <w:rPr>
          <w:rFonts w:ascii="Arial" w:eastAsia="Arial" w:hAnsi="Arial" w:cs="Arial"/>
          <w:b/>
          <w:bCs/>
          <w:kern w:val="0"/>
          <w:sz w:val="28"/>
          <w:szCs w:val="28"/>
          <w:lang w:val="en-GB"/>
          <w14:ligatures w14:val="none"/>
        </w:rPr>
        <w:t>Topic: Designing a Human Capital Architecture for Strategic Renewal</w:t>
      </w:r>
    </w:p>
    <w:p w14:paraId="0C09023A" w14:textId="79A1A043" w:rsidR="00C423D8" w:rsidRPr="00067A48" w:rsidRDefault="00C423D8" w:rsidP="00953776">
      <w:pPr>
        <w:spacing w:before="120" w:after="120" w:line="360" w:lineRule="auto"/>
        <w:jc w:val="center"/>
        <w:rPr>
          <w:rFonts w:ascii="Arial" w:eastAsia="Arial" w:hAnsi="Arial" w:cs="Arial"/>
          <w:kern w:val="0"/>
          <w:sz w:val="24"/>
          <w:szCs w:val="24"/>
          <w:lang w:val="en-GB"/>
          <w14:ligatures w14:val="none"/>
        </w:rPr>
      </w:pPr>
    </w:p>
    <w:p w14:paraId="488E13FD" w14:textId="77777777" w:rsidR="00067A48" w:rsidRPr="00067A48" w:rsidRDefault="00067A48" w:rsidP="00953776">
      <w:pPr>
        <w:spacing w:before="120" w:after="120" w:line="360" w:lineRule="auto"/>
        <w:jc w:val="center"/>
        <w:rPr>
          <w:rFonts w:ascii="Arial" w:eastAsia="Arial" w:hAnsi="Arial" w:cs="Arial"/>
          <w:kern w:val="0"/>
          <w:sz w:val="24"/>
          <w:szCs w:val="24"/>
          <w:lang w:val="en-GB"/>
          <w14:ligatures w14:val="none"/>
        </w:rPr>
      </w:pPr>
    </w:p>
    <w:p w14:paraId="50A72657" w14:textId="106B7478"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r w:rsidRPr="001D564A">
        <w:rPr>
          <w:rFonts w:ascii="Arial" w:eastAsia="Arial" w:hAnsi="Arial" w:cs="Arial"/>
          <w:b/>
          <w:bCs/>
          <w:kern w:val="0"/>
          <w:sz w:val="24"/>
          <w:szCs w:val="24"/>
          <w:lang w:val="en-GB"/>
          <w14:ligatures w14:val="none"/>
        </w:rPr>
        <w:t xml:space="preserve">Student Name: </w:t>
      </w:r>
      <w:r w:rsidR="001D564A" w:rsidRPr="001D564A">
        <w:rPr>
          <w:rFonts w:ascii="Arial" w:eastAsia="Arial" w:hAnsi="Arial" w:cs="Arial"/>
          <w:b/>
          <w:bCs/>
          <w:kern w:val="0"/>
          <w:sz w:val="24"/>
          <w:szCs w:val="24"/>
          <w:lang w:val="en-GB"/>
          <w14:ligatures w14:val="none"/>
        </w:rPr>
        <w:t>Sorathiya Adarsh SanjayBhai</w:t>
      </w:r>
    </w:p>
    <w:p w14:paraId="3776A515" w14:textId="23F29FA0" w:rsidR="00C423D8" w:rsidRDefault="00C423D8" w:rsidP="00953776">
      <w:pPr>
        <w:spacing w:before="120" w:after="120" w:line="360" w:lineRule="auto"/>
        <w:jc w:val="center"/>
        <w:rPr>
          <w:rFonts w:ascii="Arial" w:eastAsia="Arial" w:hAnsi="Arial" w:cs="Arial"/>
          <w:b/>
          <w:bCs/>
          <w:kern w:val="0"/>
          <w:sz w:val="24"/>
          <w:szCs w:val="24"/>
          <w:lang w:val="en-GB"/>
          <w14:ligatures w14:val="none"/>
        </w:rPr>
      </w:pPr>
      <w:r w:rsidRPr="001D564A">
        <w:rPr>
          <w:rFonts w:ascii="Arial" w:eastAsia="Arial" w:hAnsi="Arial" w:cs="Arial"/>
          <w:b/>
          <w:bCs/>
          <w:kern w:val="0"/>
          <w:sz w:val="24"/>
          <w:szCs w:val="24"/>
          <w:lang w:val="en-GB"/>
          <w14:ligatures w14:val="none"/>
        </w:rPr>
        <w:t>Student ID:</w:t>
      </w:r>
      <w:r w:rsidR="001D564A" w:rsidRPr="001D564A">
        <w:rPr>
          <w:b/>
          <w:bCs/>
        </w:rPr>
        <w:t xml:space="preserve"> </w:t>
      </w:r>
      <w:r w:rsidR="001D564A" w:rsidRPr="001D564A">
        <w:rPr>
          <w:rFonts w:ascii="Arial" w:eastAsia="Arial" w:hAnsi="Arial" w:cs="Arial"/>
          <w:b/>
          <w:bCs/>
          <w:kern w:val="0"/>
          <w:sz w:val="24"/>
          <w:szCs w:val="24"/>
          <w:lang w:val="en-GB"/>
          <w14:ligatures w14:val="none"/>
        </w:rPr>
        <w:t>2542080</w:t>
      </w:r>
      <w:r w:rsidRPr="001D564A">
        <w:rPr>
          <w:rFonts w:ascii="Arial" w:eastAsia="Arial" w:hAnsi="Arial" w:cs="Arial"/>
          <w:b/>
          <w:bCs/>
          <w:kern w:val="0"/>
          <w:sz w:val="24"/>
          <w:szCs w:val="24"/>
          <w:lang w:val="en-GB"/>
          <w14:ligatures w14:val="none"/>
        </w:rPr>
        <w:t xml:space="preserve"> </w:t>
      </w:r>
    </w:p>
    <w:p w14:paraId="2DEC0939" w14:textId="77777777" w:rsidR="00571952" w:rsidRDefault="00571952" w:rsidP="00953776">
      <w:pPr>
        <w:spacing w:before="120" w:after="120" w:line="360" w:lineRule="auto"/>
        <w:jc w:val="center"/>
        <w:rPr>
          <w:rFonts w:ascii="Arial" w:eastAsia="Arial" w:hAnsi="Arial" w:cs="Arial"/>
          <w:b/>
          <w:bCs/>
          <w:kern w:val="0"/>
          <w:sz w:val="24"/>
          <w:szCs w:val="24"/>
          <w:lang w:val="en-GB"/>
          <w14:ligatures w14:val="none"/>
        </w:rPr>
      </w:pPr>
    </w:p>
    <w:p w14:paraId="21DA8988" w14:textId="40E3D8BE" w:rsidR="00571952" w:rsidRPr="001D564A" w:rsidRDefault="00571952" w:rsidP="00953776">
      <w:pPr>
        <w:spacing w:before="120" w:after="120" w:line="360" w:lineRule="auto"/>
        <w:jc w:val="center"/>
        <w:rPr>
          <w:rFonts w:ascii="Arial" w:eastAsia="Arial" w:hAnsi="Arial" w:cs="Arial"/>
          <w:b/>
          <w:bCs/>
          <w:kern w:val="0"/>
          <w:sz w:val="24"/>
          <w:szCs w:val="24"/>
          <w:lang w:val="en-GB"/>
          <w14:ligatures w14:val="none"/>
        </w:rPr>
      </w:pPr>
      <w:r>
        <w:rPr>
          <w:rFonts w:ascii="Arial" w:eastAsia="Arial" w:hAnsi="Arial" w:cs="Arial"/>
          <w:b/>
          <w:bCs/>
          <w:kern w:val="0"/>
          <w:sz w:val="24"/>
          <w:szCs w:val="24"/>
          <w:lang w:val="en-GB"/>
          <w14:ligatures w14:val="none"/>
        </w:rPr>
        <w:t xml:space="preserve">Lecturer : </w:t>
      </w:r>
      <w:r w:rsidRPr="00571952">
        <w:rPr>
          <w:rFonts w:ascii="Arial" w:eastAsia="Arial" w:hAnsi="Arial" w:cs="Arial"/>
          <w:b/>
          <w:bCs/>
          <w:kern w:val="0"/>
          <w:sz w:val="24"/>
          <w:szCs w:val="24"/>
          <w:lang w:val="en-GB"/>
          <w14:ligatures w14:val="none"/>
        </w:rPr>
        <w:t>Dr Gladius Kulothungan</w:t>
      </w:r>
    </w:p>
    <w:p w14:paraId="5DA7E96C" w14:textId="77777777"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p>
    <w:p w14:paraId="0DB2C96D" w14:textId="77777777"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p>
    <w:p w14:paraId="1EE6115F" w14:textId="77777777"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p>
    <w:p w14:paraId="7B353AE1" w14:textId="48D8B1CE"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r w:rsidRPr="001D564A">
        <w:rPr>
          <w:rFonts w:ascii="Arial" w:eastAsia="Arial" w:hAnsi="Arial" w:cs="Arial"/>
          <w:b/>
          <w:bCs/>
          <w:kern w:val="0"/>
          <w:sz w:val="24"/>
          <w:szCs w:val="24"/>
          <w:lang w:val="en-GB"/>
          <w14:ligatures w14:val="none"/>
        </w:rPr>
        <w:t>Word Count: 2</w:t>
      </w:r>
      <w:r w:rsidR="00591531" w:rsidRPr="001D564A">
        <w:rPr>
          <w:rFonts w:ascii="Arial" w:eastAsia="Arial" w:hAnsi="Arial" w:cs="Arial"/>
          <w:b/>
          <w:bCs/>
          <w:kern w:val="0"/>
          <w:sz w:val="24"/>
          <w:szCs w:val="24"/>
          <w:lang w:val="en-GB"/>
          <w14:ligatures w14:val="none"/>
        </w:rPr>
        <w:t>723</w:t>
      </w:r>
      <w:r w:rsidRPr="001D564A">
        <w:rPr>
          <w:rFonts w:ascii="Arial" w:eastAsia="Arial" w:hAnsi="Arial" w:cs="Arial"/>
          <w:b/>
          <w:bCs/>
          <w:kern w:val="0"/>
          <w:sz w:val="24"/>
          <w:szCs w:val="24"/>
          <w:lang w:val="en-GB"/>
          <w14:ligatures w14:val="none"/>
        </w:rPr>
        <w:br w:type="page"/>
      </w:r>
    </w:p>
    <w:sdt>
      <w:sdtPr>
        <w:rPr>
          <w:rFonts w:ascii="Arial" w:eastAsia="Arial" w:hAnsi="Arial" w:cs="Arial"/>
          <w:b/>
          <w:bCs/>
          <w:kern w:val="0"/>
          <w:sz w:val="24"/>
          <w:szCs w:val="24"/>
          <w:lang w:val="en-GB"/>
          <w14:ligatures w14:val="none"/>
        </w:rPr>
        <w:id w:val="1138217676"/>
        <w:docPartObj>
          <w:docPartGallery w:val="Table of Contents"/>
          <w:docPartUnique/>
        </w:docPartObj>
      </w:sdtPr>
      <w:sdtEndPr>
        <w:rPr>
          <w:noProof/>
        </w:rPr>
      </w:sdtEndPr>
      <w:sdtContent>
        <w:p w14:paraId="4420D3FB" w14:textId="77777777" w:rsidR="00C423D8" w:rsidRPr="001D564A" w:rsidRDefault="00C423D8" w:rsidP="00953776">
          <w:pPr>
            <w:keepNext/>
            <w:keepLines/>
            <w:spacing w:before="120" w:after="120" w:line="360" w:lineRule="auto"/>
            <w:jc w:val="center"/>
            <w:rPr>
              <w:rFonts w:ascii="Arial" w:eastAsia="Times New Roman" w:hAnsi="Arial" w:cs="Arial"/>
              <w:b/>
              <w:bCs/>
              <w:kern w:val="0"/>
              <w:sz w:val="28"/>
              <w:szCs w:val="28"/>
              <w:lang w:val="en-GB"/>
              <w14:ligatures w14:val="none"/>
            </w:rPr>
          </w:pPr>
          <w:r w:rsidRPr="001D564A">
            <w:rPr>
              <w:rFonts w:ascii="Arial" w:eastAsia="Times New Roman" w:hAnsi="Arial" w:cs="Arial"/>
              <w:b/>
              <w:bCs/>
              <w:kern w:val="0"/>
              <w:sz w:val="28"/>
              <w:szCs w:val="28"/>
              <w:lang w:val="en-GB"/>
              <w14:ligatures w14:val="none"/>
            </w:rPr>
            <w:t>Table of Contents</w:t>
          </w:r>
        </w:p>
        <w:p w14:paraId="11DD134E" w14:textId="2E4F7A55" w:rsidR="00591531" w:rsidRPr="00F02B2C" w:rsidRDefault="00C423D8" w:rsidP="00953776">
          <w:pPr>
            <w:pStyle w:val="TOC1"/>
            <w:tabs>
              <w:tab w:val="right" w:leader="dot" w:pos="9019"/>
            </w:tabs>
            <w:spacing w:before="120" w:after="120" w:line="360" w:lineRule="auto"/>
            <w:rPr>
              <w:rFonts w:ascii="Arial" w:hAnsi="Arial" w:cs="Arial"/>
              <w:noProof/>
              <w:sz w:val="24"/>
              <w:szCs w:val="24"/>
            </w:rPr>
          </w:pPr>
          <w:r w:rsidRPr="00F02B2C">
            <w:rPr>
              <w:rFonts w:ascii="Arial" w:eastAsia="Arial" w:hAnsi="Arial" w:cs="Arial"/>
              <w:kern w:val="0"/>
              <w:sz w:val="24"/>
              <w:szCs w:val="24"/>
              <w:lang w:val="en-GB"/>
              <w14:ligatures w14:val="none"/>
            </w:rPr>
            <w:fldChar w:fldCharType="begin"/>
          </w:r>
          <w:r w:rsidRPr="00F02B2C">
            <w:rPr>
              <w:rFonts w:ascii="Arial" w:eastAsia="Arial" w:hAnsi="Arial" w:cs="Arial"/>
              <w:kern w:val="0"/>
              <w:sz w:val="24"/>
              <w:szCs w:val="24"/>
              <w:lang w:val="en-GB"/>
              <w14:ligatures w14:val="none"/>
            </w:rPr>
            <w:instrText xml:space="preserve"> TOC \o "1-3" \h \z \u </w:instrText>
          </w:r>
          <w:r w:rsidRPr="00F02B2C">
            <w:rPr>
              <w:rFonts w:ascii="Arial" w:eastAsia="Arial" w:hAnsi="Arial" w:cs="Arial"/>
              <w:kern w:val="0"/>
              <w:sz w:val="24"/>
              <w:szCs w:val="24"/>
              <w:lang w:val="en-GB"/>
              <w14:ligatures w14:val="none"/>
            </w:rPr>
            <w:fldChar w:fldCharType="separate"/>
          </w:r>
          <w:hyperlink w:anchor="_Toc234410564" w:history="1">
            <w:r w:rsidR="00591531" w:rsidRPr="00F02B2C">
              <w:rPr>
                <w:rStyle w:val="Hyperlink"/>
                <w:rFonts w:ascii="Arial" w:eastAsia="Arial" w:hAnsi="Arial" w:cs="Arial"/>
                <w:noProof/>
                <w:sz w:val="24"/>
                <w:szCs w:val="24"/>
                <w:lang w:val="en-GB"/>
              </w:rPr>
              <w:t>1. Introduction</w:t>
            </w:r>
            <w:r w:rsidR="00591531" w:rsidRPr="00F02B2C">
              <w:rPr>
                <w:rFonts w:ascii="Arial" w:hAnsi="Arial" w:cs="Arial"/>
                <w:noProof/>
                <w:webHidden/>
                <w:sz w:val="24"/>
                <w:szCs w:val="24"/>
              </w:rPr>
              <w:tab/>
            </w:r>
            <w:r w:rsidR="00591531" w:rsidRPr="00F02B2C">
              <w:rPr>
                <w:rFonts w:ascii="Arial" w:hAnsi="Arial" w:cs="Arial"/>
                <w:noProof/>
                <w:webHidden/>
                <w:sz w:val="24"/>
                <w:szCs w:val="24"/>
              </w:rPr>
              <w:fldChar w:fldCharType="begin"/>
            </w:r>
            <w:r w:rsidR="00591531" w:rsidRPr="00F02B2C">
              <w:rPr>
                <w:rFonts w:ascii="Arial" w:hAnsi="Arial" w:cs="Arial"/>
                <w:noProof/>
                <w:webHidden/>
                <w:sz w:val="24"/>
                <w:szCs w:val="24"/>
              </w:rPr>
              <w:instrText xml:space="preserve"> PAGEREF _Toc234410564 \h </w:instrText>
            </w:r>
            <w:r w:rsidR="00591531" w:rsidRPr="00F02B2C">
              <w:rPr>
                <w:rFonts w:ascii="Arial" w:hAnsi="Arial" w:cs="Arial"/>
                <w:noProof/>
                <w:webHidden/>
                <w:sz w:val="24"/>
                <w:szCs w:val="24"/>
              </w:rPr>
            </w:r>
            <w:r w:rsidR="00591531" w:rsidRPr="00F02B2C">
              <w:rPr>
                <w:rFonts w:ascii="Arial" w:hAnsi="Arial" w:cs="Arial"/>
                <w:noProof/>
                <w:webHidden/>
                <w:sz w:val="24"/>
                <w:szCs w:val="24"/>
              </w:rPr>
              <w:fldChar w:fldCharType="separate"/>
            </w:r>
            <w:r w:rsidR="008853C5">
              <w:rPr>
                <w:rFonts w:ascii="Arial" w:hAnsi="Arial" w:cs="Arial"/>
                <w:noProof/>
                <w:webHidden/>
                <w:sz w:val="24"/>
                <w:szCs w:val="24"/>
              </w:rPr>
              <w:t>1</w:t>
            </w:r>
            <w:r w:rsidR="00591531" w:rsidRPr="00F02B2C">
              <w:rPr>
                <w:rFonts w:ascii="Arial" w:hAnsi="Arial" w:cs="Arial"/>
                <w:noProof/>
                <w:webHidden/>
                <w:sz w:val="24"/>
                <w:szCs w:val="24"/>
              </w:rPr>
              <w:fldChar w:fldCharType="end"/>
            </w:r>
          </w:hyperlink>
        </w:p>
        <w:p w14:paraId="693A6123" w14:textId="4FE8A43D"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65" w:history="1">
            <w:r w:rsidRPr="00F02B2C">
              <w:rPr>
                <w:rStyle w:val="Hyperlink"/>
                <w:rFonts w:ascii="Arial" w:eastAsia="Arial" w:hAnsi="Arial" w:cs="Arial"/>
                <w:noProof/>
                <w:sz w:val="24"/>
                <w:szCs w:val="24"/>
                <w:lang w:val="en-GB"/>
              </w:rPr>
              <w:t>2. Task A: Strategic Socialisation Framework</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_Toc234410565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w:t>
            </w:r>
            <w:r w:rsidRPr="00F02B2C">
              <w:rPr>
                <w:rFonts w:ascii="Arial" w:hAnsi="Arial" w:cs="Arial"/>
                <w:noProof/>
                <w:webHidden/>
                <w:sz w:val="24"/>
                <w:szCs w:val="24"/>
              </w:rPr>
              <w:fldChar w:fldCharType="end"/>
            </w:r>
          </w:hyperlink>
        </w:p>
        <w:p w14:paraId="7FAD78B1" w14:textId="1121942D"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66" w:history="1">
            <w:r w:rsidRPr="00F02B2C">
              <w:rPr>
                <w:rStyle w:val="Hyperlink"/>
                <w:rFonts w:ascii="Arial" w:eastAsia="Arial" w:hAnsi="Arial" w:cs="Arial"/>
                <w:noProof/>
                <w:sz w:val="24"/>
                <w:szCs w:val="24"/>
                <w:lang w:val="en-GB"/>
              </w:rPr>
              <w:t>2.1 Critical Evaluation of Organisational Socialisation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_Toc234410566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w:t>
            </w:r>
            <w:r w:rsidRPr="00F02B2C">
              <w:rPr>
                <w:rFonts w:ascii="Arial" w:hAnsi="Arial" w:cs="Arial"/>
                <w:noProof/>
                <w:webHidden/>
                <w:sz w:val="24"/>
                <w:szCs w:val="24"/>
              </w:rPr>
              <w:fldChar w:fldCharType="end"/>
            </w:r>
          </w:hyperlink>
        </w:p>
        <w:p w14:paraId="3CFC1D9B" w14:textId="7C3F415B"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67" w:history="1">
            <w:r w:rsidRPr="00F02B2C">
              <w:rPr>
                <w:rStyle w:val="Hyperlink"/>
                <w:rFonts w:ascii="Arial" w:eastAsia="Arial" w:hAnsi="Arial" w:cs="Arial"/>
                <w:i/>
                <w:iCs/>
                <w:noProof/>
                <w:sz w:val="24"/>
                <w:szCs w:val="24"/>
                <w:lang w:val="en-GB"/>
              </w:rPr>
              <w:t>2.1.1 Traditional Onboarding vs Strategic Organisational Socialisation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_Toc234410567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w:t>
            </w:r>
            <w:r w:rsidRPr="00F02B2C">
              <w:rPr>
                <w:rFonts w:ascii="Arial" w:hAnsi="Arial" w:cs="Arial"/>
                <w:noProof/>
                <w:webHidden/>
                <w:sz w:val="24"/>
                <w:szCs w:val="24"/>
              </w:rPr>
              <w:fldChar w:fldCharType="end"/>
            </w:r>
          </w:hyperlink>
        </w:p>
        <w:p w14:paraId="2F088E2A" w14:textId="296347A8"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68" w:history="1">
            <w:r w:rsidRPr="00F02B2C">
              <w:rPr>
                <w:rStyle w:val="Hyperlink"/>
                <w:rFonts w:ascii="Arial" w:eastAsia="Arial" w:hAnsi="Arial" w:cs="Arial"/>
                <w:i/>
                <w:iCs/>
                <w:noProof/>
                <w:sz w:val="24"/>
                <w:szCs w:val="24"/>
                <w:lang w:val="en-GB"/>
              </w:rPr>
              <w:t>2.1.2 Psychological Contract and Employee Commitment</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_Toc234410568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2</w:t>
            </w:r>
            <w:r w:rsidRPr="00F02B2C">
              <w:rPr>
                <w:rFonts w:ascii="Arial" w:hAnsi="Arial" w:cs="Arial"/>
                <w:noProof/>
                <w:webHidden/>
                <w:sz w:val="24"/>
                <w:szCs w:val="24"/>
              </w:rPr>
              <w:fldChar w:fldCharType="end"/>
            </w:r>
          </w:hyperlink>
        </w:p>
        <w:p w14:paraId="7642A657" w14:textId="5BA2BED6"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69" w:history="1">
            <w:r w:rsidRPr="00F02B2C">
              <w:rPr>
                <w:rStyle w:val="Hyperlink"/>
                <w:rFonts w:ascii="Arial" w:eastAsia="Arial" w:hAnsi="Arial" w:cs="Arial"/>
                <w:i/>
                <w:iCs/>
                <w:noProof/>
                <w:sz w:val="24"/>
                <w:szCs w:val="24"/>
                <w:lang w:val="en-GB"/>
              </w:rPr>
              <w:t>2.1.3 Identity Construction and Organisational Citizenship</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_Toc234410569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2</w:t>
            </w:r>
            <w:r w:rsidRPr="00F02B2C">
              <w:rPr>
                <w:rFonts w:ascii="Arial" w:hAnsi="Arial" w:cs="Arial"/>
                <w:noProof/>
                <w:webHidden/>
                <w:sz w:val="24"/>
                <w:szCs w:val="24"/>
              </w:rPr>
              <w:fldChar w:fldCharType="end"/>
            </w:r>
          </w:hyperlink>
        </w:p>
        <w:p w14:paraId="75F44393" w14:textId="012FC99F"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0" w:history="1">
            <w:r w:rsidRPr="00F02B2C">
              <w:rPr>
                <w:rStyle w:val="Hyperlink"/>
                <w:rFonts w:ascii="Arial" w:eastAsia="Arial" w:hAnsi="Arial" w:cs="Arial"/>
                <w:noProof/>
                <w:sz w:val="24"/>
                <w:szCs w:val="24"/>
                <w:lang w:val="en-GB"/>
              </w:rPr>
              <w:t>2.2 Proposed Socialisation Framework</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_Toc234410570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3</w:t>
            </w:r>
            <w:r w:rsidRPr="00F02B2C">
              <w:rPr>
                <w:rFonts w:ascii="Arial" w:hAnsi="Arial" w:cs="Arial"/>
                <w:noProof/>
                <w:webHidden/>
                <w:sz w:val="24"/>
                <w:szCs w:val="24"/>
              </w:rPr>
              <w:fldChar w:fldCharType="end"/>
            </w:r>
          </w:hyperlink>
        </w:p>
        <w:p w14:paraId="36D154DD" w14:textId="126299E9"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1" w:history="1">
            <w:r w:rsidRPr="00F02B2C">
              <w:rPr>
                <w:rStyle w:val="Hyperlink"/>
                <w:rFonts w:ascii="Arial" w:eastAsia="Arial" w:hAnsi="Arial" w:cs="Arial"/>
                <w:noProof/>
                <w:sz w:val="24"/>
                <w:szCs w:val="24"/>
                <w:lang w:val="en-GB"/>
              </w:rPr>
              <w:t>2.3 Developing Organisational Citizens</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_Toc234410571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5</w:t>
            </w:r>
            <w:r w:rsidRPr="00F02B2C">
              <w:rPr>
                <w:rFonts w:ascii="Arial" w:hAnsi="Arial" w:cs="Arial"/>
                <w:noProof/>
                <w:webHidden/>
                <w:sz w:val="24"/>
                <w:szCs w:val="24"/>
              </w:rPr>
              <w:fldChar w:fldCharType="end"/>
            </w:r>
          </w:hyperlink>
        </w:p>
        <w:p w14:paraId="17B182DF" w14:textId="7093D273"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72" w:history="1">
            <w:r w:rsidRPr="00F02B2C">
              <w:rPr>
                <w:rStyle w:val="Hyperlink"/>
                <w:rFonts w:ascii="Arial" w:eastAsia="Arial" w:hAnsi="Arial" w:cs="Arial"/>
                <w:noProof/>
                <w:sz w:val="24"/>
                <w:szCs w:val="24"/>
                <w:lang w:val="en-GB"/>
              </w:rPr>
              <w:t>3. Task B: Innovative Job Design Strategy</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_Toc234410572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6</w:t>
            </w:r>
            <w:r w:rsidRPr="00F02B2C">
              <w:rPr>
                <w:rFonts w:ascii="Arial" w:hAnsi="Arial" w:cs="Arial"/>
                <w:noProof/>
                <w:webHidden/>
                <w:sz w:val="24"/>
                <w:szCs w:val="24"/>
              </w:rPr>
              <w:fldChar w:fldCharType="end"/>
            </w:r>
          </w:hyperlink>
        </w:p>
        <w:p w14:paraId="0FF65DA9" w14:textId="241B562D"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3" w:history="1">
            <w:r w:rsidRPr="00F02B2C">
              <w:rPr>
                <w:rStyle w:val="Hyperlink"/>
                <w:rFonts w:ascii="Arial" w:eastAsia="Arial" w:hAnsi="Arial" w:cs="Arial"/>
                <w:noProof/>
                <w:sz w:val="24"/>
                <w:szCs w:val="24"/>
                <w:lang w:val="en-GB"/>
              </w:rPr>
              <w:t>3.1 Critical Evaluation of Job Design Models</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_Toc234410573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6</w:t>
            </w:r>
            <w:r w:rsidRPr="00F02B2C">
              <w:rPr>
                <w:rFonts w:ascii="Arial" w:hAnsi="Arial" w:cs="Arial"/>
                <w:noProof/>
                <w:webHidden/>
                <w:sz w:val="24"/>
                <w:szCs w:val="24"/>
              </w:rPr>
              <w:fldChar w:fldCharType="end"/>
            </w:r>
          </w:hyperlink>
        </w:p>
        <w:p w14:paraId="7973DC28" w14:textId="09B15864"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4" w:history="1">
            <w:r w:rsidRPr="00F02B2C">
              <w:rPr>
                <w:rStyle w:val="Hyperlink"/>
                <w:rFonts w:ascii="Arial" w:eastAsia="Arial" w:hAnsi="Arial" w:cs="Arial"/>
                <w:noProof/>
                <w:sz w:val="24"/>
                <w:szCs w:val="24"/>
                <w:lang w:val="en-GB"/>
              </w:rPr>
              <w:t>3.2 Proposed Job Design Strategy</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_Toc234410574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7</w:t>
            </w:r>
            <w:r w:rsidRPr="00F02B2C">
              <w:rPr>
                <w:rFonts w:ascii="Arial" w:hAnsi="Arial" w:cs="Arial"/>
                <w:noProof/>
                <w:webHidden/>
                <w:sz w:val="24"/>
                <w:szCs w:val="24"/>
              </w:rPr>
              <w:fldChar w:fldCharType="end"/>
            </w:r>
          </w:hyperlink>
        </w:p>
        <w:p w14:paraId="6CD1DA79" w14:textId="4447860A"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75" w:history="1">
            <w:r w:rsidRPr="00F02B2C">
              <w:rPr>
                <w:rStyle w:val="Hyperlink"/>
                <w:rFonts w:ascii="Arial" w:eastAsia="Arial" w:hAnsi="Arial" w:cs="Arial"/>
                <w:i/>
                <w:iCs/>
                <w:noProof/>
                <w:sz w:val="24"/>
                <w:szCs w:val="24"/>
                <w:lang w:val="en-GB"/>
              </w:rPr>
              <w:t>3.2.1 Recommendation 1: Enrich Jobs Using the Job Characteristics Model</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_Toc234410575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7</w:t>
            </w:r>
            <w:r w:rsidRPr="00F02B2C">
              <w:rPr>
                <w:rFonts w:ascii="Arial" w:hAnsi="Arial" w:cs="Arial"/>
                <w:noProof/>
                <w:webHidden/>
                <w:sz w:val="24"/>
                <w:szCs w:val="24"/>
              </w:rPr>
              <w:fldChar w:fldCharType="end"/>
            </w:r>
          </w:hyperlink>
        </w:p>
        <w:p w14:paraId="49B73C2F" w14:textId="75877448"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76" w:history="1">
            <w:r w:rsidRPr="00F02B2C">
              <w:rPr>
                <w:rStyle w:val="Hyperlink"/>
                <w:rFonts w:ascii="Arial" w:eastAsia="Arial" w:hAnsi="Arial" w:cs="Arial"/>
                <w:i/>
                <w:iCs/>
                <w:noProof/>
                <w:sz w:val="24"/>
                <w:szCs w:val="24"/>
                <w:lang w:val="en-GB"/>
              </w:rPr>
              <w:t>3.2.2 Recommendation 2: Encourage Employee Job Crafting</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_Toc234410576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7</w:t>
            </w:r>
            <w:r w:rsidRPr="00F02B2C">
              <w:rPr>
                <w:rFonts w:ascii="Arial" w:hAnsi="Arial" w:cs="Arial"/>
                <w:noProof/>
                <w:webHidden/>
                <w:sz w:val="24"/>
                <w:szCs w:val="24"/>
              </w:rPr>
              <w:fldChar w:fldCharType="end"/>
            </w:r>
          </w:hyperlink>
        </w:p>
        <w:p w14:paraId="158CA407" w14:textId="4B3DF942"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77" w:history="1">
            <w:r w:rsidRPr="00F02B2C">
              <w:rPr>
                <w:rStyle w:val="Hyperlink"/>
                <w:rFonts w:ascii="Arial" w:eastAsia="Arial" w:hAnsi="Arial" w:cs="Arial"/>
                <w:i/>
                <w:iCs/>
                <w:noProof/>
                <w:sz w:val="24"/>
                <w:szCs w:val="24"/>
                <w:lang w:val="en-GB"/>
              </w:rPr>
              <w:t>3.2.3 Recommendation 3: Introduce a Skills-Based Architecture</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_Toc234410577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8</w:t>
            </w:r>
            <w:r w:rsidRPr="00F02B2C">
              <w:rPr>
                <w:rFonts w:ascii="Arial" w:hAnsi="Arial" w:cs="Arial"/>
                <w:noProof/>
                <w:webHidden/>
                <w:sz w:val="24"/>
                <w:szCs w:val="24"/>
              </w:rPr>
              <w:fldChar w:fldCharType="end"/>
            </w:r>
          </w:hyperlink>
        </w:p>
        <w:p w14:paraId="4F7D68EC" w14:textId="70AF0E6D"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8" w:history="1">
            <w:r w:rsidRPr="00F02B2C">
              <w:rPr>
                <w:rStyle w:val="Hyperlink"/>
                <w:rFonts w:ascii="Arial" w:eastAsia="Arial" w:hAnsi="Arial" w:cs="Arial"/>
                <w:noProof/>
                <w:sz w:val="24"/>
                <w:szCs w:val="24"/>
                <w:lang w:val="en-GB"/>
              </w:rPr>
              <w:t>3.3 Motivation and Innovation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_Toc234410578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8</w:t>
            </w:r>
            <w:r w:rsidRPr="00F02B2C">
              <w:rPr>
                <w:rFonts w:ascii="Arial" w:hAnsi="Arial" w:cs="Arial"/>
                <w:noProof/>
                <w:webHidden/>
                <w:sz w:val="24"/>
                <w:szCs w:val="24"/>
              </w:rPr>
              <w:fldChar w:fldCharType="end"/>
            </w:r>
          </w:hyperlink>
        </w:p>
        <w:p w14:paraId="192F1169" w14:textId="78CC02B2"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79" w:history="1">
            <w:r w:rsidRPr="00F02B2C">
              <w:rPr>
                <w:rStyle w:val="Hyperlink"/>
                <w:rFonts w:ascii="Arial" w:eastAsia="Arial" w:hAnsi="Arial" w:cs="Arial"/>
                <w:noProof/>
                <w:sz w:val="24"/>
                <w:szCs w:val="24"/>
                <w:lang w:val="en-GB"/>
              </w:rPr>
              <w:t>4. Task C: Reflective Report</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_Toc234410579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9</w:t>
            </w:r>
            <w:r w:rsidRPr="00F02B2C">
              <w:rPr>
                <w:rFonts w:ascii="Arial" w:hAnsi="Arial" w:cs="Arial"/>
                <w:noProof/>
                <w:webHidden/>
                <w:sz w:val="24"/>
                <w:szCs w:val="24"/>
              </w:rPr>
              <w:fldChar w:fldCharType="end"/>
            </w:r>
          </w:hyperlink>
        </w:p>
        <w:p w14:paraId="3DBB9D4C" w14:textId="4F0C4CE0"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80" w:history="1">
            <w:r w:rsidRPr="00F02B2C">
              <w:rPr>
                <w:rStyle w:val="Hyperlink"/>
                <w:rFonts w:ascii="Arial" w:eastAsia="Arial" w:hAnsi="Arial" w:cs="Arial"/>
                <w:noProof/>
                <w:sz w:val="24"/>
                <w:szCs w:val="24"/>
                <w:lang w:val="en-GB"/>
              </w:rPr>
              <w:t>4.1 Responsible AI Decision Making</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_Toc234410580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9</w:t>
            </w:r>
            <w:r w:rsidRPr="00F02B2C">
              <w:rPr>
                <w:rFonts w:ascii="Arial" w:hAnsi="Arial" w:cs="Arial"/>
                <w:noProof/>
                <w:webHidden/>
                <w:sz w:val="24"/>
                <w:szCs w:val="24"/>
              </w:rPr>
              <w:fldChar w:fldCharType="end"/>
            </w:r>
          </w:hyperlink>
        </w:p>
        <w:p w14:paraId="618E3045" w14:textId="3983248A"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81" w:history="1">
            <w:r w:rsidRPr="00F02B2C">
              <w:rPr>
                <w:rStyle w:val="Hyperlink"/>
                <w:rFonts w:ascii="Arial" w:eastAsia="Arial" w:hAnsi="Arial" w:cs="Arial"/>
                <w:noProof/>
                <w:sz w:val="24"/>
                <w:szCs w:val="24"/>
                <w:lang w:val="en-GB"/>
              </w:rPr>
              <w:t>4.2 Personal Capability Development Plan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_Toc234410581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9</w:t>
            </w:r>
            <w:r w:rsidRPr="00F02B2C">
              <w:rPr>
                <w:rFonts w:ascii="Arial" w:hAnsi="Arial" w:cs="Arial"/>
                <w:noProof/>
                <w:webHidden/>
                <w:sz w:val="24"/>
                <w:szCs w:val="24"/>
              </w:rPr>
              <w:fldChar w:fldCharType="end"/>
            </w:r>
          </w:hyperlink>
        </w:p>
        <w:p w14:paraId="26DEA1BB" w14:textId="43C4EA59"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82" w:history="1">
            <w:r w:rsidRPr="00F02B2C">
              <w:rPr>
                <w:rStyle w:val="Hyperlink"/>
                <w:rFonts w:ascii="Arial" w:eastAsia="Arial" w:hAnsi="Arial" w:cs="Arial"/>
                <w:noProof/>
                <w:sz w:val="24"/>
                <w:szCs w:val="24"/>
                <w:lang w:val="en-GB"/>
              </w:rPr>
              <w:t>5. Conclusion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_Toc234410582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10</w:t>
            </w:r>
            <w:r w:rsidRPr="00F02B2C">
              <w:rPr>
                <w:rFonts w:ascii="Arial" w:hAnsi="Arial" w:cs="Arial"/>
                <w:noProof/>
                <w:webHidden/>
                <w:sz w:val="24"/>
                <w:szCs w:val="24"/>
              </w:rPr>
              <w:fldChar w:fldCharType="end"/>
            </w:r>
          </w:hyperlink>
        </w:p>
        <w:p w14:paraId="45EF5488" w14:textId="02B897CC"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83" w:history="1">
            <w:r w:rsidRPr="00F02B2C">
              <w:rPr>
                <w:rStyle w:val="Hyperlink"/>
                <w:rFonts w:ascii="Arial" w:eastAsia="Arial" w:hAnsi="Arial" w:cs="Arial"/>
                <w:noProof/>
                <w:sz w:val="24"/>
                <w:szCs w:val="24"/>
                <w:lang w:val="en-GB"/>
              </w:rPr>
              <w:t>References</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_Toc234410583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11</w:t>
            </w:r>
            <w:r w:rsidRPr="00F02B2C">
              <w:rPr>
                <w:rFonts w:ascii="Arial" w:hAnsi="Arial" w:cs="Arial"/>
                <w:noProof/>
                <w:webHidden/>
                <w:sz w:val="24"/>
                <w:szCs w:val="24"/>
              </w:rPr>
              <w:fldChar w:fldCharType="end"/>
            </w:r>
          </w:hyperlink>
        </w:p>
        <w:p w14:paraId="0F647A68" w14:textId="098AB7D5"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F02B2C">
            <w:rPr>
              <w:rFonts w:ascii="Arial" w:eastAsia="Arial" w:hAnsi="Arial" w:cs="Arial"/>
              <w:noProof/>
              <w:kern w:val="0"/>
              <w:sz w:val="24"/>
              <w:szCs w:val="24"/>
              <w:lang w:val="en-GB"/>
              <w14:ligatures w14:val="none"/>
            </w:rPr>
            <w:fldChar w:fldCharType="end"/>
          </w:r>
        </w:p>
      </w:sdtContent>
    </w:sdt>
    <w:p w14:paraId="1CB897BD" w14:textId="77777777" w:rsidR="00C423D8" w:rsidRPr="00067A48" w:rsidRDefault="00C423D8" w:rsidP="00953776">
      <w:pPr>
        <w:spacing w:before="120" w:after="120" w:line="360" w:lineRule="auto"/>
        <w:jc w:val="both"/>
        <w:rPr>
          <w:rFonts w:ascii="Arial" w:eastAsia="Arial" w:hAnsi="Arial" w:cs="Arial"/>
          <w:b/>
          <w:bCs/>
          <w:kern w:val="0"/>
          <w:sz w:val="26"/>
          <w:szCs w:val="26"/>
          <w:lang w:val="en-GB"/>
          <w14:ligatures w14:val="none"/>
        </w:rPr>
      </w:pPr>
      <w:r w:rsidRPr="00067A48">
        <w:rPr>
          <w:rFonts w:ascii="Arial" w:eastAsia="Arial" w:hAnsi="Arial" w:cs="Arial"/>
          <w:kern w:val="0"/>
          <w:sz w:val="24"/>
          <w:szCs w:val="24"/>
          <w:lang w:val="en-GB"/>
          <w14:ligatures w14:val="none"/>
        </w:rPr>
        <w:br w:type="page"/>
      </w:r>
    </w:p>
    <w:p w14:paraId="70A1EAB9"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sectPr w:rsidR="00C423D8" w:rsidRPr="00067A48" w:rsidSect="00C423D8">
          <w:footerReference w:type="default" r:id="rId8"/>
          <w:pgSz w:w="11909" w:h="16834"/>
          <w:pgMar w:top="1440" w:right="1440" w:bottom="1440" w:left="1440" w:header="720" w:footer="720" w:gutter="0"/>
          <w:pgNumType w:fmt="lowerRoman" w:start="1"/>
          <w:cols w:space="720"/>
          <w:titlePg/>
          <w:docGrid w:linePitch="326"/>
        </w:sectPr>
      </w:pPr>
    </w:p>
    <w:p w14:paraId="0EB6BCD6"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0" w:name="_Toc234410564"/>
      <w:r w:rsidRPr="00067A48">
        <w:rPr>
          <w:rFonts w:ascii="Arial" w:eastAsia="Arial" w:hAnsi="Arial" w:cs="Arial"/>
          <w:b/>
          <w:bCs/>
          <w:kern w:val="0"/>
          <w:sz w:val="26"/>
          <w:szCs w:val="26"/>
          <w:lang w:val="en-GB"/>
          <w14:ligatures w14:val="none"/>
        </w:rPr>
        <w:lastRenderedPageBreak/>
        <w:t>1. Introduction</w:t>
      </w:r>
      <w:bookmarkEnd w:id="0"/>
    </w:p>
    <w:p w14:paraId="13771A83"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Helios Urban Mobility is a start-up company that operates within the domain of smart transportation in Europe, including London and Berlin, and also in Singapore. The company at present has 450 employees working in these locations. Despite being in the business for five years, the company has been facing challenges, including a weak organisational socialisation process for new hires, declining engagement rates of employees, and high turnover intentions among high-potential graduates. Focusing on these pressing issues of the company, the report includes an integrated human capital architecture strengthening employee socialisation, and redesigned work to improve motivation and innovation, followed by a short reflective passage.</w:t>
      </w:r>
    </w:p>
    <w:p w14:paraId="5B40D2FA"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1" w:name="_ef8wzgv7lpy" w:colFirst="0" w:colLast="0"/>
      <w:bookmarkStart w:id="2" w:name="_Toc234410565"/>
      <w:bookmarkEnd w:id="1"/>
      <w:r w:rsidRPr="00067A48">
        <w:rPr>
          <w:rFonts w:ascii="Arial" w:eastAsia="Arial" w:hAnsi="Arial" w:cs="Arial"/>
          <w:b/>
          <w:bCs/>
          <w:kern w:val="0"/>
          <w:sz w:val="26"/>
          <w:szCs w:val="26"/>
          <w:lang w:val="en-GB"/>
          <w14:ligatures w14:val="none"/>
        </w:rPr>
        <w:t>2. Task A: Strategic Socialisation Framework</w:t>
      </w:r>
      <w:bookmarkEnd w:id="2"/>
    </w:p>
    <w:p w14:paraId="60EAB448"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3" w:name="_m65utqwgfcwn" w:colFirst="0" w:colLast="0"/>
      <w:bookmarkStart w:id="4" w:name="_Toc234410566"/>
      <w:bookmarkEnd w:id="3"/>
      <w:r w:rsidRPr="00067A48">
        <w:rPr>
          <w:rFonts w:ascii="Arial" w:eastAsia="Arial" w:hAnsi="Arial" w:cs="Arial"/>
          <w:b/>
          <w:bCs/>
          <w:kern w:val="0"/>
          <w:sz w:val="24"/>
          <w:szCs w:val="24"/>
          <w:lang w:val="en-GB"/>
          <w14:ligatures w14:val="none"/>
        </w:rPr>
        <w:t>2.1 Critical Evaluation of Organisational Socialisation</w:t>
      </w:r>
      <w:bookmarkEnd w:id="4"/>
    </w:p>
    <w:p w14:paraId="27132AD7"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5" w:name="_vwhqwd5t9k4p" w:colFirst="0" w:colLast="0"/>
      <w:bookmarkStart w:id="6" w:name="_Toc234410567"/>
      <w:bookmarkEnd w:id="5"/>
      <w:r w:rsidRPr="00067A48">
        <w:rPr>
          <w:rFonts w:ascii="Arial" w:eastAsia="Arial" w:hAnsi="Arial" w:cs="Arial"/>
          <w:b/>
          <w:bCs/>
          <w:i/>
          <w:iCs/>
          <w:kern w:val="0"/>
          <w:sz w:val="24"/>
          <w:szCs w:val="24"/>
          <w:lang w:val="en-GB"/>
          <w14:ligatures w14:val="none"/>
        </w:rPr>
        <w:t>2.1.1 Traditional Onboarding vs Strategic Organisational Socialisation</w:t>
      </w:r>
      <w:bookmarkEnd w:id="6"/>
    </w:p>
    <w:p w14:paraId="255F372D"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To develop a strategic and effective socialisation framework, it is important to understand the traditional onboarding process. Traditionally, onboarding of newcomers is generally tackled by the human resource department by handing over a copy of an onboarding handbook to individual employees, which acts as a guidebook to the new employee pertaining to organisational processes (Godinho </w:t>
      </w:r>
      <w:r w:rsidRPr="00067A48">
        <w:rPr>
          <w:rFonts w:ascii="Arial" w:eastAsia="Arial" w:hAnsi="Arial" w:cs="Arial"/>
          <w:i/>
          <w:iCs/>
          <w:kern w:val="0"/>
          <w:sz w:val="24"/>
          <w:szCs w:val="24"/>
          <w:lang w:val="en-GB"/>
          <w14:ligatures w14:val="none"/>
        </w:rPr>
        <w:t>et al</w:t>
      </w:r>
      <w:r w:rsidRPr="00067A48">
        <w:rPr>
          <w:rFonts w:ascii="Arial" w:eastAsia="Arial" w:hAnsi="Arial" w:cs="Arial"/>
          <w:kern w:val="0"/>
          <w:sz w:val="24"/>
          <w:szCs w:val="24"/>
          <w:lang w:val="en-GB"/>
          <w14:ligatures w14:val="none"/>
        </w:rPr>
        <w:t>., 2023). Hence, in essence, traditional onboarding is mostly about administrative orientation of newcomers. However, this approach is inadequate for the case of Helios because it is taking longer than usual for employees to become fully productive, highlighting the ineffectiveness of the traditional approach for administrative orientation of newcomers.</w:t>
      </w:r>
    </w:p>
    <w:p w14:paraId="50D46E3F"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In order to overcome the challenge of the ineffectiveness of the traditional onboarding approach at Helios, it is imperative to consider the strategic organisational socialisation process for the firm. When viewed through the framework developed by Van Maanen and Schein (1979), it becomes obvious that interactional, institutional, and situational attributes influencing the relationships, rewards, potentials, and demands within an organisation shape an employee's overall commitment to the firm. Accordingly, developing a strategic organisational socialisation process would be highly effective for Helios to shape their employees' behavioural values and organisational integration, increasing employee engagement and reducing turnover rates as well.</w:t>
      </w:r>
    </w:p>
    <w:p w14:paraId="009649DF"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7" w:name="_f3httu30dzl7" w:colFirst="0" w:colLast="0"/>
      <w:bookmarkStart w:id="8" w:name="_Toc234410568"/>
      <w:bookmarkEnd w:id="7"/>
      <w:r w:rsidRPr="00067A48">
        <w:rPr>
          <w:rFonts w:ascii="Arial" w:eastAsia="Arial" w:hAnsi="Arial" w:cs="Arial"/>
          <w:b/>
          <w:bCs/>
          <w:i/>
          <w:iCs/>
          <w:kern w:val="0"/>
          <w:sz w:val="24"/>
          <w:szCs w:val="24"/>
          <w:lang w:val="en-GB"/>
          <w14:ligatures w14:val="none"/>
        </w:rPr>
        <w:lastRenderedPageBreak/>
        <w:t>2.1.2 Psychological Contract and Employee Commitment</w:t>
      </w:r>
      <w:bookmarkEnd w:id="8"/>
    </w:p>
    <w:p w14:paraId="209CA177"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Due to the glaring challenge of high employee attrition rates faced by the company, it is essential to understand employee commitment from the perspective of psychological contracts. From the findings presented by Wonda </w:t>
      </w:r>
      <w:r w:rsidRPr="00067A48">
        <w:rPr>
          <w:rFonts w:ascii="Arial" w:eastAsia="Arial" w:hAnsi="Arial" w:cs="Arial"/>
          <w:i/>
          <w:iCs/>
          <w:kern w:val="0"/>
          <w:sz w:val="24"/>
          <w:szCs w:val="24"/>
          <w:lang w:val="en-GB"/>
          <w14:ligatures w14:val="none"/>
        </w:rPr>
        <w:t xml:space="preserve">et al. </w:t>
      </w:r>
      <w:r w:rsidRPr="00067A48">
        <w:rPr>
          <w:rFonts w:ascii="Arial" w:eastAsia="Arial" w:hAnsi="Arial" w:cs="Arial"/>
          <w:kern w:val="0"/>
          <w:sz w:val="24"/>
          <w:szCs w:val="24"/>
          <w:lang w:val="en-GB"/>
          <w14:ligatures w14:val="none"/>
        </w:rPr>
        <w:t>(2024), it can be interpreted that the aspect of psychological contract exists between employees and employers. Further analysis of psychological contract revealed that in exchange for a fair wage and minimal organisational interference with the norms set by employees, individuals working for a firm often become more engaged, productive, and satisfied. The evaluation of this information suggests that Helios' employees might have expected a fair wage and minimal intervention in their work autonomy, which the organisation had the obligation to meet, considering the potential for higher employee engagement, productivity, and satisfaction resulting in lower turnover rates. However, from the perspective of human resource management, these psychological contracts were not met by Helios, leading to a lack of employee commitment and high turnover rates.</w:t>
      </w:r>
    </w:p>
    <w:p w14:paraId="33EB2793"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9" w:name="_9l7wxlyagj5y" w:colFirst="0" w:colLast="0"/>
      <w:bookmarkStart w:id="10" w:name="_Toc234410569"/>
      <w:bookmarkEnd w:id="9"/>
      <w:r w:rsidRPr="00067A48">
        <w:rPr>
          <w:rFonts w:ascii="Arial" w:eastAsia="Arial" w:hAnsi="Arial" w:cs="Arial"/>
          <w:b/>
          <w:bCs/>
          <w:i/>
          <w:iCs/>
          <w:kern w:val="0"/>
          <w:sz w:val="24"/>
          <w:szCs w:val="24"/>
          <w:lang w:val="en-GB"/>
          <w14:ligatures w14:val="none"/>
        </w:rPr>
        <w:t>2.1.3 Identity Construction and Organisational Citizenship</w:t>
      </w:r>
      <w:bookmarkEnd w:id="10"/>
    </w:p>
    <w:p w14:paraId="3FC47FE5" w14:textId="77777777" w:rsid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Organisational citizenship behaviour by employees refers to an employee's contribution to their workplace that exceeds what is formally included in their job roles (Widarko and Anwarodin, 2022). As such, helping other employees, or volunteering for extra work, and adhering to the organisational procedures reflect the level of organisational citizenship of an employee. </w:t>
      </w:r>
    </w:p>
    <w:p w14:paraId="5F5A1378" w14:textId="3FA88A0A"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However, all these are possible if employees get the opportunity to gradually develop a sense of belonging. Hence, in the context of gradual identity construction within an organisation, it is essential for Helios to formulate a corporate strategy to enhance their employees' organisational citizenship behaviour. From the insights gathered from the findings presented by Kang and Hwang (2023), it is understood that motivating employees for productive behaviour, rewarding them, arranging for organisational citizenship behaviour training, and integrating them into performance evaluations can help Helios' employees with strategic socialisation, developing organisational commitment through interactions, and mentoring, making this a more sustainable approach for Helios than traditional onboarding.</w:t>
      </w:r>
    </w:p>
    <w:p w14:paraId="1DA9DBB8"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1" w:name="_Toc234410570"/>
      <w:r w:rsidRPr="00067A48">
        <w:rPr>
          <w:rFonts w:ascii="Arial" w:eastAsia="Arial" w:hAnsi="Arial" w:cs="Arial"/>
          <w:b/>
          <w:bCs/>
          <w:kern w:val="0"/>
          <w:sz w:val="24"/>
          <w:szCs w:val="24"/>
          <w:lang w:val="en-GB"/>
          <w14:ligatures w14:val="none"/>
        </w:rPr>
        <w:lastRenderedPageBreak/>
        <w:t>2.2 Proposed Socialisation Framework</w:t>
      </w:r>
      <w:bookmarkEnd w:id="11"/>
    </w:p>
    <w:tbl>
      <w:tblPr>
        <w:tblStyle w:val="TableGrid1"/>
        <w:tblW w:w="9828" w:type="dxa"/>
        <w:jc w:val="center"/>
        <w:tblLook w:val="04A0" w:firstRow="1" w:lastRow="0" w:firstColumn="1" w:lastColumn="0" w:noHBand="0" w:noVBand="1"/>
      </w:tblPr>
      <w:tblGrid>
        <w:gridCol w:w="1844"/>
        <w:gridCol w:w="3328"/>
        <w:gridCol w:w="2656"/>
        <w:gridCol w:w="2165"/>
      </w:tblGrid>
      <w:tr w:rsidR="00C423D8" w:rsidRPr="00067A48" w14:paraId="526974E4" w14:textId="77777777" w:rsidTr="00341A2E">
        <w:trPr>
          <w:trHeight w:val="300"/>
          <w:jc w:val="center"/>
        </w:trPr>
        <w:tc>
          <w:tcPr>
            <w:tcW w:w="1679" w:type="dxa"/>
            <w:noWrap/>
            <w:hideMark/>
          </w:tcPr>
          <w:p w14:paraId="185EDA0B"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Stage</w:t>
            </w:r>
          </w:p>
        </w:tc>
        <w:tc>
          <w:tcPr>
            <w:tcW w:w="3328" w:type="dxa"/>
            <w:noWrap/>
            <w:hideMark/>
          </w:tcPr>
          <w:p w14:paraId="09DF9451"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Key Activities</w:t>
            </w:r>
          </w:p>
        </w:tc>
        <w:tc>
          <w:tcPr>
            <w:tcW w:w="2656" w:type="dxa"/>
            <w:noWrap/>
            <w:hideMark/>
          </w:tcPr>
          <w:p w14:paraId="6149A35E"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Theoretical Justification</w:t>
            </w:r>
          </w:p>
        </w:tc>
        <w:tc>
          <w:tcPr>
            <w:tcW w:w="2165" w:type="dxa"/>
            <w:noWrap/>
            <w:hideMark/>
          </w:tcPr>
          <w:p w14:paraId="610D32F9"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Expected Organisational Outcomes</w:t>
            </w:r>
          </w:p>
        </w:tc>
      </w:tr>
      <w:tr w:rsidR="00C423D8" w:rsidRPr="00067A48" w14:paraId="285A10BE" w14:textId="77777777" w:rsidTr="00341A2E">
        <w:trPr>
          <w:trHeight w:val="300"/>
          <w:jc w:val="center"/>
        </w:trPr>
        <w:tc>
          <w:tcPr>
            <w:tcW w:w="1679" w:type="dxa"/>
            <w:noWrap/>
            <w:hideMark/>
          </w:tcPr>
          <w:p w14:paraId="32B6210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Pre-boarding (Before Day 1)</w:t>
            </w:r>
          </w:p>
        </w:tc>
        <w:tc>
          <w:tcPr>
            <w:tcW w:w="3328" w:type="dxa"/>
            <w:noWrap/>
            <w:hideMark/>
          </w:tcPr>
          <w:p w14:paraId="101DC6FD" w14:textId="77777777" w:rsidR="00C423D8" w:rsidRPr="00067A48" w:rsidRDefault="00C423D8" w:rsidP="00953776">
            <w:pPr>
              <w:numPr>
                <w:ilvl w:val="0"/>
                <w:numId w:val="1"/>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Helios will send personalised welcome package and CEO welcome video</w:t>
            </w:r>
          </w:p>
          <w:p w14:paraId="61678949" w14:textId="77777777" w:rsidR="00C423D8" w:rsidRPr="00067A48" w:rsidRDefault="00C423D8" w:rsidP="00953776">
            <w:pPr>
              <w:numPr>
                <w:ilvl w:val="0"/>
                <w:numId w:val="1"/>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Candidates will be provided with digital onboarding portal with company values, mission and organisational structure</w:t>
            </w:r>
          </w:p>
          <w:p w14:paraId="5C0AAA42" w14:textId="77777777" w:rsidR="00C423D8" w:rsidRPr="00067A48" w:rsidRDefault="00C423D8" w:rsidP="00953776">
            <w:pPr>
              <w:numPr>
                <w:ilvl w:val="0"/>
                <w:numId w:val="1"/>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They will be assigned a mentor ("Helios Buddy") before joining</w:t>
            </w:r>
          </w:p>
        </w:tc>
        <w:tc>
          <w:tcPr>
            <w:tcW w:w="2656" w:type="dxa"/>
            <w:noWrap/>
            <w:hideMark/>
          </w:tcPr>
          <w:p w14:paraId="20327FAB"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This will establish a positive psychological contract by reducing uncertainty and clarifying mutual expectations before employment begins.</w:t>
            </w:r>
          </w:p>
        </w:tc>
        <w:tc>
          <w:tcPr>
            <w:tcW w:w="2165" w:type="dxa"/>
            <w:noWrap/>
            <w:hideMark/>
          </w:tcPr>
          <w:p w14:paraId="4C5886DB" w14:textId="77777777" w:rsidR="00C423D8" w:rsidRPr="00067A48" w:rsidRDefault="00C423D8" w:rsidP="00953776">
            <w:pPr>
              <w:numPr>
                <w:ilvl w:val="0"/>
                <w:numId w:val="2"/>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Reduced newcomer anxiety</w:t>
            </w:r>
          </w:p>
          <w:p w14:paraId="7B3A6130" w14:textId="77777777" w:rsidR="00C423D8" w:rsidRPr="00067A48" w:rsidRDefault="00C423D8" w:rsidP="00953776">
            <w:pPr>
              <w:numPr>
                <w:ilvl w:val="0"/>
                <w:numId w:val="2"/>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Positive first impressions</w:t>
            </w:r>
          </w:p>
          <w:p w14:paraId="09AF6248" w14:textId="77777777" w:rsidR="00C423D8" w:rsidRPr="00067A48" w:rsidRDefault="00C423D8" w:rsidP="00953776">
            <w:pPr>
              <w:numPr>
                <w:ilvl w:val="0"/>
                <w:numId w:val="2"/>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Higher organisational commitment</w:t>
            </w:r>
          </w:p>
        </w:tc>
      </w:tr>
      <w:tr w:rsidR="00C423D8" w:rsidRPr="00067A48" w14:paraId="4C9C930A" w14:textId="77777777" w:rsidTr="00341A2E">
        <w:trPr>
          <w:trHeight w:val="300"/>
          <w:jc w:val="center"/>
        </w:trPr>
        <w:tc>
          <w:tcPr>
            <w:tcW w:w="1679" w:type="dxa"/>
            <w:noWrap/>
            <w:hideMark/>
          </w:tcPr>
          <w:p w14:paraId="2240FF6C"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First Week (Organisational Orientation)</w:t>
            </w:r>
          </w:p>
        </w:tc>
        <w:tc>
          <w:tcPr>
            <w:tcW w:w="3328" w:type="dxa"/>
            <w:noWrap/>
            <w:hideMark/>
          </w:tcPr>
          <w:p w14:paraId="3293A721" w14:textId="77777777" w:rsidR="00C423D8" w:rsidRPr="00067A48" w:rsidRDefault="00C423D8" w:rsidP="00953776">
            <w:pPr>
              <w:numPr>
                <w:ilvl w:val="0"/>
                <w:numId w:val="3"/>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An induction programme will be hosted on the joining date</w:t>
            </w:r>
          </w:p>
          <w:p w14:paraId="657F6F1C" w14:textId="77777777" w:rsidR="00C423D8" w:rsidRPr="00067A48" w:rsidRDefault="00C423D8" w:rsidP="00953776">
            <w:pPr>
              <w:numPr>
                <w:ilvl w:val="0"/>
                <w:numId w:val="3"/>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Team introductions and networking sessions will be part of the induction</w:t>
            </w:r>
          </w:p>
          <w:p w14:paraId="64D66202" w14:textId="77777777" w:rsidR="00C423D8" w:rsidRPr="00067A48" w:rsidRDefault="00C423D8" w:rsidP="00953776">
            <w:pPr>
              <w:numPr>
                <w:ilvl w:val="0"/>
                <w:numId w:val="3"/>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Ethical decision-making and compliance workshops will be hosted for them to join</w:t>
            </w:r>
          </w:p>
        </w:tc>
        <w:tc>
          <w:tcPr>
            <w:tcW w:w="2656" w:type="dxa"/>
            <w:noWrap/>
            <w:hideMark/>
          </w:tcPr>
          <w:p w14:paraId="0F7AC298"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Institutional socialisation tactics will create consistency in learning while promoting shared organisational values and behavioural expectations.</w:t>
            </w:r>
          </w:p>
        </w:tc>
        <w:tc>
          <w:tcPr>
            <w:tcW w:w="2165" w:type="dxa"/>
            <w:noWrap/>
            <w:hideMark/>
          </w:tcPr>
          <w:p w14:paraId="7387E8DA" w14:textId="77777777" w:rsidR="00C423D8" w:rsidRPr="00067A48" w:rsidRDefault="00C423D8" w:rsidP="00953776">
            <w:pPr>
              <w:numPr>
                <w:ilvl w:val="0"/>
                <w:numId w:val="4"/>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Stronger organisational identification</w:t>
            </w:r>
          </w:p>
          <w:p w14:paraId="3FFCF6C5" w14:textId="77777777" w:rsidR="00C423D8" w:rsidRPr="00067A48" w:rsidRDefault="00C423D8" w:rsidP="00953776">
            <w:pPr>
              <w:numPr>
                <w:ilvl w:val="0"/>
                <w:numId w:val="4"/>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Better understanding of organisational culture</w:t>
            </w:r>
          </w:p>
          <w:p w14:paraId="6693BBE8" w14:textId="77777777" w:rsidR="00C423D8" w:rsidRPr="00067A48" w:rsidRDefault="00C423D8" w:rsidP="00953776">
            <w:pPr>
              <w:numPr>
                <w:ilvl w:val="0"/>
                <w:numId w:val="4"/>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Increased confidence and role clarity</w:t>
            </w:r>
          </w:p>
        </w:tc>
      </w:tr>
      <w:tr w:rsidR="00C423D8" w:rsidRPr="00067A48" w14:paraId="32891419" w14:textId="77777777" w:rsidTr="00341A2E">
        <w:trPr>
          <w:trHeight w:val="300"/>
          <w:jc w:val="center"/>
        </w:trPr>
        <w:tc>
          <w:tcPr>
            <w:tcW w:w="1679" w:type="dxa"/>
            <w:noWrap/>
            <w:hideMark/>
          </w:tcPr>
          <w:p w14:paraId="2DC1C5B8"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lastRenderedPageBreak/>
              <w:t>First 90 Days (Integration Phase)</w:t>
            </w:r>
          </w:p>
        </w:tc>
        <w:tc>
          <w:tcPr>
            <w:tcW w:w="3328" w:type="dxa"/>
            <w:noWrap/>
            <w:hideMark/>
          </w:tcPr>
          <w:p w14:paraId="7DCAEA93"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There will be weekly mentor meetings</w:t>
            </w:r>
          </w:p>
          <w:p w14:paraId="6C95F539"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A monthly performance and development feedback session by the reporting manager</w:t>
            </w:r>
          </w:p>
          <w:p w14:paraId="4FED743B"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Cross-functional project participation</w:t>
            </w:r>
          </w:p>
          <w:p w14:paraId="6390E442"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Innovation and collaboration workshops for the new-hires to join</w:t>
            </w:r>
          </w:p>
        </w:tc>
        <w:tc>
          <w:tcPr>
            <w:tcW w:w="2656" w:type="dxa"/>
            <w:noWrap/>
            <w:hideMark/>
          </w:tcPr>
          <w:p w14:paraId="4891963C"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Continuous socialisation will strengthen employee identity through meaningful interactions, feedback and experiential learning while reinforcing the psychological contract.</w:t>
            </w:r>
          </w:p>
        </w:tc>
        <w:tc>
          <w:tcPr>
            <w:tcW w:w="2165" w:type="dxa"/>
            <w:noWrap/>
            <w:hideMark/>
          </w:tcPr>
          <w:p w14:paraId="143D68F8" w14:textId="77777777" w:rsidR="00C423D8" w:rsidRPr="00067A48" w:rsidRDefault="00C423D8" w:rsidP="00953776">
            <w:pPr>
              <w:numPr>
                <w:ilvl w:val="0"/>
                <w:numId w:val="6"/>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Shorter learning curve</w:t>
            </w:r>
          </w:p>
          <w:p w14:paraId="12F0BE86" w14:textId="77777777" w:rsidR="00C423D8" w:rsidRPr="00067A48" w:rsidRDefault="00C423D8" w:rsidP="00953776">
            <w:pPr>
              <w:numPr>
                <w:ilvl w:val="0"/>
                <w:numId w:val="6"/>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Improved collaboration</w:t>
            </w:r>
          </w:p>
          <w:p w14:paraId="38C9D8A5" w14:textId="77777777" w:rsidR="00C423D8" w:rsidRPr="00067A48" w:rsidRDefault="00C423D8" w:rsidP="00953776">
            <w:pPr>
              <w:numPr>
                <w:ilvl w:val="0"/>
                <w:numId w:val="6"/>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Higher employee engagement</w:t>
            </w:r>
          </w:p>
        </w:tc>
      </w:tr>
      <w:tr w:rsidR="00C423D8" w:rsidRPr="00067A48" w14:paraId="52A4E46D" w14:textId="77777777" w:rsidTr="00341A2E">
        <w:trPr>
          <w:trHeight w:val="300"/>
          <w:jc w:val="center"/>
        </w:trPr>
        <w:tc>
          <w:tcPr>
            <w:tcW w:w="1679" w:type="dxa"/>
            <w:noWrap/>
            <w:hideMark/>
          </w:tcPr>
          <w:p w14:paraId="4FD4DAF9"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Months 4–12 (Development &amp; Retention)</w:t>
            </w:r>
          </w:p>
        </w:tc>
        <w:tc>
          <w:tcPr>
            <w:tcW w:w="3328" w:type="dxa"/>
            <w:noWrap/>
            <w:hideMark/>
          </w:tcPr>
          <w:p w14:paraId="33E15EC5" w14:textId="77777777" w:rsidR="00C423D8" w:rsidRPr="00067A48" w:rsidRDefault="00C423D8" w:rsidP="00953776">
            <w:pPr>
              <w:numPr>
                <w:ilvl w:val="0"/>
                <w:numId w:val="6"/>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Individual development plans (IDPs) will be essential for retention</w:t>
            </w:r>
          </w:p>
          <w:p w14:paraId="67FD7D03" w14:textId="77777777" w:rsidR="00C423D8" w:rsidRPr="00067A48" w:rsidRDefault="00C423D8" w:rsidP="00953776">
            <w:pPr>
              <w:numPr>
                <w:ilvl w:val="0"/>
                <w:numId w:val="6"/>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Leadership development opportunities will be provided for career growth and motivation purposes</w:t>
            </w:r>
          </w:p>
          <w:p w14:paraId="02B1C6F1" w14:textId="77777777" w:rsidR="00C423D8" w:rsidRPr="00067A48" w:rsidRDefault="00C423D8" w:rsidP="00953776">
            <w:pPr>
              <w:numPr>
                <w:ilvl w:val="0"/>
                <w:numId w:val="6"/>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International collaboration opportunities across London, Berlin and Singapore</w:t>
            </w:r>
          </w:p>
        </w:tc>
        <w:tc>
          <w:tcPr>
            <w:tcW w:w="2656" w:type="dxa"/>
            <w:noWrap/>
            <w:hideMark/>
          </w:tcPr>
          <w:p w14:paraId="7929BFC6"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It is expected that Long-term socialisation will support identity construction and develops employees into organisational citizens who contribute strategically beyond their formal job roles.</w:t>
            </w:r>
          </w:p>
        </w:tc>
        <w:tc>
          <w:tcPr>
            <w:tcW w:w="2165" w:type="dxa"/>
            <w:noWrap/>
            <w:hideMark/>
          </w:tcPr>
          <w:p w14:paraId="51AEFFEC" w14:textId="77777777" w:rsidR="00C423D8" w:rsidRPr="00067A48" w:rsidRDefault="00C423D8" w:rsidP="00953776">
            <w:pPr>
              <w:numPr>
                <w:ilvl w:val="0"/>
                <w:numId w:val="7"/>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Reduced graduate attrition</w:t>
            </w:r>
          </w:p>
          <w:p w14:paraId="419CEE5B" w14:textId="77777777" w:rsidR="00C423D8" w:rsidRPr="00067A48" w:rsidRDefault="00C423D8" w:rsidP="00953776">
            <w:pPr>
              <w:numPr>
                <w:ilvl w:val="0"/>
                <w:numId w:val="7"/>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Increased innovation capability</w:t>
            </w:r>
          </w:p>
          <w:p w14:paraId="3C70E8EF" w14:textId="77777777" w:rsidR="00C423D8" w:rsidRPr="00067A48" w:rsidRDefault="00C423D8" w:rsidP="00953776">
            <w:pPr>
              <w:numPr>
                <w:ilvl w:val="0"/>
                <w:numId w:val="7"/>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Higher employee retention and leadership readiness</w:t>
            </w:r>
          </w:p>
        </w:tc>
      </w:tr>
    </w:tbl>
    <w:p w14:paraId="1ADC0E01" w14:textId="15CEDD4E" w:rsidR="00C423D8" w:rsidRDefault="00C423D8" w:rsidP="00953776">
      <w:pPr>
        <w:spacing w:before="120" w:after="120" w:line="360" w:lineRule="auto"/>
        <w:jc w:val="both"/>
        <w:rPr>
          <w:rFonts w:ascii="Arial" w:eastAsia="Arial" w:hAnsi="Arial" w:cs="Arial"/>
          <w:kern w:val="0"/>
          <w:sz w:val="24"/>
          <w:szCs w:val="24"/>
          <w:lang w:val="en-GB"/>
          <w14:ligatures w14:val="none"/>
        </w:rPr>
      </w:pPr>
    </w:p>
    <w:p w14:paraId="3F680D31" w14:textId="65F494B9" w:rsidR="00067A48" w:rsidRPr="00067A48" w:rsidRDefault="00067A48" w:rsidP="00953776">
      <w:pPr>
        <w:spacing w:before="120" w:after="120" w:line="360" w:lineRule="auto"/>
        <w:jc w:val="both"/>
        <w:rPr>
          <w:rFonts w:ascii="Arial" w:eastAsia="Arial" w:hAnsi="Arial" w:cs="Arial"/>
          <w:kern w:val="0"/>
          <w:sz w:val="24"/>
          <w:szCs w:val="24"/>
          <w:lang w:val="en-GB"/>
          <w14:ligatures w14:val="none"/>
        </w:rPr>
      </w:pPr>
      <w:r>
        <w:rPr>
          <w:rFonts w:ascii="Arial" w:eastAsia="Arial" w:hAnsi="Arial" w:cs="Arial"/>
          <w:kern w:val="0"/>
          <w:sz w:val="24"/>
          <w:szCs w:val="24"/>
          <w:lang w:val="en-GB"/>
          <w14:ligatures w14:val="none"/>
        </w:rPr>
        <w:t xml:space="preserve">This socialisation framework adopts a phased approach that will extend beyond conventional onboarding and intends to support employees throughout the first year of employment. </w:t>
      </w:r>
      <w:r w:rsidRPr="00067A48">
        <w:rPr>
          <w:rFonts w:ascii="Arial" w:eastAsia="Arial" w:hAnsi="Arial" w:cs="Arial"/>
          <w:kern w:val="0"/>
          <w:sz w:val="24"/>
          <w:szCs w:val="24"/>
          <w:lang w:val="en-GB"/>
          <w14:ligatures w14:val="none"/>
        </w:rPr>
        <w:t>Beginning with pre-boarding reduces uncertainty and establishes positive expectations, while structured orientation ensures consistent communication of organisational values and behavioural standards.</w:t>
      </w:r>
      <w:r>
        <w:rPr>
          <w:rFonts w:ascii="Arial" w:eastAsia="Arial" w:hAnsi="Arial" w:cs="Arial"/>
          <w:kern w:val="0"/>
          <w:sz w:val="24"/>
          <w:szCs w:val="24"/>
          <w:lang w:val="en-GB"/>
          <w14:ligatures w14:val="none"/>
        </w:rPr>
        <w:t xml:space="preserve"> Ongoing mentoring, feedback and </w:t>
      </w:r>
      <w:r>
        <w:rPr>
          <w:rFonts w:ascii="Arial" w:eastAsia="Arial" w:hAnsi="Arial" w:cs="Arial"/>
          <w:kern w:val="0"/>
          <w:sz w:val="24"/>
          <w:szCs w:val="24"/>
          <w:lang w:val="en-GB"/>
          <w14:ligatures w14:val="none"/>
        </w:rPr>
        <w:lastRenderedPageBreak/>
        <w:t xml:space="preserve">cross-functional collaboration </w:t>
      </w:r>
      <w:r w:rsidR="00AB1E78">
        <w:rPr>
          <w:rFonts w:ascii="Arial" w:eastAsia="Arial" w:hAnsi="Arial" w:cs="Arial"/>
          <w:kern w:val="0"/>
          <w:sz w:val="24"/>
          <w:szCs w:val="24"/>
          <w:lang w:val="en-GB"/>
          <w14:ligatures w14:val="none"/>
        </w:rPr>
        <w:t xml:space="preserve">during the first 3 months period will facilitate faster learning and resilient workplace relations. </w:t>
      </w:r>
      <w:r w:rsidR="00AB1E78" w:rsidRPr="00AB1E78">
        <w:rPr>
          <w:rFonts w:ascii="Arial" w:eastAsia="Arial" w:hAnsi="Arial" w:cs="Arial"/>
          <w:kern w:val="0"/>
          <w:sz w:val="24"/>
          <w:szCs w:val="24"/>
          <w14:ligatures w14:val="none"/>
        </w:rPr>
        <w:t>The final development stage emphasises continuous learning, leadership development and international collaboration to strengthen long-term organisational commitment.</w:t>
      </w:r>
      <w:r w:rsidR="00AB1E78">
        <w:rPr>
          <w:rFonts w:ascii="Arial" w:eastAsia="Arial" w:hAnsi="Arial" w:cs="Arial"/>
          <w:kern w:val="0"/>
          <w:sz w:val="24"/>
          <w:szCs w:val="24"/>
          <w14:ligatures w14:val="none"/>
        </w:rPr>
        <w:t xml:space="preserve"> Collectively, the proposed framework will improve employee engagement and minimise graduate attrition, </w:t>
      </w:r>
      <w:r w:rsidR="00AB1E78" w:rsidRPr="00AB1E78">
        <w:rPr>
          <w:rFonts w:ascii="Arial" w:eastAsia="Arial" w:hAnsi="Arial" w:cs="Arial"/>
          <w:kern w:val="0"/>
          <w:sz w:val="24"/>
          <w:szCs w:val="24"/>
          <w14:ligatures w14:val="none"/>
        </w:rPr>
        <w:t>thereby supporting Helios' strategic renewal objectives.</w:t>
      </w:r>
    </w:p>
    <w:p w14:paraId="0711FF21"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2" w:name="_9telrwnjn8mm" w:colFirst="0" w:colLast="0"/>
      <w:bookmarkStart w:id="13" w:name="_Toc234410571"/>
      <w:bookmarkEnd w:id="12"/>
      <w:r w:rsidRPr="00067A48">
        <w:rPr>
          <w:rFonts w:ascii="Arial" w:eastAsia="Arial" w:hAnsi="Arial" w:cs="Arial"/>
          <w:b/>
          <w:bCs/>
          <w:kern w:val="0"/>
          <w:sz w:val="24"/>
          <w:szCs w:val="24"/>
          <w:lang w:val="en-GB"/>
          <w14:ligatures w14:val="none"/>
        </w:rPr>
        <w:t>2.3 Developing Organisational Citizens</w:t>
      </w:r>
      <w:bookmarkEnd w:id="13"/>
    </w:p>
    <w:p w14:paraId="58754265"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Ethical Professionalism</w:t>
      </w:r>
    </w:p>
    <w:p w14:paraId="2580F961"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Drawing on the discussion on organisational citizenship behaviour above, it is understood that transforming employees into organisational citizens can help Helios reduce their graduate turnover. In the process, it is important for them to consider implementing ethical leadership by showing genuine concern for them, communicating openly and without consequences, fostering mutual trust and respect, while also offering emotional support to employees even for their personal situations (Djaya, Lataruva and Arminta, 2024). This creates psychological safety for employees, lowering their turnover intentions.</w:t>
      </w:r>
    </w:p>
    <w:p w14:paraId="5FEBCC29"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Business Activism</w:t>
      </w:r>
    </w:p>
    <w:p w14:paraId="74043D7F"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Other than leading employees ethically to develop organisational citizens, Helios may also consider conducting business activism through their HR professionals. The rationale behind this is the fact that if HR professionals keep their promises and communicate clearly with employees while delivering consistent messages, they can foster trust among employees and build long-term relationships with them as well (Ulrich, 2016). This can transform them into stakeholder advocates, noticeably decreasing their turnover intentions.</w:t>
      </w:r>
    </w:p>
    <w:p w14:paraId="61B833F6"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Stakeholder Capitalism</w:t>
      </w:r>
    </w:p>
    <w:p w14:paraId="72AE43E6"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Building on the discussion up to this point, it can be inferred that with psychological safety, positive relationships with HR professionals, and enhanced trust in them, the employees of Helios would be in a position where they would prioritise customers, investors, society, and the environment as well, alongside focusing on their profits. As a result, these would invariably increase their engagement, enhance their socialisation, and reduce their turnover intentions as well.</w:t>
      </w:r>
    </w:p>
    <w:p w14:paraId="226FBF19"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14" w:name="_n9t4vtln36g9" w:colFirst="0" w:colLast="0"/>
      <w:bookmarkStart w:id="15" w:name="_Toc234410572"/>
      <w:bookmarkEnd w:id="14"/>
      <w:r w:rsidRPr="00067A48">
        <w:rPr>
          <w:rFonts w:ascii="Arial" w:eastAsia="Arial" w:hAnsi="Arial" w:cs="Arial"/>
          <w:b/>
          <w:bCs/>
          <w:kern w:val="0"/>
          <w:sz w:val="26"/>
          <w:szCs w:val="26"/>
          <w:lang w:val="en-GB"/>
          <w14:ligatures w14:val="none"/>
        </w:rPr>
        <w:lastRenderedPageBreak/>
        <w:t>3. Task B: Innovative Job Design Strategy</w:t>
      </w:r>
      <w:bookmarkEnd w:id="15"/>
    </w:p>
    <w:p w14:paraId="3402F554"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6" w:name="_d16on2qjb2" w:colFirst="0" w:colLast="0"/>
      <w:bookmarkStart w:id="17" w:name="_Toc234410573"/>
      <w:bookmarkEnd w:id="16"/>
      <w:r w:rsidRPr="00067A48">
        <w:rPr>
          <w:rFonts w:ascii="Arial" w:eastAsia="Arial" w:hAnsi="Arial" w:cs="Arial"/>
          <w:b/>
          <w:bCs/>
          <w:kern w:val="0"/>
          <w:sz w:val="24"/>
          <w:szCs w:val="24"/>
          <w:lang w:val="en-GB"/>
          <w14:ligatures w14:val="none"/>
        </w:rPr>
        <w:t>3.1 Critical Evaluation of Job Design Models</w:t>
      </w:r>
      <w:bookmarkEnd w:id="17"/>
    </w:p>
    <w:p w14:paraId="708A69C9"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Traditional Job Design</w:t>
      </w:r>
    </w:p>
    <w:p w14:paraId="09092ECC"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The traditional job design model is shaped by the Taylorism principles, which explicitly mention that the management or an organisation needs to inform their employees regarding what tasks to do, when to do them, and how to do them, even including information on rest periods as well (Fleury, 2025). The analysis of this information suggests that traditional job design models mostly prioritise preparing detailed task methods and standard times, besides emphasising training and development, and paying remuneration to employees according to their performance. However, such an approach also has its own limitations. For example, emphasising work methods robs employees of their work autonomy, while performance-based payment can act as a short-term motivational factor for them.</w:t>
      </w:r>
    </w:p>
    <w:p w14:paraId="4054F571"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Hackman and Oldham Job Characteristics Model</w:t>
      </w:r>
    </w:p>
    <w:p w14:paraId="1658C5C6"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The job design model developed by Hackman and Oldham (1976) pivots around five core job dimensions. Further analysis of the model reveals that Helios may design jobs in a way that can leverage a variety of skills of an employee; however, an employee with a variety of skills may lack expertise in any particular domain. Likewise, job design models that emphasise visible outcomes may often find it difficult to measure the task identity objectively. Additionally, the job characteristics model also emphasises that through job design, employees understand the significance of their task; however, if employees perceive their tasks as insignificant, they may also be demotivated. Similarly, jobs granting autonomy to employees may face consequences of non-compliance, while feedback for enhancing employee effectiveness may also backfire and demotivate employees if not communicated constructively (Hackman and Oldham, 1976).</w:t>
      </w:r>
    </w:p>
    <w:p w14:paraId="66A7E89C"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Job Crafting Theory</w:t>
      </w:r>
    </w:p>
    <w:p w14:paraId="5293A4E7" w14:textId="481C6E41"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Going by the discussion above, it may appear that none of the job design models discussed so far is suitable for the case of Helios because all of them are designed from the organisational perspective. It is essential that employees redesign the aspects of their own work for better synchronisation. This can be justified through the </w:t>
      </w:r>
      <w:r w:rsidRPr="00067A48">
        <w:rPr>
          <w:rFonts w:ascii="Arial" w:eastAsia="Arial" w:hAnsi="Arial" w:cs="Arial"/>
          <w:kern w:val="0"/>
          <w:sz w:val="24"/>
          <w:szCs w:val="24"/>
          <w:lang w:val="en-GB"/>
          <w14:ligatures w14:val="none"/>
        </w:rPr>
        <w:lastRenderedPageBreak/>
        <w:t xml:space="preserve">lens of the job crafting theory, which advocates that </w:t>
      </w:r>
      <w:r w:rsidR="00067A48">
        <w:rPr>
          <w:rFonts w:ascii="Arial" w:eastAsia="Arial" w:hAnsi="Arial" w:cs="Arial"/>
          <w:kern w:val="0"/>
          <w:sz w:val="24"/>
          <w:szCs w:val="24"/>
          <w:lang w:val="en-GB"/>
          <w14:ligatures w14:val="none"/>
        </w:rPr>
        <w:t xml:space="preserve">the </w:t>
      </w:r>
      <w:r w:rsidRPr="00067A48">
        <w:rPr>
          <w:rFonts w:ascii="Arial" w:eastAsia="Arial" w:hAnsi="Arial" w:cs="Arial"/>
          <w:kern w:val="0"/>
          <w:sz w:val="24"/>
          <w:szCs w:val="24"/>
          <w:lang w:val="en-GB"/>
          <w14:ligatures w14:val="none"/>
        </w:rPr>
        <w:t>employees need to be granted the autonomy to redesign their task and relational boundaries at a workplace, allowing them to alter their work meaning as per their suitability, while also facilitating better socialisation opportunities (Wrześniewski and Dutton, 2001). However, this approach is particularly suitable for innovative organisations, making it also aligned with the work culture of Helios.</w:t>
      </w:r>
    </w:p>
    <w:p w14:paraId="052A11E8"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8" w:name="_3dx47hp5qvdk" w:colFirst="0" w:colLast="0"/>
      <w:bookmarkStart w:id="19" w:name="_Toc234410574"/>
      <w:bookmarkEnd w:id="18"/>
      <w:r w:rsidRPr="00067A48">
        <w:rPr>
          <w:rFonts w:ascii="Arial" w:eastAsia="Arial" w:hAnsi="Arial" w:cs="Arial"/>
          <w:b/>
          <w:bCs/>
          <w:kern w:val="0"/>
          <w:sz w:val="24"/>
          <w:szCs w:val="24"/>
          <w:lang w:val="en-GB"/>
          <w14:ligatures w14:val="none"/>
        </w:rPr>
        <w:t>3.2 Proposed Job Design Strategy</w:t>
      </w:r>
      <w:bookmarkEnd w:id="19"/>
    </w:p>
    <w:p w14:paraId="39FD988B"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20" w:name="_9fu7zxzb6xuh" w:colFirst="0" w:colLast="0"/>
      <w:bookmarkStart w:id="21" w:name="_Toc234410575"/>
      <w:bookmarkEnd w:id="20"/>
      <w:r w:rsidRPr="00067A48">
        <w:rPr>
          <w:rFonts w:ascii="Arial" w:eastAsia="Arial" w:hAnsi="Arial" w:cs="Arial"/>
          <w:b/>
          <w:bCs/>
          <w:i/>
          <w:iCs/>
          <w:kern w:val="0"/>
          <w:sz w:val="24"/>
          <w:szCs w:val="24"/>
          <w:lang w:val="en-GB"/>
          <w14:ligatures w14:val="none"/>
        </w:rPr>
        <w:t>3.2.1 Recommendation 1: Enrich Jobs Using the Job Characteristics Model</w:t>
      </w:r>
      <w:bookmarkEnd w:id="21"/>
    </w:p>
    <w:p w14:paraId="50D1ED3A" w14:textId="2C423F60"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It is recommended that Helios consider designing its jobs guided by the approach illustrated in the model. For example, Helios may choose to increase the skill variety aspect by allowing their employees to work on AI development, infrastructure analytics and client implementation projects. Additionally, Helios may also focus on enhancing their task identity by allowing employees to own complete project stages rather than isolated tasks. Contextually, the company may also choose to increase the significance of their tasks by regularly communicating how Helios' mobility solutions improve sustainable urban transport. Helios may also expand workplace autonomy through flexible work arrangements and decentralised decision-making, while also offering feedback through monthly coaching sessions and project reviews</w:t>
      </w:r>
      <w:r w:rsidR="00B04F12">
        <w:rPr>
          <w:rFonts w:ascii="Arial" w:eastAsia="Arial" w:hAnsi="Arial" w:cs="Arial"/>
          <w:kern w:val="0"/>
          <w:sz w:val="24"/>
          <w:szCs w:val="24"/>
          <w:lang w:val="en-GB"/>
          <w14:ligatures w14:val="none"/>
        </w:rPr>
        <w:t xml:space="preserve"> (</w:t>
      </w:r>
      <w:r w:rsidR="00B04F12" w:rsidRPr="00B04F12">
        <w:rPr>
          <w:rFonts w:ascii="Arial" w:eastAsia="Arial" w:hAnsi="Arial" w:cs="Arial"/>
          <w:kern w:val="0"/>
          <w:sz w:val="24"/>
          <w:szCs w:val="24"/>
          <w:lang w:val="en-GB"/>
          <w14:ligatures w14:val="none"/>
        </w:rPr>
        <w:t>Khalid Salaudin, Ahmad Kamal and Mohammad</w:t>
      </w:r>
      <w:r w:rsidR="00B04F12">
        <w:rPr>
          <w:rFonts w:ascii="Arial" w:eastAsia="Arial" w:hAnsi="Arial" w:cs="Arial"/>
          <w:kern w:val="0"/>
          <w:sz w:val="24"/>
          <w:szCs w:val="24"/>
          <w:lang w:val="en-GB"/>
          <w14:ligatures w14:val="none"/>
        </w:rPr>
        <w:t>, 2022)</w:t>
      </w:r>
      <w:r w:rsidRPr="00067A48">
        <w:rPr>
          <w:rFonts w:ascii="Arial" w:eastAsia="Arial" w:hAnsi="Arial" w:cs="Arial"/>
          <w:kern w:val="0"/>
          <w:sz w:val="24"/>
          <w:szCs w:val="24"/>
          <w:lang w:val="en-GB"/>
          <w14:ligatures w14:val="none"/>
        </w:rPr>
        <w:t>. Together, these changes are expected to increase employees' psychological meaningfulness, responsibility and knowledge of results, thereby improving their motivation and engagement.</w:t>
      </w:r>
    </w:p>
    <w:p w14:paraId="2086B705"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22" w:name="_9n4r3if49os4" w:colFirst="0" w:colLast="0"/>
      <w:bookmarkStart w:id="23" w:name="_Toc234410576"/>
      <w:bookmarkEnd w:id="22"/>
      <w:r w:rsidRPr="00067A48">
        <w:rPr>
          <w:rFonts w:ascii="Arial" w:eastAsia="Arial" w:hAnsi="Arial" w:cs="Arial"/>
          <w:b/>
          <w:bCs/>
          <w:i/>
          <w:iCs/>
          <w:kern w:val="0"/>
          <w:sz w:val="24"/>
          <w:szCs w:val="24"/>
          <w:lang w:val="en-GB"/>
          <w14:ligatures w14:val="none"/>
        </w:rPr>
        <w:t>3.2.2 Recommendation 2: Encourage Employee Job Crafting</w:t>
      </w:r>
      <w:bookmarkEnd w:id="23"/>
    </w:p>
    <w:p w14:paraId="6B27F256" w14:textId="4A60DB7E"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Building on the understanding of the job crafting model, as a practical recommendation, it is suggested that Helios may consider allowing their employees to choose innovation projects, besides encouraging them to establish cross-functional collaboration</w:t>
      </w:r>
      <w:r w:rsidR="006D139D">
        <w:rPr>
          <w:rFonts w:ascii="Arial" w:eastAsia="Arial" w:hAnsi="Arial" w:cs="Arial"/>
          <w:kern w:val="0"/>
          <w:sz w:val="24"/>
          <w:szCs w:val="24"/>
          <w:lang w:val="en-GB"/>
          <w14:ligatures w14:val="none"/>
        </w:rPr>
        <w:t xml:space="preserve"> (</w:t>
      </w:r>
      <w:r w:rsidR="006D139D" w:rsidRPr="006D139D">
        <w:rPr>
          <w:rFonts w:ascii="Arial" w:eastAsia="Arial" w:hAnsi="Arial" w:cs="Arial"/>
          <w:kern w:val="0"/>
          <w:sz w:val="24"/>
          <w:szCs w:val="24"/>
          <w:lang w:val="en-GB"/>
          <w14:ligatures w14:val="none"/>
        </w:rPr>
        <w:t>Mansour and Mohanna</w:t>
      </w:r>
      <w:r w:rsidR="006D139D">
        <w:rPr>
          <w:rFonts w:ascii="Arial" w:eastAsia="Arial" w:hAnsi="Arial" w:cs="Arial"/>
          <w:kern w:val="0"/>
          <w:sz w:val="24"/>
          <w:szCs w:val="24"/>
          <w:lang w:val="en-GB"/>
          <w14:ligatures w14:val="none"/>
        </w:rPr>
        <w:t>, 2024)</w:t>
      </w:r>
      <w:r w:rsidRPr="00067A48">
        <w:rPr>
          <w:rFonts w:ascii="Arial" w:eastAsia="Arial" w:hAnsi="Arial" w:cs="Arial"/>
          <w:kern w:val="0"/>
          <w:sz w:val="24"/>
          <w:szCs w:val="24"/>
          <w:lang w:val="en-GB"/>
          <w14:ligatures w14:val="none"/>
        </w:rPr>
        <w:t>. These measures not only would grant the much-needed workplace autonomy to their employees, but they also would facilitate better and faster socialisation. Moreover, Helios may also choose to allow their employees to redesign aspects of their work, and to participate in hackathons as well, which would boost their creativity</w:t>
      </w:r>
      <w:r w:rsidR="006D139D">
        <w:rPr>
          <w:rFonts w:ascii="Arial" w:eastAsia="Arial" w:hAnsi="Arial" w:cs="Arial"/>
          <w:kern w:val="0"/>
          <w:sz w:val="24"/>
          <w:szCs w:val="24"/>
          <w:lang w:val="en-GB"/>
          <w14:ligatures w14:val="none"/>
        </w:rPr>
        <w:t xml:space="preserve"> (</w:t>
      </w:r>
      <w:r w:rsidR="006D139D" w:rsidRPr="006D139D">
        <w:rPr>
          <w:rFonts w:ascii="Arial" w:eastAsia="Arial" w:hAnsi="Arial" w:cs="Arial"/>
          <w:kern w:val="0"/>
          <w:sz w:val="24"/>
          <w:szCs w:val="24"/>
          <w:lang w:val="en-GB"/>
          <w14:ligatures w14:val="none"/>
        </w:rPr>
        <w:t>Garg and Sinha</w:t>
      </w:r>
      <w:r w:rsidR="006D139D">
        <w:rPr>
          <w:rFonts w:ascii="Arial" w:eastAsia="Arial" w:hAnsi="Arial" w:cs="Arial"/>
          <w:kern w:val="0"/>
          <w:sz w:val="24"/>
          <w:szCs w:val="24"/>
          <w:lang w:val="en-GB"/>
          <w14:ligatures w14:val="none"/>
        </w:rPr>
        <w:t>, 2023)</w:t>
      </w:r>
      <w:r w:rsidRPr="00067A48">
        <w:rPr>
          <w:rFonts w:ascii="Arial" w:eastAsia="Arial" w:hAnsi="Arial" w:cs="Arial"/>
          <w:kern w:val="0"/>
          <w:sz w:val="24"/>
          <w:szCs w:val="24"/>
          <w:lang w:val="en-GB"/>
          <w14:ligatures w14:val="none"/>
        </w:rPr>
        <w:t>. It is also suggested that long-standing Helios employees get mentoring opportunities, which can increase their sense of ownership as well.</w:t>
      </w:r>
    </w:p>
    <w:p w14:paraId="7688BDEE"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24" w:name="_gk0otjcj1941" w:colFirst="0" w:colLast="0"/>
      <w:bookmarkStart w:id="25" w:name="_Toc234410577"/>
      <w:bookmarkEnd w:id="24"/>
      <w:r w:rsidRPr="00067A48">
        <w:rPr>
          <w:rFonts w:ascii="Arial" w:eastAsia="Arial" w:hAnsi="Arial" w:cs="Arial"/>
          <w:b/>
          <w:bCs/>
          <w:i/>
          <w:iCs/>
          <w:kern w:val="0"/>
          <w:sz w:val="24"/>
          <w:szCs w:val="24"/>
          <w:lang w:val="en-GB"/>
          <w14:ligatures w14:val="none"/>
        </w:rPr>
        <w:lastRenderedPageBreak/>
        <w:t>3.2.3 Recommendation 3: Introduce a Skills-Based Architecture</w:t>
      </w:r>
      <w:bookmarkEnd w:id="25"/>
    </w:p>
    <w:p w14:paraId="76EB5ADA"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Being in the smart transportation industry, it is necessary that Helios move away from rigid and generalistic job descriptions, and in place of that, the company is advised to adopt an approach that can enable the company to seek candidates with specific skillsets. For example, in lieu of advertising for the post of software engineer, the company is recommended to seek specialised skills, such as Python, AI, Data Analytics, User Experience designers, and sustainability experts, helping the company to build a skill-based architecture. It is also recommended that Helios allow their employees to move freely between projects according to their capabilities, to leverage the aspect of their skill variety. Moreover, this would also offer flexibility, reduce additional recruitment costs, and improve graduate retention.</w:t>
      </w:r>
    </w:p>
    <w:p w14:paraId="3E096617"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26" w:name="_1ssnuqbfq086" w:colFirst="0" w:colLast="0"/>
      <w:bookmarkStart w:id="27" w:name="_Toc234410578"/>
      <w:bookmarkEnd w:id="26"/>
      <w:r w:rsidRPr="00067A48">
        <w:rPr>
          <w:rFonts w:ascii="Arial" w:eastAsia="Arial" w:hAnsi="Arial" w:cs="Arial"/>
          <w:b/>
          <w:bCs/>
          <w:kern w:val="0"/>
          <w:sz w:val="24"/>
          <w:szCs w:val="24"/>
          <w:lang w:val="en-GB"/>
          <w14:ligatures w14:val="none"/>
        </w:rPr>
        <w:t>3.3 Motivation and Innovation</w:t>
      </w:r>
      <w:bookmarkEnd w:id="27"/>
    </w:p>
    <w:p w14:paraId="099E54CE"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Intrinsic Motivation</w:t>
      </w:r>
    </w:p>
    <w:p w14:paraId="1A280B26" w14:textId="6DCEBC21"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It is important to note here that the proposed job design strategy recommendations for Helios have been developed with a focus on employee motivation. When viewed through the framework of the self-determination theory, it becomes clear that by allowing decentralised decision-making to fulfil the autonomy of employees, mentoring opportunities for long-standing employees to ensure the competency development of employees, and cross-functional collaboration to foster relatedness, Helios would be able to meet the psychological needs of their employees (Deci and Ryan, 2012</w:t>
      </w:r>
      <w:r w:rsidR="006D139D">
        <w:rPr>
          <w:rFonts w:ascii="Arial" w:eastAsia="Arial" w:hAnsi="Arial" w:cs="Arial"/>
          <w:kern w:val="0"/>
          <w:sz w:val="24"/>
          <w:szCs w:val="24"/>
          <w:lang w:val="en-GB"/>
          <w14:ligatures w14:val="none"/>
        </w:rPr>
        <w:t xml:space="preserve">; </w:t>
      </w:r>
      <w:r w:rsidR="006D139D" w:rsidRPr="006D139D">
        <w:rPr>
          <w:rFonts w:ascii="Arial" w:eastAsia="Arial" w:hAnsi="Arial" w:cs="Arial"/>
          <w:kern w:val="0"/>
          <w:sz w:val="24"/>
          <w:szCs w:val="24"/>
          <w:lang w:val="en-GB"/>
          <w14:ligatures w14:val="none"/>
        </w:rPr>
        <w:t>Fishbach and Woolley</w:t>
      </w:r>
      <w:r w:rsidR="006D139D">
        <w:rPr>
          <w:rFonts w:ascii="Arial" w:eastAsia="Arial" w:hAnsi="Arial" w:cs="Arial"/>
          <w:kern w:val="0"/>
          <w:sz w:val="24"/>
          <w:szCs w:val="24"/>
          <w:lang w:val="en-GB"/>
          <w14:ligatures w14:val="none"/>
        </w:rPr>
        <w:t>, 2022</w:t>
      </w:r>
      <w:r w:rsidRPr="00067A48">
        <w:rPr>
          <w:rFonts w:ascii="Arial" w:eastAsia="Arial" w:hAnsi="Arial" w:cs="Arial"/>
          <w:kern w:val="0"/>
          <w:sz w:val="24"/>
          <w:szCs w:val="24"/>
          <w:lang w:val="en-GB"/>
          <w14:ligatures w14:val="none"/>
        </w:rPr>
        <w:t>). As a result, employees are more likely to develop higher engagement and reduced intentions to leave the organisation.</w:t>
      </w:r>
    </w:p>
    <w:p w14:paraId="0D408002"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Innovation</w:t>
      </w:r>
    </w:p>
    <w:p w14:paraId="7E7B7FF9" w14:textId="2BE8CA4F" w:rsidR="00C423D8" w:rsidRPr="006D139D" w:rsidRDefault="00C423D8" w:rsidP="00953776">
      <w:pPr>
        <w:spacing w:before="120" w:after="120" w:line="360" w:lineRule="auto"/>
        <w:jc w:val="both"/>
        <w:rPr>
          <w:rFonts w:ascii="Arial" w:eastAsia="Arial" w:hAnsi="Arial" w:cs="Arial"/>
          <w:kern w:val="0"/>
          <w:sz w:val="24"/>
          <w:szCs w:val="24"/>
          <w:lang w:val="en-GB"/>
          <w14:ligatures w14:val="none"/>
        </w:rPr>
      </w:pPr>
      <w:r w:rsidRPr="006D139D">
        <w:rPr>
          <w:rFonts w:ascii="Arial" w:eastAsia="Arial" w:hAnsi="Arial" w:cs="Arial"/>
          <w:kern w:val="0"/>
          <w:sz w:val="24"/>
          <w:szCs w:val="24"/>
          <w:lang w:val="en-GB"/>
          <w14:ligatures w14:val="none"/>
        </w:rPr>
        <w:t>The other rationale behind the recommended job design strategies is to facilitate innovation. For example, the proposed job designs are recommended in a way that emphasises autonomy, which in turn would encourage employees to experiment more. As a result, it can be implied that the job crafting also encourages creative problem-solving</w:t>
      </w:r>
      <w:r w:rsidR="006D139D" w:rsidRPr="006D139D">
        <w:rPr>
          <w:rFonts w:ascii="Arial" w:eastAsia="Arial" w:hAnsi="Arial" w:cs="Arial"/>
          <w:kern w:val="0"/>
          <w:sz w:val="24"/>
          <w:szCs w:val="24"/>
          <w:lang w:val="en-GB"/>
          <w14:ligatures w14:val="none"/>
        </w:rPr>
        <w:t xml:space="preserve"> (</w:t>
      </w:r>
      <w:r w:rsidR="006D139D" w:rsidRPr="006D139D">
        <w:rPr>
          <w:rFonts w:ascii="Arial" w:hAnsi="Arial" w:cs="Arial"/>
          <w:sz w:val="24"/>
          <w:szCs w:val="24"/>
        </w:rPr>
        <w:t xml:space="preserve">Garg and Sinha, 2023; </w:t>
      </w:r>
      <w:r w:rsidR="006D139D" w:rsidRPr="006D139D">
        <w:rPr>
          <w:rFonts w:ascii="Arial" w:eastAsia="Arial" w:hAnsi="Arial" w:cs="Arial"/>
          <w:kern w:val="0"/>
          <w:sz w:val="24"/>
          <w:szCs w:val="24"/>
          <w:lang w:val="en-GB"/>
          <w14:ligatures w14:val="none"/>
        </w:rPr>
        <w:t>Mansour and Mohanna, 2024)</w:t>
      </w:r>
      <w:r w:rsidRPr="006D139D">
        <w:rPr>
          <w:rFonts w:ascii="Arial" w:eastAsia="Arial" w:hAnsi="Arial" w:cs="Arial"/>
          <w:kern w:val="0"/>
          <w:sz w:val="24"/>
          <w:szCs w:val="24"/>
          <w:lang w:val="en-GB"/>
          <w14:ligatures w14:val="none"/>
        </w:rPr>
        <w:t>. Moreover, the emphasis on cross-functional collaboration facilitates knowledge sharing and thereby skill enhancement as well, while continuous feedback supports organisational learning. Therefore, these factors create an environment that encourages innovation rather than simply expecting innovation from employees.</w:t>
      </w:r>
    </w:p>
    <w:p w14:paraId="62E97CF3"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lastRenderedPageBreak/>
        <w:t>Strategic Impact for Helios</w:t>
      </w:r>
    </w:p>
    <w:p w14:paraId="326B5C1B"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The integrated job design is expected to improve employee engagement, shorten the ramp-up period, and reduce graduate attrition. Furthermore, the recommended job design would also strengthen the innovation capability of employees, while enhancing their organisational agility in supporting Helios' long-term strategic renewal. Thus, the proposed job design strategy aligns employee motivation with organisational objectives, enabling Helios to strengthen both workforce performance and long-term competitive advantage.</w:t>
      </w:r>
    </w:p>
    <w:p w14:paraId="5BB94BE0"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28" w:name="_7x2l97vjez7i" w:colFirst="0" w:colLast="0"/>
      <w:bookmarkStart w:id="29" w:name="_Toc234410579"/>
      <w:bookmarkEnd w:id="28"/>
      <w:r w:rsidRPr="00067A48">
        <w:rPr>
          <w:rFonts w:ascii="Arial" w:eastAsia="Arial" w:hAnsi="Arial" w:cs="Arial"/>
          <w:b/>
          <w:bCs/>
          <w:kern w:val="0"/>
          <w:sz w:val="26"/>
          <w:szCs w:val="26"/>
          <w:lang w:val="en-GB"/>
          <w14:ligatures w14:val="none"/>
        </w:rPr>
        <w:t>4. Task C: Reflective Report</w:t>
      </w:r>
      <w:bookmarkEnd w:id="29"/>
    </w:p>
    <w:p w14:paraId="6EA0C8EF"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30" w:name="_3oypt9bjp4v6" w:colFirst="0" w:colLast="0"/>
      <w:bookmarkStart w:id="31" w:name="_Toc234410580"/>
      <w:bookmarkEnd w:id="30"/>
      <w:r w:rsidRPr="00067A48">
        <w:rPr>
          <w:rFonts w:ascii="Arial" w:eastAsia="Arial" w:hAnsi="Arial" w:cs="Arial"/>
          <w:b/>
          <w:bCs/>
          <w:kern w:val="0"/>
          <w:sz w:val="24"/>
          <w:szCs w:val="24"/>
          <w:lang w:val="en-GB"/>
          <w14:ligatures w14:val="none"/>
        </w:rPr>
        <w:t>4.1 Responsible AI Decision Making</w:t>
      </w:r>
      <w:bookmarkEnd w:id="31"/>
    </w:p>
    <w:p w14:paraId="29495CA1"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While reflecting on how AI helps, I realised that the technology can contribute in a multifaceted way. For example, with the help of AI, interpreting the findings of reviewed literature becomes faster, while the technology also helped me to identify trends through data analysis, besides contributing to policy comparison activities. In the context of professional judgement, I also noted that AI may support decision-making activities without completely replacing human interventions. The rationale behind this is the fact that for ethical reasoning and critical thinking in any particular context, human judgement is invaluable, which further reinforces the irreplaceability of humans in occupational decision-making.</w:t>
      </w:r>
    </w:p>
    <w:p w14:paraId="7E73643A"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32" w:name="_Toc234410581"/>
      <w:r w:rsidRPr="00067A48">
        <w:rPr>
          <w:rFonts w:ascii="Arial" w:eastAsia="Arial" w:hAnsi="Arial" w:cs="Arial"/>
          <w:b/>
          <w:bCs/>
          <w:kern w:val="0"/>
          <w:sz w:val="24"/>
          <w:szCs w:val="24"/>
          <w:lang w:val="en-GB"/>
          <w14:ligatures w14:val="none"/>
        </w:rPr>
        <w:t>4.2 Personal Capability Development Plan</w:t>
      </w:r>
      <w:bookmarkEnd w:id="32"/>
    </w:p>
    <w:tbl>
      <w:tblPr>
        <w:tblStyle w:val="TableGrid1"/>
        <w:tblW w:w="9586" w:type="dxa"/>
        <w:jc w:val="center"/>
        <w:tblLook w:val="04A0" w:firstRow="1" w:lastRow="0" w:firstColumn="1" w:lastColumn="0" w:noHBand="0" w:noVBand="1"/>
      </w:tblPr>
      <w:tblGrid>
        <w:gridCol w:w="1724"/>
        <w:gridCol w:w="2026"/>
        <w:gridCol w:w="3185"/>
        <w:gridCol w:w="1190"/>
        <w:gridCol w:w="2124"/>
      </w:tblGrid>
      <w:tr w:rsidR="00C423D8" w:rsidRPr="00067A48" w14:paraId="78DCF0DC" w14:textId="77777777" w:rsidTr="00067A48">
        <w:trPr>
          <w:trHeight w:val="300"/>
          <w:jc w:val="center"/>
        </w:trPr>
        <w:tc>
          <w:tcPr>
            <w:tcW w:w="1485" w:type="dxa"/>
            <w:noWrap/>
            <w:hideMark/>
          </w:tcPr>
          <w:p w14:paraId="2BD8F9CF"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Development Area</w:t>
            </w:r>
          </w:p>
        </w:tc>
        <w:tc>
          <w:tcPr>
            <w:tcW w:w="2026" w:type="dxa"/>
            <w:noWrap/>
            <w:hideMark/>
          </w:tcPr>
          <w:p w14:paraId="3DF4540A"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Current Position</w:t>
            </w:r>
          </w:p>
        </w:tc>
        <w:tc>
          <w:tcPr>
            <w:tcW w:w="3185" w:type="dxa"/>
            <w:noWrap/>
            <w:hideMark/>
          </w:tcPr>
          <w:p w14:paraId="6148D54E"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Development Action</w:t>
            </w:r>
          </w:p>
        </w:tc>
        <w:tc>
          <w:tcPr>
            <w:tcW w:w="998" w:type="dxa"/>
            <w:noWrap/>
            <w:hideMark/>
          </w:tcPr>
          <w:p w14:paraId="422BEABA"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Timeline</w:t>
            </w:r>
          </w:p>
        </w:tc>
        <w:tc>
          <w:tcPr>
            <w:tcW w:w="1892" w:type="dxa"/>
            <w:noWrap/>
            <w:hideMark/>
          </w:tcPr>
          <w:p w14:paraId="29D8AFCC"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Success Indicator</w:t>
            </w:r>
          </w:p>
        </w:tc>
      </w:tr>
      <w:tr w:rsidR="00C423D8" w:rsidRPr="00067A48" w14:paraId="4AD3CF8C" w14:textId="77777777" w:rsidTr="00067A48">
        <w:trPr>
          <w:trHeight w:val="300"/>
          <w:jc w:val="center"/>
        </w:trPr>
        <w:tc>
          <w:tcPr>
            <w:tcW w:w="1485" w:type="dxa"/>
            <w:noWrap/>
            <w:hideMark/>
          </w:tcPr>
          <w:p w14:paraId="4F111A43"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Data Literacy</w:t>
            </w:r>
          </w:p>
        </w:tc>
        <w:tc>
          <w:tcPr>
            <w:tcW w:w="2026" w:type="dxa"/>
            <w:noWrap/>
            <w:hideMark/>
          </w:tcPr>
          <w:p w14:paraId="5E295D5F"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 xml:space="preserve">I have a basic understanding of HR metrics but limited experience interpreting workforce analytics for </w:t>
            </w:r>
            <w:r w:rsidRPr="00067A48">
              <w:rPr>
                <w:rFonts w:ascii="Arial" w:eastAsia="Cambria" w:hAnsi="Arial" w:cs="Arial"/>
                <w:sz w:val="24"/>
                <w:szCs w:val="24"/>
                <w:lang w:val="en-GB"/>
              </w:rPr>
              <w:lastRenderedPageBreak/>
              <w:t>strategic decision-making.</w:t>
            </w:r>
          </w:p>
        </w:tc>
        <w:tc>
          <w:tcPr>
            <w:tcW w:w="3185" w:type="dxa"/>
            <w:noWrap/>
            <w:hideMark/>
          </w:tcPr>
          <w:p w14:paraId="73EFE7F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lastRenderedPageBreak/>
              <w:t>Complete an online course in HR analytics (such as, Power BI or Excel for HR), practise analysing HR datasets, and apply data interpretation techniques in academic projects.</w:t>
            </w:r>
          </w:p>
        </w:tc>
        <w:tc>
          <w:tcPr>
            <w:tcW w:w="998" w:type="dxa"/>
            <w:noWrap/>
            <w:hideMark/>
          </w:tcPr>
          <w:p w14:paraId="55A2E27E"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Within 6 months</w:t>
            </w:r>
          </w:p>
        </w:tc>
        <w:tc>
          <w:tcPr>
            <w:tcW w:w="1892" w:type="dxa"/>
            <w:noWrap/>
            <w:hideMark/>
          </w:tcPr>
          <w:p w14:paraId="64D7EE0A"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Ability to interpret HR dashboards and make evidence-based HR recommendations confidently.</w:t>
            </w:r>
          </w:p>
        </w:tc>
      </w:tr>
      <w:tr w:rsidR="00C423D8" w:rsidRPr="00067A48" w14:paraId="44065B4B" w14:textId="77777777" w:rsidTr="00067A48">
        <w:trPr>
          <w:trHeight w:val="300"/>
          <w:jc w:val="center"/>
        </w:trPr>
        <w:tc>
          <w:tcPr>
            <w:tcW w:w="1485" w:type="dxa"/>
            <w:noWrap/>
            <w:hideMark/>
          </w:tcPr>
          <w:p w14:paraId="3ACE068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AI Augmentation in HR</w:t>
            </w:r>
          </w:p>
        </w:tc>
        <w:tc>
          <w:tcPr>
            <w:tcW w:w="2026" w:type="dxa"/>
            <w:noWrap/>
            <w:hideMark/>
          </w:tcPr>
          <w:p w14:paraId="0CDC31C6"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 am familiar with AI tools for research but need to improve my ability to use AI responsibly while maintaining critical judgement.</w:t>
            </w:r>
          </w:p>
        </w:tc>
        <w:tc>
          <w:tcPr>
            <w:tcW w:w="3185" w:type="dxa"/>
            <w:noWrap/>
            <w:hideMark/>
          </w:tcPr>
          <w:p w14:paraId="766E212A"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Learn HR applications of generative AI, predictive analytics and AI ethics through professional courses and industry webinars, while practising critical evaluation of AI-generated outputs.</w:t>
            </w:r>
          </w:p>
        </w:tc>
        <w:tc>
          <w:tcPr>
            <w:tcW w:w="998" w:type="dxa"/>
            <w:noWrap/>
            <w:hideMark/>
          </w:tcPr>
          <w:p w14:paraId="79FB36D9"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Within 6 months</w:t>
            </w:r>
          </w:p>
        </w:tc>
        <w:tc>
          <w:tcPr>
            <w:tcW w:w="1892" w:type="dxa"/>
            <w:noWrap/>
            <w:hideMark/>
          </w:tcPr>
          <w:p w14:paraId="357426EE"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Ability to integrate AI into HR decision-making while ensuring accuracy, fairness and ethical compliance.</w:t>
            </w:r>
          </w:p>
        </w:tc>
      </w:tr>
      <w:tr w:rsidR="00C423D8" w:rsidRPr="00067A48" w14:paraId="467D2CAC" w14:textId="77777777" w:rsidTr="00067A48">
        <w:trPr>
          <w:trHeight w:val="300"/>
          <w:jc w:val="center"/>
        </w:trPr>
        <w:tc>
          <w:tcPr>
            <w:tcW w:w="1485" w:type="dxa"/>
            <w:noWrap/>
            <w:hideMark/>
          </w:tcPr>
          <w:p w14:paraId="42E9162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Ethical Leadership and Professional Judgement</w:t>
            </w:r>
          </w:p>
        </w:tc>
        <w:tc>
          <w:tcPr>
            <w:tcW w:w="2026" w:type="dxa"/>
            <w:noWrap/>
            <w:hideMark/>
          </w:tcPr>
          <w:p w14:paraId="0302A73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 recognise the importance of ethical HR decision-making but need more practical exposure to complex workplace dilemmas.</w:t>
            </w:r>
          </w:p>
        </w:tc>
        <w:tc>
          <w:tcPr>
            <w:tcW w:w="3185" w:type="dxa"/>
            <w:noWrap/>
            <w:hideMark/>
          </w:tcPr>
          <w:p w14:paraId="17D5977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Study professional HR ethical frameworks (such as, CIPD guidance), analyse organisational case studies, and reflect on ethical decision-making during academic assignments.</w:t>
            </w:r>
          </w:p>
        </w:tc>
        <w:tc>
          <w:tcPr>
            <w:tcW w:w="998" w:type="dxa"/>
            <w:noWrap/>
            <w:hideMark/>
          </w:tcPr>
          <w:p w14:paraId="781F6ED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Ongoing</w:t>
            </w:r>
          </w:p>
        </w:tc>
        <w:tc>
          <w:tcPr>
            <w:tcW w:w="1892" w:type="dxa"/>
            <w:noWrap/>
            <w:hideMark/>
          </w:tcPr>
          <w:p w14:paraId="68EC261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Consistently demonstrate ethical reasoning and balanced judgement when evaluating HR issues and organisational challenges.</w:t>
            </w:r>
          </w:p>
        </w:tc>
      </w:tr>
    </w:tbl>
    <w:p w14:paraId="4B279BCC"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p>
    <w:p w14:paraId="4990CEBB"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33" w:name="_w8dcz5s68vmt" w:colFirst="0" w:colLast="0"/>
      <w:bookmarkStart w:id="34" w:name="_Toc234410582"/>
      <w:bookmarkEnd w:id="33"/>
      <w:r w:rsidRPr="00067A48">
        <w:rPr>
          <w:rFonts w:ascii="Arial" w:eastAsia="Arial" w:hAnsi="Arial" w:cs="Arial"/>
          <w:b/>
          <w:bCs/>
          <w:kern w:val="0"/>
          <w:sz w:val="26"/>
          <w:szCs w:val="26"/>
          <w:lang w:val="en-GB"/>
          <w14:ligatures w14:val="none"/>
        </w:rPr>
        <w:t>5. Conclusion</w:t>
      </w:r>
      <w:bookmarkEnd w:id="34"/>
    </w:p>
    <w:p w14:paraId="6566EFCD" w14:textId="4F7B0AD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From the discussion above, it can be concluded that Helios needs to strengthen the aspect of their employee socialisation, while also focusing on job redesign in order to foster motivation, innovation and employee retention. With ethical leadership, skill-based architecture, psychological contract, and strategic onboarding, the company would be able to enhance employee engagement, reduce graduate turnover, shorten the ramp-up period, and create a competitive edge in markets as well.</w:t>
      </w:r>
      <w:r w:rsidRPr="00067A48">
        <w:rPr>
          <w:rFonts w:ascii="Arial" w:eastAsia="Arial" w:hAnsi="Arial" w:cs="Arial"/>
          <w:kern w:val="0"/>
          <w:sz w:val="24"/>
          <w:szCs w:val="24"/>
          <w:lang w:val="en-GB"/>
          <w14:ligatures w14:val="none"/>
        </w:rPr>
        <w:br w:type="page"/>
      </w:r>
    </w:p>
    <w:p w14:paraId="390A6FE1" w14:textId="69DE5D84"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35" w:name="_Toc234410583"/>
      <w:r w:rsidRPr="00067A48">
        <w:rPr>
          <w:rFonts w:ascii="Arial" w:eastAsia="Arial" w:hAnsi="Arial" w:cs="Arial"/>
          <w:b/>
          <w:bCs/>
          <w:kern w:val="0"/>
          <w:sz w:val="26"/>
          <w:szCs w:val="26"/>
          <w:lang w:val="en-GB"/>
          <w14:ligatures w14:val="none"/>
        </w:rPr>
        <w:lastRenderedPageBreak/>
        <w:t>Reference</w:t>
      </w:r>
      <w:r w:rsidR="00067A48" w:rsidRPr="00067A48">
        <w:rPr>
          <w:rFonts w:ascii="Arial" w:eastAsia="Arial" w:hAnsi="Arial" w:cs="Arial"/>
          <w:b/>
          <w:bCs/>
          <w:kern w:val="0"/>
          <w:sz w:val="26"/>
          <w:szCs w:val="26"/>
          <w:lang w:val="en-GB"/>
          <w14:ligatures w14:val="none"/>
        </w:rPr>
        <w:t>s</w:t>
      </w:r>
      <w:bookmarkEnd w:id="35"/>
    </w:p>
    <w:p w14:paraId="53633B50"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Deci, E. L., and Ryan, R. M. (2012). Self-determination theory. </w:t>
      </w:r>
      <w:r w:rsidRPr="00067A48">
        <w:rPr>
          <w:rFonts w:ascii="Arial" w:eastAsia="Arial" w:hAnsi="Arial" w:cs="Arial"/>
          <w:i/>
          <w:iCs/>
          <w:kern w:val="0"/>
          <w:sz w:val="24"/>
          <w:szCs w:val="24"/>
          <w:lang w:val="en-GB"/>
          <w14:ligatures w14:val="none"/>
        </w:rPr>
        <w:t>Handbook of theories of social psychology</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w:t>
      </w:r>
      <w:r w:rsidRPr="00067A48">
        <w:rPr>
          <w:rFonts w:ascii="Arial" w:eastAsia="Arial" w:hAnsi="Arial" w:cs="Arial"/>
          <w:kern w:val="0"/>
          <w:sz w:val="24"/>
          <w:szCs w:val="24"/>
          <w:lang w:val="en-GB"/>
          <w14:ligatures w14:val="none"/>
        </w:rPr>
        <w:t>(20), 416-436.</w:t>
      </w:r>
    </w:p>
    <w:p w14:paraId="20E748D3"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Djaya, Y. A., Lataruva, E., and Arminta, E. (2024). Ethical Leadership On Job Satisfaction: The Role Of Psychological Safety And Self-Efficacy. </w:t>
      </w:r>
      <w:r w:rsidRPr="00067A48">
        <w:rPr>
          <w:rFonts w:ascii="Arial" w:eastAsia="Arial" w:hAnsi="Arial" w:cs="Arial"/>
          <w:i/>
          <w:iCs/>
          <w:kern w:val="0"/>
          <w:sz w:val="24"/>
          <w:szCs w:val="24"/>
          <w:lang w:val="en-GB"/>
          <w14:ligatures w14:val="none"/>
        </w:rPr>
        <w:t>Eduvest-Journal of Universal Studies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4</w:t>
      </w:r>
      <w:r w:rsidRPr="00067A48">
        <w:rPr>
          <w:rFonts w:ascii="Arial" w:eastAsia="Arial" w:hAnsi="Arial" w:cs="Arial"/>
          <w:kern w:val="0"/>
          <w:sz w:val="24"/>
          <w:szCs w:val="24"/>
          <w:lang w:val="en-GB"/>
          <w14:ligatures w14:val="none"/>
        </w:rPr>
        <w:t>(7), 5945-5960. </w:t>
      </w:r>
    </w:p>
    <w:p w14:paraId="63E19B8B"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6D139D">
        <w:rPr>
          <w:rFonts w:ascii="Arial" w:eastAsia="Arial" w:hAnsi="Arial" w:cs="Arial"/>
          <w:kern w:val="0"/>
          <w:sz w:val="24"/>
          <w:szCs w:val="24"/>
          <w14:ligatures w14:val="none"/>
        </w:rPr>
        <w:t xml:space="preserve">Fishbach, A. and Woolley, K., 2022. The structure of intrinsic motivation. </w:t>
      </w:r>
      <w:r w:rsidRPr="006D139D">
        <w:rPr>
          <w:rFonts w:ascii="Arial" w:eastAsia="Arial" w:hAnsi="Arial" w:cs="Arial"/>
          <w:i/>
          <w:iCs/>
          <w:kern w:val="0"/>
          <w:sz w:val="24"/>
          <w:szCs w:val="24"/>
          <w14:ligatures w14:val="none"/>
        </w:rPr>
        <w:t>Annual review of organizational psychology and organizational behavior</w:t>
      </w:r>
      <w:r w:rsidRPr="006D139D">
        <w:rPr>
          <w:rFonts w:ascii="Arial" w:eastAsia="Arial" w:hAnsi="Arial" w:cs="Arial"/>
          <w:kern w:val="0"/>
          <w:sz w:val="24"/>
          <w:szCs w:val="24"/>
          <w14:ligatures w14:val="none"/>
        </w:rPr>
        <w:t xml:space="preserve">, </w:t>
      </w:r>
      <w:r w:rsidRPr="006D139D">
        <w:rPr>
          <w:rFonts w:ascii="Arial" w:eastAsia="Arial" w:hAnsi="Arial" w:cs="Arial"/>
          <w:i/>
          <w:iCs/>
          <w:kern w:val="0"/>
          <w:sz w:val="24"/>
          <w:szCs w:val="24"/>
          <w14:ligatures w14:val="none"/>
        </w:rPr>
        <w:t>9</w:t>
      </w:r>
      <w:r w:rsidRPr="006D139D">
        <w:rPr>
          <w:rFonts w:ascii="Arial" w:eastAsia="Arial" w:hAnsi="Arial" w:cs="Arial"/>
          <w:kern w:val="0"/>
          <w:sz w:val="24"/>
          <w:szCs w:val="24"/>
          <w14:ligatures w14:val="none"/>
        </w:rPr>
        <w:t>(1), pp.339-363.</w:t>
      </w:r>
    </w:p>
    <w:p w14:paraId="61191BFB"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Fleury, A. (2025). The evolution of work design models toward I5. 0 Humancentrism and beyond. </w:t>
      </w:r>
      <w:r w:rsidRPr="00067A48">
        <w:rPr>
          <w:rFonts w:ascii="Arial" w:eastAsia="Arial" w:hAnsi="Arial" w:cs="Arial"/>
          <w:i/>
          <w:iCs/>
          <w:kern w:val="0"/>
          <w:sz w:val="24"/>
          <w:szCs w:val="24"/>
          <w:lang w:val="en-GB"/>
          <w14:ligatures w14:val="none"/>
        </w:rPr>
        <w:t>Production</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35</w:t>
      </w:r>
      <w:r w:rsidRPr="00067A48">
        <w:rPr>
          <w:rFonts w:ascii="Arial" w:eastAsia="Arial" w:hAnsi="Arial" w:cs="Arial"/>
          <w:kern w:val="0"/>
          <w:sz w:val="24"/>
          <w:szCs w:val="24"/>
          <w:lang w:val="en-GB"/>
          <w14:ligatures w14:val="none"/>
        </w:rPr>
        <w:t>, e20240116. </w:t>
      </w:r>
    </w:p>
    <w:p w14:paraId="1B534906" w14:textId="77777777" w:rsidR="006D139D" w:rsidRDefault="006D139D" w:rsidP="00953776">
      <w:pPr>
        <w:spacing w:before="120" w:after="120" w:line="360" w:lineRule="auto"/>
        <w:jc w:val="both"/>
        <w:rPr>
          <w:rFonts w:ascii="Arial" w:eastAsia="Arial" w:hAnsi="Arial" w:cs="Arial"/>
          <w:kern w:val="0"/>
          <w:sz w:val="24"/>
          <w:szCs w:val="24"/>
          <w14:ligatures w14:val="none"/>
        </w:rPr>
      </w:pPr>
      <w:r w:rsidRPr="006D139D">
        <w:rPr>
          <w:rFonts w:ascii="Arial" w:eastAsia="Arial" w:hAnsi="Arial" w:cs="Arial"/>
          <w:kern w:val="0"/>
          <w:sz w:val="24"/>
          <w:szCs w:val="24"/>
          <w14:ligatures w14:val="none"/>
        </w:rPr>
        <w:t xml:space="preserve">Garg, S. and Sinha, S., 2023. Job crafting and idiosyncratic deals: Recognizing and responding to employee’s customization efforts. </w:t>
      </w:r>
      <w:r w:rsidRPr="006D139D">
        <w:rPr>
          <w:rFonts w:ascii="Arial" w:eastAsia="Arial" w:hAnsi="Arial" w:cs="Arial"/>
          <w:i/>
          <w:iCs/>
          <w:kern w:val="0"/>
          <w:sz w:val="24"/>
          <w:szCs w:val="24"/>
          <w14:ligatures w14:val="none"/>
        </w:rPr>
        <w:t>Organizational Dynamics</w:t>
      </w:r>
      <w:r w:rsidRPr="006D139D">
        <w:rPr>
          <w:rFonts w:ascii="Arial" w:eastAsia="Arial" w:hAnsi="Arial" w:cs="Arial"/>
          <w:kern w:val="0"/>
          <w:sz w:val="24"/>
          <w:szCs w:val="24"/>
          <w14:ligatures w14:val="none"/>
        </w:rPr>
        <w:t xml:space="preserve">, </w:t>
      </w:r>
      <w:r w:rsidRPr="006D139D">
        <w:rPr>
          <w:rFonts w:ascii="Arial" w:eastAsia="Arial" w:hAnsi="Arial" w:cs="Arial"/>
          <w:i/>
          <w:iCs/>
          <w:kern w:val="0"/>
          <w:sz w:val="24"/>
          <w:szCs w:val="24"/>
          <w14:ligatures w14:val="none"/>
        </w:rPr>
        <w:t>52</w:t>
      </w:r>
      <w:r w:rsidRPr="006D139D">
        <w:rPr>
          <w:rFonts w:ascii="Arial" w:eastAsia="Arial" w:hAnsi="Arial" w:cs="Arial"/>
          <w:kern w:val="0"/>
          <w:sz w:val="24"/>
          <w:szCs w:val="24"/>
          <w14:ligatures w14:val="none"/>
        </w:rPr>
        <w:t>(1), p.100945.</w:t>
      </w:r>
    </w:p>
    <w:p w14:paraId="652520AD"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Godinho, T., Reis, I. P., Carvalho, R., and Martinho, F. (2023). Onboarding handbook: An indispensable tool for onboarding processes. </w:t>
      </w:r>
      <w:r w:rsidRPr="00067A48">
        <w:rPr>
          <w:rFonts w:ascii="Arial" w:eastAsia="Arial" w:hAnsi="Arial" w:cs="Arial"/>
          <w:i/>
          <w:iCs/>
          <w:kern w:val="0"/>
          <w:sz w:val="24"/>
          <w:szCs w:val="24"/>
          <w:lang w:val="en-GB"/>
          <w14:ligatures w14:val="none"/>
        </w:rPr>
        <w:t>Administrative sciences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13</w:t>
      </w:r>
      <w:r w:rsidRPr="00067A48">
        <w:rPr>
          <w:rFonts w:ascii="Arial" w:eastAsia="Arial" w:hAnsi="Arial" w:cs="Arial"/>
          <w:kern w:val="0"/>
          <w:sz w:val="24"/>
          <w:szCs w:val="24"/>
          <w:lang w:val="en-GB"/>
          <w14:ligatures w14:val="none"/>
        </w:rPr>
        <w:t>(3), 79. </w:t>
      </w:r>
    </w:p>
    <w:p w14:paraId="5C638136"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Hackman, J. R., and Oldham, G. R. (1976). Motivation through the design of work: Test of a theory. </w:t>
      </w:r>
      <w:r w:rsidRPr="00067A48">
        <w:rPr>
          <w:rFonts w:ascii="Arial" w:eastAsia="Arial" w:hAnsi="Arial" w:cs="Arial"/>
          <w:i/>
          <w:iCs/>
          <w:kern w:val="0"/>
          <w:sz w:val="24"/>
          <w:szCs w:val="24"/>
          <w:lang w:val="en-GB"/>
          <w14:ligatures w14:val="none"/>
        </w:rPr>
        <w:t>Organizational behavior and human performance</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16</w:t>
      </w:r>
      <w:r w:rsidRPr="00067A48">
        <w:rPr>
          <w:rFonts w:ascii="Arial" w:eastAsia="Arial" w:hAnsi="Arial" w:cs="Arial"/>
          <w:kern w:val="0"/>
          <w:sz w:val="24"/>
          <w:szCs w:val="24"/>
          <w:lang w:val="en-GB"/>
          <w14:ligatures w14:val="none"/>
        </w:rPr>
        <w:t>(2), 250-279. </w:t>
      </w:r>
    </w:p>
    <w:p w14:paraId="7060D1D3"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Kang, E., and Hwang, H. J. (2023). How to enhance an employee's organizational citizenship behavior (OCB) as a corporate strategy. </w:t>
      </w:r>
      <w:r w:rsidRPr="00067A48">
        <w:rPr>
          <w:rFonts w:ascii="Arial" w:eastAsia="Arial" w:hAnsi="Arial" w:cs="Arial"/>
          <w:i/>
          <w:iCs/>
          <w:kern w:val="0"/>
          <w:sz w:val="24"/>
          <w:szCs w:val="24"/>
          <w:lang w:val="en-GB"/>
          <w14:ligatures w14:val="none"/>
        </w:rPr>
        <w:t>The Journal of industrial Distribution &amp; Business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14</w:t>
      </w:r>
      <w:r w:rsidRPr="00067A48">
        <w:rPr>
          <w:rFonts w:ascii="Arial" w:eastAsia="Arial" w:hAnsi="Arial" w:cs="Arial"/>
          <w:kern w:val="0"/>
          <w:sz w:val="24"/>
          <w:szCs w:val="24"/>
          <w:lang w:val="en-GB"/>
          <w14:ligatures w14:val="none"/>
        </w:rPr>
        <w:t>(1), 29-37. </w:t>
      </w:r>
    </w:p>
    <w:p w14:paraId="4D5E8A5B" w14:textId="77777777" w:rsidR="006D139D" w:rsidRDefault="006D139D" w:rsidP="00953776">
      <w:pPr>
        <w:spacing w:before="120" w:after="120" w:line="360" w:lineRule="auto"/>
        <w:jc w:val="both"/>
        <w:rPr>
          <w:rFonts w:ascii="Arial" w:eastAsia="Arial" w:hAnsi="Arial" w:cs="Arial"/>
          <w:kern w:val="0"/>
          <w:sz w:val="24"/>
          <w:szCs w:val="24"/>
          <w14:ligatures w14:val="none"/>
        </w:rPr>
      </w:pPr>
      <w:r w:rsidRPr="00B04F12">
        <w:rPr>
          <w:rFonts w:ascii="Arial" w:eastAsia="Arial" w:hAnsi="Arial" w:cs="Arial"/>
          <w:kern w:val="0"/>
          <w:sz w:val="24"/>
          <w:szCs w:val="24"/>
          <w14:ligatures w14:val="none"/>
        </w:rPr>
        <w:t xml:space="preserve">Khalid Salaudin, A., Ahmad Kamal, A. and Mohammad, M., 2022. The Job Characteristics Model: An Extension to Physical Education Teachers Motivation. </w:t>
      </w:r>
      <w:r w:rsidRPr="00B04F12">
        <w:rPr>
          <w:rFonts w:ascii="Arial" w:eastAsia="Arial" w:hAnsi="Arial" w:cs="Arial"/>
          <w:i/>
          <w:iCs/>
          <w:kern w:val="0"/>
          <w:sz w:val="24"/>
          <w:szCs w:val="24"/>
          <w14:ligatures w14:val="none"/>
        </w:rPr>
        <w:t>Online Submission</w:t>
      </w:r>
      <w:r w:rsidRPr="00B04F12">
        <w:rPr>
          <w:rFonts w:ascii="Arial" w:eastAsia="Arial" w:hAnsi="Arial" w:cs="Arial"/>
          <w:kern w:val="0"/>
          <w:sz w:val="24"/>
          <w:szCs w:val="24"/>
          <w14:ligatures w14:val="none"/>
        </w:rPr>
        <w:t xml:space="preserve">, </w:t>
      </w:r>
      <w:r w:rsidRPr="00B04F12">
        <w:rPr>
          <w:rFonts w:ascii="Arial" w:eastAsia="Arial" w:hAnsi="Arial" w:cs="Arial"/>
          <w:i/>
          <w:iCs/>
          <w:kern w:val="0"/>
          <w:sz w:val="24"/>
          <w:szCs w:val="24"/>
          <w14:ligatures w14:val="none"/>
        </w:rPr>
        <w:t>1</w:t>
      </w:r>
      <w:r w:rsidRPr="00B04F12">
        <w:rPr>
          <w:rFonts w:ascii="Arial" w:eastAsia="Arial" w:hAnsi="Arial" w:cs="Arial"/>
          <w:kern w:val="0"/>
          <w:sz w:val="24"/>
          <w:szCs w:val="24"/>
          <w14:ligatures w14:val="none"/>
        </w:rPr>
        <w:t>(2), pp.198-205.</w:t>
      </w:r>
    </w:p>
    <w:p w14:paraId="3EEEA4E4" w14:textId="77777777" w:rsidR="006D139D" w:rsidRDefault="006D139D" w:rsidP="00953776">
      <w:pPr>
        <w:spacing w:before="120" w:after="120" w:line="360" w:lineRule="auto"/>
        <w:jc w:val="both"/>
        <w:rPr>
          <w:rFonts w:ascii="Arial" w:eastAsia="Arial" w:hAnsi="Arial" w:cs="Arial"/>
          <w:kern w:val="0"/>
          <w:sz w:val="24"/>
          <w:szCs w:val="24"/>
          <w14:ligatures w14:val="none"/>
        </w:rPr>
      </w:pPr>
      <w:r w:rsidRPr="006D139D">
        <w:rPr>
          <w:rFonts w:ascii="Arial" w:eastAsia="Arial" w:hAnsi="Arial" w:cs="Arial"/>
          <w:kern w:val="0"/>
          <w:sz w:val="24"/>
          <w:szCs w:val="24"/>
          <w14:ligatures w14:val="none"/>
        </w:rPr>
        <w:t xml:space="preserve">Mansour, S. and Mohanna, D., 2024. How does organizational support for innovation influence job crafting and knowledge sharing behaviors? A comparison between teleworkers and office workers. </w:t>
      </w:r>
      <w:r w:rsidRPr="006D139D">
        <w:rPr>
          <w:rFonts w:ascii="Arial" w:eastAsia="Arial" w:hAnsi="Arial" w:cs="Arial"/>
          <w:i/>
          <w:iCs/>
          <w:kern w:val="0"/>
          <w:sz w:val="24"/>
          <w:szCs w:val="24"/>
          <w14:ligatures w14:val="none"/>
        </w:rPr>
        <w:t>International Journal of Manpower</w:t>
      </w:r>
      <w:r w:rsidRPr="006D139D">
        <w:rPr>
          <w:rFonts w:ascii="Arial" w:eastAsia="Arial" w:hAnsi="Arial" w:cs="Arial"/>
          <w:kern w:val="0"/>
          <w:sz w:val="24"/>
          <w:szCs w:val="24"/>
          <w14:ligatures w14:val="none"/>
        </w:rPr>
        <w:t xml:space="preserve">, </w:t>
      </w:r>
      <w:r w:rsidRPr="006D139D">
        <w:rPr>
          <w:rFonts w:ascii="Arial" w:eastAsia="Arial" w:hAnsi="Arial" w:cs="Arial"/>
          <w:i/>
          <w:iCs/>
          <w:kern w:val="0"/>
          <w:sz w:val="24"/>
          <w:szCs w:val="24"/>
          <w14:ligatures w14:val="none"/>
        </w:rPr>
        <w:t>45</w:t>
      </w:r>
      <w:r w:rsidRPr="006D139D">
        <w:rPr>
          <w:rFonts w:ascii="Arial" w:eastAsia="Arial" w:hAnsi="Arial" w:cs="Arial"/>
          <w:kern w:val="0"/>
          <w:sz w:val="24"/>
          <w:szCs w:val="24"/>
          <w14:ligatures w14:val="none"/>
        </w:rPr>
        <w:t>(9), pp.1673-1700.</w:t>
      </w:r>
    </w:p>
    <w:p w14:paraId="6438A4E1"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Ulrich, D. (2016). HR at a crossroads. </w:t>
      </w:r>
      <w:r w:rsidRPr="00067A48">
        <w:rPr>
          <w:rFonts w:ascii="Arial" w:eastAsia="Arial" w:hAnsi="Arial" w:cs="Arial"/>
          <w:i/>
          <w:iCs/>
          <w:kern w:val="0"/>
          <w:sz w:val="24"/>
          <w:szCs w:val="24"/>
          <w:lang w:val="en-GB"/>
          <w14:ligatures w14:val="none"/>
        </w:rPr>
        <w:t>Asia Pacific Journal of Human Resources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54</w:t>
      </w:r>
      <w:r w:rsidRPr="00067A48">
        <w:rPr>
          <w:rFonts w:ascii="Arial" w:eastAsia="Arial" w:hAnsi="Arial" w:cs="Arial"/>
          <w:kern w:val="0"/>
          <w:sz w:val="24"/>
          <w:szCs w:val="24"/>
          <w:lang w:val="en-GB"/>
          <w14:ligatures w14:val="none"/>
        </w:rPr>
        <w:t>(2), 148-164. </w:t>
      </w:r>
    </w:p>
    <w:p w14:paraId="6C1A34B6"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lastRenderedPageBreak/>
        <w:t xml:space="preserve">Van Maanen, J., and Schein, E. H. (1979). Towards a theory of organizational socialization. research in Organizational behavior. </w:t>
      </w:r>
      <w:r w:rsidRPr="00067A48">
        <w:rPr>
          <w:rFonts w:ascii="Arial" w:eastAsia="Arial" w:hAnsi="Arial" w:cs="Arial"/>
          <w:i/>
          <w:iCs/>
          <w:kern w:val="0"/>
          <w:sz w:val="24"/>
          <w:szCs w:val="24"/>
          <w:lang w:val="en-GB"/>
          <w14:ligatures w14:val="none"/>
        </w:rPr>
        <w:t>Retrieved November</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28</w:t>
      </w:r>
      <w:r w:rsidRPr="00067A48">
        <w:rPr>
          <w:rFonts w:ascii="Arial" w:eastAsia="Arial" w:hAnsi="Arial" w:cs="Arial"/>
          <w:kern w:val="0"/>
          <w:sz w:val="24"/>
          <w:szCs w:val="24"/>
          <w:lang w:val="en-GB"/>
          <w14:ligatures w14:val="none"/>
        </w:rPr>
        <w:t>, 2913. </w:t>
      </w:r>
    </w:p>
    <w:p w14:paraId="44651650"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Widarko, A., and Anwarodin, M. K. (2022). Work motivation and organizational culture on work performance: Organizational citizenship behavior (OCB) as mediating variable. </w:t>
      </w:r>
      <w:r w:rsidRPr="00067A48">
        <w:rPr>
          <w:rFonts w:ascii="Arial" w:eastAsia="Arial" w:hAnsi="Arial" w:cs="Arial"/>
          <w:i/>
          <w:iCs/>
          <w:kern w:val="0"/>
          <w:sz w:val="24"/>
          <w:szCs w:val="24"/>
          <w:lang w:val="en-GB"/>
          <w14:ligatures w14:val="none"/>
        </w:rPr>
        <w:t>Golden Ratio of Human Resource Management</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2</w:t>
      </w:r>
      <w:r w:rsidRPr="00067A48">
        <w:rPr>
          <w:rFonts w:ascii="Arial" w:eastAsia="Arial" w:hAnsi="Arial" w:cs="Arial"/>
          <w:kern w:val="0"/>
          <w:sz w:val="24"/>
          <w:szCs w:val="24"/>
          <w:lang w:val="en-GB"/>
          <w14:ligatures w14:val="none"/>
        </w:rPr>
        <w:t>(2), 123-138. </w:t>
      </w:r>
    </w:p>
    <w:p w14:paraId="7515DFFD"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Wonda, T. A., Engidaw, A. E., Ning, J., Kebad, M. A., and Belay, N. A. (2024). Does psychological contract fulfilment determine employees’ work engagement? Empirical evidence from government sector employees. </w:t>
      </w:r>
      <w:r w:rsidRPr="00067A48">
        <w:rPr>
          <w:rFonts w:ascii="Arial" w:eastAsia="Arial" w:hAnsi="Arial" w:cs="Arial"/>
          <w:i/>
          <w:iCs/>
          <w:kern w:val="0"/>
          <w:sz w:val="24"/>
          <w:szCs w:val="24"/>
          <w:lang w:val="en-GB"/>
          <w14:ligatures w14:val="none"/>
        </w:rPr>
        <w:t>Cogent Business &amp; Management</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11</w:t>
      </w:r>
      <w:r w:rsidRPr="00067A48">
        <w:rPr>
          <w:rFonts w:ascii="Arial" w:eastAsia="Arial" w:hAnsi="Arial" w:cs="Arial"/>
          <w:kern w:val="0"/>
          <w:sz w:val="24"/>
          <w:szCs w:val="24"/>
          <w:lang w:val="en-GB"/>
          <w14:ligatures w14:val="none"/>
        </w:rPr>
        <w:t>(1), 2402504. </w:t>
      </w:r>
    </w:p>
    <w:p w14:paraId="633EE073" w14:textId="77777777" w:rsidR="006D139D" w:rsidRDefault="006D139D" w:rsidP="00953776">
      <w:pPr>
        <w:spacing w:before="120" w:after="120" w:line="360" w:lineRule="auto"/>
        <w:jc w:val="both"/>
        <w:rPr>
          <w:rFonts w:ascii="Arial" w:eastAsia="Arial" w:hAnsi="Arial" w:cs="Arial"/>
          <w:kern w:val="0"/>
          <w:sz w:val="24"/>
          <w:szCs w:val="24"/>
          <w:lang w:val="en-GB"/>
          <w14:ligatures w14:val="none"/>
        </w:rPr>
      </w:pPr>
      <w:r w:rsidRPr="001D564A">
        <w:rPr>
          <w:rFonts w:ascii="Arial" w:eastAsia="Arial" w:hAnsi="Arial" w:cs="Arial"/>
          <w:kern w:val="0"/>
          <w:sz w:val="24"/>
          <w:szCs w:val="24"/>
          <w:lang w:val="pl-PL"/>
          <w14:ligatures w14:val="none"/>
        </w:rPr>
        <w:t xml:space="preserve">Wrześniewski. A. and Dutton. J. E.. </w:t>
      </w:r>
      <w:r w:rsidRPr="00067A48">
        <w:rPr>
          <w:rFonts w:ascii="Arial" w:eastAsia="Arial" w:hAnsi="Arial" w:cs="Arial"/>
          <w:kern w:val="0"/>
          <w:sz w:val="24"/>
          <w:szCs w:val="24"/>
          <w:lang w:val="en-GB"/>
          <w14:ligatures w14:val="none"/>
        </w:rPr>
        <w:t xml:space="preserve">(2001). Crafting A Job: Revisioning Employees As Active Crafters Of Their Work. </w:t>
      </w:r>
      <w:r w:rsidRPr="00067A48">
        <w:rPr>
          <w:rFonts w:ascii="Arial" w:eastAsia="Arial" w:hAnsi="Arial" w:cs="Arial"/>
          <w:i/>
          <w:iCs/>
          <w:kern w:val="0"/>
          <w:sz w:val="24"/>
          <w:szCs w:val="24"/>
          <w:lang w:val="en-GB"/>
          <w14:ligatures w14:val="none"/>
        </w:rPr>
        <w:t>Academy of Management Review</w:t>
      </w:r>
      <w:r w:rsidRPr="00067A48">
        <w:rPr>
          <w:rFonts w:ascii="Arial" w:eastAsia="Arial" w:hAnsi="Arial" w:cs="Arial"/>
          <w:kern w:val="0"/>
          <w:sz w:val="24"/>
          <w:szCs w:val="24"/>
          <w:lang w:val="en-GB"/>
          <w14:ligatures w14:val="none"/>
        </w:rPr>
        <w:t>. 26(2), pp.179-201</w:t>
      </w:r>
      <w:r>
        <w:rPr>
          <w:rFonts w:ascii="Arial" w:eastAsia="Arial" w:hAnsi="Arial" w:cs="Arial"/>
          <w:kern w:val="0"/>
          <w:sz w:val="24"/>
          <w:szCs w:val="24"/>
          <w:lang w:val="en-GB"/>
          <w14:ligatures w14:val="none"/>
        </w:rPr>
        <w:t>.</w:t>
      </w:r>
    </w:p>
    <w:sectPr w:rsidR="006D139D" w:rsidSect="00C423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F23FE" w14:textId="77777777" w:rsidR="00476223" w:rsidRDefault="00476223">
      <w:pPr>
        <w:spacing w:after="0" w:line="240" w:lineRule="auto"/>
      </w:pPr>
      <w:r>
        <w:separator/>
      </w:r>
    </w:p>
  </w:endnote>
  <w:endnote w:type="continuationSeparator" w:id="0">
    <w:p w14:paraId="1A6A0BDC" w14:textId="77777777" w:rsidR="00476223" w:rsidRDefault="00476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878487"/>
      <w:docPartObj>
        <w:docPartGallery w:val="Page Numbers (Bottom of Page)"/>
        <w:docPartUnique/>
      </w:docPartObj>
    </w:sdtPr>
    <w:sdtEndPr>
      <w:rPr>
        <w:noProof/>
        <w:sz w:val="20"/>
        <w:szCs w:val="20"/>
      </w:rPr>
    </w:sdtEndPr>
    <w:sdtContent>
      <w:p w14:paraId="255AAC0B" w14:textId="7A2E02E5" w:rsidR="00C423D8" w:rsidRPr="00165E92" w:rsidRDefault="00C423D8" w:rsidP="00085005">
        <w:pPr>
          <w:pStyle w:val="Footer"/>
          <w:jc w:val="right"/>
          <w:rPr>
            <w:sz w:val="20"/>
            <w:szCs w:val="20"/>
          </w:rPr>
        </w:pPr>
        <w:r w:rsidRPr="00165E92">
          <w:rPr>
            <w:sz w:val="20"/>
            <w:szCs w:val="20"/>
          </w:rPr>
          <w:fldChar w:fldCharType="begin"/>
        </w:r>
        <w:r w:rsidRPr="00165E92">
          <w:rPr>
            <w:sz w:val="20"/>
            <w:szCs w:val="20"/>
          </w:rPr>
          <w:instrText xml:space="preserve"> PAGE   \* MERGEFORMAT </w:instrText>
        </w:r>
        <w:r w:rsidRPr="00165E92">
          <w:rPr>
            <w:sz w:val="20"/>
            <w:szCs w:val="20"/>
          </w:rPr>
          <w:fldChar w:fldCharType="separate"/>
        </w:r>
        <w:r w:rsidRPr="00165E92">
          <w:rPr>
            <w:noProof/>
            <w:sz w:val="20"/>
            <w:szCs w:val="20"/>
          </w:rPr>
          <w:t>2</w:t>
        </w:r>
        <w:r w:rsidRPr="00165E92">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4720C" w14:textId="77777777" w:rsidR="00476223" w:rsidRDefault="00476223">
      <w:pPr>
        <w:spacing w:after="0" w:line="240" w:lineRule="auto"/>
      </w:pPr>
      <w:r>
        <w:separator/>
      </w:r>
    </w:p>
  </w:footnote>
  <w:footnote w:type="continuationSeparator" w:id="0">
    <w:p w14:paraId="08787E12" w14:textId="77777777" w:rsidR="00476223" w:rsidRDefault="004762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C215D"/>
    <w:multiLevelType w:val="hybridMultilevel"/>
    <w:tmpl w:val="43EE8E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4443C7"/>
    <w:multiLevelType w:val="hybridMultilevel"/>
    <w:tmpl w:val="B2004D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171E41"/>
    <w:multiLevelType w:val="hybridMultilevel"/>
    <w:tmpl w:val="938CC6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96997"/>
    <w:multiLevelType w:val="hybridMultilevel"/>
    <w:tmpl w:val="2D6E5D8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BC49FB"/>
    <w:multiLevelType w:val="hybridMultilevel"/>
    <w:tmpl w:val="AEA462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F273CF"/>
    <w:multiLevelType w:val="hybridMultilevel"/>
    <w:tmpl w:val="5AAE303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96008F"/>
    <w:multiLevelType w:val="hybridMultilevel"/>
    <w:tmpl w:val="14741B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3303153">
    <w:abstractNumId w:val="3"/>
  </w:num>
  <w:num w:numId="2" w16cid:durableId="1446576540">
    <w:abstractNumId w:val="1"/>
  </w:num>
  <w:num w:numId="3" w16cid:durableId="1813015767">
    <w:abstractNumId w:val="5"/>
  </w:num>
  <w:num w:numId="4" w16cid:durableId="393478926">
    <w:abstractNumId w:val="2"/>
  </w:num>
  <w:num w:numId="5" w16cid:durableId="424770734">
    <w:abstractNumId w:val="0"/>
  </w:num>
  <w:num w:numId="6" w16cid:durableId="249629742">
    <w:abstractNumId w:val="4"/>
  </w:num>
  <w:num w:numId="7" w16cid:durableId="14342776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3D8"/>
    <w:rsid w:val="00067A48"/>
    <w:rsid w:val="00085005"/>
    <w:rsid w:val="000C7DC2"/>
    <w:rsid w:val="000D5974"/>
    <w:rsid w:val="001D564A"/>
    <w:rsid w:val="00217D2A"/>
    <w:rsid w:val="0029053D"/>
    <w:rsid w:val="00476223"/>
    <w:rsid w:val="00571952"/>
    <w:rsid w:val="00591531"/>
    <w:rsid w:val="005F40EE"/>
    <w:rsid w:val="006D139D"/>
    <w:rsid w:val="00775FA7"/>
    <w:rsid w:val="008853C5"/>
    <w:rsid w:val="00895AAB"/>
    <w:rsid w:val="00953776"/>
    <w:rsid w:val="00AB1E78"/>
    <w:rsid w:val="00B04F12"/>
    <w:rsid w:val="00C423D8"/>
    <w:rsid w:val="00D94D2E"/>
    <w:rsid w:val="00F02B2C"/>
    <w:rsid w:val="00F6644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4A7D8"/>
  <w15:chartTrackingRefBased/>
  <w15:docId w15:val="{65A1EA99-8454-43D3-B78E-959ACE29C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3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23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23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23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23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23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3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3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3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3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23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23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23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23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23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3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3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3D8"/>
    <w:rPr>
      <w:rFonts w:eastAsiaTheme="majorEastAsia" w:cstheme="majorBidi"/>
      <w:color w:val="272727" w:themeColor="text1" w:themeTint="D8"/>
    </w:rPr>
  </w:style>
  <w:style w:type="paragraph" w:styleId="Title">
    <w:name w:val="Title"/>
    <w:basedOn w:val="Normal"/>
    <w:next w:val="Normal"/>
    <w:link w:val="TitleChar"/>
    <w:uiPriority w:val="10"/>
    <w:qFormat/>
    <w:rsid w:val="00C42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3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3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3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3D8"/>
    <w:pPr>
      <w:spacing w:before="160"/>
      <w:jc w:val="center"/>
    </w:pPr>
    <w:rPr>
      <w:i/>
      <w:iCs/>
      <w:color w:val="404040" w:themeColor="text1" w:themeTint="BF"/>
    </w:rPr>
  </w:style>
  <w:style w:type="character" w:customStyle="1" w:styleId="QuoteChar">
    <w:name w:val="Quote Char"/>
    <w:basedOn w:val="DefaultParagraphFont"/>
    <w:link w:val="Quote"/>
    <w:uiPriority w:val="29"/>
    <w:rsid w:val="00C423D8"/>
    <w:rPr>
      <w:i/>
      <w:iCs/>
      <w:color w:val="404040" w:themeColor="text1" w:themeTint="BF"/>
    </w:rPr>
  </w:style>
  <w:style w:type="paragraph" w:styleId="ListParagraph">
    <w:name w:val="List Paragraph"/>
    <w:basedOn w:val="Normal"/>
    <w:uiPriority w:val="34"/>
    <w:qFormat/>
    <w:rsid w:val="00C423D8"/>
    <w:pPr>
      <w:ind w:left="720"/>
      <w:contextualSpacing/>
    </w:pPr>
  </w:style>
  <w:style w:type="character" w:styleId="IntenseEmphasis">
    <w:name w:val="Intense Emphasis"/>
    <w:basedOn w:val="DefaultParagraphFont"/>
    <w:uiPriority w:val="21"/>
    <w:qFormat/>
    <w:rsid w:val="00C423D8"/>
    <w:rPr>
      <w:i/>
      <w:iCs/>
      <w:color w:val="2F5496" w:themeColor="accent1" w:themeShade="BF"/>
    </w:rPr>
  </w:style>
  <w:style w:type="paragraph" w:styleId="IntenseQuote">
    <w:name w:val="Intense Quote"/>
    <w:basedOn w:val="Normal"/>
    <w:next w:val="Normal"/>
    <w:link w:val="IntenseQuoteChar"/>
    <w:uiPriority w:val="30"/>
    <w:qFormat/>
    <w:rsid w:val="00C423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23D8"/>
    <w:rPr>
      <w:i/>
      <w:iCs/>
      <w:color w:val="2F5496" w:themeColor="accent1" w:themeShade="BF"/>
    </w:rPr>
  </w:style>
  <w:style w:type="character" w:styleId="IntenseReference">
    <w:name w:val="Intense Reference"/>
    <w:basedOn w:val="DefaultParagraphFont"/>
    <w:uiPriority w:val="32"/>
    <w:qFormat/>
    <w:rsid w:val="00C423D8"/>
    <w:rPr>
      <w:b/>
      <w:bCs/>
      <w:smallCaps/>
      <w:color w:val="2F5496" w:themeColor="accent1" w:themeShade="BF"/>
      <w:spacing w:val="5"/>
    </w:rPr>
  </w:style>
  <w:style w:type="table" w:customStyle="1" w:styleId="TableGrid1">
    <w:name w:val="Table Grid1"/>
    <w:basedOn w:val="TableNormal"/>
    <w:next w:val="TableGrid"/>
    <w:uiPriority w:val="39"/>
    <w:rsid w:val="00C423D8"/>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423D8"/>
    <w:pPr>
      <w:tabs>
        <w:tab w:val="center" w:pos="4513"/>
        <w:tab w:val="right" w:pos="9026"/>
      </w:tabs>
      <w:spacing w:after="0" w:line="240" w:lineRule="auto"/>
      <w:jc w:val="both"/>
    </w:pPr>
    <w:rPr>
      <w:rFonts w:ascii="Arial" w:eastAsia="Arial" w:hAnsi="Arial" w:cs="Arial"/>
      <w:kern w:val="0"/>
      <w:sz w:val="24"/>
      <w:szCs w:val="24"/>
      <w:lang w:val=""/>
      <w14:ligatures w14:val="none"/>
    </w:rPr>
  </w:style>
  <w:style w:type="character" w:customStyle="1" w:styleId="FooterChar">
    <w:name w:val="Footer Char"/>
    <w:basedOn w:val="DefaultParagraphFont"/>
    <w:link w:val="Footer"/>
    <w:uiPriority w:val="99"/>
    <w:rsid w:val="00C423D8"/>
    <w:rPr>
      <w:rFonts w:ascii="Arial" w:eastAsia="Arial" w:hAnsi="Arial" w:cs="Arial"/>
      <w:kern w:val="0"/>
      <w:sz w:val="24"/>
      <w:szCs w:val="24"/>
      <w:lang w:val=""/>
      <w14:ligatures w14:val="none"/>
    </w:rPr>
  </w:style>
  <w:style w:type="table" w:styleId="TableGrid">
    <w:name w:val="Table Grid"/>
    <w:basedOn w:val="TableNormal"/>
    <w:uiPriority w:val="39"/>
    <w:rsid w:val="00C423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91531"/>
    <w:pPr>
      <w:spacing w:after="100"/>
    </w:pPr>
  </w:style>
  <w:style w:type="paragraph" w:styleId="TOC2">
    <w:name w:val="toc 2"/>
    <w:basedOn w:val="Normal"/>
    <w:next w:val="Normal"/>
    <w:autoRedefine/>
    <w:uiPriority w:val="39"/>
    <w:unhideWhenUsed/>
    <w:rsid w:val="00591531"/>
    <w:pPr>
      <w:spacing w:after="100"/>
      <w:ind w:left="220"/>
    </w:pPr>
  </w:style>
  <w:style w:type="paragraph" w:styleId="TOC3">
    <w:name w:val="toc 3"/>
    <w:basedOn w:val="Normal"/>
    <w:next w:val="Normal"/>
    <w:autoRedefine/>
    <w:uiPriority w:val="39"/>
    <w:unhideWhenUsed/>
    <w:rsid w:val="00591531"/>
    <w:pPr>
      <w:spacing w:after="100"/>
      <w:ind w:left="440"/>
    </w:pPr>
  </w:style>
  <w:style w:type="character" w:styleId="Hyperlink">
    <w:name w:val="Hyperlink"/>
    <w:basedOn w:val="DefaultParagraphFont"/>
    <w:uiPriority w:val="99"/>
    <w:unhideWhenUsed/>
    <w:rsid w:val="00591531"/>
    <w:rPr>
      <w:color w:val="0563C1" w:themeColor="hyperlink"/>
      <w:u w:val="single"/>
    </w:rPr>
  </w:style>
  <w:style w:type="paragraph" w:styleId="Header">
    <w:name w:val="header"/>
    <w:basedOn w:val="Normal"/>
    <w:link w:val="HeaderChar"/>
    <w:uiPriority w:val="99"/>
    <w:unhideWhenUsed/>
    <w:rsid w:val="000850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14</Pages>
  <Words>3463</Words>
  <Characters>21681</Characters>
  <Application>Microsoft Office Word</Application>
  <DocSecurity>0</DocSecurity>
  <Lines>585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Gnanu Bhatt</cp:lastModifiedBy>
  <cp:revision>3</cp:revision>
  <dcterms:created xsi:type="dcterms:W3CDTF">2026-07-08T05:26:00Z</dcterms:created>
  <dcterms:modified xsi:type="dcterms:W3CDTF">2026-07-16T13:15:00Z</dcterms:modified>
</cp:coreProperties>
</file>