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0CE0D" w14:textId="77777777" w:rsidR="003F339A" w:rsidRDefault="00375A09" w:rsidP="003F339A">
      <w:pPr>
        <w:pStyle w:val="Normal1"/>
        <w:jc w:val="center"/>
        <w:rPr>
          <w:b/>
        </w:rPr>
      </w:pPr>
      <w:r>
        <w:rPr>
          <w:b/>
          <w:noProof/>
          <w:lang w:val="en-IN" w:eastAsia="en-IN" w:bidi="bn-IN"/>
        </w:rPr>
        <w:drawing>
          <wp:inline distT="0" distB="0" distL="0" distR="0" wp14:anchorId="3401D62B" wp14:editId="4581FD2C">
            <wp:extent cx="2844466" cy="1580224"/>
            <wp:effectExtent l="19050" t="0" r="0" b="0"/>
            <wp:docPr id="1" name="Picture 0" descr="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of-wales-trinity-saint-david-logo-vector.png"/>
                    <pic:cNvPicPr/>
                  </pic:nvPicPr>
                  <pic:blipFill>
                    <a:blip r:embed="rId8" cstate="print"/>
                    <a:stretch>
                      <a:fillRect/>
                    </a:stretch>
                  </pic:blipFill>
                  <pic:spPr>
                    <a:xfrm>
                      <a:off x="0" y="0"/>
                      <a:ext cx="2852367" cy="1584613"/>
                    </a:xfrm>
                    <a:prstGeom prst="rect">
                      <a:avLst/>
                    </a:prstGeom>
                  </pic:spPr>
                </pic:pic>
              </a:graphicData>
            </a:graphic>
          </wp:inline>
        </w:drawing>
      </w:r>
    </w:p>
    <w:p w14:paraId="5EFDA09D" w14:textId="77777777" w:rsidR="003F339A" w:rsidRDefault="003F339A" w:rsidP="003F339A">
      <w:pPr>
        <w:pStyle w:val="Normal1"/>
        <w:jc w:val="center"/>
        <w:rPr>
          <w:b/>
        </w:rPr>
      </w:pPr>
    </w:p>
    <w:p w14:paraId="43078359" w14:textId="77777777" w:rsidR="003F339A" w:rsidRDefault="003F339A" w:rsidP="003F339A">
      <w:pPr>
        <w:pStyle w:val="Normal1"/>
        <w:jc w:val="center"/>
        <w:rPr>
          <w:b/>
        </w:rPr>
      </w:pPr>
    </w:p>
    <w:p w14:paraId="1246BEC8" w14:textId="77777777" w:rsidR="003F339A" w:rsidRDefault="003F339A" w:rsidP="003F339A">
      <w:pPr>
        <w:pStyle w:val="Normal1"/>
        <w:jc w:val="center"/>
        <w:rPr>
          <w:b/>
        </w:rPr>
      </w:pPr>
    </w:p>
    <w:p w14:paraId="3F11C324" w14:textId="77777777" w:rsidR="003F339A" w:rsidRDefault="003F339A" w:rsidP="003F339A">
      <w:pPr>
        <w:pStyle w:val="Normal1"/>
        <w:jc w:val="center"/>
        <w:rPr>
          <w:b/>
        </w:rPr>
      </w:pPr>
    </w:p>
    <w:p w14:paraId="277816AB" w14:textId="77777777" w:rsidR="003F339A" w:rsidRDefault="003F339A" w:rsidP="003F339A">
      <w:pPr>
        <w:pStyle w:val="Normal1"/>
        <w:jc w:val="center"/>
        <w:rPr>
          <w:b/>
        </w:rPr>
      </w:pPr>
    </w:p>
    <w:p w14:paraId="450A68C0" w14:textId="77777777" w:rsidR="003F339A" w:rsidRDefault="003F339A" w:rsidP="003F339A">
      <w:pPr>
        <w:pStyle w:val="Normal1"/>
        <w:jc w:val="center"/>
        <w:rPr>
          <w:b/>
        </w:rPr>
      </w:pPr>
    </w:p>
    <w:p w14:paraId="3B61644B" w14:textId="77777777" w:rsidR="003F339A" w:rsidRDefault="003F339A" w:rsidP="003F339A">
      <w:pPr>
        <w:pStyle w:val="Normal1"/>
        <w:jc w:val="center"/>
        <w:rPr>
          <w:b/>
        </w:rPr>
      </w:pPr>
    </w:p>
    <w:p w14:paraId="22516338" w14:textId="77777777" w:rsidR="003F339A" w:rsidRPr="00C97090" w:rsidRDefault="00375A09" w:rsidP="003F339A">
      <w:pPr>
        <w:pStyle w:val="Normal1"/>
        <w:jc w:val="center"/>
        <w:rPr>
          <w:rFonts w:ascii="Times New Roman" w:hAnsi="Times New Roman" w:cs="Times New Roman"/>
          <w:b/>
          <w:sz w:val="36"/>
          <w:szCs w:val="36"/>
        </w:rPr>
      </w:pPr>
      <w:r w:rsidRPr="00C97090">
        <w:rPr>
          <w:rFonts w:ascii="Times New Roman" w:hAnsi="Times New Roman" w:cs="Times New Roman"/>
          <w:b/>
          <w:sz w:val="36"/>
          <w:szCs w:val="36"/>
        </w:rPr>
        <w:t>Module: Criminal Law</w:t>
      </w:r>
    </w:p>
    <w:p w14:paraId="27582A3F" w14:textId="77777777" w:rsidR="00C97090" w:rsidRDefault="00C97090" w:rsidP="00C97090">
      <w:pPr>
        <w:pStyle w:val="Normal1"/>
        <w:jc w:val="center"/>
        <w:rPr>
          <w:rFonts w:ascii="Times New Roman" w:hAnsi="Times New Roman" w:cs="Times New Roman"/>
          <w:b/>
          <w:sz w:val="24"/>
          <w:szCs w:val="24"/>
        </w:rPr>
      </w:pPr>
    </w:p>
    <w:p w14:paraId="7C5970A0" w14:textId="65AA4FB0" w:rsidR="003F339A" w:rsidRPr="00C97090" w:rsidRDefault="00375A09" w:rsidP="00C97090">
      <w:pPr>
        <w:pStyle w:val="Normal1"/>
        <w:jc w:val="center"/>
        <w:rPr>
          <w:rFonts w:ascii="Times New Roman" w:hAnsi="Times New Roman" w:cs="Times New Roman"/>
          <w:b/>
          <w:sz w:val="24"/>
          <w:szCs w:val="24"/>
        </w:rPr>
      </w:pPr>
      <w:r w:rsidRPr="00C97090">
        <w:rPr>
          <w:rFonts w:ascii="Times New Roman" w:hAnsi="Times New Roman" w:cs="Times New Roman"/>
          <w:b/>
          <w:sz w:val="24"/>
          <w:szCs w:val="24"/>
        </w:rPr>
        <w:t>Module Code: BMPL4009</w:t>
      </w:r>
      <w:r w:rsidR="00C97090" w:rsidRPr="00C97090">
        <w:rPr>
          <w:rFonts w:ascii="Times New Roman" w:hAnsi="Times New Roman" w:cs="Times New Roman"/>
          <w:b/>
          <w:sz w:val="24"/>
          <w:szCs w:val="24"/>
        </w:rPr>
        <w:t xml:space="preserve"> </w:t>
      </w:r>
    </w:p>
    <w:p w14:paraId="0E429DBE" w14:textId="77777777" w:rsidR="00C97090" w:rsidRDefault="00C97090" w:rsidP="003F339A">
      <w:pPr>
        <w:pStyle w:val="Normal1"/>
        <w:jc w:val="center"/>
        <w:rPr>
          <w:rFonts w:ascii="Times New Roman" w:hAnsi="Times New Roman" w:cs="Times New Roman"/>
          <w:b/>
          <w:sz w:val="24"/>
          <w:szCs w:val="24"/>
        </w:rPr>
      </w:pPr>
    </w:p>
    <w:p w14:paraId="2CAA3FFE" w14:textId="7F992025" w:rsidR="003F339A" w:rsidRPr="00C97090" w:rsidRDefault="00375A09" w:rsidP="003F339A">
      <w:pPr>
        <w:pStyle w:val="Normal1"/>
        <w:jc w:val="center"/>
        <w:rPr>
          <w:rFonts w:ascii="Times New Roman" w:hAnsi="Times New Roman" w:cs="Times New Roman"/>
          <w:b/>
          <w:sz w:val="24"/>
          <w:szCs w:val="24"/>
        </w:rPr>
      </w:pPr>
      <w:r w:rsidRPr="00C97090">
        <w:rPr>
          <w:rFonts w:ascii="Times New Roman" w:hAnsi="Times New Roman" w:cs="Times New Roman"/>
          <w:b/>
          <w:sz w:val="24"/>
          <w:szCs w:val="24"/>
        </w:rPr>
        <w:t>Student Name:</w:t>
      </w:r>
      <w:r w:rsidR="00560125">
        <w:rPr>
          <w:rFonts w:ascii="Times New Roman" w:hAnsi="Times New Roman" w:cs="Times New Roman"/>
          <w:b/>
          <w:sz w:val="24"/>
          <w:szCs w:val="24"/>
        </w:rPr>
        <w:t xml:space="preserve"> Ionela Daniela Mirsu</w:t>
      </w:r>
    </w:p>
    <w:p w14:paraId="1A65AF12" w14:textId="25F139BB" w:rsidR="003F339A" w:rsidRPr="00C97090" w:rsidRDefault="00375A09" w:rsidP="003F339A">
      <w:pPr>
        <w:pStyle w:val="Normal1"/>
        <w:jc w:val="center"/>
        <w:rPr>
          <w:rFonts w:ascii="Times New Roman" w:hAnsi="Times New Roman" w:cs="Times New Roman"/>
          <w:b/>
          <w:sz w:val="24"/>
          <w:szCs w:val="24"/>
        </w:rPr>
      </w:pPr>
      <w:r w:rsidRPr="00C97090">
        <w:rPr>
          <w:rFonts w:ascii="Times New Roman" w:hAnsi="Times New Roman" w:cs="Times New Roman"/>
          <w:b/>
          <w:sz w:val="24"/>
          <w:szCs w:val="24"/>
        </w:rPr>
        <w:t xml:space="preserve">Student ID: </w:t>
      </w:r>
      <w:r w:rsidR="00560125">
        <w:rPr>
          <w:rFonts w:ascii="Times New Roman" w:hAnsi="Times New Roman" w:cs="Times New Roman"/>
          <w:b/>
          <w:sz w:val="24"/>
          <w:szCs w:val="24"/>
        </w:rPr>
        <w:t>2132560</w:t>
      </w:r>
    </w:p>
    <w:p w14:paraId="49F9F711" w14:textId="77777777" w:rsidR="003F339A" w:rsidRPr="00C97090" w:rsidRDefault="003F339A">
      <w:pPr>
        <w:pStyle w:val="Normal1"/>
        <w:rPr>
          <w:rFonts w:ascii="Times New Roman" w:hAnsi="Times New Roman" w:cs="Times New Roman"/>
          <w:b/>
          <w:sz w:val="24"/>
          <w:szCs w:val="24"/>
        </w:rPr>
      </w:pPr>
    </w:p>
    <w:p w14:paraId="1588237E" w14:textId="77777777" w:rsidR="003F339A" w:rsidRDefault="003F339A">
      <w:pPr>
        <w:pStyle w:val="Normal1"/>
        <w:rPr>
          <w:b/>
        </w:rPr>
      </w:pPr>
    </w:p>
    <w:p w14:paraId="22C643DC" w14:textId="77777777" w:rsidR="003F339A" w:rsidRDefault="003F339A">
      <w:pPr>
        <w:pStyle w:val="Normal1"/>
        <w:rPr>
          <w:b/>
        </w:rPr>
      </w:pPr>
    </w:p>
    <w:p w14:paraId="2B261368" w14:textId="77777777" w:rsidR="003F339A" w:rsidRDefault="003F339A">
      <w:pPr>
        <w:pStyle w:val="Normal1"/>
        <w:rPr>
          <w:b/>
        </w:rPr>
      </w:pPr>
    </w:p>
    <w:p w14:paraId="6EC3575E" w14:textId="77777777" w:rsidR="003F339A" w:rsidRDefault="003F339A">
      <w:pPr>
        <w:pStyle w:val="Normal1"/>
        <w:rPr>
          <w:b/>
        </w:rPr>
      </w:pPr>
    </w:p>
    <w:p w14:paraId="56FBA224" w14:textId="77777777" w:rsidR="003F339A" w:rsidRDefault="003F339A">
      <w:pPr>
        <w:pStyle w:val="Normal1"/>
        <w:rPr>
          <w:b/>
        </w:rPr>
      </w:pPr>
    </w:p>
    <w:p w14:paraId="0E8815A0" w14:textId="77777777" w:rsidR="003F339A" w:rsidRDefault="003F339A">
      <w:pPr>
        <w:pStyle w:val="Normal1"/>
        <w:rPr>
          <w:b/>
        </w:rPr>
      </w:pPr>
    </w:p>
    <w:p w14:paraId="7BC706A5" w14:textId="47DB5CB9" w:rsidR="00701DDC" w:rsidRDefault="00701DDC">
      <w:pPr>
        <w:spacing w:line="276" w:lineRule="auto"/>
        <w:jc w:val="left"/>
        <w:rPr>
          <w:rFonts w:eastAsiaTheme="majorEastAsia" w:cstheme="majorBidi"/>
          <w:b/>
          <w:bCs/>
          <w:sz w:val="28"/>
          <w:szCs w:val="28"/>
        </w:rPr>
      </w:pPr>
      <w:bookmarkStart w:id="0" w:name="_Toc128418053"/>
    </w:p>
    <w:p w14:paraId="1D56D6C3" w14:textId="77777777" w:rsidR="00183353" w:rsidRDefault="00375A09" w:rsidP="00C97090">
      <w:pPr>
        <w:pStyle w:val="Heading1"/>
      </w:pPr>
      <w:bookmarkStart w:id="1" w:name="_Toc128437343"/>
      <w:r>
        <w:lastRenderedPageBreak/>
        <w:t>Introduction</w:t>
      </w:r>
      <w:bookmarkEnd w:id="0"/>
      <w:bookmarkEnd w:id="1"/>
      <w:r>
        <w:t xml:space="preserve"> </w:t>
      </w:r>
    </w:p>
    <w:p w14:paraId="2779C332" w14:textId="77777777" w:rsidR="00183353" w:rsidRDefault="00375A09" w:rsidP="00C97090">
      <w:r>
        <w:t xml:space="preserve">Within the UK, the English penal code focuses on transgressions, and associated mitigation, especially subsequent repercussions. Criminality appears to be a violation against the general public as opposed to merely particular persons involved. This assignment will focus on the legislation of criminals and its correspondence regarding diminished responsibility. This assignment will also focus on discussing the requirements of the </w:t>
      </w:r>
      <w:r>
        <w:rPr>
          <w:szCs w:val="24"/>
        </w:rPr>
        <w:t xml:space="preserve">S.2 Homicide Act 1957 and reasoning, advantages, disadvantages, and further recommendations for s.52 Coroners and Justice Act 2009 law impacting the structure formation of the UK legislation system. This assignment will critically evaluate ethical, moral, social, and philosophical issues related to criminal law all over the UK. </w:t>
      </w:r>
    </w:p>
    <w:p w14:paraId="05420C2A" w14:textId="77777777" w:rsidR="00183353" w:rsidRDefault="00375A09" w:rsidP="00C97090">
      <w:pPr>
        <w:pStyle w:val="Heading1"/>
      </w:pPr>
      <w:bookmarkStart w:id="2" w:name="_Toc128418054"/>
      <w:bookmarkStart w:id="3" w:name="_Toc128437344"/>
      <w:r>
        <w:t>Main body</w:t>
      </w:r>
      <w:bookmarkEnd w:id="2"/>
      <w:bookmarkEnd w:id="3"/>
      <w:r>
        <w:t xml:space="preserve"> </w:t>
      </w:r>
    </w:p>
    <w:p w14:paraId="51D9672C" w14:textId="77777777" w:rsidR="00183353" w:rsidRDefault="00375A09" w:rsidP="00C97090">
      <w:pPr>
        <w:pStyle w:val="Heading2"/>
      </w:pPr>
      <w:bookmarkStart w:id="4" w:name="_Toc128418055"/>
      <w:bookmarkStart w:id="5" w:name="_Toc128437345"/>
      <w:r>
        <w:t>Ethical, moral, social</w:t>
      </w:r>
      <w:r w:rsidR="00094D7C">
        <w:t xml:space="preserve"> and philosophical issues related to criminal law in the </w:t>
      </w:r>
      <w:proofErr w:type="gramStart"/>
      <w:r w:rsidR="00094D7C">
        <w:t>UK</w:t>
      </w:r>
      <w:bookmarkEnd w:id="4"/>
      <w:bookmarkEnd w:id="5"/>
      <w:proofErr w:type="gramEnd"/>
    </w:p>
    <w:p w14:paraId="1C57DA81" w14:textId="77777777" w:rsidR="00183353" w:rsidRPr="00C97090" w:rsidRDefault="00375A09" w:rsidP="00C97090">
      <w:pPr>
        <w:rPr>
          <w:rFonts w:cs="Times New Roman"/>
        </w:rPr>
      </w:pPr>
      <w:r w:rsidRPr="00C97090">
        <w:rPr>
          <w:rFonts w:cs="Times New Roman"/>
        </w:rPr>
        <w:t>Some personal moral dilemmas including challenges that maybe affect specialists in the law enforcement community, including separated by sections and described below and then show how important the research on ethics is to the system of criminal justice (</w:t>
      </w:r>
      <w:proofErr w:type="spellStart"/>
      <w:r w:rsidRPr="00C97090">
        <w:rPr>
          <w:rFonts w:eastAsia="Calibri" w:cs="Times New Roman"/>
        </w:rPr>
        <w:t>Szczucki</w:t>
      </w:r>
      <w:proofErr w:type="spellEnd"/>
      <w:r w:rsidRPr="00C97090">
        <w:rPr>
          <w:rFonts w:eastAsia="Calibri" w:cs="Times New Roman"/>
        </w:rPr>
        <w:t>, 2018)</w:t>
      </w:r>
      <w:r w:rsidRPr="00C97090">
        <w:rPr>
          <w:rFonts w:cs="Times New Roman"/>
        </w:rPr>
        <w:t>. Many concerns and challenges may relate to, for instance, how else to exert influence, well how to manage disagreements between interpersonal and indeed the corporate, as well as how to handle dilemmas specific to a specific component of the system, like probation and parole. State regulations that have a significant impact on criminal justice professionals include those related to incarceration, biometrics of minors, and mandated rehabilitation like forced drug rehab or psychological treatment (</w:t>
      </w:r>
      <w:proofErr w:type="spellStart"/>
      <w:r w:rsidRPr="00C97090">
        <w:rPr>
          <w:rFonts w:eastAsia="Calibri" w:cs="Times New Roman"/>
        </w:rPr>
        <w:t>Szczucki</w:t>
      </w:r>
      <w:proofErr w:type="spellEnd"/>
      <w:r w:rsidRPr="00C97090">
        <w:rPr>
          <w:rFonts w:eastAsia="Calibri" w:cs="Times New Roman"/>
        </w:rPr>
        <w:t>, 2018)</w:t>
      </w:r>
      <w:r w:rsidRPr="00C97090">
        <w:rPr>
          <w:rFonts w:cs="Times New Roman"/>
        </w:rPr>
        <w:t>. This transition away towards juvenile correctional regulations that are repressive and even more therapeutic. This same greatest advantage in overcoming relativity issues appears to somehow be found together in the viewpoint which it promotes normative plurality. Standards-setting strategies span from political correctness to moral responsibility.</w:t>
      </w:r>
    </w:p>
    <w:p w14:paraId="71664055" w14:textId="77777777" w:rsidR="00183353" w:rsidRDefault="00375A09" w:rsidP="003F339A">
      <w:pPr>
        <w:pStyle w:val="Heading2"/>
        <w:rPr>
          <w:szCs w:val="24"/>
        </w:rPr>
      </w:pPr>
      <w:bookmarkStart w:id="6" w:name="_Toc128418056"/>
      <w:bookmarkStart w:id="7" w:name="_Toc128437346"/>
      <w:r>
        <w:t xml:space="preserve">The requirements of diminished responsibilities under </w:t>
      </w:r>
      <w:r>
        <w:rPr>
          <w:szCs w:val="24"/>
        </w:rPr>
        <w:t>S.2 Homicide Act 1957</w:t>
      </w:r>
      <w:bookmarkEnd w:id="6"/>
      <w:bookmarkEnd w:id="7"/>
    </w:p>
    <w:p w14:paraId="7ABEE2EE" w14:textId="77777777" w:rsidR="00183353" w:rsidRPr="00C97090" w:rsidRDefault="00375A09" w:rsidP="003F339A">
      <w:pPr>
        <w:rPr>
          <w:rFonts w:cs="Times New Roman"/>
        </w:rPr>
      </w:pPr>
      <w:r w:rsidRPr="00C97090">
        <w:rPr>
          <w:rFonts w:cs="Times New Roman"/>
        </w:rPr>
        <w:t xml:space="preserve">Under the legislation of S.2 homicide Act 1957, the UK government clearly stated the requirements for justice due to criminal activities. This legislation has been updated in 2009 and substituted for S.2 by Coroner and Justice Act 2009. The requirements of the S.2 Homicide Act for diminished responsibilities are listed below: </w:t>
      </w:r>
    </w:p>
    <w:p w14:paraId="0814AD97" w14:textId="727B82E4" w:rsidR="00183353" w:rsidRPr="00C97090" w:rsidRDefault="00375A09" w:rsidP="003F339A">
      <w:pPr>
        <w:pStyle w:val="ListParagraph"/>
        <w:numPr>
          <w:ilvl w:val="0"/>
          <w:numId w:val="6"/>
        </w:numPr>
        <w:rPr>
          <w:rFonts w:cs="Times New Roman"/>
        </w:rPr>
      </w:pPr>
      <w:r w:rsidRPr="00C97090">
        <w:rPr>
          <w:rFonts w:cs="Times New Roman"/>
        </w:rPr>
        <w:lastRenderedPageBreak/>
        <w:t xml:space="preserve">When someone murders someone else or participates in a massacre, they aren't considered murderers if they were under the influence of an irregular psychological illness that significantly reduced their capacity to take ownership of their </w:t>
      </w:r>
      <w:r w:rsidR="00560125" w:rsidRPr="00C97090">
        <w:rPr>
          <w:rFonts w:cs="Times New Roman"/>
        </w:rPr>
        <w:t>behaviors</w:t>
      </w:r>
      <w:r w:rsidRPr="00C97090">
        <w:rPr>
          <w:rFonts w:cs="Times New Roman"/>
        </w:rPr>
        <w:t xml:space="preserve"> as well as incompleteness (</w:t>
      </w:r>
      <w:r w:rsidRPr="00C97090">
        <w:rPr>
          <w:rFonts w:eastAsia="Calibri" w:cs="Times New Roman"/>
        </w:rPr>
        <w:t>legislation.gov.uk, 2018)</w:t>
      </w:r>
      <w:r w:rsidRPr="00C97090">
        <w:rPr>
          <w:rFonts w:cs="Times New Roman"/>
        </w:rPr>
        <w:t>. This disorder could have been caused by illness, concussion, or an underlying psychological disorder.</w:t>
      </w:r>
    </w:p>
    <w:p w14:paraId="1C542757" w14:textId="77777777" w:rsidR="00183353" w:rsidRPr="00C97090" w:rsidRDefault="00375A09" w:rsidP="003F339A">
      <w:pPr>
        <w:pStyle w:val="ListParagraph"/>
        <w:numPr>
          <w:ilvl w:val="0"/>
          <w:numId w:val="6"/>
        </w:numPr>
        <w:rPr>
          <w:rFonts w:cs="Times New Roman"/>
        </w:rPr>
      </w:pPr>
      <w:r w:rsidRPr="00C97090">
        <w:rPr>
          <w:rFonts w:cs="Times New Roman"/>
        </w:rPr>
        <w:t>If someone has been accused of murder, then the prosecution must establish further that the accused also isn't culpable due to such provision (</w:t>
      </w:r>
      <w:r w:rsidRPr="00C97090">
        <w:rPr>
          <w:rFonts w:eastAsia="Calibri" w:cs="Times New Roman"/>
        </w:rPr>
        <w:t>legislation.gov.uk, 2018)</w:t>
      </w:r>
    </w:p>
    <w:p w14:paraId="6375F1E5" w14:textId="77777777" w:rsidR="00183353" w:rsidRPr="00C97090" w:rsidRDefault="00375A09" w:rsidP="003F339A">
      <w:pPr>
        <w:pStyle w:val="ListParagraph"/>
        <w:numPr>
          <w:ilvl w:val="0"/>
          <w:numId w:val="6"/>
        </w:numPr>
        <w:rPr>
          <w:rFonts w:cs="Times New Roman"/>
        </w:rPr>
      </w:pPr>
      <w:r w:rsidRPr="00C97090">
        <w:rPr>
          <w:rFonts w:cs="Times New Roman"/>
        </w:rPr>
        <w:t>Anyone who, absent such clause, is then accused of killing someone, regardless of whether they were primary or a bystander, would rather remain charged with manslaughter.</w:t>
      </w:r>
    </w:p>
    <w:p w14:paraId="3ECDCE5C" w14:textId="77777777" w:rsidR="00183353" w:rsidRPr="00C97090" w:rsidRDefault="00375A09" w:rsidP="003F339A">
      <w:pPr>
        <w:pStyle w:val="ListParagraph"/>
        <w:numPr>
          <w:ilvl w:val="0"/>
          <w:numId w:val="6"/>
        </w:numPr>
        <w:rPr>
          <w:rFonts w:cs="Times New Roman"/>
        </w:rPr>
      </w:pPr>
      <w:r w:rsidRPr="00C97090">
        <w:rPr>
          <w:rFonts w:cs="Times New Roman"/>
        </w:rPr>
        <w:t>The problem of if a homicide constituted death there in the instance of each additional participant to that though is unaffected by the circumstance so one person to a homicide being, thanks to this clause, neither subject to being charged with murder (</w:t>
      </w:r>
      <w:r w:rsidRPr="00C97090">
        <w:rPr>
          <w:rFonts w:eastAsia="Calibri" w:cs="Times New Roman"/>
        </w:rPr>
        <w:t xml:space="preserve">legislation.gov.uk, 2018). </w:t>
      </w:r>
    </w:p>
    <w:p w14:paraId="78727609" w14:textId="77777777" w:rsidR="00183353" w:rsidRDefault="00183353">
      <w:pPr>
        <w:pStyle w:val="Normal1"/>
        <w:rPr>
          <w:sz w:val="24"/>
          <w:szCs w:val="24"/>
        </w:rPr>
      </w:pPr>
    </w:p>
    <w:p w14:paraId="5A273692" w14:textId="77777777" w:rsidR="00183353" w:rsidRPr="00C97090" w:rsidRDefault="00375A09" w:rsidP="00C97090">
      <w:pPr>
        <w:pStyle w:val="Heading2"/>
      </w:pPr>
      <w:bookmarkStart w:id="8" w:name="_Toc128418057"/>
      <w:bookmarkStart w:id="9" w:name="_Toc128437347"/>
      <w:r>
        <w:t>The need for change in S.2 homicide Act 1957</w:t>
      </w:r>
      <w:bookmarkEnd w:id="8"/>
      <w:bookmarkEnd w:id="9"/>
      <w:r>
        <w:t xml:space="preserve"> </w:t>
      </w:r>
    </w:p>
    <w:p w14:paraId="2D657042" w14:textId="0BE1B185" w:rsidR="00183353" w:rsidRPr="00C97090" w:rsidRDefault="00375A09" w:rsidP="00C97090">
      <w:pPr>
        <w:rPr>
          <w:rFonts w:cs="Times New Roman"/>
        </w:rPr>
      </w:pPr>
      <w:r w:rsidRPr="00C97090">
        <w:rPr>
          <w:rFonts w:cs="Times New Roman"/>
        </w:rPr>
        <w:t>British Royal Commission on Death Punishment's 1953 assessment adopted their stance because psychosis particularly led toward lessened accountability, became quite frequent and therefore possibly significant to a diverse number of charges (legislation.gov.uk, 2018). Through decree permitting that judiciary should prevent administering this same capital punishment, the Commission declared that a "fundamental" revision towards the current statute might not be warranted. This contributory negligence argument has become possible under section 2 of the Act where the defendant had been, there at the time of the attack, experiencing a "malformation of said mentality" and significantly reduced personal psychological culpability regarding their misconduct ultimately resulted with manslaughter (</w:t>
      </w:r>
      <w:r w:rsidRPr="00C97090">
        <w:rPr>
          <w:rFonts w:eastAsia="Calibri" w:cs="Times New Roman"/>
        </w:rPr>
        <w:t>legislation.gov.uk, 2022)</w:t>
      </w:r>
      <w:r w:rsidRPr="00C97090">
        <w:rPr>
          <w:rFonts w:cs="Times New Roman"/>
        </w:rPr>
        <w:t xml:space="preserve">. Somebody condemned must provide evidence showing their level of accountability substantially decreased. Such strategy can be distinguished again from </w:t>
      </w:r>
      <w:r w:rsidR="00560125" w:rsidRPr="00C97090">
        <w:rPr>
          <w:rFonts w:cs="Times New Roman"/>
        </w:rPr>
        <w:t>defenses</w:t>
      </w:r>
      <w:r w:rsidRPr="00C97090">
        <w:rPr>
          <w:rFonts w:cs="Times New Roman"/>
        </w:rPr>
        <w:t xml:space="preserve"> to absurdity in that the latter calls for a failure of rationality resulting out of a psychiatric illness, meanwhile the earlier calls for only a progressive decline in the knowledge and experiences stemming off of an aberration of such mentality (</w:t>
      </w:r>
      <w:r w:rsidRPr="00C97090">
        <w:rPr>
          <w:rFonts w:eastAsia="Calibri" w:cs="Times New Roman"/>
        </w:rPr>
        <w:t>justice.gov.uk, 2018)</w:t>
      </w:r>
      <w:r w:rsidRPr="00C97090">
        <w:rPr>
          <w:rFonts w:cs="Times New Roman"/>
        </w:rPr>
        <w:t xml:space="preserve">. This same protection of diminished responsibility minimizes a murder conviction to vehicular manslaughter; meanwhile, the prosecution of absurdity absolves the alleged perpetrator over all remorse (it can nevertheless call for the claimant to be deposited in special care, such as </w:t>
      </w:r>
      <w:r w:rsidRPr="00C97090">
        <w:rPr>
          <w:rFonts w:cs="Times New Roman"/>
        </w:rPr>
        <w:lastRenderedPageBreak/>
        <w:t>through instituting a healthcare order under Section 37 of the Mental Health Act 1983), as well as instinctive reflex consequences together in full verdict (</w:t>
      </w:r>
      <w:r w:rsidRPr="00C97090">
        <w:rPr>
          <w:rFonts w:eastAsia="Calibri" w:cs="Times New Roman"/>
        </w:rPr>
        <w:t>legislation.gov.uk, 2020)</w:t>
      </w:r>
      <w:r w:rsidRPr="00C97090">
        <w:rPr>
          <w:rFonts w:cs="Times New Roman"/>
        </w:rPr>
        <w:t>. Although consuming liquor has already become compulsive, alcoholism could not be considered a mental illness. Because it emphasizes the psychology of any such argument, the government Coroners and Justice Act [2009] s52(1) changed the British Murder Act 1957 by inserting the language "deficient cognitive health" rather than "anomalous mentality." (</w:t>
      </w:r>
      <w:r w:rsidRPr="00C97090">
        <w:rPr>
          <w:rFonts w:eastAsia="Calibri" w:cs="Times New Roman"/>
        </w:rPr>
        <w:t xml:space="preserve">legislation.gov.uk, 2021). </w:t>
      </w:r>
    </w:p>
    <w:p w14:paraId="27905910" w14:textId="545D3E50" w:rsidR="00183353" w:rsidRPr="00C97090" w:rsidRDefault="00375A09" w:rsidP="00701DDC">
      <w:pPr>
        <w:pStyle w:val="Heading2"/>
      </w:pPr>
      <w:bookmarkStart w:id="10" w:name="_Toc128418058"/>
      <w:bookmarkStart w:id="11" w:name="_Toc128437348"/>
      <w:r>
        <w:t xml:space="preserve">Alteration brought by s.52 Coroners and Justice Act 2009 </w:t>
      </w:r>
      <w:bookmarkEnd w:id="10"/>
      <w:bookmarkEnd w:id="11"/>
      <w:r w:rsidR="00560125">
        <w:t>law.</w:t>
      </w:r>
    </w:p>
    <w:p w14:paraId="67B5806B" w14:textId="77777777" w:rsidR="00183353" w:rsidRPr="00C97090" w:rsidRDefault="00375A09" w:rsidP="003F339A">
      <w:pPr>
        <w:rPr>
          <w:rFonts w:cs="Times New Roman"/>
        </w:rPr>
      </w:pPr>
      <w:r w:rsidRPr="00C97090">
        <w:rPr>
          <w:rFonts w:cs="Times New Roman"/>
        </w:rPr>
        <w:t>The 2009 Act's Section 52 addresses the England and Wales version of such involuntary manslaughter justification against death. This substitutes a revised, greater contemporary understanding of such limited response for said preexisting approach. It accomplishes this by adding additional subsections (1) onto (2) to Section 2(1) of the Murder Act 1957. (1B) (</w:t>
      </w:r>
      <w:r w:rsidRPr="00C97090">
        <w:rPr>
          <w:rFonts w:eastAsia="Calibri" w:cs="Times New Roman"/>
        </w:rPr>
        <w:t>legislation.gov.uk, 2021)</w:t>
      </w:r>
      <w:r w:rsidRPr="00C97090">
        <w:rPr>
          <w:rFonts w:cs="Times New Roman"/>
        </w:rPr>
        <w:t>. Because the outcome of something like a comparison to a previous prosecution case would nonetheless come toward a misdemeanor decision over a criminal conviction (section 2(3) of the 1957 Act) (</w:t>
      </w:r>
      <w:r w:rsidRPr="00C97090">
        <w:rPr>
          <w:rFonts w:eastAsia="Calibri" w:cs="Times New Roman"/>
        </w:rPr>
        <w:t>legislation.gov.uk, 2021)</w:t>
      </w:r>
      <w:r w:rsidRPr="00C97090">
        <w:rPr>
          <w:rFonts w:cs="Times New Roman"/>
        </w:rPr>
        <w:t xml:space="preserve">. Corresponding to this, section 2(2) of said Murder Act from 1957 still requires this same opposition should demonstrate that such a complete response is applicable (on the balance of probabilities). </w:t>
      </w:r>
    </w:p>
    <w:p w14:paraId="390C7F42" w14:textId="36C99CF6" w:rsidR="00183353" w:rsidRPr="00C97090" w:rsidRDefault="00375A09" w:rsidP="003F339A">
      <w:pPr>
        <w:rPr>
          <w:rFonts w:cs="Times New Roman"/>
        </w:rPr>
      </w:pPr>
      <w:r w:rsidRPr="00C97090">
        <w:rPr>
          <w:rFonts w:cs="Times New Roman"/>
        </w:rPr>
        <w:t xml:space="preserve">One objective is to prevent cases where the prosecutor's psychological state had little or no bearing effect on actual </w:t>
      </w:r>
      <w:r w:rsidR="00560125" w:rsidRPr="00C97090">
        <w:rPr>
          <w:rFonts w:cs="Times New Roman"/>
        </w:rPr>
        <w:t>behavior</w:t>
      </w:r>
      <w:r w:rsidRPr="00C97090">
        <w:rPr>
          <w:rFonts w:cs="Times New Roman"/>
        </w:rPr>
        <w:t>—i.e., instances in which they would likely commit independent of a given physical illness being successfully defended. (Hansard, March 3, 2009, Column 410). Combine that with the concept defined as decreased culpability where it currently stands, namely calls for an individual's psychological duty in being significantly compromised, although it fails to describe how (</w:t>
      </w:r>
      <w:r w:rsidRPr="00C97090">
        <w:rPr>
          <w:rFonts w:eastAsia="Calibri" w:cs="Times New Roman"/>
        </w:rPr>
        <w:t>legislation.gov.uk, 2022)</w:t>
      </w:r>
      <w:r w:rsidRPr="00C97090">
        <w:rPr>
          <w:rFonts w:cs="Times New Roman"/>
        </w:rPr>
        <w:t>. Particularly because everything concerns the affirmative argument claim of contributory negligence, subsection (2) changes the judicial terminology of section 6 of the Criminal Process (Insanity) Act 1964 such that it applies thereto "malformation for cognitive health" rather than on the previous "structural abnormalities in mentality." (</w:t>
      </w:r>
      <w:r w:rsidRPr="00C97090">
        <w:rPr>
          <w:rFonts w:eastAsia="Calibri" w:cs="Times New Roman"/>
        </w:rPr>
        <w:t>legislation.gov.uk, 2018)</w:t>
      </w:r>
    </w:p>
    <w:p w14:paraId="2F7AE084" w14:textId="77777777" w:rsidR="00183353" w:rsidRDefault="00183353">
      <w:pPr>
        <w:pStyle w:val="Normal1"/>
        <w:rPr>
          <w:sz w:val="24"/>
          <w:szCs w:val="24"/>
        </w:rPr>
      </w:pPr>
    </w:p>
    <w:p w14:paraId="1A5BE13E" w14:textId="77777777" w:rsidR="00560125" w:rsidRDefault="00560125" w:rsidP="00C97090">
      <w:pPr>
        <w:pStyle w:val="Heading2"/>
      </w:pPr>
      <w:bookmarkStart w:id="12" w:name="_Toc128418059"/>
      <w:bookmarkStart w:id="13" w:name="_Toc128437349"/>
    </w:p>
    <w:p w14:paraId="1FB915BD" w14:textId="77777777" w:rsidR="00560125" w:rsidRDefault="00560125" w:rsidP="00C97090">
      <w:pPr>
        <w:pStyle w:val="Heading2"/>
      </w:pPr>
    </w:p>
    <w:p w14:paraId="1804041E" w14:textId="51DCD3E0" w:rsidR="00183353" w:rsidRPr="00C97090" w:rsidRDefault="00375A09" w:rsidP="00C97090">
      <w:pPr>
        <w:pStyle w:val="Heading2"/>
      </w:pPr>
      <w:r>
        <w:t>Advantages and Disadvantages of the discussed changes</w:t>
      </w:r>
      <w:bookmarkEnd w:id="12"/>
      <w:bookmarkEnd w:id="13"/>
      <w:r>
        <w:t xml:space="preserve"> </w:t>
      </w:r>
    </w:p>
    <w:p w14:paraId="6D1EB668" w14:textId="77777777" w:rsidR="00183353" w:rsidRPr="00C97090" w:rsidRDefault="00375A09">
      <w:pPr>
        <w:pStyle w:val="Normal1"/>
        <w:rPr>
          <w:rFonts w:ascii="Times New Roman" w:hAnsi="Times New Roman" w:cs="Times New Roman"/>
          <w:b/>
          <w:bCs/>
          <w:i/>
          <w:iCs/>
          <w:sz w:val="24"/>
          <w:szCs w:val="24"/>
        </w:rPr>
      </w:pPr>
      <w:r w:rsidRPr="00C97090">
        <w:rPr>
          <w:rFonts w:ascii="Times New Roman" w:hAnsi="Times New Roman" w:cs="Times New Roman"/>
          <w:b/>
          <w:bCs/>
          <w:i/>
          <w:iCs/>
          <w:sz w:val="24"/>
          <w:szCs w:val="24"/>
        </w:rPr>
        <w:t>Advantages:</w:t>
      </w:r>
    </w:p>
    <w:p w14:paraId="4E48A6DF" w14:textId="77777777" w:rsidR="00183353" w:rsidRPr="00C97090" w:rsidRDefault="00183353">
      <w:pPr>
        <w:pStyle w:val="Normal1"/>
        <w:rPr>
          <w:rFonts w:ascii="Times New Roman" w:hAnsi="Times New Roman" w:cs="Times New Roman"/>
          <w:sz w:val="24"/>
          <w:szCs w:val="24"/>
        </w:rPr>
      </w:pPr>
    </w:p>
    <w:p w14:paraId="543692DA" w14:textId="77777777" w:rsidR="00183353" w:rsidRPr="00C97090" w:rsidRDefault="00375A09" w:rsidP="003F339A">
      <w:pPr>
        <w:pStyle w:val="ListParagraph"/>
        <w:numPr>
          <w:ilvl w:val="0"/>
          <w:numId w:val="7"/>
        </w:numPr>
        <w:rPr>
          <w:rFonts w:cs="Times New Roman"/>
          <w:szCs w:val="24"/>
        </w:rPr>
      </w:pPr>
      <w:r w:rsidRPr="00C97090">
        <w:rPr>
          <w:rFonts w:cs="Times New Roman"/>
          <w:szCs w:val="24"/>
        </w:rPr>
        <w:t>Changes amended legislation governing magistrates and fatality registration, forcing many independent inquiries to be conducted without the need for a tribunal (</w:t>
      </w:r>
      <w:r w:rsidRPr="00C97090">
        <w:rPr>
          <w:rFonts w:eastAsia="Calibri" w:cs="Times New Roman"/>
          <w:szCs w:val="24"/>
        </w:rPr>
        <w:t>bills.parliament.uk, 2021)</w:t>
      </w:r>
    </w:p>
    <w:p w14:paraId="4CAC86DE" w14:textId="77777777" w:rsidR="00183353" w:rsidRPr="00C97090" w:rsidRDefault="00375A09" w:rsidP="003F339A">
      <w:pPr>
        <w:pStyle w:val="ListParagraph"/>
        <w:numPr>
          <w:ilvl w:val="0"/>
          <w:numId w:val="7"/>
        </w:numPr>
        <w:rPr>
          <w:rFonts w:cs="Times New Roman"/>
          <w:szCs w:val="24"/>
        </w:rPr>
      </w:pPr>
      <w:r w:rsidRPr="00C97090">
        <w:rPr>
          <w:rFonts w:cs="Times New Roman"/>
          <w:szCs w:val="24"/>
        </w:rPr>
        <w:t>Changes between reduced obligation - incitement arguments in cases of murder.</w:t>
      </w:r>
    </w:p>
    <w:p w14:paraId="11BECC0B" w14:textId="2DC008F8" w:rsidR="00183353" w:rsidRPr="00C97090" w:rsidRDefault="00375A09" w:rsidP="003F339A">
      <w:pPr>
        <w:pStyle w:val="ListParagraph"/>
        <w:numPr>
          <w:ilvl w:val="0"/>
          <w:numId w:val="7"/>
        </w:numPr>
        <w:rPr>
          <w:rFonts w:cs="Times New Roman"/>
          <w:szCs w:val="24"/>
        </w:rPr>
      </w:pPr>
      <w:r w:rsidRPr="00C97090">
        <w:rPr>
          <w:rFonts w:cs="Times New Roman"/>
          <w:szCs w:val="24"/>
        </w:rPr>
        <w:t xml:space="preserve">Clarifies appropriate terminology for a crime involving aiding and otherwise inciting </w:t>
      </w:r>
      <w:r w:rsidR="00560125" w:rsidRPr="00C97090">
        <w:rPr>
          <w:rFonts w:cs="Times New Roman"/>
          <w:szCs w:val="24"/>
        </w:rPr>
        <w:t>homicide.</w:t>
      </w:r>
    </w:p>
    <w:p w14:paraId="5FA669DB" w14:textId="77777777" w:rsidR="00183353" w:rsidRPr="00C97090" w:rsidRDefault="00375A09" w:rsidP="003F339A">
      <w:pPr>
        <w:pStyle w:val="ListParagraph"/>
        <w:numPr>
          <w:ilvl w:val="0"/>
          <w:numId w:val="7"/>
        </w:numPr>
        <w:rPr>
          <w:rFonts w:cs="Times New Roman"/>
          <w:szCs w:val="24"/>
        </w:rPr>
      </w:pPr>
      <w:r w:rsidRPr="00C97090">
        <w:rPr>
          <w:rFonts w:cs="Times New Roman"/>
          <w:szCs w:val="24"/>
        </w:rPr>
        <w:t xml:space="preserve">Eliminates any </w:t>
      </w:r>
      <w:proofErr w:type="spellStart"/>
      <w:r w:rsidRPr="00C97090">
        <w:rPr>
          <w:rFonts w:cs="Times New Roman"/>
          <w:szCs w:val="24"/>
        </w:rPr>
        <w:t>defence</w:t>
      </w:r>
      <w:proofErr w:type="spellEnd"/>
      <w:r w:rsidRPr="00C97090">
        <w:rPr>
          <w:rFonts w:cs="Times New Roman"/>
          <w:szCs w:val="24"/>
        </w:rPr>
        <w:t xml:space="preserve"> allowing "debate or judgment" under the </w:t>
      </w:r>
      <w:proofErr w:type="gramStart"/>
      <w:r w:rsidRPr="00C97090">
        <w:rPr>
          <w:rFonts w:cs="Times New Roman"/>
          <w:szCs w:val="24"/>
        </w:rPr>
        <w:t>particular offence</w:t>
      </w:r>
      <w:proofErr w:type="gramEnd"/>
      <w:r w:rsidRPr="00C97090">
        <w:rPr>
          <w:rFonts w:cs="Times New Roman"/>
          <w:szCs w:val="24"/>
        </w:rPr>
        <w:t xml:space="preserve"> that promotes hate because of sexual orientation (</w:t>
      </w:r>
      <w:r w:rsidRPr="00C97090">
        <w:rPr>
          <w:rFonts w:eastAsia="Calibri" w:cs="Times New Roman"/>
          <w:szCs w:val="24"/>
        </w:rPr>
        <w:t>bills.parliament.uk, 2021)</w:t>
      </w:r>
      <w:r w:rsidRPr="00C97090">
        <w:rPr>
          <w:rFonts w:cs="Times New Roman"/>
          <w:szCs w:val="24"/>
        </w:rPr>
        <w:t>.</w:t>
      </w:r>
    </w:p>
    <w:p w14:paraId="0E37E8AE" w14:textId="3D5D4834" w:rsidR="00183353" w:rsidRPr="00C97090" w:rsidRDefault="00375A09" w:rsidP="003F339A">
      <w:pPr>
        <w:pStyle w:val="ListParagraph"/>
        <w:numPr>
          <w:ilvl w:val="0"/>
          <w:numId w:val="7"/>
        </w:numPr>
        <w:rPr>
          <w:rFonts w:cs="Times New Roman"/>
          <w:szCs w:val="24"/>
        </w:rPr>
      </w:pPr>
      <w:r w:rsidRPr="00C97090">
        <w:rPr>
          <w:rFonts w:cs="Times New Roman"/>
          <w:szCs w:val="24"/>
        </w:rPr>
        <w:t xml:space="preserve">Stretches its boundaries of legislation's prohibition on the ownership of child pornographic material towards non-photographic </w:t>
      </w:r>
      <w:r w:rsidR="00560125" w:rsidRPr="00C97090">
        <w:rPr>
          <w:rFonts w:cs="Times New Roman"/>
          <w:szCs w:val="24"/>
        </w:rPr>
        <w:t>pictures.</w:t>
      </w:r>
    </w:p>
    <w:p w14:paraId="11E600D4" w14:textId="77777777" w:rsidR="00183353" w:rsidRPr="00C97090" w:rsidRDefault="00375A09" w:rsidP="003F339A">
      <w:pPr>
        <w:pStyle w:val="ListParagraph"/>
        <w:numPr>
          <w:ilvl w:val="0"/>
          <w:numId w:val="7"/>
        </w:numPr>
        <w:rPr>
          <w:rFonts w:cs="Times New Roman"/>
          <w:szCs w:val="24"/>
        </w:rPr>
      </w:pPr>
      <w:r w:rsidRPr="00C97090">
        <w:rPr>
          <w:rFonts w:cs="Times New Roman"/>
          <w:szCs w:val="24"/>
        </w:rPr>
        <w:t>Adaptability throughout the assistance provided when hesitant respondents provided testimony (</w:t>
      </w:r>
      <w:r w:rsidRPr="00C97090">
        <w:rPr>
          <w:rFonts w:eastAsia="Calibri" w:cs="Times New Roman"/>
          <w:szCs w:val="24"/>
        </w:rPr>
        <w:t>bills.parliament.uk, 2021)</w:t>
      </w:r>
    </w:p>
    <w:p w14:paraId="3FBA7F89" w14:textId="0714C6E1" w:rsidR="00183353" w:rsidRPr="00C97090" w:rsidRDefault="00375A09" w:rsidP="003F339A">
      <w:pPr>
        <w:pStyle w:val="ListParagraph"/>
        <w:numPr>
          <w:ilvl w:val="0"/>
          <w:numId w:val="7"/>
        </w:numPr>
        <w:rPr>
          <w:rFonts w:cs="Times New Roman"/>
          <w:szCs w:val="24"/>
        </w:rPr>
      </w:pPr>
      <w:r w:rsidRPr="00C97090">
        <w:rPr>
          <w:rFonts w:cs="Times New Roman"/>
          <w:szCs w:val="24"/>
        </w:rPr>
        <w:t xml:space="preserve">Laws concerning broadcast connection enabling offenders are </w:t>
      </w:r>
      <w:r w:rsidR="00560125" w:rsidRPr="00C97090">
        <w:rPr>
          <w:rFonts w:cs="Times New Roman"/>
          <w:szCs w:val="24"/>
        </w:rPr>
        <w:t>modified.</w:t>
      </w:r>
    </w:p>
    <w:p w14:paraId="70BB7F49" w14:textId="54446BE0" w:rsidR="00183353" w:rsidRPr="00C97090" w:rsidRDefault="00375A09" w:rsidP="003F339A">
      <w:pPr>
        <w:pStyle w:val="ListParagraph"/>
        <w:numPr>
          <w:ilvl w:val="0"/>
          <w:numId w:val="7"/>
        </w:numPr>
        <w:rPr>
          <w:rFonts w:cs="Times New Roman"/>
          <w:szCs w:val="24"/>
        </w:rPr>
      </w:pPr>
      <w:r w:rsidRPr="00C97090">
        <w:rPr>
          <w:rFonts w:cs="Times New Roman"/>
          <w:szCs w:val="24"/>
        </w:rPr>
        <w:t xml:space="preserve">Changes to that same way that detention is granted in heinous crimes alterations to </w:t>
      </w:r>
      <w:r w:rsidR="00560125" w:rsidRPr="00C97090">
        <w:rPr>
          <w:rFonts w:cs="Times New Roman"/>
          <w:szCs w:val="24"/>
        </w:rPr>
        <w:t>counsel.</w:t>
      </w:r>
    </w:p>
    <w:p w14:paraId="640F0F86" w14:textId="77777777" w:rsidR="00183353" w:rsidRPr="00C97090" w:rsidRDefault="00375A09" w:rsidP="003F339A">
      <w:pPr>
        <w:pStyle w:val="ListParagraph"/>
        <w:numPr>
          <w:ilvl w:val="0"/>
          <w:numId w:val="7"/>
        </w:numPr>
        <w:rPr>
          <w:rFonts w:cs="Times New Roman"/>
          <w:szCs w:val="24"/>
        </w:rPr>
      </w:pPr>
      <w:r w:rsidRPr="00C97090">
        <w:rPr>
          <w:rFonts w:cs="Times New Roman"/>
          <w:szCs w:val="24"/>
        </w:rPr>
        <w:t>Proposes methods designed to deter terrorists getting making money via reports concerning criminal misdeeds.</w:t>
      </w:r>
    </w:p>
    <w:p w14:paraId="30D37933" w14:textId="77777777" w:rsidR="00183353" w:rsidRPr="00C97090" w:rsidRDefault="00183353">
      <w:pPr>
        <w:pStyle w:val="Normal1"/>
        <w:rPr>
          <w:rFonts w:ascii="Times New Roman" w:hAnsi="Times New Roman" w:cs="Times New Roman"/>
          <w:sz w:val="24"/>
          <w:szCs w:val="24"/>
        </w:rPr>
      </w:pPr>
    </w:p>
    <w:p w14:paraId="3BDD541F" w14:textId="77777777" w:rsidR="00183353" w:rsidRPr="00C97090" w:rsidRDefault="00375A09" w:rsidP="003F339A">
      <w:pPr>
        <w:rPr>
          <w:rFonts w:cs="Times New Roman"/>
          <w:b/>
          <w:bCs/>
          <w:i/>
          <w:iCs/>
          <w:szCs w:val="24"/>
        </w:rPr>
      </w:pPr>
      <w:r w:rsidRPr="00C97090">
        <w:rPr>
          <w:rFonts w:cs="Times New Roman"/>
          <w:b/>
          <w:bCs/>
          <w:i/>
          <w:iCs/>
          <w:szCs w:val="24"/>
        </w:rPr>
        <w:t xml:space="preserve">Disadvantages: </w:t>
      </w:r>
    </w:p>
    <w:p w14:paraId="34F104C0" w14:textId="77777777" w:rsidR="00183353" w:rsidRPr="00C97090" w:rsidRDefault="00375A09" w:rsidP="003F339A">
      <w:pPr>
        <w:pStyle w:val="ListParagraph"/>
        <w:numPr>
          <w:ilvl w:val="0"/>
          <w:numId w:val="8"/>
        </w:numPr>
        <w:rPr>
          <w:rFonts w:eastAsia="Times New Roman" w:cs="Times New Roman"/>
          <w:szCs w:val="24"/>
        </w:rPr>
      </w:pPr>
      <w:r w:rsidRPr="00C97090">
        <w:rPr>
          <w:rFonts w:eastAsia="Times New Roman" w:cs="Times New Roman"/>
          <w:szCs w:val="24"/>
        </w:rPr>
        <w:t>The Coroners and Justice Act 2009 has been criticized for leading to a decrease in human rights and undermining access to justice (</w:t>
      </w:r>
      <w:r w:rsidRPr="00C97090">
        <w:rPr>
          <w:rFonts w:cs="Times New Roman"/>
          <w:color w:val="222222"/>
          <w:szCs w:val="24"/>
          <w:highlight w:val="white"/>
        </w:rPr>
        <w:t>Reed, Wake and Simpson, 2021)</w:t>
      </w:r>
      <w:r w:rsidRPr="00C97090">
        <w:rPr>
          <w:rFonts w:eastAsia="Times New Roman" w:cs="Times New Roman"/>
          <w:szCs w:val="24"/>
        </w:rPr>
        <w:t xml:space="preserve">. One of the main criticisms of the act is that it gives the Secretary of State the power to prevent inquests from taking place in certain circumstances, meaning that families of the deceased may not receive the justice they might expect from the state. </w:t>
      </w:r>
    </w:p>
    <w:p w14:paraId="1D500B46" w14:textId="77777777" w:rsidR="00183353" w:rsidRPr="00C97090" w:rsidRDefault="00375A09" w:rsidP="003F339A">
      <w:pPr>
        <w:pStyle w:val="ListParagraph"/>
        <w:numPr>
          <w:ilvl w:val="0"/>
          <w:numId w:val="8"/>
        </w:numPr>
        <w:rPr>
          <w:rFonts w:eastAsia="Times New Roman" w:cs="Times New Roman"/>
          <w:szCs w:val="24"/>
        </w:rPr>
      </w:pPr>
      <w:r w:rsidRPr="00C97090">
        <w:rPr>
          <w:rFonts w:eastAsia="Times New Roman" w:cs="Times New Roman"/>
          <w:szCs w:val="24"/>
        </w:rPr>
        <w:t>Furthermore, the act removed the right to jury inquests in certain cases, meaning that the decision-making process was further removed from the public (</w:t>
      </w:r>
      <w:r w:rsidRPr="00C97090">
        <w:rPr>
          <w:rFonts w:cs="Times New Roman"/>
          <w:color w:val="222222"/>
          <w:szCs w:val="24"/>
          <w:highlight w:val="white"/>
        </w:rPr>
        <w:t>Fortson, 2021)</w:t>
      </w:r>
      <w:r w:rsidRPr="00C97090">
        <w:rPr>
          <w:rFonts w:eastAsia="Times New Roman" w:cs="Times New Roman"/>
          <w:szCs w:val="24"/>
        </w:rPr>
        <w:t xml:space="preserve">. The act has also been criticized for giving public authorities the power to request anonymity in cases of death in custody, which could lead to a lack of accountability. </w:t>
      </w:r>
    </w:p>
    <w:p w14:paraId="22CD47E2" w14:textId="77777777" w:rsidR="00183353" w:rsidRPr="00C97090" w:rsidRDefault="00375A09" w:rsidP="003F339A">
      <w:pPr>
        <w:pStyle w:val="ListParagraph"/>
        <w:numPr>
          <w:ilvl w:val="0"/>
          <w:numId w:val="8"/>
        </w:numPr>
        <w:rPr>
          <w:rFonts w:eastAsia="Times New Roman" w:cs="Times New Roman"/>
          <w:szCs w:val="24"/>
        </w:rPr>
      </w:pPr>
      <w:r w:rsidRPr="00C97090">
        <w:rPr>
          <w:rFonts w:eastAsia="Times New Roman" w:cs="Times New Roman"/>
          <w:szCs w:val="24"/>
        </w:rPr>
        <w:t>In addition, the act has been criticized for undermining access to justice for those who are unable to afford legal assistance. The act introduces a fee for legal representation during inquests, which may be unaffordable for many families of the deceased (</w:t>
      </w:r>
      <w:r w:rsidRPr="00C97090">
        <w:rPr>
          <w:rFonts w:cs="Times New Roman"/>
          <w:color w:val="222222"/>
          <w:szCs w:val="24"/>
          <w:highlight w:val="white"/>
        </w:rPr>
        <w:t xml:space="preserve">Crofts </w:t>
      </w:r>
      <w:r w:rsidRPr="00C97090">
        <w:rPr>
          <w:rFonts w:cs="Times New Roman"/>
          <w:color w:val="222222"/>
          <w:szCs w:val="24"/>
          <w:highlight w:val="white"/>
        </w:rPr>
        <w:lastRenderedPageBreak/>
        <w:t>and Wake, 2021)</w:t>
      </w:r>
      <w:r w:rsidRPr="00C97090">
        <w:rPr>
          <w:rFonts w:eastAsia="Times New Roman" w:cs="Times New Roman"/>
          <w:szCs w:val="24"/>
        </w:rPr>
        <w:t xml:space="preserve">. This could mean that families are unable to challenge the decisions of the coroner, leading to a lack of transparency in the decision-making process. </w:t>
      </w:r>
    </w:p>
    <w:p w14:paraId="384B7F92" w14:textId="77777777" w:rsidR="00183353" w:rsidRPr="00C97090" w:rsidRDefault="00375A09" w:rsidP="003F339A">
      <w:pPr>
        <w:pStyle w:val="ListParagraph"/>
        <w:numPr>
          <w:ilvl w:val="0"/>
          <w:numId w:val="8"/>
        </w:numPr>
        <w:rPr>
          <w:rFonts w:eastAsia="Times New Roman" w:cs="Times New Roman"/>
          <w:szCs w:val="24"/>
        </w:rPr>
      </w:pPr>
      <w:r w:rsidRPr="00C97090">
        <w:rPr>
          <w:rFonts w:eastAsia="Times New Roman" w:cs="Times New Roman"/>
          <w:szCs w:val="24"/>
        </w:rPr>
        <w:t xml:space="preserve">Overall, the Coroners and Justice Act 2009 has been criticized for leading to a decrease in human rights and undermining access to justice. </w:t>
      </w:r>
    </w:p>
    <w:p w14:paraId="4369CF0B" w14:textId="77777777" w:rsidR="00183353" w:rsidRPr="00C97090" w:rsidRDefault="00375A09" w:rsidP="003F339A">
      <w:pPr>
        <w:pStyle w:val="ListParagraph"/>
        <w:numPr>
          <w:ilvl w:val="0"/>
          <w:numId w:val="8"/>
        </w:numPr>
        <w:rPr>
          <w:rFonts w:eastAsia="Times New Roman" w:cs="Times New Roman"/>
          <w:szCs w:val="24"/>
        </w:rPr>
      </w:pPr>
      <w:r w:rsidRPr="00C97090">
        <w:rPr>
          <w:rFonts w:eastAsia="Times New Roman" w:cs="Times New Roman"/>
          <w:szCs w:val="24"/>
        </w:rPr>
        <w:t xml:space="preserve">The act has been accused of removing the right to jury inquests, introducing fees for legal representation, and giving public authorities the power to request anonymity in cases of death in custody. </w:t>
      </w:r>
    </w:p>
    <w:p w14:paraId="4D38AC04" w14:textId="77777777" w:rsidR="00183353" w:rsidRPr="00C97090" w:rsidRDefault="00375A09" w:rsidP="00C97090">
      <w:pPr>
        <w:pStyle w:val="ListParagraph"/>
        <w:numPr>
          <w:ilvl w:val="0"/>
          <w:numId w:val="8"/>
        </w:numPr>
        <w:rPr>
          <w:rFonts w:eastAsia="Times New Roman" w:cs="Times New Roman"/>
          <w:szCs w:val="24"/>
        </w:rPr>
      </w:pPr>
      <w:r w:rsidRPr="00C97090">
        <w:rPr>
          <w:rFonts w:eastAsia="Times New Roman" w:cs="Times New Roman"/>
          <w:szCs w:val="24"/>
        </w:rPr>
        <w:t>These criticisms suggest that the act could lead to a lack of accountability and transparency in the justice system.</w:t>
      </w:r>
    </w:p>
    <w:p w14:paraId="122BF930" w14:textId="77777777" w:rsidR="00183353" w:rsidRPr="00C97090" w:rsidRDefault="00375A09" w:rsidP="00C97090">
      <w:pPr>
        <w:pStyle w:val="Heading1"/>
      </w:pPr>
      <w:bookmarkStart w:id="14" w:name="_Toc128418060"/>
      <w:bookmarkStart w:id="15" w:name="_Toc128437350"/>
      <w:r>
        <w:t>Recommendation</w:t>
      </w:r>
      <w:bookmarkEnd w:id="14"/>
      <w:bookmarkEnd w:id="15"/>
    </w:p>
    <w:p w14:paraId="3C0350D9" w14:textId="77777777" w:rsidR="00C97090" w:rsidRDefault="00375A09" w:rsidP="00C97090">
      <w:pPr>
        <w:pStyle w:val="ListParagraph"/>
        <w:numPr>
          <w:ilvl w:val="0"/>
          <w:numId w:val="9"/>
        </w:numPr>
        <w:rPr>
          <w:szCs w:val="24"/>
        </w:rPr>
      </w:pPr>
      <w:r w:rsidRPr="00C97090">
        <w:rPr>
          <w:szCs w:val="24"/>
        </w:rPr>
        <w:t>The UK legislation system can utilize more strict actions and regulations against hate crimes and criminal activity. Individuals who are being convicted of murder have responsibilities and should be evaluated thoroughly, which background investigation of mental health records along with mental health facility documents (</w:t>
      </w:r>
      <w:r w:rsidRPr="00C97090">
        <w:rPr>
          <w:color w:val="222222"/>
          <w:szCs w:val="24"/>
          <w:highlight w:val="white"/>
        </w:rPr>
        <w:t>Simpson, 2021)</w:t>
      </w:r>
      <w:r w:rsidRPr="00C97090">
        <w:rPr>
          <w:szCs w:val="24"/>
        </w:rPr>
        <w:t xml:space="preserve">. </w:t>
      </w:r>
    </w:p>
    <w:p w14:paraId="66416753" w14:textId="77777777" w:rsidR="00183353" w:rsidRPr="00C97090" w:rsidRDefault="00375A09" w:rsidP="00C97090">
      <w:pPr>
        <w:pStyle w:val="ListParagraph"/>
        <w:numPr>
          <w:ilvl w:val="0"/>
          <w:numId w:val="9"/>
        </w:numPr>
        <w:rPr>
          <w:szCs w:val="24"/>
        </w:rPr>
      </w:pPr>
      <w:r w:rsidRPr="00C97090">
        <w:rPr>
          <w:szCs w:val="24"/>
        </w:rPr>
        <w:t>With this evolution, innocents can be convicted of murder charges and actual criminals can be set loose (</w:t>
      </w:r>
      <w:r w:rsidRPr="00C97090">
        <w:rPr>
          <w:color w:val="222222"/>
          <w:szCs w:val="24"/>
          <w:highlight w:val="white"/>
        </w:rPr>
        <w:t>Bonnie, 2023)</w:t>
      </w:r>
      <w:r w:rsidRPr="00C97090">
        <w:rPr>
          <w:szCs w:val="24"/>
        </w:rPr>
        <w:t>. The act also grants bail to murder cases which are not justified in many scenarios. Even if the individual was under some kind of influence then a perio</w:t>
      </w:r>
      <w:r w:rsidR="00C97090" w:rsidRPr="00C97090">
        <w:rPr>
          <w:szCs w:val="24"/>
        </w:rPr>
        <w:t>d of probationer time in prison.</w:t>
      </w:r>
    </w:p>
    <w:p w14:paraId="7625DAD4" w14:textId="77777777" w:rsidR="00183353" w:rsidRDefault="00375A09" w:rsidP="00C97090">
      <w:pPr>
        <w:pStyle w:val="Heading1"/>
      </w:pPr>
      <w:bookmarkStart w:id="16" w:name="_Toc128418061"/>
      <w:bookmarkStart w:id="17" w:name="_Toc128437351"/>
      <w:r w:rsidRPr="00C97090">
        <w:t>Conclusion</w:t>
      </w:r>
      <w:bookmarkEnd w:id="16"/>
      <w:bookmarkEnd w:id="17"/>
      <w:r>
        <w:t xml:space="preserve"> </w:t>
      </w:r>
    </w:p>
    <w:p w14:paraId="2548E4A3" w14:textId="77777777" w:rsidR="00183353" w:rsidRDefault="00375A09" w:rsidP="003F339A">
      <w:pPr>
        <w:rPr>
          <w:rFonts w:eastAsia="Calibri"/>
        </w:rPr>
      </w:pPr>
      <w:r>
        <w:rPr>
          <w:rFonts w:eastAsia="Calibri"/>
        </w:rPr>
        <w:t xml:space="preserve">This assignment has successfully evaluated the competency of the mentioned acts and diminished responsibilities. The assessment of the evolution has provided clear evidence that there are certain drawbacks to the act, which has impacted the social stability of the UK gravely. The advantages and disadvantages of the act have provided clear evidence and justification as to why the changes were first implemented and why there is a scope for further alteration in this particular legislation. </w:t>
      </w:r>
    </w:p>
    <w:p w14:paraId="78781129" w14:textId="77777777" w:rsidR="00183353" w:rsidRDefault="00183353">
      <w:pPr>
        <w:pStyle w:val="Normal1"/>
        <w:rPr>
          <w:rFonts w:ascii="Calibri" w:eastAsia="Calibri" w:hAnsi="Calibri" w:cs="Calibri"/>
        </w:rPr>
      </w:pPr>
    </w:p>
    <w:p w14:paraId="31374AD4" w14:textId="77777777" w:rsidR="00C97090" w:rsidRDefault="00375A09">
      <w:pPr>
        <w:spacing w:line="276" w:lineRule="auto"/>
        <w:jc w:val="left"/>
        <w:rPr>
          <w:rFonts w:eastAsia="Calibri" w:cstheme="majorBidi"/>
          <w:b/>
          <w:bCs/>
          <w:sz w:val="28"/>
          <w:szCs w:val="28"/>
        </w:rPr>
      </w:pPr>
      <w:bookmarkStart w:id="18" w:name="_Toc128418062"/>
      <w:r>
        <w:rPr>
          <w:rFonts w:eastAsia="Calibri"/>
        </w:rPr>
        <w:br w:type="page"/>
      </w:r>
    </w:p>
    <w:p w14:paraId="313E8773" w14:textId="77777777" w:rsidR="00183353" w:rsidRDefault="00375A09" w:rsidP="003F339A">
      <w:pPr>
        <w:pStyle w:val="Heading1"/>
        <w:rPr>
          <w:rFonts w:eastAsia="Calibri"/>
        </w:rPr>
      </w:pPr>
      <w:bookmarkStart w:id="19" w:name="_Toc128437352"/>
      <w:r>
        <w:rPr>
          <w:rFonts w:eastAsia="Calibri"/>
        </w:rPr>
        <w:lastRenderedPageBreak/>
        <w:t>Reference</w:t>
      </w:r>
      <w:bookmarkEnd w:id="18"/>
      <w:bookmarkEnd w:id="19"/>
      <w:r>
        <w:rPr>
          <w:rFonts w:eastAsia="Calibri"/>
        </w:rPr>
        <w:t xml:space="preserve"> </w:t>
      </w:r>
    </w:p>
    <w:p w14:paraId="46DF17DA" w14:textId="77777777" w:rsidR="00701DDC" w:rsidRPr="00C97090" w:rsidRDefault="00701DDC" w:rsidP="00C97090">
      <w:pPr>
        <w:rPr>
          <w:rFonts w:eastAsia="Calibri"/>
          <w:szCs w:val="24"/>
        </w:rPr>
      </w:pPr>
      <w:r w:rsidRPr="00C97090">
        <w:rPr>
          <w:rFonts w:eastAsia="Calibri"/>
          <w:szCs w:val="24"/>
        </w:rPr>
        <w:t xml:space="preserve">bills.parliament.uk (2021) </w:t>
      </w:r>
      <w:r w:rsidRPr="00C97090">
        <w:rPr>
          <w:rFonts w:eastAsia="Calibri"/>
          <w:i/>
          <w:szCs w:val="24"/>
        </w:rPr>
        <w:t>Coroners and justice - parliamentary bills - UK parliament</w:t>
      </w:r>
      <w:r w:rsidRPr="00C97090">
        <w:rPr>
          <w:rFonts w:eastAsia="Calibri"/>
          <w:szCs w:val="24"/>
        </w:rPr>
        <w:t>. Available at:</w:t>
      </w:r>
      <w:hyperlink r:id="rId9">
        <w:r w:rsidRPr="00C97090">
          <w:rPr>
            <w:rFonts w:eastAsia="Calibri"/>
            <w:szCs w:val="24"/>
          </w:rPr>
          <w:t xml:space="preserve"> </w:t>
        </w:r>
      </w:hyperlink>
      <w:hyperlink r:id="rId10">
        <w:r w:rsidRPr="00C97090">
          <w:rPr>
            <w:rFonts w:eastAsia="Calibri"/>
            <w:color w:val="1155CC"/>
            <w:szCs w:val="24"/>
            <w:u w:val="single"/>
          </w:rPr>
          <w:t>https://bills.parliament.uk/bills/372</w:t>
        </w:r>
      </w:hyperlink>
      <w:r w:rsidRPr="00C97090">
        <w:rPr>
          <w:rFonts w:eastAsia="Calibri"/>
          <w:szCs w:val="24"/>
        </w:rPr>
        <w:t xml:space="preserve"> (Accessed: February 27, 2023).</w:t>
      </w:r>
    </w:p>
    <w:p w14:paraId="77A2CE33" w14:textId="77777777" w:rsidR="00701DDC" w:rsidRPr="00C97090" w:rsidRDefault="00701DDC" w:rsidP="00C97090">
      <w:pPr>
        <w:rPr>
          <w:rFonts w:eastAsia="Calibri"/>
          <w:szCs w:val="24"/>
        </w:rPr>
      </w:pPr>
      <w:r w:rsidRPr="00C97090">
        <w:rPr>
          <w:color w:val="222222"/>
          <w:szCs w:val="24"/>
          <w:highlight w:val="white"/>
        </w:rPr>
        <w:t xml:space="preserve">Bonnie, R.J., 2023. Severe Mental Illness and the Death Penalty: A Menu of Legislative Options. </w:t>
      </w:r>
      <w:r w:rsidRPr="00C97090">
        <w:rPr>
          <w:rFonts w:eastAsia="Calibri"/>
          <w:i/>
          <w:szCs w:val="24"/>
        </w:rPr>
        <w:t>Journal of Civil Rights and Social Justice, forthcoming</w:t>
      </w:r>
      <w:r w:rsidRPr="00C97090">
        <w:rPr>
          <w:rFonts w:eastAsia="Calibri"/>
          <w:szCs w:val="24"/>
        </w:rPr>
        <w:t>. Available at:</w:t>
      </w:r>
      <w:hyperlink r:id="rId11">
        <w:r w:rsidRPr="00C97090">
          <w:rPr>
            <w:rFonts w:eastAsia="Calibri"/>
            <w:szCs w:val="24"/>
          </w:rPr>
          <w:t xml:space="preserve"> </w:t>
        </w:r>
      </w:hyperlink>
      <w:hyperlink r:id="rId12">
        <w:r w:rsidRPr="00C97090">
          <w:rPr>
            <w:color w:val="1155CC"/>
            <w:szCs w:val="24"/>
            <w:highlight w:val="white"/>
            <w:u w:val="single"/>
          </w:rPr>
          <w:t>https://doi.org/abstract=4365139</w:t>
        </w:r>
      </w:hyperlink>
      <w:r w:rsidRPr="00C97090">
        <w:rPr>
          <w:color w:val="222222"/>
          <w:szCs w:val="24"/>
          <w:highlight w:val="white"/>
        </w:rPr>
        <w:t xml:space="preserve"> </w:t>
      </w:r>
      <w:r w:rsidRPr="00C97090">
        <w:rPr>
          <w:rFonts w:eastAsia="Calibri"/>
          <w:szCs w:val="24"/>
        </w:rPr>
        <w:t>(Accessed: February 27, 2023).</w:t>
      </w:r>
    </w:p>
    <w:p w14:paraId="3BCD69B9" w14:textId="77777777" w:rsidR="00701DDC" w:rsidRPr="00C97090" w:rsidRDefault="00701DDC" w:rsidP="00C97090">
      <w:pPr>
        <w:rPr>
          <w:rFonts w:eastAsia="Calibri"/>
          <w:szCs w:val="24"/>
        </w:rPr>
      </w:pPr>
      <w:r w:rsidRPr="00C97090">
        <w:rPr>
          <w:color w:val="222222"/>
          <w:szCs w:val="24"/>
          <w:highlight w:val="white"/>
        </w:rPr>
        <w:t xml:space="preserve">Crofts, T. and Wake, N., 2021. Diminished responsibility determinations in England and Wales and New South Wales: whose role is it </w:t>
      </w:r>
      <w:proofErr w:type="gramStart"/>
      <w:r w:rsidRPr="00C97090">
        <w:rPr>
          <w:color w:val="222222"/>
          <w:szCs w:val="24"/>
          <w:highlight w:val="white"/>
        </w:rPr>
        <w:t>anyway?.</w:t>
      </w:r>
      <w:proofErr w:type="gramEnd"/>
      <w:r w:rsidRPr="00C97090">
        <w:rPr>
          <w:color w:val="222222"/>
          <w:szCs w:val="24"/>
          <w:highlight w:val="white"/>
        </w:rPr>
        <w:t xml:space="preserve"> </w:t>
      </w:r>
      <w:r w:rsidRPr="00C97090">
        <w:rPr>
          <w:rFonts w:eastAsia="Calibri"/>
          <w:i/>
          <w:szCs w:val="24"/>
        </w:rPr>
        <w:t>Northern Ireland Legal Quarterly</w:t>
      </w:r>
      <w:r w:rsidRPr="00C97090">
        <w:rPr>
          <w:rFonts w:eastAsia="Calibri"/>
          <w:szCs w:val="24"/>
        </w:rPr>
        <w:t xml:space="preserve">, </w:t>
      </w:r>
      <w:r w:rsidRPr="00C97090">
        <w:rPr>
          <w:rFonts w:eastAsia="Calibri"/>
          <w:i/>
          <w:szCs w:val="24"/>
        </w:rPr>
        <w:t>72</w:t>
      </w:r>
      <w:r w:rsidRPr="00C97090">
        <w:rPr>
          <w:rFonts w:eastAsia="Calibri"/>
          <w:szCs w:val="24"/>
        </w:rPr>
        <w:t>(2), pp.324-362. Available at:</w:t>
      </w:r>
      <w:hyperlink r:id="rId13">
        <w:r w:rsidRPr="00C97090">
          <w:rPr>
            <w:rFonts w:eastAsia="Calibri"/>
            <w:szCs w:val="24"/>
          </w:rPr>
          <w:t xml:space="preserve"> </w:t>
        </w:r>
      </w:hyperlink>
      <w:hyperlink r:id="rId14">
        <w:r w:rsidRPr="00C97090">
          <w:rPr>
            <w:color w:val="1155CC"/>
            <w:szCs w:val="24"/>
            <w:highlight w:val="white"/>
            <w:u w:val="single"/>
          </w:rPr>
          <w:t>http://doi.org/10.53386/nilq.v72i2.874</w:t>
        </w:r>
      </w:hyperlink>
      <w:r w:rsidRPr="00C97090">
        <w:rPr>
          <w:color w:val="222222"/>
          <w:szCs w:val="24"/>
          <w:highlight w:val="white"/>
        </w:rPr>
        <w:t xml:space="preserve"> </w:t>
      </w:r>
      <w:r w:rsidRPr="00C97090">
        <w:rPr>
          <w:rFonts w:eastAsia="Calibri"/>
          <w:szCs w:val="24"/>
        </w:rPr>
        <w:t>(Accessed: February 27, 2023).</w:t>
      </w:r>
    </w:p>
    <w:p w14:paraId="525DA6F6" w14:textId="77777777" w:rsidR="00701DDC" w:rsidRPr="00C97090" w:rsidRDefault="00701DDC" w:rsidP="00C97090">
      <w:pPr>
        <w:rPr>
          <w:rFonts w:eastAsia="Calibri"/>
          <w:szCs w:val="24"/>
        </w:rPr>
      </w:pPr>
      <w:r w:rsidRPr="00C97090">
        <w:rPr>
          <w:color w:val="222222"/>
          <w:szCs w:val="24"/>
          <w:highlight w:val="white"/>
        </w:rPr>
        <w:t xml:space="preserve">Fortson, R., 2021. Partial </w:t>
      </w:r>
      <w:proofErr w:type="spellStart"/>
      <w:r w:rsidRPr="00C97090">
        <w:rPr>
          <w:color w:val="222222"/>
          <w:szCs w:val="24"/>
          <w:highlight w:val="white"/>
        </w:rPr>
        <w:t>defences</w:t>
      </w:r>
      <w:proofErr w:type="spellEnd"/>
      <w:r w:rsidRPr="00C97090">
        <w:rPr>
          <w:color w:val="222222"/>
          <w:szCs w:val="24"/>
          <w:highlight w:val="white"/>
        </w:rPr>
        <w:t xml:space="preserve"> to murder: changed landscape and nomenclature. </w:t>
      </w:r>
      <w:r w:rsidRPr="00C97090">
        <w:rPr>
          <w:rFonts w:eastAsia="Calibri"/>
          <w:i/>
          <w:szCs w:val="24"/>
        </w:rPr>
        <w:t>Northern Ireland Legal Quarterly</w:t>
      </w:r>
      <w:r w:rsidRPr="00C97090">
        <w:rPr>
          <w:rFonts w:eastAsia="Calibri"/>
          <w:szCs w:val="24"/>
        </w:rPr>
        <w:t xml:space="preserve">, </w:t>
      </w:r>
      <w:r w:rsidRPr="00C97090">
        <w:rPr>
          <w:rFonts w:eastAsia="Calibri"/>
          <w:i/>
          <w:szCs w:val="24"/>
        </w:rPr>
        <w:t>72</w:t>
      </w:r>
      <w:r w:rsidRPr="00C97090">
        <w:rPr>
          <w:rFonts w:eastAsia="Calibri"/>
          <w:szCs w:val="24"/>
        </w:rPr>
        <w:t>(2), pp.171-199. Available at:</w:t>
      </w:r>
      <w:hyperlink r:id="rId15">
        <w:r w:rsidRPr="00C97090">
          <w:rPr>
            <w:rFonts w:eastAsia="Calibri"/>
            <w:szCs w:val="24"/>
          </w:rPr>
          <w:t xml:space="preserve"> </w:t>
        </w:r>
      </w:hyperlink>
      <w:hyperlink r:id="rId16">
        <w:r w:rsidRPr="00C97090">
          <w:rPr>
            <w:color w:val="1155CC"/>
            <w:szCs w:val="24"/>
            <w:highlight w:val="white"/>
            <w:u w:val="single"/>
          </w:rPr>
          <w:t>https://doi.org/10.53386/nilq.v72i2.897</w:t>
        </w:r>
      </w:hyperlink>
      <w:r w:rsidRPr="00C97090">
        <w:rPr>
          <w:color w:val="222222"/>
          <w:szCs w:val="24"/>
          <w:highlight w:val="white"/>
        </w:rPr>
        <w:t xml:space="preserve"> </w:t>
      </w:r>
      <w:r w:rsidRPr="00C97090">
        <w:rPr>
          <w:rFonts w:eastAsia="Calibri"/>
          <w:szCs w:val="24"/>
        </w:rPr>
        <w:t>(Accessed: February 27, 2023).</w:t>
      </w:r>
    </w:p>
    <w:p w14:paraId="6DDB1384" w14:textId="77777777" w:rsidR="00701DDC" w:rsidRPr="00C97090" w:rsidRDefault="00701DDC" w:rsidP="00C97090">
      <w:pPr>
        <w:rPr>
          <w:rFonts w:eastAsia="Calibri"/>
          <w:szCs w:val="24"/>
        </w:rPr>
      </w:pPr>
      <w:r w:rsidRPr="00C97090">
        <w:rPr>
          <w:rFonts w:eastAsia="Calibri"/>
          <w:szCs w:val="24"/>
        </w:rPr>
        <w:t xml:space="preserve">justice.gov.uk (2018) </w:t>
      </w:r>
      <w:r w:rsidRPr="00C97090">
        <w:rPr>
          <w:rFonts w:eastAsia="Calibri"/>
          <w:i/>
          <w:szCs w:val="24"/>
        </w:rPr>
        <w:t xml:space="preserve">Partial </w:t>
      </w:r>
      <w:proofErr w:type="spellStart"/>
      <w:r w:rsidRPr="00C97090">
        <w:rPr>
          <w:rFonts w:eastAsia="Calibri"/>
          <w:i/>
          <w:szCs w:val="24"/>
        </w:rPr>
        <w:t>defences</w:t>
      </w:r>
      <w:proofErr w:type="spellEnd"/>
      <w:r w:rsidRPr="00C97090">
        <w:rPr>
          <w:rFonts w:eastAsia="Calibri"/>
          <w:i/>
          <w:szCs w:val="24"/>
        </w:rPr>
        <w:t xml:space="preserve"> to murder: Loss of control and diminished ... - justice</w:t>
      </w:r>
      <w:r w:rsidRPr="00C97090">
        <w:rPr>
          <w:rFonts w:eastAsia="Calibri"/>
          <w:szCs w:val="24"/>
        </w:rPr>
        <w:t>. Available at:</w:t>
      </w:r>
      <w:hyperlink r:id="rId17">
        <w:r w:rsidRPr="00C97090">
          <w:rPr>
            <w:rFonts w:eastAsia="Calibri"/>
            <w:szCs w:val="24"/>
          </w:rPr>
          <w:t xml:space="preserve"> </w:t>
        </w:r>
      </w:hyperlink>
      <w:hyperlink r:id="rId18">
        <w:r w:rsidRPr="00C97090">
          <w:rPr>
            <w:rFonts w:eastAsia="Calibri"/>
            <w:color w:val="1155CC"/>
            <w:szCs w:val="24"/>
            <w:u w:val="single"/>
          </w:rPr>
          <w:t>https://www.justice.gov.uk/downloads/legislation/bills-acts/circulars/moj/2010/circular-12-2010-coroners-justice-act-homicide-provisions.pdf</w:t>
        </w:r>
      </w:hyperlink>
      <w:r w:rsidRPr="00C97090">
        <w:rPr>
          <w:rFonts w:eastAsia="Calibri"/>
          <w:szCs w:val="24"/>
        </w:rPr>
        <w:t xml:space="preserve"> (Accessed: February 27, 2023).</w:t>
      </w:r>
    </w:p>
    <w:p w14:paraId="08889B3A" w14:textId="77777777" w:rsidR="00701DDC" w:rsidRPr="00C97090" w:rsidRDefault="00701DDC" w:rsidP="00C97090">
      <w:pPr>
        <w:rPr>
          <w:rFonts w:eastAsia="Calibri"/>
          <w:szCs w:val="24"/>
        </w:rPr>
      </w:pPr>
      <w:r w:rsidRPr="00C97090">
        <w:rPr>
          <w:rFonts w:eastAsia="Calibri"/>
          <w:szCs w:val="24"/>
        </w:rPr>
        <w:t xml:space="preserve">legislation.gov.uk (2018) </w:t>
      </w:r>
      <w:r w:rsidRPr="00C97090">
        <w:rPr>
          <w:rFonts w:eastAsia="Calibri"/>
          <w:i/>
          <w:szCs w:val="24"/>
        </w:rPr>
        <w:t>Homicide act, 1957 - legislation.gov.uk</w:t>
      </w:r>
      <w:r w:rsidRPr="00C97090">
        <w:rPr>
          <w:rFonts w:eastAsia="Calibri"/>
          <w:szCs w:val="24"/>
        </w:rPr>
        <w:t>. Available at:</w:t>
      </w:r>
      <w:hyperlink r:id="rId19">
        <w:r w:rsidRPr="00C97090">
          <w:rPr>
            <w:rFonts w:eastAsia="Calibri"/>
            <w:szCs w:val="24"/>
          </w:rPr>
          <w:t xml:space="preserve"> </w:t>
        </w:r>
      </w:hyperlink>
      <w:hyperlink r:id="rId20">
        <w:r w:rsidRPr="00C97090">
          <w:rPr>
            <w:rFonts w:eastAsia="Calibri"/>
            <w:color w:val="1155CC"/>
            <w:szCs w:val="24"/>
            <w:u w:val="single"/>
          </w:rPr>
          <w:t>https://www.legislation.gov.uk/ukpga/1957/11/pdfs/ukpga_19570011_en.pdf</w:t>
        </w:r>
      </w:hyperlink>
      <w:r w:rsidRPr="00C97090">
        <w:rPr>
          <w:rFonts w:eastAsia="Calibri"/>
          <w:szCs w:val="24"/>
        </w:rPr>
        <w:t xml:space="preserve"> (Accessed: February 27, 2023).</w:t>
      </w:r>
    </w:p>
    <w:p w14:paraId="7BB7C5AD" w14:textId="77777777" w:rsidR="00701DDC" w:rsidRPr="00C97090" w:rsidRDefault="00701DDC" w:rsidP="00C97090">
      <w:pPr>
        <w:rPr>
          <w:rFonts w:eastAsia="Calibri"/>
          <w:szCs w:val="24"/>
        </w:rPr>
      </w:pPr>
      <w:r w:rsidRPr="00C97090">
        <w:rPr>
          <w:rFonts w:eastAsia="Calibri"/>
          <w:szCs w:val="24"/>
        </w:rPr>
        <w:t xml:space="preserve">legislation.gov.uk (2021) </w:t>
      </w:r>
      <w:r w:rsidRPr="00C97090">
        <w:rPr>
          <w:rFonts w:eastAsia="Calibri"/>
          <w:i/>
          <w:szCs w:val="24"/>
        </w:rPr>
        <w:t>Homicide act 1957</w:t>
      </w:r>
      <w:r w:rsidRPr="00C97090">
        <w:rPr>
          <w:rFonts w:eastAsia="Calibri"/>
          <w:szCs w:val="24"/>
        </w:rPr>
        <w:t xml:space="preserve">, </w:t>
      </w:r>
      <w:r w:rsidRPr="00C97090">
        <w:rPr>
          <w:rFonts w:eastAsia="Calibri"/>
          <w:i/>
          <w:szCs w:val="24"/>
        </w:rPr>
        <w:t>Legislation.gov.uk</w:t>
      </w:r>
      <w:r w:rsidRPr="00C97090">
        <w:rPr>
          <w:rFonts w:eastAsia="Calibri"/>
          <w:szCs w:val="24"/>
        </w:rPr>
        <w:t>. Queen's Printer of Acts of Parliament. Available at:</w:t>
      </w:r>
      <w:hyperlink r:id="rId21">
        <w:r w:rsidRPr="00C97090">
          <w:rPr>
            <w:rFonts w:eastAsia="Calibri"/>
            <w:szCs w:val="24"/>
          </w:rPr>
          <w:t xml:space="preserve"> </w:t>
        </w:r>
      </w:hyperlink>
      <w:hyperlink r:id="rId22">
        <w:r w:rsidRPr="00C97090">
          <w:rPr>
            <w:rFonts w:eastAsia="Calibri"/>
            <w:color w:val="1155CC"/>
            <w:szCs w:val="24"/>
            <w:u w:val="single"/>
          </w:rPr>
          <w:t>https://www.legislation.gov.uk/ukpga/Eliz2/5-6/11/enacted</w:t>
        </w:r>
      </w:hyperlink>
      <w:r w:rsidRPr="00C97090">
        <w:rPr>
          <w:rFonts w:eastAsia="Calibri"/>
          <w:szCs w:val="24"/>
        </w:rPr>
        <w:t xml:space="preserve"> (Accessed: February 27, 2023).</w:t>
      </w:r>
    </w:p>
    <w:p w14:paraId="5427743C" w14:textId="77777777" w:rsidR="00701DDC" w:rsidRPr="00C97090" w:rsidRDefault="00701DDC" w:rsidP="00C97090">
      <w:pPr>
        <w:rPr>
          <w:rFonts w:eastAsia="Calibri"/>
          <w:szCs w:val="24"/>
        </w:rPr>
      </w:pPr>
      <w:r w:rsidRPr="00C97090">
        <w:rPr>
          <w:rFonts w:eastAsia="Calibri"/>
          <w:szCs w:val="24"/>
        </w:rPr>
        <w:t xml:space="preserve">legislation.gov.uk (2021) </w:t>
      </w:r>
      <w:r w:rsidRPr="00C97090">
        <w:rPr>
          <w:rFonts w:eastAsia="Calibri"/>
          <w:i/>
          <w:szCs w:val="24"/>
        </w:rPr>
        <w:t>Homicide act 1957</w:t>
      </w:r>
      <w:r w:rsidRPr="00C97090">
        <w:rPr>
          <w:rFonts w:eastAsia="Calibri"/>
          <w:szCs w:val="24"/>
        </w:rPr>
        <w:t xml:space="preserve">, </w:t>
      </w:r>
      <w:r w:rsidRPr="00C97090">
        <w:rPr>
          <w:rFonts w:eastAsia="Calibri"/>
          <w:i/>
          <w:szCs w:val="24"/>
        </w:rPr>
        <w:t>Legislation.gov.uk</w:t>
      </w:r>
      <w:r w:rsidRPr="00C97090">
        <w:rPr>
          <w:rFonts w:eastAsia="Calibri"/>
          <w:szCs w:val="24"/>
        </w:rPr>
        <w:t>. Queen's Printer of Acts of Parliament. Available at:</w:t>
      </w:r>
      <w:hyperlink r:id="rId23">
        <w:r w:rsidRPr="00C97090">
          <w:rPr>
            <w:rFonts w:eastAsia="Calibri"/>
            <w:szCs w:val="24"/>
          </w:rPr>
          <w:t xml:space="preserve"> </w:t>
        </w:r>
      </w:hyperlink>
      <w:hyperlink r:id="rId24">
        <w:r w:rsidRPr="00C97090">
          <w:rPr>
            <w:rFonts w:eastAsia="Calibri"/>
            <w:color w:val="1155CC"/>
            <w:szCs w:val="24"/>
            <w:u w:val="single"/>
          </w:rPr>
          <w:t>https://www.legislation.gov.uk/ukpga/Eliz2/5-6/11/section/2/enacted</w:t>
        </w:r>
      </w:hyperlink>
      <w:r w:rsidRPr="00C97090">
        <w:rPr>
          <w:rFonts w:eastAsia="Calibri"/>
          <w:szCs w:val="24"/>
        </w:rPr>
        <w:t xml:space="preserve"> (Accessed: February 27, 2023).</w:t>
      </w:r>
    </w:p>
    <w:p w14:paraId="08A2FB57" w14:textId="77777777" w:rsidR="00701DDC" w:rsidRPr="00C97090" w:rsidRDefault="00701DDC" w:rsidP="00C97090">
      <w:pPr>
        <w:rPr>
          <w:rFonts w:eastAsia="Calibri"/>
          <w:szCs w:val="24"/>
        </w:rPr>
      </w:pPr>
      <w:r w:rsidRPr="00C97090">
        <w:rPr>
          <w:rFonts w:eastAsia="Calibri"/>
          <w:szCs w:val="24"/>
        </w:rPr>
        <w:t xml:space="preserve">legislation.gov.uk (2022) </w:t>
      </w:r>
      <w:r w:rsidRPr="00C97090">
        <w:rPr>
          <w:rFonts w:eastAsia="Calibri"/>
          <w:i/>
          <w:szCs w:val="24"/>
        </w:rPr>
        <w:t>Homicide act 1957</w:t>
      </w:r>
      <w:r w:rsidRPr="00C97090">
        <w:rPr>
          <w:rFonts w:eastAsia="Calibri"/>
          <w:szCs w:val="24"/>
        </w:rPr>
        <w:t xml:space="preserve">, </w:t>
      </w:r>
      <w:r w:rsidRPr="00C97090">
        <w:rPr>
          <w:rFonts w:eastAsia="Calibri"/>
          <w:i/>
          <w:szCs w:val="24"/>
        </w:rPr>
        <w:t>Legislation.gov.uk</w:t>
      </w:r>
      <w:r w:rsidRPr="00C97090">
        <w:rPr>
          <w:rFonts w:eastAsia="Calibri"/>
          <w:szCs w:val="24"/>
        </w:rPr>
        <w:t>. Queen's Printer of Acts of Parliament. Available at:</w:t>
      </w:r>
      <w:hyperlink r:id="rId25" w:anchor=":~:text=2Persons%20suffering%20from%20diminished%20responsibility&amp;text=(2)On%20a%20charge%20of,to%20be%20convicted%20of%20murder">
        <w:r w:rsidRPr="00C97090">
          <w:rPr>
            <w:rFonts w:eastAsia="Calibri"/>
            <w:szCs w:val="24"/>
          </w:rPr>
          <w:t xml:space="preserve"> </w:t>
        </w:r>
      </w:hyperlink>
      <w:hyperlink r:id="rId26" w:anchor=":~:text=2Persons%20suffering%20from%20diminished%20responsibility&amp;text=(2)On%20a%20charge%20of,to%20be%20convicted%20of%20murder">
        <w:r w:rsidRPr="00C97090">
          <w:rPr>
            <w:rFonts w:eastAsia="Calibri"/>
            <w:color w:val="1155CC"/>
            <w:szCs w:val="24"/>
            <w:u w:val="single"/>
          </w:rPr>
          <w:t>https://www.legislation.gov.uk/ukpga/Eliz2/5-6/11/section/2/enacted#:~:text=2Persons%20suffering%20from%20diminished%20responsib</w:t>
        </w:r>
        <w:r w:rsidRPr="00C97090">
          <w:rPr>
            <w:rFonts w:eastAsia="Calibri"/>
            <w:color w:val="1155CC"/>
            <w:szCs w:val="24"/>
            <w:u w:val="single"/>
          </w:rPr>
          <w:lastRenderedPageBreak/>
          <w:t>ility&amp;text=(2)On%20a%20charge%20of,to%20be%20convicted%20of%20murder</w:t>
        </w:r>
      </w:hyperlink>
      <w:r w:rsidRPr="00C97090">
        <w:rPr>
          <w:rFonts w:eastAsia="Calibri"/>
          <w:szCs w:val="24"/>
        </w:rPr>
        <w:t>. (Accessed: February 27, 2023).</w:t>
      </w:r>
    </w:p>
    <w:p w14:paraId="6F90EE67" w14:textId="77777777" w:rsidR="00701DDC" w:rsidRPr="00C97090" w:rsidRDefault="00701DDC" w:rsidP="00C97090">
      <w:pPr>
        <w:rPr>
          <w:rFonts w:eastAsia="Calibri"/>
          <w:szCs w:val="24"/>
        </w:rPr>
      </w:pPr>
      <w:r w:rsidRPr="00C97090">
        <w:rPr>
          <w:color w:val="222222"/>
          <w:szCs w:val="24"/>
          <w:highlight w:val="white"/>
        </w:rPr>
        <w:t xml:space="preserve">Reed, A., Wake, N. and Simpson, B., 2021. </w:t>
      </w:r>
      <w:proofErr w:type="spellStart"/>
      <w:proofErr w:type="gramStart"/>
      <w:r w:rsidRPr="00C97090">
        <w:rPr>
          <w:color w:val="222222"/>
          <w:szCs w:val="24"/>
          <w:highlight w:val="white"/>
        </w:rPr>
        <w:t>Introduction:‘</w:t>
      </w:r>
      <w:proofErr w:type="gramEnd"/>
      <w:r w:rsidRPr="00C97090">
        <w:rPr>
          <w:color w:val="222222"/>
          <w:szCs w:val="24"/>
          <w:highlight w:val="white"/>
        </w:rPr>
        <w:t>Domestic</w:t>
      </w:r>
      <w:proofErr w:type="spellEnd"/>
      <w:r w:rsidRPr="00C97090">
        <w:rPr>
          <w:color w:val="222222"/>
          <w:szCs w:val="24"/>
          <w:highlight w:val="white"/>
        </w:rPr>
        <w:t xml:space="preserve"> and comparative perspectives on loss of self-control and diminished responsibility as partial </w:t>
      </w:r>
      <w:proofErr w:type="spellStart"/>
      <w:r w:rsidRPr="00C97090">
        <w:rPr>
          <w:color w:val="222222"/>
          <w:szCs w:val="24"/>
          <w:highlight w:val="white"/>
        </w:rPr>
        <w:t>defences</w:t>
      </w:r>
      <w:proofErr w:type="spellEnd"/>
      <w:r w:rsidRPr="00C97090">
        <w:rPr>
          <w:color w:val="222222"/>
          <w:szCs w:val="24"/>
          <w:highlight w:val="white"/>
        </w:rPr>
        <w:t xml:space="preserve"> to murder: a 10-year review of the Coroners and Justice Act 2009 reform framework’. </w:t>
      </w:r>
      <w:r w:rsidRPr="00C97090">
        <w:rPr>
          <w:rFonts w:eastAsia="Calibri"/>
          <w:i/>
          <w:szCs w:val="24"/>
        </w:rPr>
        <w:t>Northern Ireland Legal Quarterly</w:t>
      </w:r>
      <w:r w:rsidRPr="00C97090">
        <w:rPr>
          <w:rFonts w:eastAsia="Calibri"/>
          <w:szCs w:val="24"/>
        </w:rPr>
        <w:t xml:space="preserve">, </w:t>
      </w:r>
      <w:r w:rsidRPr="00C97090">
        <w:rPr>
          <w:rFonts w:eastAsia="Calibri"/>
          <w:i/>
          <w:szCs w:val="24"/>
        </w:rPr>
        <w:t>72</w:t>
      </w:r>
      <w:r w:rsidRPr="00C97090">
        <w:rPr>
          <w:rFonts w:eastAsia="Calibri"/>
          <w:szCs w:val="24"/>
        </w:rPr>
        <w:t>(2), pp.161-170. Available at:</w:t>
      </w:r>
      <w:hyperlink r:id="rId27">
        <w:r w:rsidRPr="00C97090">
          <w:rPr>
            <w:rFonts w:eastAsia="Calibri"/>
            <w:szCs w:val="24"/>
          </w:rPr>
          <w:t xml:space="preserve"> </w:t>
        </w:r>
      </w:hyperlink>
      <w:hyperlink r:id="rId28">
        <w:r w:rsidRPr="00C97090">
          <w:rPr>
            <w:color w:val="1155CC"/>
            <w:szCs w:val="24"/>
            <w:highlight w:val="white"/>
            <w:u w:val="single"/>
          </w:rPr>
          <w:t>http://doi.org/10.53386/nilq.v72i2.930</w:t>
        </w:r>
      </w:hyperlink>
      <w:r w:rsidRPr="00C97090">
        <w:rPr>
          <w:color w:val="222222"/>
          <w:szCs w:val="24"/>
          <w:highlight w:val="white"/>
        </w:rPr>
        <w:t xml:space="preserve"> </w:t>
      </w:r>
      <w:r w:rsidRPr="00C97090">
        <w:rPr>
          <w:rFonts w:eastAsia="Calibri"/>
          <w:szCs w:val="24"/>
        </w:rPr>
        <w:t>(Accessed: February 27, 2023).</w:t>
      </w:r>
    </w:p>
    <w:p w14:paraId="2616CF4B" w14:textId="77777777" w:rsidR="00701DDC" w:rsidRPr="00C97090" w:rsidRDefault="00701DDC" w:rsidP="00C97090">
      <w:pPr>
        <w:rPr>
          <w:rFonts w:eastAsia="Calibri"/>
          <w:szCs w:val="24"/>
        </w:rPr>
      </w:pPr>
      <w:r w:rsidRPr="00C97090">
        <w:rPr>
          <w:color w:val="222222"/>
          <w:szCs w:val="24"/>
          <w:highlight w:val="white"/>
        </w:rPr>
        <w:t xml:space="preserve">Simpson, B., 2021. R v Foy (Nicholas): voluntary intoxication, mental health and the case for diminished responsibility. </w:t>
      </w:r>
      <w:r w:rsidRPr="00C97090">
        <w:rPr>
          <w:rFonts w:eastAsia="Calibri"/>
          <w:i/>
          <w:szCs w:val="24"/>
        </w:rPr>
        <w:t>Northern Ireland Legal Quarterly</w:t>
      </w:r>
      <w:r w:rsidRPr="00C97090">
        <w:rPr>
          <w:rFonts w:eastAsia="Calibri"/>
          <w:szCs w:val="24"/>
        </w:rPr>
        <w:t xml:space="preserve">, </w:t>
      </w:r>
      <w:r w:rsidRPr="00C97090">
        <w:rPr>
          <w:rFonts w:eastAsia="Calibri"/>
          <w:i/>
          <w:szCs w:val="24"/>
        </w:rPr>
        <w:t>72</w:t>
      </w:r>
      <w:r w:rsidRPr="00C97090">
        <w:rPr>
          <w:rFonts w:eastAsia="Calibri"/>
          <w:szCs w:val="24"/>
        </w:rPr>
        <w:t>(2), pp.397-405. Available at:</w:t>
      </w:r>
      <w:hyperlink r:id="rId29">
        <w:r w:rsidRPr="00C97090">
          <w:rPr>
            <w:rFonts w:eastAsia="Calibri"/>
            <w:szCs w:val="24"/>
          </w:rPr>
          <w:t xml:space="preserve"> </w:t>
        </w:r>
      </w:hyperlink>
      <w:hyperlink r:id="rId30">
        <w:r w:rsidRPr="00C97090">
          <w:rPr>
            <w:color w:val="1155CC"/>
            <w:szCs w:val="24"/>
            <w:highlight w:val="white"/>
            <w:u w:val="single"/>
          </w:rPr>
          <w:t>https://doi.org/10.53386/nilq.v72i2.880</w:t>
        </w:r>
      </w:hyperlink>
      <w:r w:rsidRPr="00C97090">
        <w:rPr>
          <w:color w:val="222222"/>
          <w:szCs w:val="24"/>
          <w:highlight w:val="white"/>
        </w:rPr>
        <w:t xml:space="preserve"> </w:t>
      </w:r>
      <w:r w:rsidRPr="00C97090">
        <w:rPr>
          <w:rFonts w:eastAsia="Calibri"/>
          <w:szCs w:val="24"/>
        </w:rPr>
        <w:t>(Accessed: February 27, 2023).</w:t>
      </w:r>
    </w:p>
    <w:p w14:paraId="541B3D0C" w14:textId="77777777" w:rsidR="00701DDC" w:rsidRPr="00C97090" w:rsidRDefault="00701DDC" w:rsidP="00C97090">
      <w:pPr>
        <w:rPr>
          <w:rFonts w:eastAsia="Calibri"/>
          <w:szCs w:val="24"/>
        </w:rPr>
      </w:pPr>
      <w:proofErr w:type="spellStart"/>
      <w:r w:rsidRPr="00C97090">
        <w:rPr>
          <w:rFonts w:eastAsia="Calibri"/>
          <w:szCs w:val="24"/>
        </w:rPr>
        <w:t>Szczucki</w:t>
      </w:r>
      <w:proofErr w:type="spellEnd"/>
      <w:r w:rsidRPr="00C97090">
        <w:rPr>
          <w:rFonts w:eastAsia="Calibri"/>
          <w:szCs w:val="24"/>
        </w:rPr>
        <w:t xml:space="preserve">, K. (2018). Ethical legitimacy of criminal law. </w:t>
      </w:r>
      <w:r w:rsidRPr="00C97090">
        <w:rPr>
          <w:rFonts w:eastAsia="Calibri"/>
          <w:i/>
          <w:szCs w:val="24"/>
        </w:rPr>
        <w:t>International Journal of Law, Crime, and Justice</w:t>
      </w:r>
      <w:r w:rsidRPr="00C97090">
        <w:rPr>
          <w:rFonts w:eastAsia="Calibri"/>
          <w:szCs w:val="24"/>
        </w:rPr>
        <w:t xml:space="preserve">, </w:t>
      </w:r>
      <w:r w:rsidRPr="00C97090">
        <w:rPr>
          <w:rFonts w:eastAsia="Calibri"/>
          <w:i/>
          <w:szCs w:val="24"/>
        </w:rPr>
        <w:t>53</w:t>
      </w:r>
      <w:r w:rsidRPr="00C97090">
        <w:rPr>
          <w:rFonts w:eastAsia="Calibri"/>
          <w:szCs w:val="24"/>
        </w:rPr>
        <w:t>, 67-76. Available at:</w:t>
      </w:r>
      <w:hyperlink r:id="rId31">
        <w:r w:rsidRPr="00C97090">
          <w:rPr>
            <w:rFonts w:eastAsia="Calibri"/>
            <w:szCs w:val="24"/>
          </w:rPr>
          <w:t xml:space="preserve"> </w:t>
        </w:r>
      </w:hyperlink>
      <w:hyperlink r:id="rId32">
        <w:r w:rsidRPr="00C97090">
          <w:rPr>
            <w:rFonts w:eastAsia="Calibri"/>
            <w:color w:val="1155CC"/>
            <w:szCs w:val="24"/>
            <w:u w:val="single"/>
          </w:rPr>
          <w:t>https://doi.org/10.1016/j.ijlcj.2018.03.002</w:t>
        </w:r>
      </w:hyperlink>
      <w:r w:rsidRPr="00C97090">
        <w:rPr>
          <w:rFonts w:eastAsia="Calibri"/>
          <w:szCs w:val="24"/>
        </w:rPr>
        <w:t xml:space="preserve"> (Accessed: February 27, 2023).</w:t>
      </w:r>
    </w:p>
    <w:sectPr w:rsidR="00701DDC" w:rsidRPr="00C97090" w:rsidSect="00183353">
      <w:footerReference w:type="default" r:id="rId3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FBCF7" w14:textId="77777777" w:rsidR="006C10DB" w:rsidRDefault="006C10DB">
      <w:pPr>
        <w:spacing w:after="0" w:line="240" w:lineRule="auto"/>
      </w:pPr>
      <w:r>
        <w:separator/>
      </w:r>
    </w:p>
  </w:endnote>
  <w:endnote w:type="continuationSeparator" w:id="0">
    <w:p w14:paraId="4DB40060" w14:textId="77777777" w:rsidR="006C10DB" w:rsidRDefault="006C1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rinda">
    <w:altName w:val="Vrinda"/>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57341"/>
      <w:docPartObj>
        <w:docPartGallery w:val="Page Numbers (Bottom of Page)"/>
        <w:docPartUnique/>
      </w:docPartObj>
    </w:sdtPr>
    <w:sdtContent>
      <w:sdt>
        <w:sdtPr>
          <w:id w:val="565050523"/>
          <w:docPartObj>
            <w:docPartGallery w:val="Page Numbers (Top of Page)"/>
            <w:docPartUnique/>
          </w:docPartObj>
        </w:sdtPr>
        <w:sdtContent>
          <w:p w14:paraId="1DE6448E" w14:textId="77777777" w:rsidR="003F339A" w:rsidRDefault="00375A09">
            <w:pPr>
              <w:pStyle w:val="Footer"/>
              <w:jc w:val="right"/>
            </w:pPr>
            <w:r>
              <w:t xml:space="preserve">Page </w:t>
            </w:r>
            <w:r>
              <w:rPr>
                <w:b/>
                <w:szCs w:val="24"/>
              </w:rPr>
              <w:fldChar w:fldCharType="begin"/>
            </w:r>
            <w:r>
              <w:rPr>
                <w:b/>
              </w:rPr>
              <w:instrText xml:space="preserve"> PAGE </w:instrText>
            </w:r>
            <w:r>
              <w:rPr>
                <w:b/>
                <w:szCs w:val="24"/>
              </w:rPr>
              <w:fldChar w:fldCharType="separate"/>
            </w:r>
            <w:r w:rsidR="00701DDC">
              <w:rPr>
                <w:b/>
                <w:noProof/>
              </w:rPr>
              <w:t>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701DDC">
              <w:rPr>
                <w:b/>
                <w:noProof/>
              </w:rPr>
              <w:t>9</w:t>
            </w:r>
            <w:r>
              <w:rPr>
                <w:b/>
                <w:szCs w:val="24"/>
              </w:rPr>
              <w:fldChar w:fldCharType="end"/>
            </w:r>
          </w:p>
        </w:sdtContent>
      </w:sdt>
    </w:sdtContent>
  </w:sdt>
  <w:p w14:paraId="25E0B80E" w14:textId="77777777" w:rsidR="003F339A" w:rsidRDefault="003F3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62BA" w14:textId="77777777" w:rsidR="006C10DB" w:rsidRDefault="006C10DB">
      <w:pPr>
        <w:spacing w:after="0" w:line="240" w:lineRule="auto"/>
      </w:pPr>
      <w:r>
        <w:separator/>
      </w:r>
    </w:p>
  </w:footnote>
  <w:footnote w:type="continuationSeparator" w:id="0">
    <w:p w14:paraId="651D8F83" w14:textId="77777777" w:rsidR="006C10DB" w:rsidRDefault="006C10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51B68"/>
    <w:multiLevelType w:val="hybridMultilevel"/>
    <w:tmpl w:val="43602CDC"/>
    <w:lvl w:ilvl="0" w:tplc="086C8BA6">
      <w:start w:val="1"/>
      <w:numFmt w:val="bullet"/>
      <w:lvlText w:val=""/>
      <w:lvlJc w:val="left"/>
      <w:pPr>
        <w:ind w:left="720" w:hanging="360"/>
      </w:pPr>
      <w:rPr>
        <w:rFonts w:ascii="Symbol" w:hAnsi="Symbol" w:hint="default"/>
      </w:rPr>
    </w:lvl>
    <w:lvl w:ilvl="1" w:tplc="01C40660" w:tentative="1">
      <w:start w:val="1"/>
      <w:numFmt w:val="bullet"/>
      <w:lvlText w:val="o"/>
      <w:lvlJc w:val="left"/>
      <w:pPr>
        <w:ind w:left="1440" w:hanging="360"/>
      </w:pPr>
      <w:rPr>
        <w:rFonts w:ascii="Courier New" w:hAnsi="Courier New" w:cs="Courier New" w:hint="default"/>
      </w:rPr>
    </w:lvl>
    <w:lvl w:ilvl="2" w:tplc="E24E637C" w:tentative="1">
      <w:start w:val="1"/>
      <w:numFmt w:val="bullet"/>
      <w:lvlText w:val=""/>
      <w:lvlJc w:val="left"/>
      <w:pPr>
        <w:ind w:left="2160" w:hanging="360"/>
      </w:pPr>
      <w:rPr>
        <w:rFonts w:ascii="Wingdings" w:hAnsi="Wingdings" w:hint="default"/>
      </w:rPr>
    </w:lvl>
    <w:lvl w:ilvl="3" w:tplc="E0AEFE1C" w:tentative="1">
      <w:start w:val="1"/>
      <w:numFmt w:val="bullet"/>
      <w:lvlText w:val=""/>
      <w:lvlJc w:val="left"/>
      <w:pPr>
        <w:ind w:left="2880" w:hanging="360"/>
      </w:pPr>
      <w:rPr>
        <w:rFonts w:ascii="Symbol" w:hAnsi="Symbol" w:hint="default"/>
      </w:rPr>
    </w:lvl>
    <w:lvl w:ilvl="4" w:tplc="228A719E" w:tentative="1">
      <w:start w:val="1"/>
      <w:numFmt w:val="bullet"/>
      <w:lvlText w:val="o"/>
      <w:lvlJc w:val="left"/>
      <w:pPr>
        <w:ind w:left="3600" w:hanging="360"/>
      </w:pPr>
      <w:rPr>
        <w:rFonts w:ascii="Courier New" w:hAnsi="Courier New" w:cs="Courier New" w:hint="default"/>
      </w:rPr>
    </w:lvl>
    <w:lvl w:ilvl="5" w:tplc="25D0FC44" w:tentative="1">
      <w:start w:val="1"/>
      <w:numFmt w:val="bullet"/>
      <w:lvlText w:val=""/>
      <w:lvlJc w:val="left"/>
      <w:pPr>
        <w:ind w:left="4320" w:hanging="360"/>
      </w:pPr>
      <w:rPr>
        <w:rFonts w:ascii="Wingdings" w:hAnsi="Wingdings" w:hint="default"/>
      </w:rPr>
    </w:lvl>
    <w:lvl w:ilvl="6" w:tplc="47F4B9CE" w:tentative="1">
      <w:start w:val="1"/>
      <w:numFmt w:val="bullet"/>
      <w:lvlText w:val=""/>
      <w:lvlJc w:val="left"/>
      <w:pPr>
        <w:ind w:left="5040" w:hanging="360"/>
      </w:pPr>
      <w:rPr>
        <w:rFonts w:ascii="Symbol" w:hAnsi="Symbol" w:hint="default"/>
      </w:rPr>
    </w:lvl>
    <w:lvl w:ilvl="7" w:tplc="BA3660D8" w:tentative="1">
      <w:start w:val="1"/>
      <w:numFmt w:val="bullet"/>
      <w:lvlText w:val="o"/>
      <w:lvlJc w:val="left"/>
      <w:pPr>
        <w:ind w:left="5760" w:hanging="360"/>
      </w:pPr>
      <w:rPr>
        <w:rFonts w:ascii="Courier New" w:hAnsi="Courier New" w:cs="Courier New" w:hint="default"/>
      </w:rPr>
    </w:lvl>
    <w:lvl w:ilvl="8" w:tplc="9F1A10D4" w:tentative="1">
      <w:start w:val="1"/>
      <w:numFmt w:val="bullet"/>
      <w:lvlText w:val=""/>
      <w:lvlJc w:val="left"/>
      <w:pPr>
        <w:ind w:left="6480" w:hanging="360"/>
      </w:pPr>
      <w:rPr>
        <w:rFonts w:ascii="Wingdings" w:hAnsi="Wingdings" w:hint="default"/>
      </w:rPr>
    </w:lvl>
  </w:abstractNum>
  <w:abstractNum w:abstractNumId="1" w15:restartNumberingAfterBreak="0">
    <w:nsid w:val="22DB6931"/>
    <w:multiLevelType w:val="multilevel"/>
    <w:tmpl w:val="74A8D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891BBC"/>
    <w:multiLevelType w:val="hybridMultilevel"/>
    <w:tmpl w:val="9B5A6780"/>
    <w:lvl w:ilvl="0" w:tplc="A66CE5CE">
      <w:start w:val="1"/>
      <w:numFmt w:val="bullet"/>
      <w:lvlText w:val=""/>
      <w:lvlJc w:val="left"/>
      <w:pPr>
        <w:ind w:left="720" w:hanging="360"/>
      </w:pPr>
      <w:rPr>
        <w:rFonts w:ascii="Symbol" w:hAnsi="Symbol" w:hint="default"/>
      </w:rPr>
    </w:lvl>
    <w:lvl w:ilvl="1" w:tplc="C10C78BA" w:tentative="1">
      <w:start w:val="1"/>
      <w:numFmt w:val="bullet"/>
      <w:lvlText w:val="o"/>
      <w:lvlJc w:val="left"/>
      <w:pPr>
        <w:ind w:left="1440" w:hanging="360"/>
      </w:pPr>
      <w:rPr>
        <w:rFonts w:ascii="Courier New" w:hAnsi="Courier New" w:cs="Courier New" w:hint="default"/>
      </w:rPr>
    </w:lvl>
    <w:lvl w:ilvl="2" w:tplc="0D3AB2A4" w:tentative="1">
      <w:start w:val="1"/>
      <w:numFmt w:val="bullet"/>
      <w:lvlText w:val=""/>
      <w:lvlJc w:val="left"/>
      <w:pPr>
        <w:ind w:left="2160" w:hanging="360"/>
      </w:pPr>
      <w:rPr>
        <w:rFonts w:ascii="Wingdings" w:hAnsi="Wingdings" w:hint="default"/>
      </w:rPr>
    </w:lvl>
    <w:lvl w:ilvl="3" w:tplc="CDB6486C" w:tentative="1">
      <w:start w:val="1"/>
      <w:numFmt w:val="bullet"/>
      <w:lvlText w:val=""/>
      <w:lvlJc w:val="left"/>
      <w:pPr>
        <w:ind w:left="2880" w:hanging="360"/>
      </w:pPr>
      <w:rPr>
        <w:rFonts w:ascii="Symbol" w:hAnsi="Symbol" w:hint="default"/>
      </w:rPr>
    </w:lvl>
    <w:lvl w:ilvl="4" w:tplc="C6924FF4" w:tentative="1">
      <w:start w:val="1"/>
      <w:numFmt w:val="bullet"/>
      <w:lvlText w:val="o"/>
      <w:lvlJc w:val="left"/>
      <w:pPr>
        <w:ind w:left="3600" w:hanging="360"/>
      </w:pPr>
      <w:rPr>
        <w:rFonts w:ascii="Courier New" w:hAnsi="Courier New" w:cs="Courier New" w:hint="default"/>
      </w:rPr>
    </w:lvl>
    <w:lvl w:ilvl="5" w:tplc="9970E1EE" w:tentative="1">
      <w:start w:val="1"/>
      <w:numFmt w:val="bullet"/>
      <w:lvlText w:val=""/>
      <w:lvlJc w:val="left"/>
      <w:pPr>
        <w:ind w:left="4320" w:hanging="360"/>
      </w:pPr>
      <w:rPr>
        <w:rFonts w:ascii="Wingdings" w:hAnsi="Wingdings" w:hint="default"/>
      </w:rPr>
    </w:lvl>
    <w:lvl w:ilvl="6" w:tplc="066E212A" w:tentative="1">
      <w:start w:val="1"/>
      <w:numFmt w:val="bullet"/>
      <w:lvlText w:val=""/>
      <w:lvlJc w:val="left"/>
      <w:pPr>
        <w:ind w:left="5040" w:hanging="360"/>
      </w:pPr>
      <w:rPr>
        <w:rFonts w:ascii="Symbol" w:hAnsi="Symbol" w:hint="default"/>
      </w:rPr>
    </w:lvl>
    <w:lvl w:ilvl="7" w:tplc="B70839DA" w:tentative="1">
      <w:start w:val="1"/>
      <w:numFmt w:val="bullet"/>
      <w:lvlText w:val="o"/>
      <w:lvlJc w:val="left"/>
      <w:pPr>
        <w:ind w:left="5760" w:hanging="360"/>
      </w:pPr>
      <w:rPr>
        <w:rFonts w:ascii="Courier New" w:hAnsi="Courier New" w:cs="Courier New" w:hint="default"/>
      </w:rPr>
    </w:lvl>
    <w:lvl w:ilvl="8" w:tplc="BEB0030A" w:tentative="1">
      <w:start w:val="1"/>
      <w:numFmt w:val="bullet"/>
      <w:lvlText w:val=""/>
      <w:lvlJc w:val="left"/>
      <w:pPr>
        <w:ind w:left="6480" w:hanging="360"/>
      </w:pPr>
      <w:rPr>
        <w:rFonts w:ascii="Wingdings" w:hAnsi="Wingdings" w:hint="default"/>
      </w:rPr>
    </w:lvl>
  </w:abstractNum>
  <w:abstractNum w:abstractNumId="3" w15:restartNumberingAfterBreak="0">
    <w:nsid w:val="37737655"/>
    <w:multiLevelType w:val="hybridMultilevel"/>
    <w:tmpl w:val="027E0C0E"/>
    <w:lvl w:ilvl="0" w:tplc="4E30E5E2">
      <w:start w:val="1"/>
      <w:numFmt w:val="bullet"/>
      <w:lvlText w:val=""/>
      <w:lvlJc w:val="left"/>
      <w:pPr>
        <w:ind w:left="720" w:hanging="360"/>
      </w:pPr>
      <w:rPr>
        <w:rFonts w:ascii="Symbol" w:hAnsi="Symbol" w:hint="default"/>
      </w:rPr>
    </w:lvl>
    <w:lvl w:ilvl="1" w:tplc="93BAC8EE" w:tentative="1">
      <w:start w:val="1"/>
      <w:numFmt w:val="bullet"/>
      <w:lvlText w:val="o"/>
      <w:lvlJc w:val="left"/>
      <w:pPr>
        <w:ind w:left="1440" w:hanging="360"/>
      </w:pPr>
      <w:rPr>
        <w:rFonts w:ascii="Courier New" w:hAnsi="Courier New" w:cs="Courier New" w:hint="default"/>
      </w:rPr>
    </w:lvl>
    <w:lvl w:ilvl="2" w:tplc="D3D899DA" w:tentative="1">
      <w:start w:val="1"/>
      <w:numFmt w:val="bullet"/>
      <w:lvlText w:val=""/>
      <w:lvlJc w:val="left"/>
      <w:pPr>
        <w:ind w:left="2160" w:hanging="360"/>
      </w:pPr>
      <w:rPr>
        <w:rFonts w:ascii="Wingdings" w:hAnsi="Wingdings" w:hint="default"/>
      </w:rPr>
    </w:lvl>
    <w:lvl w:ilvl="3" w:tplc="D082C942" w:tentative="1">
      <w:start w:val="1"/>
      <w:numFmt w:val="bullet"/>
      <w:lvlText w:val=""/>
      <w:lvlJc w:val="left"/>
      <w:pPr>
        <w:ind w:left="2880" w:hanging="360"/>
      </w:pPr>
      <w:rPr>
        <w:rFonts w:ascii="Symbol" w:hAnsi="Symbol" w:hint="default"/>
      </w:rPr>
    </w:lvl>
    <w:lvl w:ilvl="4" w:tplc="9ABE1350" w:tentative="1">
      <w:start w:val="1"/>
      <w:numFmt w:val="bullet"/>
      <w:lvlText w:val="o"/>
      <w:lvlJc w:val="left"/>
      <w:pPr>
        <w:ind w:left="3600" w:hanging="360"/>
      </w:pPr>
      <w:rPr>
        <w:rFonts w:ascii="Courier New" w:hAnsi="Courier New" w:cs="Courier New" w:hint="default"/>
      </w:rPr>
    </w:lvl>
    <w:lvl w:ilvl="5" w:tplc="24DA068C" w:tentative="1">
      <w:start w:val="1"/>
      <w:numFmt w:val="bullet"/>
      <w:lvlText w:val=""/>
      <w:lvlJc w:val="left"/>
      <w:pPr>
        <w:ind w:left="4320" w:hanging="360"/>
      </w:pPr>
      <w:rPr>
        <w:rFonts w:ascii="Wingdings" w:hAnsi="Wingdings" w:hint="default"/>
      </w:rPr>
    </w:lvl>
    <w:lvl w:ilvl="6" w:tplc="93C0BD30" w:tentative="1">
      <w:start w:val="1"/>
      <w:numFmt w:val="bullet"/>
      <w:lvlText w:val=""/>
      <w:lvlJc w:val="left"/>
      <w:pPr>
        <w:ind w:left="5040" w:hanging="360"/>
      </w:pPr>
      <w:rPr>
        <w:rFonts w:ascii="Symbol" w:hAnsi="Symbol" w:hint="default"/>
      </w:rPr>
    </w:lvl>
    <w:lvl w:ilvl="7" w:tplc="7C58C5F8" w:tentative="1">
      <w:start w:val="1"/>
      <w:numFmt w:val="bullet"/>
      <w:lvlText w:val="o"/>
      <w:lvlJc w:val="left"/>
      <w:pPr>
        <w:ind w:left="5760" w:hanging="360"/>
      </w:pPr>
      <w:rPr>
        <w:rFonts w:ascii="Courier New" w:hAnsi="Courier New" w:cs="Courier New" w:hint="default"/>
      </w:rPr>
    </w:lvl>
    <w:lvl w:ilvl="8" w:tplc="61AA391E" w:tentative="1">
      <w:start w:val="1"/>
      <w:numFmt w:val="bullet"/>
      <w:lvlText w:val=""/>
      <w:lvlJc w:val="left"/>
      <w:pPr>
        <w:ind w:left="6480" w:hanging="360"/>
      </w:pPr>
      <w:rPr>
        <w:rFonts w:ascii="Wingdings" w:hAnsi="Wingdings" w:hint="default"/>
      </w:rPr>
    </w:lvl>
  </w:abstractNum>
  <w:abstractNum w:abstractNumId="4" w15:restartNumberingAfterBreak="0">
    <w:nsid w:val="3B654E49"/>
    <w:multiLevelType w:val="multilevel"/>
    <w:tmpl w:val="F4529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B64112"/>
    <w:multiLevelType w:val="multilevel"/>
    <w:tmpl w:val="30FA4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646617"/>
    <w:multiLevelType w:val="multilevel"/>
    <w:tmpl w:val="951E3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FD6246"/>
    <w:multiLevelType w:val="multilevel"/>
    <w:tmpl w:val="EAB01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90C195D"/>
    <w:multiLevelType w:val="hybridMultilevel"/>
    <w:tmpl w:val="32FA2E1A"/>
    <w:lvl w:ilvl="0" w:tplc="C9F8C8AE">
      <w:start w:val="1"/>
      <w:numFmt w:val="bullet"/>
      <w:lvlText w:val=""/>
      <w:lvlJc w:val="left"/>
      <w:pPr>
        <w:ind w:left="720" w:hanging="360"/>
      </w:pPr>
      <w:rPr>
        <w:rFonts w:ascii="Symbol" w:hAnsi="Symbol" w:hint="default"/>
      </w:rPr>
    </w:lvl>
    <w:lvl w:ilvl="1" w:tplc="6C74358A" w:tentative="1">
      <w:start w:val="1"/>
      <w:numFmt w:val="bullet"/>
      <w:lvlText w:val="o"/>
      <w:lvlJc w:val="left"/>
      <w:pPr>
        <w:ind w:left="1440" w:hanging="360"/>
      </w:pPr>
      <w:rPr>
        <w:rFonts w:ascii="Courier New" w:hAnsi="Courier New" w:cs="Courier New" w:hint="default"/>
      </w:rPr>
    </w:lvl>
    <w:lvl w:ilvl="2" w:tplc="7E4A6498" w:tentative="1">
      <w:start w:val="1"/>
      <w:numFmt w:val="bullet"/>
      <w:lvlText w:val=""/>
      <w:lvlJc w:val="left"/>
      <w:pPr>
        <w:ind w:left="2160" w:hanging="360"/>
      </w:pPr>
      <w:rPr>
        <w:rFonts w:ascii="Wingdings" w:hAnsi="Wingdings" w:hint="default"/>
      </w:rPr>
    </w:lvl>
    <w:lvl w:ilvl="3" w:tplc="8D42B44E" w:tentative="1">
      <w:start w:val="1"/>
      <w:numFmt w:val="bullet"/>
      <w:lvlText w:val=""/>
      <w:lvlJc w:val="left"/>
      <w:pPr>
        <w:ind w:left="2880" w:hanging="360"/>
      </w:pPr>
      <w:rPr>
        <w:rFonts w:ascii="Symbol" w:hAnsi="Symbol" w:hint="default"/>
      </w:rPr>
    </w:lvl>
    <w:lvl w:ilvl="4" w:tplc="946EE444" w:tentative="1">
      <w:start w:val="1"/>
      <w:numFmt w:val="bullet"/>
      <w:lvlText w:val="o"/>
      <w:lvlJc w:val="left"/>
      <w:pPr>
        <w:ind w:left="3600" w:hanging="360"/>
      </w:pPr>
      <w:rPr>
        <w:rFonts w:ascii="Courier New" w:hAnsi="Courier New" w:cs="Courier New" w:hint="default"/>
      </w:rPr>
    </w:lvl>
    <w:lvl w:ilvl="5" w:tplc="A2E85182" w:tentative="1">
      <w:start w:val="1"/>
      <w:numFmt w:val="bullet"/>
      <w:lvlText w:val=""/>
      <w:lvlJc w:val="left"/>
      <w:pPr>
        <w:ind w:left="4320" w:hanging="360"/>
      </w:pPr>
      <w:rPr>
        <w:rFonts w:ascii="Wingdings" w:hAnsi="Wingdings" w:hint="default"/>
      </w:rPr>
    </w:lvl>
    <w:lvl w:ilvl="6" w:tplc="5A96998A" w:tentative="1">
      <w:start w:val="1"/>
      <w:numFmt w:val="bullet"/>
      <w:lvlText w:val=""/>
      <w:lvlJc w:val="left"/>
      <w:pPr>
        <w:ind w:left="5040" w:hanging="360"/>
      </w:pPr>
      <w:rPr>
        <w:rFonts w:ascii="Symbol" w:hAnsi="Symbol" w:hint="default"/>
      </w:rPr>
    </w:lvl>
    <w:lvl w:ilvl="7" w:tplc="E4A052A0" w:tentative="1">
      <w:start w:val="1"/>
      <w:numFmt w:val="bullet"/>
      <w:lvlText w:val="o"/>
      <w:lvlJc w:val="left"/>
      <w:pPr>
        <w:ind w:left="5760" w:hanging="360"/>
      </w:pPr>
      <w:rPr>
        <w:rFonts w:ascii="Courier New" w:hAnsi="Courier New" w:cs="Courier New" w:hint="default"/>
      </w:rPr>
    </w:lvl>
    <w:lvl w:ilvl="8" w:tplc="2F5C3D16" w:tentative="1">
      <w:start w:val="1"/>
      <w:numFmt w:val="bullet"/>
      <w:lvlText w:val=""/>
      <w:lvlJc w:val="left"/>
      <w:pPr>
        <w:ind w:left="6480" w:hanging="360"/>
      </w:pPr>
      <w:rPr>
        <w:rFonts w:ascii="Wingdings" w:hAnsi="Wingdings" w:hint="default"/>
      </w:rPr>
    </w:lvl>
  </w:abstractNum>
  <w:num w:numId="1" w16cid:durableId="1981032938">
    <w:abstractNumId w:val="6"/>
  </w:num>
  <w:num w:numId="2" w16cid:durableId="470906651">
    <w:abstractNumId w:val="1"/>
  </w:num>
  <w:num w:numId="3" w16cid:durableId="1308196279">
    <w:abstractNumId w:val="5"/>
  </w:num>
  <w:num w:numId="4" w16cid:durableId="2061172921">
    <w:abstractNumId w:val="7"/>
  </w:num>
  <w:num w:numId="5" w16cid:durableId="1275670048">
    <w:abstractNumId w:val="4"/>
  </w:num>
  <w:num w:numId="6" w16cid:durableId="916403231">
    <w:abstractNumId w:val="3"/>
  </w:num>
  <w:num w:numId="7" w16cid:durableId="1426152887">
    <w:abstractNumId w:val="8"/>
  </w:num>
  <w:num w:numId="8" w16cid:durableId="1700273555">
    <w:abstractNumId w:val="2"/>
  </w:num>
  <w:num w:numId="9" w16cid:durableId="868837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353"/>
    <w:rsid w:val="00094D7C"/>
    <w:rsid w:val="00183353"/>
    <w:rsid w:val="00192794"/>
    <w:rsid w:val="00375A09"/>
    <w:rsid w:val="003E1999"/>
    <w:rsid w:val="003F339A"/>
    <w:rsid w:val="004327E0"/>
    <w:rsid w:val="00560125"/>
    <w:rsid w:val="006C10DB"/>
    <w:rsid w:val="00701DDC"/>
    <w:rsid w:val="00C97090"/>
    <w:rsid w:val="00E976C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79F09"/>
  <w15:docId w15:val="{39E2CA06-505E-4B8D-A4AF-04255B2F4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9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339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F339A"/>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3F33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F339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F339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F339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F339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F339A"/>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3F339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83353"/>
  </w:style>
  <w:style w:type="paragraph" w:styleId="Title">
    <w:name w:val="Title"/>
    <w:basedOn w:val="Normal"/>
    <w:next w:val="Normal"/>
    <w:link w:val="TitleChar"/>
    <w:uiPriority w:val="10"/>
    <w:qFormat/>
    <w:rsid w:val="003F33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F339A"/>
    <w:pPr>
      <w:numPr>
        <w:ilvl w:val="1"/>
      </w:numPr>
    </w:pPr>
    <w:rPr>
      <w:rFonts w:asciiTheme="majorHAnsi" w:eastAsiaTheme="majorEastAsia" w:hAnsiTheme="majorHAnsi" w:cstheme="majorBidi"/>
      <w:i/>
      <w:iCs/>
      <w:color w:val="4F81BD" w:themeColor="accent1"/>
      <w:spacing w:val="15"/>
      <w:szCs w:val="24"/>
    </w:rPr>
  </w:style>
  <w:style w:type="character" w:customStyle="1" w:styleId="Heading1Char">
    <w:name w:val="Heading 1 Char"/>
    <w:basedOn w:val="DefaultParagraphFont"/>
    <w:link w:val="Heading1"/>
    <w:uiPriority w:val="9"/>
    <w:rsid w:val="003F339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3F339A"/>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3F33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F339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F339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F339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3F339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3F339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3F339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F339A"/>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3F339A"/>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3F339A"/>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3F339A"/>
    <w:rPr>
      <w:b/>
      <w:bCs/>
    </w:rPr>
  </w:style>
  <w:style w:type="character" w:styleId="Emphasis">
    <w:name w:val="Emphasis"/>
    <w:basedOn w:val="DefaultParagraphFont"/>
    <w:uiPriority w:val="20"/>
    <w:qFormat/>
    <w:rsid w:val="003F339A"/>
    <w:rPr>
      <w:i/>
      <w:iCs/>
    </w:rPr>
  </w:style>
  <w:style w:type="paragraph" w:styleId="NoSpacing">
    <w:name w:val="No Spacing"/>
    <w:uiPriority w:val="1"/>
    <w:qFormat/>
    <w:rsid w:val="003F339A"/>
    <w:pPr>
      <w:spacing w:after="0" w:line="240" w:lineRule="auto"/>
    </w:pPr>
  </w:style>
  <w:style w:type="paragraph" w:styleId="ListParagraph">
    <w:name w:val="List Paragraph"/>
    <w:basedOn w:val="Normal"/>
    <w:uiPriority w:val="34"/>
    <w:qFormat/>
    <w:rsid w:val="003F339A"/>
    <w:pPr>
      <w:ind w:left="720"/>
      <w:contextualSpacing/>
    </w:pPr>
  </w:style>
  <w:style w:type="paragraph" w:styleId="Quote">
    <w:name w:val="Quote"/>
    <w:basedOn w:val="Normal"/>
    <w:next w:val="Normal"/>
    <w:link w:val="QuoteChar"/>
    <w:uiPriority w:val="29"/>
    <w:qFormat/>
    <w:rsid w:val="003F339A"/>
    <w:rPr>
      <w:i/>
      <w:iCs/>
      <w:color w:val="000000" w:themeColor="text1"/>
    </w:rPr>
  </w:style>
  <w:style w:type="character" w:customStyle="1" w:styleId="QuoteChar">
    <w:name w:val="Quote Char"/>
    <w:basedOn w:val="DefaultParagraphFont"/>
    <w:link w:val="Quote"/>
    <w:uiPriority w:val="29"/>
    <w:rsid w:val="003F339A"/>
    <w:rPr>
      <w:i/>
      <w:iCs/>
      <w:color w:val="000000" w:themeColor="text1"/>
    </w:rPr>
  </w:style>
  <w:style w:type="paragraph" w:styleId="IntenseQuote">
    <w:name w:val="Intense Quote"/>
    <w:basedOn w:val="Normal"/>
    <w:next w:val="Normal"/>
    <w:link w:val="IntenseQuoteChar"/>
    <w:uiPriority w:val="30"/>
    <w:qFormat/>
    <w:rsid w:val="003F339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F339A"/>
    <w:rPr>
      <w:b/>
      <w:bCs/>
      <w:i/>
      <w:iCs/>
      <w:color w:val="4F81BD" w:themeColor="accent1"/>
    </w:rPr>
  </w:style>
  <w:style w:type="character" w:styleId="SubtleEmphasis">
    <w:name w:val="Subtle Emphasis"/>
    <w:basedOn w:val="DefaultParagraphFont"/>
    <w:uiPriority w:val="19"/>
    <w:qFormat/>
    <w:rsid w:val="003F339A"/>
    <w:rPr>
      <w:i/>
      <w:iCs/>
      <w:color w:val="808080" w:themeColor="text1" w:themeTint="7F"/>
    </w:rPr>
  </w:style>
  <w:style w:type="character" w:styleId="IntenseEmphasis">
    <w:name w:val="Intense Emphasis"/>
    <w:basedOn w:val="DefaultParagraphFont"/>
    <w:uiPriority w:val="21"/>
    <w:qFormat/>
    <w:rsid w:val="003F339A"/>
    <w:rPr>
      <w:b/>
      <w:bCs/>
      <w:i/>
      <w:iCs/>
      <w:color w:val="4F81BD" w:themeColor="accent1"/>
    </w:rPr>
  </w:style>
  <w:style w:type="character" w:styleId="SubtleReference">
    <w:name w:val="Subtle Reference"/>
    <w:basedOn w:val="DefaultParagraphFont"/>
    <w:uiPriority w:val="31"/>
    <w:qFormat/>
    <w:rsid w:val="003F339A"/>
    <w:rPr>
      <w:smallCaps/>
      <w:color w:val="C0504D" w:themeColor="accent2"/>
      <w:u w:val="single"/>
    </w:rPr>
  </w:style>
  <w:style w:type="character" w:styleId="IntenseReference">
    <w:name w:val="Intense Reference"/>
    <w:basedOn w:val="DefaultParagraphFont"/>
    <w:uiPriority w:val="32"/>
    <w:qFormat/>
    <w:rsid w:val="003F339A"/>
    <w:rPr>
      <w:b/>
      <w:bCs/>
      <w:smallCaps/>
      <w:color w:val="C0504D" w:themeColor="accent2"/>
      <w:spacing w:val="5"/>
      <w:u w:val="single"/>
    </w:rPr>
  </w:style>
  <w:style w:type="character" w:styleId="BookTitle">
    <w:name w:val="Book Title"/>
    <w:basedOn w:val="DefaultParagraphFont"/>
    <w:uiPriority w:val="33"/>
    <w:qFormat/>
    <w:rsid w:val="003F339A"/>
    <w:rPr>
      <w:b/>
      <w:bCs/>
      <w:smallCaps/>
      <w:spacing w:val="5"/>
    </w:rPr>
  </w:style>
  <w:style w:type="paragraph" w:styleId="TOCHeading">
    <w:name w:val="TOC Heading"/>
    <w:basedOn w:val="Heading1"/>
    <w:next w:val="Normal"/>
    <w:uiPriority w:val="39"/>
    <w:unhideWhenUsed/>
    <w:qFormat/>
    <w:rsid w:val="003F339A"/>
    <w:pPr>
      <w:outlineLvl w:val="9"/>
    </w:pPr>
  </w:style>
  <w:style w:type="paragraph" w:styleId="BalloonText">
    <w:name w:val="Balloon Text"/>
    <w:basedOn w:val="Normal"/>
    <w:link w:val="BalloonTextChar"/>
    <w:uiPriority w:val="99"/>
    <w:semiHidden/>
    <w:unhideWhenUsed/>
    <w:rsid w:val="003F33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39A"/>
    <w:rPr>
      <w:rFonts w:ascii="Tahoma" w:hAnsi="Tahoma" w:cs="Tahoma"/>
      <w:sz w:val="16"/>
      <w:szCs w:val="16"/>
    </w:rPr>
  </w:style>
  <w:style w:type="paragraph" w:styleId="TOC1">
    <w:name w:val="toc 1"/>
    <w:basedOn w:val="Normal"/>
    <w:next w:val="Normal"/>
    <w:autoRedefine/>
    <w:uiPriority w:val="39"/>
    <w:unhideWhenUsed/>
    <w:rsid w:val="003F339A"/>
    <w:pPr>
      <w:spacing w:after="100"/>
    </w:pPr>
  </w:style>
  <w:style w:type="paragraph" w:styleId="TOC2">
    <w:name w:val="toc 2"/>
    <w:basedOn w:val="Normal"/>
    <w:next w:val="Normal"/>
    <w:autoRedefine/>
    <w:uiPriority w:val="39"/>
    <w:unhideWhenUsed/>
    <w:rsid w:val="003F339A"/>
    <w:pPr>
      <w:spacing w:after="100"/>
      <w:ind w:left="240"/>
    </w:pPr>
  </w:style>
  <w:style w:type="character" w:styleId="Hyperlink">
    <w:name w:val="Hyperlink"/>
    <w:basedOn w:val="DefaultParagraphFont"/>
    <w:uiPriority w:val="99"/>
    <w:unhideWhenUsed/>
    <w:rsid w:val="003F339A"/>
    <w:rPr>
      <w:color w:val="0000FF" w:themeColor="hyperlink"/>
      <w:u w:val="single"/>
    </w:rPr>
  </w:style>
  <w:style w:type="paragraph" w:styleId="Header">
    <w:name w:val="header"/>
    <w:basedOn w:val="Normal"/>
    <w:link w:val="HeaderChar"/>
    <w:uiPriority w:val="99"/>
    <w:semiHidden/>
    <w:unhideWhenUsed/>
    <w:rsid w:val="003F33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339A"/>
    <w:rPr>
      <w:rFonts w:ascii="Times New Roman" w:hAnsi="Times New Roman"/>
      <w:sz w:val="24"/>
    </w:rPr>
  </w:style>
  <w:style w:type="paragraph" w:styleId="Footer">
    <w:name w:val="footer"/>
    <w:basedOn w:val="Normal"/>
    <w:link w:val="FooterChar"/>
    <w:uiPriority w:val="99"/>
    <w:unhideWhenUsed/>
    <w:rsid w:val="003F33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39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i.org/10.53386/nilq.v72i2.874" TargetMode="External"/><Relationship Id="rId18" Type="http://schemas.openxmlformats.org/officeDocument/2006/relationships/hyperlink" Target="https://www.justice.gov.uk/downloads/legislation/bills-acts/circulars/moj/2010/circular-12-2010-coroners-justice-act-homicide-provisions.pdf" TargetMode="External"/><Relationship Id="rId26" Type="http://schemas.openxmlformats.org/officeDocument/2006/relationships/hyperlink" Target="https://www.legislation.gov.uk/ukpga/Eliz2/5-6/11/section/2/enacted" TargetMode="External"/><Relationship Id="rId3" Type="http://schemas.openxmlformats.org/officeDocument/2006/relationships/styles" Target="styles.xml"/><Relationship Id="rId21" Type="http://schemas.openxmlformats.org/officeDocument/2006/relationships/hyperlink" Target="https://www.legislation.gov.uk/ukpga/Eliz2/5-6/11/enacted"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abstract=4365139" TargetMode="External"/><Relationship Id="rId17" Type="http://schemas.openxmlformats.org/officeDocument/2006/relationships/hyperlink" Target="https://www.justice.gov.uk/downloads/legislation/bills-acts/circulars/moj/2010/circular-12-2010-coroners-justice-act-homicide-provisions.pdf" TargetMode="External"/><Relationship Id="rId25" Type="http://schemas.openxmlformats.org/officeDocument/2006/relationships/hyperlink" Target="https://www.legislation.gov.uk/ukpga/Eliz2/5-6/11/section/2/enacted"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3386/nilq.v72i2.897" TargetMode="External"/><Relationship Id="rId20" Type="http://schemas.openxmlformats.org/officeDocument/2006/relationships/hyperlink" Target="https://www.legislation.gov.uk/ukpga/1957/11/pdfs/ukpga_19570011_en.pdf" TargetMode="External"/><Relationship Id="rId29" Type="http://schemas.openxmlformats.org/officeDocument/2006/relationships/hyperlink" Target="https://doi.org/10.53386/nilq.v72i2.88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abstract=4365139" TargetMode="External"/><Relationship Id="rId24" Type="http://schemas.openxmlformats.org/officeDocument/2006/relationships/hyperlink" Target="https://www.legislation.gov.uk/ukpga/Eliz2/5-6/11/section/2/enacted" TargetMode="External"/><Relationship Id="rId32" Type="http://schemas.openxmlformats.org/officeDocument/2006/relationships/hyperlink" Target="https://doi.org/10.1016/j.ijlcj.2018.03.002" TargetMode="External"/><Relationship Id="rId5" Type="http://schemas.openxmlformats.org/officeDocument/2006/relationships/webSettings" Target="webSettings.xml"/><Relationship Id="rId15" Type="http://schemas.openxmlformats.org/officeDocument/2006/relationships/hyperlink" Target="https://doi.org/10.53386/nilq.v72i2.897" TargetMode="External"/><Relationship Id="rId23" Type="http://schemas.openxmlformats.org/officeDocument/2006/relationships/hyperlink" Target="https://www.legislation.gov.uk/ukpga/Eliz2/5-6/11/section/2/enacted" TargetMode="External"/><Relationship Id="rId28" Type="http://schemas.openxmlformats.org/officeDocument/2006/relationships/hyperlink" Target="http://doi.org/10.53386/nilq.v72i2.930" TargetMode="External"/><Relationship Id="rId10" Type="http://schemas.openxmlformats.org/officeDocument/2006/relationships/hyperlink" Target="https://bills.parliament.uk/bills/372" TargetMode="External"/><Relationship Id="rId19" Type="http://schemas.openxmlformats.org/officeDocument/2006/relationships/hyperlink" Target="https://www.legislation.gov.uk/ukpga/1957/11/pdfs/ukpga_19570011_en.pdf" TargetMode="External"/><Relationship Id="rId31" Type="http://schemas.openxmlformats.org/officeDocument/2006/relationships/hyperlink" Target="https://doi.org/10.1016/j.ijlcj.2018.03.002" TargetMode="External"/><Relationship Id="rId4" Type="http://schemas.openxmlformats.org/officeDocument/2006/relationships/settings" Target="settings.xml"/><Relationship Id="rId9" Type="http://schemas.openxmlformats.org/officeDocument/2006/relationships/hyperlink" Target="https://bills.parliament.uk/bills/372" TargetMode="External"/><Relationship Id="rId14" Type="http://schemas.openxmlformats.org/officeDocument/2006/relationships/hyperlink" Target="http://doi.org/10.53386/nilq.v72i2.874" TargetMode="External"/><Relationship Id="rId22" Type="http://schemas.openxmlformats.org/officeDocument/2006/relationships/hyperlink" Target="https://www.legislation.gov.uk/ukpga/Eliz2/5-6/11/enacted" TargetMode="External"/><Relationship Id="rId27" Type="http://schemas.openxmlformats.org/officeDocument/2006/relationships/hyperlink" Target="http://doi.org/10.53386/nilq.v72i2.930" TargetMode="External"/><Relationship Id="rId30" Type="http://schemas.openxmlformats.org/officeDocument/2006/relationships/hyperlink" Target="https://doi.org/10.53386/nilq.v72i2.880"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A3DCD-58DE-4E04-85D8-1FABCEE4B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2459</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3</cp:revision>
  <dcterms:created xsi:type="dcterms:W3CDTF">2023-03-08T18:19:00Z</dcterms:created>
  <dcterms:modified xsi:type="dcterms:W3CDTF">2023-03-09T16:20:00Z</dcterms:modified>
</cp:coreProperties>
</file>