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F576F"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b/>
          <w:bCs/>
          <w:color w:val="000000"/>
          <w:kern w:val="0"/>
          <w:lang w:eastAsia="en-GB"/>
          <w14:ligatures w14:val="none"/>
        </w:rPr>
        <w:t>Critically discuss the role of juries in the investigative and judicial processes associated with crime.</w:t>
      </w:r>
    </w:p>
    <w:p w14:paraId="462A1956"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581AD42E" w14:textId="2B64C218"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Jury trials make up a significant amount of decision making in the judicial systems of most countries. A jury is made up of 12 individuals, selected at random who are said to “lack legal training” (Bornstein &amp; Greene 2011). The jury will be expected to scrutinise evidence in order to appraise its integrity and reliability, with the information obtained the jury will come together with a guilty or not guilty verdict. All defendants have the right to an impartial judiciary </w:t>
      </w:r>
      <w:r w:rsidR="000C2D18" w:rsidRPr="00E86311">
        <w:rPr>
          <w:rFonts w:ascii="Arial" w:eastAsia="Times New Roman" w:hAnsi="Arial" w:cs="Arial"/>
          <w:color w:val="000000"/>
          <w:kern w:val="0"/>
          <w:lang w:eastAsia="en-GB"/>
          <w14:ligatures w14:val="none"/>
        </w:rPr>
        <w:t>trial;</w:t>
      </w:r>
      <w:r w:rsidRPr="00E86311">
        <w:rPr>
          <w:rFonts w:ascii="Arial" w:eastAsia="Times New Roman" w:hAnsi="Arial" w:cs="Arial"/>
          <w:color w:val="000000"/>
          <w:kern w:val="0"/>
          <w:lang w:eastAsia="en-GB"/>
          <w14:ligatures w14:val="none"/>
        </w:rPr>
        <w:t xml:space="preserve"> </w:t>
      </w:r>
      <w:r w:rsidR="005731CE" w:rsidRPr="00E86311">
        <w:rPr>
          <w:rFonts w:ascii="Arial" w:eastAsia="Times New Roman" w:hAnsi="Arial" w:cs="Arial"/>
          <w:color w:val="000000"/>
          <w:kern w:val="0"/>
          <w:lang w:eastAsia="en-GB"/>
          <w14:ligatures w14:val="none"/>
        </w:rPr>
        <w:t>however,</w:t>
      </w:r>
      <w:r w:rsidRPr="00E86311">
        <w:rPr>
          <w:rFonts w:ascii="Arial" w:eastAsia="Times New Roman" w:hAnsi="Arial" w:cs="Arial"/>
          <w:color w:val="000000"/>
          <w:kern w:val="0"/>
          <w:lang w:eastAsia="en-GB"/>
          <w14:ligatures w14:val="none"/>
        </w:rPr>
        <w:t xml:space="preserve"> the jury procedure is said to be hindered by bias (Bornstein &amp; Greene, 2011; </w:t>
      </w:r>
      <w:r w:rsidRPr="00E86311">
        <w:rPr>
          <w:rFonts w:ascii="Arial" w:eastAsia="Times New Roman" w:hAnsi="Arial" w:cs="Arial"/>
          <w:color w:val="000000"/>
          <w:kern w:val="0"/>
          <w:shd w:val="clear" w:color="auto" w:fill="FFFFFF"/>
          <w:lang w:eastAsia="en-GB"/>
          <w14:ligatures w14:val="none"/>
        </w:rPr>
        <w:t>Curley et al., 2022). </w:t>
      </w:r>
    </w:p>
    <w:p w14:paraId="184ABDAF"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065B954E" w14:textId="3F2A8C3F"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According to Jackson and Kovalev (2006) in contrast to other legal traditions, including those found in large parts of continental Europe, the countries which adhere to the English legal system use juries which consist of randomly chosen civilians or lay judges who are appointed by political figures or chosen through local elections. Within the United States of America there is a similar selection process in which potential jurors are sourced by each court from the voter lists of their respective states. In situations where voter lists are insufficient for providing the court and defendants with an adequate representation within the community, the courts will supplement voter lists with data from additional sources, such as the district's license driving list. </w:t>
      </w:r>
      <w:r w:rsidR="0070109E" w:rsidRPr="00E86311">
        <w:rPr>
          <w:rFonts w:ascii="Arial" w:eastAsia="Times New Roman" w:hAnsi="Arial" w:cs="Arial"/>
          <w:color w:val="000000"/>
          <w:kern w:val="0"/>
          <w:lang w:eastAsia="en-GB"/>
          <w14:ligatures w14:val="none"/>
        </w:rPr>
        <w:t>However,</w:t>
      </w:r>
      <w:r w:rsidRPr="00E86311">
        <w:rPr>
          <w:rFonts w:ascii="Arial" w:eastAsia="Times New Roman" w:hAnsi="Arial" w:cs="Arial"/>
          <w:color w:val="000000"/>
          <w:kern w:val="0"/>
          <w:lang w:eastAsia="en-GB"/>
          <w14:ligatures w14:val="none"/>
        </w:rPr>
        <w:t xml:space="preserve"> in the US a qualifying questionnaire is delivered to the randomly chosen parties, who then have ten days to return it and submit it to the court, or they can fill it out online.</w:t>
      </w:r>
    </w:p>
    <w:p w14:paraId="027B83B1"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5777D32C" w14:textId="4256136C" w:rsidR="00E86311" w:rsidRPr="00E86311" w:rsidRDefault="0070109E"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Similarly,</w:t>
      </w:r>
      <w:r w:rsidR="00E86311" w:rsidRPr="00E86311">
        <w:rPr>
          <w:rFonts w:ascii="Arial" w:eastAsia="Times New Roman" w:hAnsi="Arial" w:cs="Arial"/>
          <w:color w:val="000000"/>
          <w:kern w:val="0"/>
          <w:lang w:eastAsia="en-GB"/>
          <w14:ligatures w14:val="none"/>
        </w:rPr>
        <w:t xml:space="preserve"> in both the U</w:t>
      </w:r>
      <w:r w:rsidR="00755250">
        <w:rPr>
          <w:rFonts w:ascii="Arial" w:eastAsia="Times New Roman" w:hAnsi="Arial" w:cs="Arial"/>
          <w:color w:val="000000"/>
          <w:kern w:val="0"/>
          <w:lang w:eastAsia="en-GB"/>
          <w14:ligatures w14:val="none"/>
        </w:rPr>
        <w:t xml:space="preserve">K </w:t>
      </w:r>
      <w:r w:rsidR="00E86311" w:rsidRPr="00E86311">
        <w:rPr>
          <w:rFonts w:ascii="Arial" w:eastAsia="Times New Roman" w:hAnsi="Arial" w:cs="Arial"/>
          <w:color w:val="000000"/>
          <w:kern w:val="0"/>
          <w:lang w:eastAsia="en-GB"/>
          <w14:ligatures w14:val="none"/>
        </w:rPr>
        <w:t>and the U</w:t>
      </w:r>
      <w:r w:rsidR="00755250">
        <w:rPr>
          <w:rFonts w:ascii="Arial" w:eastAsia="Times New Roman" w:hAnsi="Arial" w:cs="Arial"/>
          <w:color w:val="000000"/>
          <w:kern w:val="0"/>
          <w:lang w:eastAsia="en-GB"/>
          <w14:ligatures w14:val="none"/>
        </w:rPr>
        <w:t>SA</w:t>
      </w:r>
      <w:r w:rsidR="00E86311" w:rsidRPr="00E86311">
        <w:rPr>
          <w:rFonts w:ascii="Arial" w:eastAsia="Times New Roman" w:hAnsi="Arial" w:cs="Arial"/>
          <w:color w:val="000000"/>
          <w:kern w:val="0"/>
          <w:lang w:eastAsia="en-GB"/>
          <w14:ligatures w14:val="none"/>
        </w:rPr>
        <w:t xml:space="preserve"> judicial process, if you are summoned for jury duty you must attend, however this does not mean you are definitely on the jury for this case. A significant difference would be that in the US you must be qualified to become a juror and are later questioned by the judge on your suitability for the jury and whether you as a potential juror have any conflicts with the case, this is a process called voir dire (U.S Courts, 2016).</w:t>
      </w:r>
    </w:p>
    <w:p w14:paraId="2AED2FD5"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6850B79F" w14:textId="6C646F58" w:rsidR="00E86311" w:rsidRPr="00852A6D" w:rsidRDefault="00E86311" w:rsidP="00E86311">
      <w:pPr>
        <w:spacing w:after="0" w:line="240" w:lineRule="auto"/>
        <w:rPr>
          <w:rFonts w:ascii="Arial" w:eastAsia="Times New Roman" w:hAnsi="Arial" w:cs="Arial"/>
          <w:color w:val="000000"/>
          <w:kern w:val="0"/>
          <w:lang w:eastAsia="en-GB"/>
          <w14:ligatures w14:val="none"/>
        </w:rPr>
      </w:pPr>
      <w:r w:rsidRPr="00E86311">
        <w:rPr>
          <w:rFonts w:ascii="Arial" w:eastAsia="Times New Roman" w:hAnsi="Arial" w:cs="Arial"/>
          <w:color w:val="000000"/>
          <w:kern w:val="0"/>
          <w:lang w:eastAsia="en-GB"/>
          <w14:ligatures w14:val="none"/>
        </w:rPr>
        <w:t xml:space="preserve">The United States jury system enters a stage called deliberation up to 48 hours after the individual has been charged, deliberation is a term used to describe the procedure of determining the vital question of whether a person is guilty or not guilty. In the midst of this procedure, only the judges and lawyers have access to communication with the jury. The jury is required to write a note to the judge with any legal questions they may have, and the judge will read its contents in front of the courtroom. </w:t>
      </w:r>
      <w:r w:rsidR="00C50643">
        <w:rPr>
          <w:rFonts w:ascii="Arial" w:eastAsia="Times New Roman" w:hAnsi="Arial" w:cs="Arial"/>
          <w:color w:val="000000"/>
          <w:kern w:val="0"/>
          <w:lang w:eastAsia="en-GB"/>
          <w14:ligatures w14:val="none"/>
        </w:rPr>
        <w:t>The jury must come to a unan</w:t>
      </w:r>
      <w:r w:rsidR="0040343A">
        <w:rPr>
          <w:rFonts w:ascii="Arial" w:eastAsia="Times New Roman" w:hAnsi="Arial" w:cs="Arial"/>
          <w:color w:val="000000"/>
          <w:kern w:val="0"/>
          <w:lang w:eastAsia="en-GB"/>
          <w14:ligatures w14:val="none"/>
        </w:rPr>
        <w:t xml:space="preserve">imous verdict </w:t>
      </w:r>
      <w:r w:rsidR="005B4373">
        <w:rPr>
          <w:rFonts w:ascii="Arial" w:eastAsia="Times New Roman" w:hAnsi="Arial" w:cs="Arial"/>
          <w:color w:val="000000"/>
          <w:kern w:val="0"/>
          <w:lang w:eastAsia="en-GB"/>
          <w14:ligatures w14:val="none"/>
        </w:rPr>
        <w:t>in federal criminal proce</w:t>
      </w:r>
      <w:r w:rsidR="00852A6D">
        <w:rPr>
          <w:rFonts w:ascii="Arial" w:eastAsia="Times New Roman" w:hAnsi="Arial" w:cs="Arial"/>
          <w:color w:val="000000"/>
          <w:kern w:val="0"/>
          <w:lang w:eastAsia="en-GB"/>
          <w14:ligatures w14:val="none"/>
        </w:rPr>
        <w:t xml:space="preserve">edings to find the defendant guilty, </w:t>
      </w:r>
      <w:r w:rsidRPr="00E86311">
        <w:rPr>
          <w:rFonts w:ascii="Arial" w:eastAsia="Times New Roman" w:hAnsi="Arial" w:cs="Arial"/>
          <w:color w:val="000000"/>
          <w:kern w:val="0"/>
          <w:lang w:eastAsia="en-GB"/>
          <w14:ligatures w14:val="none"/>
        </w:rPr>
        <w:t>unlike in the United Kingdom where the Criminal Justice Act of 1967 states that the jury might decide by a majority of at least 10 out of twelve votes, all rulings in the United Kingdom were required to be unanimous until 1976 (Zander 2001; U.S Department of Justice, 2014).</w:t>
      </w:r>
    </w:p>
    <w:p w14:paraId="7BA14645"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7511BA67" w14:textId="28DD7CE4"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Once a verdict has been decided upon, the United States law requires the defendant, </w:t>
      </w:r>
      <w:r w:rsidR="00D94F5C" w:rsidRPr="00E86311">
        <w:rPr>
          <w:rFonts w:ascii="Arial" w:eastAsia="Times New Roman" w:hAnsi="Arial" w:cs="Arial"/>
          <w:color w:val="000000"/>
          <w:kern w:val="0"/>
          <w:lang w:eastAsia="en-GB"/>
          <w14:ligatures w14:val="none"/>
        </w:rPr>
        <w:t>lawyers,</w:t>
      </w:r>
      <w:r w:rsidRPr="00E86311">
        <w:rPr>
          <w:rFonts w:ascii="Arial" w:eastAsia="Times New Roman" w:hAnsi="Arial" w:cs="Arial"/>
          <w:color w:val="000000"/>
          <w:kern w:val="0"/>
          <w:lang w:eastAsia="en-GB"/>
          <w14:ligatures w14:val="none"/>
        </w:rPr>
        <w:t xml:space="preserve"> and the judge to all be informed at once, therefore making everyone present and allows the jury's verdict to be read out. In most cases, the defendant is allowed to return home provided they are found not guilty. A US Marshal will be of service in the courtroom during a trial to shield the prosecution and judge from possible danger (U.S Department of Justice, 2014).</w:t>
      </w:r>
    </w:p>
    <w:p w14:paraId="39541ADB" w14:textId="77777777" w:rsidR="00413F63" w:rsidRDefault="00413F63" w:rsidP="00E86311">
      <w:pPr>
        <w:shd w:val="clear" w:color="auto" w:fill="FFFFFF"/>
        <w:spacing w:after="0" w:line="240" w:lineRule="auto"/>
        <w:rPr>
          <w:rFonts w:ascii="Arial" w:eastAsia="Times New Roman" w:hAnsi="Arial" w:cs="Arial"/>
          <w:color w:val="000000"/>
          <w:kern w:val="0"/>
          <w:lang w:eastAsia="en-GB"/>
          <w14:ligatures w14:val="none"/>
        </w:rPr>
      </w:pPr>
    </w:p>
    <w:p w14:paraId="4428ECA4" w14:textId="66809C96" w:rsidR="00E86311" w:rsidRDefault="00E86311" w:rsidP="00E86311">
      <w:pPr>
        <w:shd w:val="clear" w:color="auto" w:fill="FFFFFF"/>
        <w:spacing w:after="0" w:line="240" w:lineRule="auto"/>
        <w:rPr>
          <w:rFonts w:ascii="Arial" w:eastAsia="Times New Roman" w:hAnsi="Arial" w:cs="Arial"/>
          <w:color w:val="000000"/>
          <w:kern w:val="0"/>
          <w:lang w:eastAsia="en-GB"/>
          <w14:ligatures w14:val="none"/>
        </w:rPr>
      </w:pPr>
      <w:r w:rsidRPr="00E86311">
        <w:rPr>
          <w:rFonts w:ascii="Arial" w:eastAsia="Times New Roman" w:hAnsi="Arial" w:cs="Arial"/>
          <w:color w:val="000000"/>
          <w:kern w:val="0"/>
          <w:lang w:eastAsia="en-GB"/>
          <w14:ligatures w14:val="none"/>
        </w:rPr>
        <w:t xml:space="preserve">In contrast to the United States, the United Kingdom’s jury will </w:t>
      </w:r>
      <w:r w:rsidR="002757E8">
        <w:rPr>
          <w:rFonts w:ascii="Arial" w:eastAsia="Times New Roman" w:hAnsi="Arial" w:cs="Arial"/>
          <w:color w:val="000000"/>
          <w:kern w:val="0"/>
          <w:lang w:eastAsia="en-GB"/>
          <w14:ligatures w14:val="none"/>
        </w:rPr>
        <w:t xml:space="preserve">often </w:t>
      </w:r>
      <w:r w:rsidRPr="00E86311">
        <w:rPr>
          <w:rFonts w:ascii="Arial" w:eastAsia="Times New Roman" w:hAnsi="Arial" w:cs="Arial"/>
          <w:color w:val="000000"/>
          <w:kern w:val="0"/>
          <w:lang w:eastAsia="en-GB"/>
          <w14:ligatures w14:val="none"/>
        </w:rPr>
        <w:t xml:space="preserve">have </w:t>
      </w:r>
      <w:r w:rsidR="004C1DA0">
        <w:rPr>
          <w:rFonts w:ascii="Arial" w:eastAsia="Times New Roman" w:hAnsi="Arial" w:cs="Arial"/>
          <w:color w:val="000000"/>
          <w:kern w:val="0"/>
          <w:lang w:eastAsia="en-GB"/>
          <w14:ligatures w14:val="none"/>
        </w:rPr>
        <w:t>files</w:t>
      </w:r>
      <w:r w:rsidRPr="00E86311">
        <w:rPr>
          <w:rFonts w:ascii="Arial" w:eastAsia="Times New Roman" w:hAnsi="Arial" w:cs="Arial"/>
          <w:color w:val="000000"/>
          <w:kern w:val="0"/>
          <w:lang w:eastAsia="en-GB"/>
          <w14:ligatures w14:val="none"/>
        </w:rPr>
        <w:t xml:space="preserve"> or physical evidence </w:t>
      </w:r>
      <w:r w:rsidR="004C1DA0">
        <w:rPr>
          <w:rFonts w:ascii="Arial" w:eastAsia="Times New Roman" w:hAnsi="Arial" w:cs="Arial"/>
          <w:color w:val="000000"/>
          <w:kern w:val="0"/>
          <w:lang w:eastAsia="en-GB"/>
          <w14:ligatures w14:val="none"/>
        </w:rPr>
        <w:t>named</w:t>
      </w:r>
      <w:r w:rsidRPr="00E86311">
        <w:rPr>
          <w:rFonts w:ascii="Arial" w:eastAsia="Times New Roman" w:hAnsi="Arial" w:cs="Arial"/>
          <w:color w:val="000000"/>
          <w:kern w:val="0"/>
          <w:lang w:eastAsia="en-GB"/>
          <w14:ligatures w14:val="none"/>
        </w:rPr>
        <w:t xml:space="preserve"> `</w:t>
      </w:r>
      <w:r w:rsidR="000C2D18" w:rsidRPr="00E86311">
        <w:rPr>
          <w:rFonts w:ascii="Arial" w:eastAsia="Times New Roman" w:hAnsi="Arial" w:cs="Arial"/>
          <w:color w:val="000000"/>
          <w:kern w:val="0"/>
          <w:lang w:eastAsia="en-GB"/>
          <w14:ligatures w14:val="none"/>
        </w:rPr>
        <w:t>exhibits</w:t>
      </w:r>
      <w:r w:rsidRPr="00E86311">
        <w:rPr>
          <w:rFonts w:ascii="Arial" w:eastAsia="Times New Roman" w:hAnsi="Arial" w:cs="Arial"/>
          <w:color w:val="000000"/>
          <w:kern w:val="0"/>
          <w:lang w:eastAsia="en-GB"/>
          <w14:ligatures w14:val="none"/>
        </w:rPr>
        <w:t xml:space="preserve"> within the </w:t>
      </w:r>
      <w:r w:rsidR="00F5274F">
        <w:rPr>
          <w:rFonts w:ascii="Arial" w:eastAsia="Times New Roman" w:hAnsi="Arial" w:cs="Arial"/>
          <w:color w:val="000000"/>
          <w:kern w:val="0"/>
          <w:lang w:eastAsia="en-GB"/>
          <w14:ligatures w14:val="none"/>
        </w:rPr>
        <w:t>deliberation</w:t>
      </w:r>
      <w:r w:rsidRPr="00E86311">
        <w:rPr>
          <w:rFonts w:ascii="Arial" w:eastAsia="Times New Roman" w:hAnsi="Arial" w:cs="Arial"/>
          <w:color w:val="000000"/>
          <w:kern w:val="0"/>
          <w:lang w:eastAsia="en-GB"/>
          <w14:ligatures w14:val="none"/>
        </w:rPr>
        <w:t xml:space="preserve"> room. </w:t>
      </w:r>
      <w:r w:rsidR="003113C5">
        <w:rPr>
          <w:rFonts w:ascii="Arial" w:eastAsia="Times New Roman" w:hAnsi="Arial" w:cs="Arial"/>
          <w:color w:val="000000"/>
          <w:kern w:val="0"/>
          <w:lang w:eastAsia="en-GB"/>
          <w14:ligatures w14:val="none"/>
        </w:rPr>
        <w:t xml:space="preserve">The counsel alongside the judge will </w:t>
      </w:r>
      <w:r w:rsidR="008D6F8C">
        <w:rPr>
          <w:rFonts w:ascii="Arial" w:eastAsia="Times New Roman" w:hAnsi="Arial" w:cs="Arial"/>
          <w:color w:val="000000"/>
          <w:kern w:val="0"/>
          <w:lang w:eastAsia="en-GB"/>
          <w14:ligatures w14:val="none"/>
        </w:rPr>
        <w:t xml:space="preserve">rule what </w:t>
      </w:r>
      <w:r w:rsidR="00031109">
        <w:rPr>
          <w:rFonts w:ascii="Arial" w:eastAsia="Times New Roman" w:hAnsi="Arial" w:cs="Arial"/>
          <w:color w:val="000000"/>
          <w:kern w:val="0"/>
          <w:lang w:eastAsia="en-GB"/>
          <w14:ligatures w14:val="none"/>
        </w:rPr>
        <w:t>exhibits</w:t>
      </w:r>
      <w:r w:rsidR="008D6F8C">
        <w:rPr>
          <w:rFonts w:ascii="Arial" w:eastAsia="Times New Roman" w:hAnsi="Arial" w:cs="Arial"/>
          <w:color w:val="000000"/>
          <w:kern w:val="0"/>
          <w:lang w:eastAsia="en-GB"/>
          <w14:ligatures w14:val="none"/>
        </w:rPr>
        <w:t xml:space="preserve"> are </w:t>
      </w:r>
      <w:r w:rsidR="00031109">
        <w:rPr>
          <w:rFonts w:ascii="Arial" w:eastAsia="Times New Roman" w:hAnsi="Arial" w:cs="Arial"/>
          <w:color w:val="000000"/>
          <w:kern w:val="0"/>
          <w:lang w:eastAsia="en-GB"/>
          <w14:ligatures w14:val="none"/>
        </w:rPr>
        <w:t>permitted</w:t>
      </w:r>
      <w:r w:rsidR="008D6F8C">
        <w:rPr>
          <w:rFonts w:ascii="Arial" w:eastAsia="Times New Roman" w:hAnsi="Arial" w:cs="Arial"/>
          <w:color w:val="000000"/>
          <w:kern w:val="0"/>
          <w:lang w:eastAsia="en-GB"/>
          <w14:ligatures w14:val="none"/>
        </w:rPr>
        <w:t xml:space="preserve"> in the deliberation room</w:t>
      </w:r>
      <w:r w:rsidR="00031109">
        <w:rPr>
          <w:rFonts w:ascii="Arial" w:eastAsia="Times New Roman" w:hAnsi="Arial" w:cs="Arial"/>
          <w:color w:val="000000"/>
          <w:kern w:val="0"/>
          <w:lang w:eastAsia="en-GB"/>
          <w14:ligatures w14:val="none"/>
        </w:rPr>
        <w:t xml:space="preserve">. </w:t>
      </w:r>
      <w:r w:rsidR="005B0917">
        <w:rPr>
          <w:rFonts w:ascii="Arial" w:eastAsia="Times New Roman" w:hAnsi="Arial" w:cs="Arial"/>
          <w:color w:val="000000"/>
          <w:kern w:val="0"/>
          <w:lang w:eastAsia="en-GB"/>
          <w14:ligatures w14:val="none"/>
        </w:rPr>
        <w:t>Despite t</w:t>
      </w:r>
      <w:r w:rsidR="00DB12DF">
        <w:rPr>
          <w:rFonts w:ascii="Arial" w:eastAsia="Times New Roman" w:hAnsi="Arial" w:cs="Arial"/>
          <w:color w:val="000000"/>
          <w:kern w:val="0"/>
          <w:lang w:eastAsia="en-GB"/>
          <w14:ligatures w14:val="none"/>
        </w:rPr>
        <w:t xml:space="preserve">his, </w:t>
      </w:r>
      <w:r w:rsidRPr="00E86311">
        <w:rPr>
          <w:rFonts w:ascii="Arial" w:eastAsia="Times New Roman" w:hAnsi="Arial" w:cs="Arial"/>
          <w:color w:val="000000"/>
          <w:kern w:val="0"/>
          <w:lang w:eastAsia="en-GB"/>
          <w14:ligatures w14:val="none"/>
        </w:rPr>
        <w:t xml:space="preserve">the jury are </w:t>
      </w:r>
      <w:r w:rsidR="00DB12DF">
        <w:rPr>
          <w:rFonts w:ascii="Arial" w:eastAsia="Times New Roman" w:hAnsi="Arial" w:cs="Arial"/>
          <w:color w:val="000000"/>
          <w:kern w:val="0"/>
          <w:lang w:eastAsia="en-GB"/>
          <w14:ligatures w14:val="none"/>
        </w:rPr>
        <w:t xml:space="preserve">authorised </w:t>
      </w:r>
      <w:r w:rsidRPr="00E86311">
        <w:rPr>
          <w:rFonts w:ascii="Arial" w:eastAsia="Times New Roman" w:hAnsi="Arial" w:cs="Arial"/>
          <w:color w:val="000000"/>
          <w:kern w:val="0"/>
          <w:lang w:eastAsia="en-GB"/>
          <w14:ligatures w14:val="none"/>
        </w:rPr>
        <w:t xml:space="preserve">to have any of the exhibits presented and are entitled to </w:t>
      </w:r>
      <w:r w:rsidR="00065545">
        <w:rPr>
          <w:rFonts w:ascii="Arial" w:eastAsia="Times New Roman" w:hAnsi="Arial" w:cs="Arial"/>
          <w:color w:val="000000"/>
          <w:kern w:val="0"/>
          <w:lang w:eastAsia="en-GB"/>
          <w14:ligatures w14:val="none"/>
        </w:rPr>
        <w:t xml:space="preserve">request access </w:t>
      </w:r>
      <w:r w:rsidR="009360D2">
        <w:rPr>
          <w:rFonts w:ascii="Arial" w:eastAsia="Times New Roman" w:hAnsi="Arial" w:cs="Arial"/>
          <w:color w:val="000000"/>
          <w:kern w:val="0"/>
          <w:lang w:eastAsia="en-GB"/>
          <w14:ligatures w14:val="none"/>
        </w:rPr>
        <w:t>to the other exhibits</w:t>
      </w:r>
      <w:r w:rsidRPr="00E86311">
        <w:rPr>
          <w:rFonts w:ascii="Arial" w:eastAsia="Times New Roman" w:hAnsi="Arial" w:cs="Arial"/>
          <w:color w:val="000000"/>
          <w:kern w:val="0"/>
          <w:lang w:eastAsia="en-GB"/>
          <w14:ligatures w14:val="none"/>
        </w:rPr>
        <w:t xml:space="preserve">. The jury </w:t>
      </w:r>
      <w:r w:rsidR="009360D2">
        <w:rPr>
          <w:rFonts w:ascii="Arial" w:eastAsia="Times New Roman" w:hAnsi="Arial" w:cs="Arial"/>
          <w:color w:val="000000"/>
          <w:kern w:val="0"/>
          <w:lang w:eastAsia="en-GB"/>
          <w14:ligatures w14:val="none"/>
        </w:rPr>
        <w:t xml:space="preserve">are not permitted to have </w:t>
      </w:r>
      <w:r w:rsidRPr="00E86311">
        <w:rPr>
          <w:rFonts w:ascii="Arial" w:eastAsia="Times New Roman" w:hAnsi="Arial" w:cs="Arial"/>
          <w:color w:val="000000"/>
          <w:kern w:val="0"/>
          <w:lang w:eastAsia="en-GB"/>
          <w14:ligatures w14:val="none"/>
        </w:rPr>
        <w:t xml:space="preserve">the witness statements </w:t>
      </w:r>
      <w:r w:rsidR="009360D2">
        <w:rPr>
          <w:rFonts w:ascii="Arial" w:eastAsia="Times New Roman" w:hAnsi="Arial" w:cs="Arial"/>
          <w:color w:val="000000"/>
          <w:kern w:val="0"/>
          <w:lang w:eastAsia="en-GB"/>
          <w14:ligatures w14:val="none"/>
        </w:rPr>
        <w:t xml:space="preserve">on hand </w:t>
      </w:r>
      <w:r w:rsidRPr="00E86311">
        <w:rPr>
          <w:rFonts w:ascii="Arial" w:eastAsia="Times New Roman" w:hAnsi="Arial" w:cs="Arial"/>
          <w:color w:val="000000"/>
          <w:kern w:val="0"/>
          <w:lang w:eastAsia="en-GB"/>
          <w14:ligatures w14:val="none"/>
        </w:rPr>
        <w:t xml:space="preserve">unless in the </w:t>
      </w:r>
      <w:r w:rsidR="00D65B7B">
        <w:rPr>
          <w:rFonts w:ascii="Arial" w:eastAsia="Times New Roman" w:hAnsi="Arial" w:cs="Arial"/>
          <w:color w:val="000000"/>
          <w:kern w:val="0"/>
          <w:lang w:eastAsia="en-GB"/>
          <w14:ligatures w14:val="none"/>
        </w:rPr>
        <w:t>uncommon event</w:t>
      </w:r>
      <w:r w:rsidRPr="00E86311">
        <w:rPr>
          <w:rFonts w:ascii="Arial" w:eastAsia="Times New Roman" w:hAnsi="Arial" w:cs="Arial"/>
          <w:color w:val="000000"/>
          <w:kern w:val="0"/>
          <w:lang w:eastAsia="en-GB"/>
          <w14:ligatures w14:val="none"/>
        </w:rPr>
        <w:t xml:space="preserve"> that the witness statements become a part of the exhibits and should they </w:t>
      </w:r>
      <w:r w:rsidR="00DD4C42">
        <w:rPr>
          <w:rFonts w:ascii="Arial" w:eastAsia="Times New Roman" w:hAnsi="Arial" w:cs="Arial"/>
          <w:color w:val="000000"/>
          <w:kern w:val="0"/>
          <w:lang w:eastAsia="en-GB"/>
          <w14:ligatures w14:val="none"/>
        </w:rPr>
        <w:t xml:space="preserve">jury </w:t>
      </w:r>
      <w:r w:rsidRPr="00E86311">
        <w:rPr>
          <w:rFonts w:ascii="Arial" w:eastAsia="Times New Roman" w:hAnsi="Arial" w:cs="Arial"/>
          <w:color w:val="000000"/>
          <w:kern w:val="0"/>
          <w:lang w:eastAsia="en-GB"/>
          <w14:ligatures w14:val="none"/>
        </w:rPr>
        <w:t xml:space="preserve">ask </w:t>
      </w:r>
      <w:r w:rsidR="00BD5B9B">
        <w:rPr>
          <w:rFonts w:ascii="Arial" w:eastAsia="Times New Roman" w:hAnsi="Arial" w:cs="Arial"/>
          <w:color w:val="000000"/>
          <w:kern w:val="0"/>
          <w:lang w:eastAsia="en-GB"/>
          <w14:ligatures w14:val="none"/>
        </w:rPr>
        <w:t xml:space="preserve">of </w:t>
      </w:r>
      <w:r w:rsidR="00BD5B9B">
        <w:rPr>
          <w:rFonts w:ascii="Arial" w:eastAsia="Times New Roman" w:hAnsi="Arial" w:cs="Arial"/>
          <w:color w:val="000000"/>
          <w:kern w:val="0"/>
          <w:lang w:eastAsia="en-GB"/>
          <w14:ligatures w14:val="none"/>
        </w:rPr>
        <w:lastRenderedPageBreak/>
        <w:t>the witness statements</w:t>
      </w:r>
      <w:r w:rsidRPr="00E86311">
        <w:rPr>
          <w:rFonts w:ascii="Arial" w:eastAsia="Times New Roman" w:hAnsi="Arial" w:cs="Arial"/>
          <w:color w:val="000000"/>
          <w:kern w:val="0"/>
          <w:lang w:eastAsia="en-GB"/>
          <w14:ligatures w14:val="none"/>
        </w:rPr>
        <w:t xml:space="preserve">, the </w:t>
      </w:r>
      <w:r w:rsidR="00BD5B9B">
        <w:rPr>
          <w:rFonts w:ascii="Arial" w:eastAsia="Times New Roman" w:hAnsi="Arial" w:cs="Arial"/>
          <w:color w:val="000000"/>
          <w:kern w:val="0"/>
          <w:lang w:eastAsia="en-GB"/>
          <w14:ligatures w14:val="none"/>
        </w:rPr>
        <w:t xml:space="preserve">appeal </w:t>
      </w:r>
      <w:r w:rsidRPr="00E86311">
        <w:rPr>
          <w:rFonts w:ascii="Arial" w:eastAsia="Times New Roman" w:hAnsi="Arial" w:cs="Arial"/>
          <w:color w:val="000000"/>
          <w:kern w:val="0"/>
          <w:lang w:eastAsia="en-GB"/>
          <w14:ligatures w14:val="none"/>
        </w:rPr>
        <w:t>would be de</w:t>
      </w:r>
      <w:r w:rsidR="00BD5B9B">
        <w:rPr>
          <w:rFonts w:ascii="Arial" w:eastAsia="Times New Roman" w:hAnsi="Arial" w:cs="Arial"/>
          <w:color w:val="000000"/>
          <w:kern w:val="0"/>
          <w:lang w:eastAsia="en-GB"/>
          <w14:ligatures w14:val="none"/>
        </w:rPr>
        <w:t>clined</w:t>
      </w:r>
      <w:r w:rsidRPr="00E86311">
        <w:rPr>
          <w:rFonts w:ascii="Arial" w:eastAsia="Times New Roman" w:hAnsi="Arial" w:cs="Arial"/>
          <w:color w:val="000000"/>
          <w:kern w:val="0"/>
          <w:lang w:eastAsia="en-GB"/>
          <w14:ligatures w14:val="none"/>
        </w:rPr>
        <w:t xml:space="preserve"> to attempt to eliminate conflict. The jury </w:t>
      </w:r>
      <w:r w:rsidR="00657B17">
        <w:rPr>
          <w:rFonts w:ascii="Arial" w:eastAsia="Times New Roman" w:hAnsi="Arial" w:cs="Arial"/>
          <w:color w:val="000000"/>
          <w:kern w:val="0"/>
          <w:lang w:eastAsia="en-GB"/>
          <w14:ligatures w14:val="none"/>
        </w:rPr>
        <w:t xml:space="preserve">do not have permission </w:t>
      </w:r>
      <w:r w:rsidRPr="00E86311">
        <w:rPr>
          <w:rFonts w:ascii="Arial" w:eastAsia="Times New Roman" w:hAnsi="Arial" w:cs="Arial"/>
          <w:color w:val="000000"/>
          <w:kern w:val="0"/>
          <w:lang w:eastAsia="en-GB"/>
          <w14:ligatures w14:val="none"/>
        </w:rPr>
        <w:t xml:space="preserve">to take audio </w:t>
      </w:r>
      <w:r w:rsidR="00657B17">
        <w:rPr>
          <w:rFonts w:ascii="Arial" w:eastAsia="Times New Roman" w:hAnsi="Arial" w:cs="Arial"/>
          <w:color w:val="000000"/>
          <w:kern w:val="0"/>
          <w:lang w:eastAsia="en-GB"/>
          <w14:ligatures w14:val="none"/>
        </w:rPr>
        <w:t xml:space="preserve">recordings </w:t>
      </w:r>
      <w:r w:rsidRPr="00E86311">
        <w:rPr>
          <w:rFonts w:ascii="Arial" w:eastAsia="Times New Roman" w:hAnsi="Arial" w:cs="Arial"/>
          <w:color w:val="000000"/>
          <w:kern w:val="0"/>
          <w:lang w:eastAsia="en-GB"/>
          <w14:ligatures w14:val="none"/>
        </w:rPr>
        <w:t xml:space="preserve">or </w:t>
      </w:r>
      <w:r w:rsidRPr="0070109E">
        <w:rPr>
          <w:rFonts w:ascii="Arial" w:eastAsia="Times New Roman" w:hAnsi="Arial" w:cs="Arial"/>
          <w:color w:val="000000"/>
          <w:kern w:val="0"/>
          <w:lang w:eastAsia="en-GB"/>
          <w14:ligatures w14:val="none"/>
        </w:rPr>
        <w:t>video</w:t>
      </w:r>
      <w:r w:rsidR="00657B17" w:rsidRPr="0070109E">
        <w:rPr>
          <w:rFonts w:ascii="Arial" w:eastAsia="Times New Roman" w:hAnsi="Arial" w:cs="Arial"/>
          <w:color w:val="000000"/>
          <w:kern w:val="0"/>
          <w:lang w:eastAsia="en-GB"/>
          <w14:ligatures w14:val="none"/>
        </w:rPr>
        <w:t>s</w:t>
      </w:r>
      <w:r w:rsidRPr="0070109E">
        <w:rPr>
          <w:rFonts w:ascii="Arial" w:eastAsia="Times New Roman" w:hAnsi="Arial" w:cs="Arial"/>
          <w:color w:val="000000"/>
          <w:kern w:val="0"/>
          <w:lang w:eastAsia="en-GB"/>
          <w14:ligatures w14:val="none"/>
        </w:rPr>
        <w:t xml:space="preserve"> into the </w:t>
      </w:r>
      <w:r w:rsidR="003D4E9C" w:rsidRPr="0070109E">
        <w:rPr>
          <w:rFonts w:ascii="Arial" w:eastAsia="Times New Roman" w:hAnsi="Arial" w:cs="Arial"/>
          <w:color w:val="000000"/>
          <w:kern w:val="0"/>
          <w:lang w:eastAsia="en-GB"/>
          <w14:ligatures w14:val="none"/>
        </w:rPr>
        <w:t>deliberation</w:t>
      </w:r>
      <w:r w:rsidRPr="0070109E">
        <w:rPr>
          <w:rFonts w:ascii="Arial" w:eastAsia="Times New Roman" w:hAnsi="Arial" w:cs="Arial"/>
          <w:color w:val="000000"/>
          <w:kern w:val="0"/>
          <w:lang w:eastAsia="en-GB"/>
          <w14:ligatures w14:val="none"/>
        </w:rPr>
        <w:t xml:space="preserve"> room</w:t>
      </w:r>
      <w:r w:rsidRPr="00E86311">
        <w:rPr>
          <w:rFonts w:ascii="Arial" w:eastAsia="Times New Roman" w:hAnsi="Arial" w:cs="Arial"/>
          <w:color w:val="000000"/>
          <w:kern w:val="0"/>
          <w:lang w:eastAsia="en-GB"/>
          <w14:ligatures w14:val="none"/>
        </w:rPr>
        <w:t xml:space="preserve"> (Zander 2001).</w:t>
      </w:r>
    </w:p>
    <w:p w14:paraId="410DB236" w14:textId="77777777" w:rsidR="00413F63" w:rsidRPr="00E86311" w:rsidRDefault="00413F63" w:rsidP="00E86311">
      <w:pPr>
        <w:shd w:val="clear" w:color="auto" w:fill="FFFFFF"/>
        <w:spacing w:after="0" w:line="240" w:lineRule="auto"/>
        <w:rPr>
          <w:rFonts w:ascii="Times New Roman" w:eastAsia="Times New Roman" w:hAnsi="Times New Roman" w:cs="Times New Roman"/>
          <w:kern w:val="0"/>
          <w:sz w:val="24"/>
          <w:szCs w:val="24"/>
          <w:lang w:eastAsia="en-GB"/>
          <w14:ligatures w14:val="none"/>
        </w:rPr>
      </w:pPr>
    </w:p>
    <w:p w14:paraId="710B26B8" w14:textId="77777777" w:rsidR="00E86311" w:rsidRPr="00E86311" w:rsidRDefault="00E86311" w:rsidP="00E86311">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For each charge, the jury must select whether they find the defendant guilty or not guilty. They are not encouraged to provide an explanation for their choice, therefore in most cases they choose not to. Regardless of a judge's own opinion about the jury's decision or whether or not they believe it to be an irrational decision, the judge must accept and record the jury's verdict; this approach has both advantages and disadvantages within the jury system (Zander 2001).</w:t>
      </w:r>
    </w:p>
    <w:p w14:paraId="53D94433"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511A2CF9" w14:textId="03295E1C"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shd w:val="clear" w:color="auto" w:fill="FFFFFF"/>
          <w:lang w:eastAsia="en-GB"/>
          <w14:ligatures w14:val="none"/>
        </w:rPr>
        <w:t xml:space="preserve">Bias can best be described as “any tendency which prevents unprejudiced consideration of a </w:t>
      </w:r>
      <w:r w:rsidR="002E5A4F" w:rsidRPr="00E86311">
        <w:rPr>
          <w:rFonts w:ascii="Arial" w:eastAsia="Times New Roman" w:hAnsi="Arial" w:cs="Arial"/>
          <w:color w:val="000000"/>
          <w:kern w:val="0"/>
          <w:shd w:val="clear" w:color="auto" w:fill="FFFFFF"/>
          <w:lang w:eastAsia="en-GB"/>
          <w14:ligatures w14:val="none"/>
        </w:rPr>
        <w:t>question” (</w:t>
      </w:r>
      <w:r w:rsidRPr="00E86311">
        <w:rPr>
          <w:rFonts w:ascii="Arial" w:eastAsia="Times New Roman" w:hAnsi="Arial" w:cs="Arial"/>
          <w:color w:val="000000"/>
          <w:kern w:val="0"/>
          <w:shd w:val="clear" w:color="auto" w:fill="FFFFFF"/>
          <w:lang w:eastAsia="en-GB"/>
          <w14:ligatures w14:val="none"/>
        </w:rPr>
        <w:t>Pannucci &amp; Wilkins, 2011).</w:t>
      </w:r>
      <w:r w:rsidRPr="00E86311">
        <w:rPr>
          <w:rFonts w:ascii="Arial" w:eastAsia="Times New Roman" w:hAnsi="Arial" w:cs="Arial"/>
          <w:color w:val="000000"/>
          <w:kern w:val="0"/>
          <w:lang w:eastAsia="en-GB"/>
          <w14:ligatures w14:val="none"/>
        </w:rPr>
        <w:t xml:space="preserve"> Biases are within us all, we all have our own biases for example on our upbringing, however, some individuals have formed strong biases surrounding peoples race or sexuality or even appearance.</w:t>
      </w:r>
    </w:p>
    <w:p w14:paraId="743C1B21"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40E9B68D" w14:textId="4ED3751E"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The disproportionate results of a bias can be explained by the explicit and implicit racial prejudices of legal actors (Cohn et al., 2009). In particular, juries frequently create prejudiced decisions and impose harsher sentences on defendants who belong to a different racial group (T. L. Mitchell et al., 2005; Sweeney &amp; Haney, 1992). According to Dovidio et al. (1997), a correlation between the general public's perception of Black individuals and their perceived accountability exists, as well as recommendations for the death sentence. According to Baldus et al. (1983, 2002), there is also a racial interaction between the victim and the perpetrator that results in significantly l</w:t>
      </w:r>
      <w:r w:rsidR="000263AA">
        <w:rPr>
          <w:rFonts w:ascii="Arial" w:eastAsia="Times New Roman" w:hAnsi="Arial" w:cs="Arial"/>
          <w:color w:val="000000"/>
          <w:kern w:val="0"/>
          <w:lang w:eastAsia="en-GB"/>
          <w14:ligatures w14:val="none"/>
        </w:rPr>
        <w:t>onge</w:t>
      </w:r>
      <w:r w:rsidRPr="00E86311">
        <w:rPr>
          <w:rFonts w:ascii="Arial" w:eastAsia="Times New Roman" w:hAnsi="Arial" w:cs="Arial"/>
          <w:color w:val="000000"/>
          <w:kern w:val="0"/>
          <w:lang w:eastAsia="en-GB"/>
          <w14:ligatures w14:val="none"/>
        </w:rPr>
        <w:t>r sentences for Black defendants when the victim is White. </w:t>
      </w:r>
    </w:p>
    <w:p w14:paraId="610D18E9"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4E818CBE"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While certain verdicts and sentence choices can be explained by explicit racial prejudices, unequal outcomes can also be explained by implicit viewpoints. There is a prevalent implicit stereotype that associates being Black with guilt (Levinson et al., 2010). According to Kang et al. (2011), juries' evaluation of the evidence and their conviction that the defendant was guilty can be influenced by minimal modification of the defendant's skin tone. Studies from various researchers</w:t>
      </w:r>
      <w:r w:rsidRPr="00E86311">
        <w:rPr>
          <w:rFonts w:ascii="Arial" w:eastAsia="Times New Roman" w:hAnsi="Arial" w:cs="Arial"/>
          <w:color w:val="000000"/>
          <w:kern w:val="0"/>
          <w:shd w:val="clear" w:color="auto" w:fill="FFFFFF"/>
          <w:lang w:eastAsia="en-GB"/>
          <w14:ligatures w14:val="none"/>
        </w:rPr>
        <w:t xml:space="preserve"> have shown that jury deliberations lessen the bias of White jurors, other research by (Bernard, 1979; Dovidio et al., 1997) has found no impact. Comparably, other studies have shown that jury prejudice in verdict judgments is decreased when judges provide guidelines that contain a warning not to depend on bias (Pfeifer &amp; Ogloff, 1991). Though juries typically have a limited knowledge of judges' guidelines, this strategy might not be totally efficient given that decreasing prejudice requires an awareness of the content and material of the guidelines (Hill &amp; Pfeifer, 1992).</w:t>
      </w:r>
    </w:p>
    <w:p w14:paraId="5B0136A7"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589A9882"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Once the nature of the offence was taken into account, Mustard (2001) discovered that judges who strayed from federal guidelines tended to sentence Black and Hispanic defendants to lengthier terms than White defendants. When defendants were primed with Black jurors with implicit biases in favour of Black people, they were treated less harshly (Kang et al., 2011).</w:t>
      </w:r>
    </w:p>
    <w:p w14:paraId="3DD98606"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5CF76301"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Studies investigating how the defendant's race affects specific juror decisions have yielded contradictory outcomes that are challenging to integrate, primarily attributed to the fact that the said studies are generalised and typically not based on any particular theory (Bodenhausen &amp; Lichtenstein, 1987; Wittenbrink, Gist, &amp; Hilton, 1997). </w:t>
      </w:r>
    </w:p>
    <w:p w14:paraId="199DFA80"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5C9FD1DF" w14:textId="73DCBF98"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Sommers and Ellsworth proposed that race-relevant prosecution evidence reveals numerous White jurors' feel uneasy with regard to steering clear of prejudice or demonstrating signs of prejudice (Gaertner &amp; Dovidio, 1986; Kinder &amp; Sears, 1981). Nonetheless, White juries frequently are more critical of a Black defendant </w:t>
      </w:r>
      <w:r w:rsidR="009C5798">
        <w:rPr>
          <w:rFonts w:ascii="Arial" w:eastAsia="Times New Roman" w:hAnsi="Arial" w:cs="Arial"/>
          <w:color w:val="000000"/>
          <w:kern w:val="0"/>
          <w:lang w:eastAsia="en-GB"/>
          <w14:ligatures w14:val="none"/>
        </w:rPr>
        <w:t xml:space="preserve">in </w:t>
      </w:r>
      <w:r w:rsidRPr="00E86311">
        <w:rPr>
          <w:rFonts w:ascii="Arial" w:eastAsia="Times New Roman" w:hAnsi="Arial" w:cs="Arial"/>
          <w:color w:val="000000"/>
          <w:kern w:val="0"/>
          <w:lang w:eastAsia="en-GB"/>
          <w14:ligatures w14:val="none"/>
        </w:rPr>
        <w:t>compa</w:t>
      </w:r>
      <w:r w:rsidR="009C5798">
        <w:rPr>
          <w:rFonts w:ascii="Arial" w:eastAsia="Times New Roman" w:hAnsi="Arial" w:cs="Arial"/>
          <w:color w:val="000000"/>
          <w:kern w:val="0"/>
          <w:lang w:eastAsia="en-GB"/>
          <w14:ligatures w14:val="none"/>
        </w:rPr>
        <w:t>rison</w:t>
      </w:r>
      <w:r w:rsidRPr="00E86311">
        <w:rPr>
          <w:rFonts w:ascii="Arial" w:eastAsia="Times New Roman" w:hAnsi="Arial" w:cs="Arial"/>
          <w:color w:val="000000"/>
          <w:kern w:val="0"/>
          <w:lang w:eastAsia="en-GB"/>
          <w14:ligatures w14:val="none"/>
        </w:rPr>
        <w:t xml:space="preserve"> to a White defendant despite </w:t>
      </w:r>
      <w:r w:rsidRPr="00E86311">
        <w:rPr>
          <w:rFonts w:ascii="Arial" w:eastAsia="Times New Roman" w:hAnsi="Arial" w:cs="Arial"/>
          <w:color w:val="000000"/>
          <w:kern w:val="0"/>
          <w:lang w:eastAsia="en-GB"/>
          <w14:ligatures w14:val="none"/>
        </w:rPr>
        <w:lastRenderedPageBreak/>
        <w:t>the absence of racially charged trial material, although the jury is allegedly not as concerned about racism (Sommers &amp; Ellsworth, 2000, 2001). </w:t>
      </w:r>
    </w:p>
    <w:p w14:paraId="7A433BE3"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005D788B"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This theory has received some indirect support from other investigations. Fein et al. (1997) reported that a racially discriminatory article regarding a Black defendant caused White mock jury members to return tougher judgements in a retrial; however, the newspaper's bias influence vanished once it became apparent that the representation had been driven by race. Pfeifer and Ogloff (1991) discovered that comparable results were obtained when judges were instructed to provide a decision "free from sympathy or prejudice," which eliminated White jurors' propensity to treat Black defendants harsher compared to White defendants (Sweeney &amp; Haney, 1992; Johnson, Whitestone, Jackson, &amp; Gatto, 1995).</w:t>
      </w:r>
    </w:p>
    <w:p w14:paraId="1CE61064"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410F8008" w14:textId="7BE91FA4"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In order for a defendant to get a fair trial, the court must be able to prevent external variables from swaying the verdict. Examined to differing degrees are two </w:t>
      </w:r>
      <w:r w:rsidR="00413F63" w:rsidRPr="00E86311">
        <w:rPr>
          <w:rFonts w:ascii="Arial" w:eastAsia="Times New Roman" w:hAnsi="Arial" w:cs="Arial"/>
          <w:color w:val="000000"/>
          <w:kern w:val="0"/>
          <w:lang w:eastAsia="en-GB"/>
          <w14:ligatures w14:val="none"/>
        </w:rPr>
        <w:t>extra-legal</w:t>
      </w:r>
      <w:r w:rsidRPr="00E86311">
        <w:rPr>
          <w:rFonts w:ascii="Arial" w:eastAsia="Times New Roman" w:hAnsi="Arial" w:cs="Arial"/>
          <w:color w:val="000000"/>
          <w:kern w:val="0"/>
          <w:lang w:eastAsia="en-GB"/>
          <w14:ligatures w14:val="none"/>
        </w:rPr>
        <w:t xml:space="preserve"> variables: the defendant's age and gender. Investigations regarding the impact of defendant gender upon juror actions is currently being extensively studied (Cutroni &amp; Anderson, 2020; Doerner &amp; Demuth, 2010, 2014). However, to date, there has been little to no study on the age of defendants, especially older defendants, in addition the findings appear to be inconsistent (Bergeron &amp; McKelvie, 2004; Sheahan et al., 2021). </w:t>
      </w:r>
    </w:p>
    <w:p w14:paraId="0AAF8182"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0A082076" w14:textId="59687199" w:rsidR="00E86311" w:rsidRPr="00DB3C0C" w:rsidRDefault="00E86311" w:rsidP="00E86311">
      <w:pPr>
        <w:spacing w:after="0" w:line="240" w:lineRule="auto"/>
        <w:rPr>
          <w:rFonts w:ascii="Arial" w:eastAsia="Times New Roman" w:hAnsi="Arial" w:cs="Arial"/>
          <w:color w:val="000000"/>
          <w:kern w:val="0"/>
          <w:lang w:eastAsia="en-GB"/>
          <w14:ligatures w14:val="none"/>
        </w:rPr>
      </w:pPr>
      <w:r w:rsidRPr="00E86311">
        <w:rPr>
          <w:rFonts w:ascii="Arial" w:eastAsia="Times New Roman" w:hAnsi="Arial" w:cs="Arial"/>
          <w:color w:val="000000"/>
          <w:kern w:val="0"/>
          <w:lang w:eastAsia="en-GB"/>
          <w14:ligatures w14:val="none"/>
        </w:rPr>
        <w:t xml:space="preserve">The discriminatory treatment of men and women is known as gender bias, and its implications could be classified as impartial, favourable, or unfavourable (Lenhart, 1993). A study was conducted in the attempt to explore gender bias’, in the study there were 45 forensic doctors with expertise in mental health conditions, half of those forensic doctors were informed </w:t>
      </w:r>
      <w:r w:rsidR="004B0E8F">
        <w:rPr>
          <w:rFonts w:ascii="Arial" w:eastAsia="Times New Roman" w:hAnsi="Arial" w:cs="Arial"/>
          <w:color w:val="000000"/>
          <w:kern w:val="0"/>
          <w:lang w:eastAsia="en-GB"/>
          <w14:ligatures w14:val="none"/>
        </w:rPr>
        <w:t>of the</w:t>
      </w:r>
      <w:r w:rsidRPr="00E86311">
        <w:rPr>
          <w:rFonts w:ascii="Arial" w:eastAsia="Times New Roman" w:hAnsi="Arial" w:cs="Arial"/>
          <w:color w:val="000000"/>
          <w:kern w:val="0"/>
          <w:lang w:eastAsia="en-GB"/>
          <w14:ligatures w14:val="none"/>
        </w:rPr>
        <w:t xml:space="preserve"> examin</w:t>
      </w:r>
      <w:r w:rsidR="004B0E8F">
        <w:rPr>
          <w:rFonts w:ascii="Arial" w:eastAsia="Times New Roman" w:hAnsi="Arial" w:cs="Arial"/>
          <w:color w:val="000000"/>
          <w:kern w:val="0"/>
          <w:lang w:eastAsia="en-GB"/>
          <w14:ligatures w14:val="none"/>
        </w:rPr>
        <w:t>ation of</w:t>
      </w:r>
      <w:r w:rsidRPr="00E86311">
        <w:rPr>
          <w:rFonts w:ascii="Arial" w:eastAsia="Times New Roman" w:hAnsi="Arial" w:cs="Arial"/>
          <w:color w:val="000000"/>
          <w:kern w:val="0"/>
          <w:lang w:eastAsia="en-GB"/>
          <w14:ligatures w14:val="none"/>
        </w:rPr>
        <w:t xml:space="preserve"> a male defendant, while the </w:t>
      </w:r>
      <w:r w:rsidR="003F56CA">
        <w:rPr>
          <w:rFonts w:ascii="Arial" w:eastAsia="Times New Roman" w:hAnsi="Arial" w:cs="Arial"/>
          <w:color w:val="000000"/>
          <w:kern w:val="0"/>
          <w:lang w:eastAsia="en-GB"/>
          <w14:ligatures w14:val="none"/>
        </w:rPr>
        <w:t>remainder</w:t>
      </w:r>
      <w:r w:rsidRPr="00E86311">
        <w:rPr>
          <w:rFonts w:ascii="Arial" w:eastAsia="Times New Roman" w:hAnsi="Arial" w:cs="Arial"/>
          <w:color w:val="000000"/>
          <w:kern w:val="0"/>
          <w:lang w:eastAsia="en-GB"/>
          <w14:ligatures w14:val="none"/>
        </w:rPr>
        <w:t xml:space="preserve"> were informed the criminal was female. The results had found that there were substantial gender differences related to legal insanity decisions. They also reported that </w:t>
      </w:r>
      <w:r w:rsidR="008669DD">
        <w:rPr>
          <w:rFonts w:ascii="Arial" w:eastAsia="Times New Roman" w:hAnsi="Arial" w:cs="Arial"/>
          <w:color w:val="000000"/>
          <w:kern w:val="0"/>
          <w:lang w:eastAsia="en-GB"/>
          <w14:ligatures w14:val="none"/>
        </w:rPr>
        <w:t xml:space="preserve">female </w:t>
      </w:r>
      <w:r w:rsidRPr="00E86311">
        <w:rPr>
          <w:rFonts w:ascii="Arial" w:eastAsia="Times New Roman" w:hAnsi="Arial" w:cs="Arial"/>
          <w:color w:val="000000"/>
          <w:kern w:val="0"/>
          <w:lang w:eastAsia="en-GB"/>
          <w14:ligatures w14:val="none"/>
        </w:rPr>
        <w:t xml:space="preserve">defendants </w:t>
      </w:r>
      <w:r w:rsidR="00DB3C0C">
        <w:rPr>
          <w:rFonts w:ascii="Arial" w:eastAsia="Times New Roman" w:hAnsi="Arial" w:cs="Arial"/>
          <w:color w:val="000000"/>
          <w:kern w:val="0"/>
          <w:lang w:eastAsia="en-GB"/>
          <w14:ligatures w14:val="none"/>
        </w:rPr>
        <w:t xml:space="preserve">were more likely to be found </w:t>
      </w:r>
      <w:r w:rsidRPr="00E86311">
        <w:rPr>
          <w:rFonts w:ascii="Arial" w:eastAsia="Times New Roman" w:hAnsi="Arial" w:cs="Arial"/>
          <w:color w:val="000000"/>
          <w:kern w:val="0"/>
          <w:lang w:eastAsia="en-GB"/>
          <w14:ligatures w14:val="none"/>
        </w:rPr>
        <w:t xml:space="preserve">legally insane </w:t>
      </w:r>
      <w:r w:rsidR="00DB3C0C">
        <w:rPr>
          <w:rFonts w:ascii="Arial" w:eastAsia="Times New Roman" w:hAnsi="Arial" w:cs="Arial"/>
          <w:color w:val="000000"/>
          <w:kern w:val="0"/>
          <w:lang w:eastAsia="en-GB"/>
          <w14:ligatures w14:val="none"/>
        </w:rPr>
        <w:t>and</w:t>
      </w:r>
      <w:r w:rsidRPr="00E86311">
        <w:rPr>
          <w:rFonts w:ascii="Arial" w:eastAsia="Times New Roman" w:hAnsi="Arial" w:cs="Arial"/>
          <w:color w:val="000000"/>
          <w:kern w:val="0"/>
          <w:lang w:eastAsia="en-GB"/>
          <w14:ligatures w14:val="none"/>
        </w:rPr>
        <w:t xml:space="preserve"> </w:t>
      </w:r>
      <w:r w:rsidR="00BB1E9A">
        <w:rPr>
          <w:rFonts w:ascii="Arial" w:eastAsia="Times New Roman" w:hAnsi="Arial" w:cs="Arial"/>
          <w:color w:val="000000"/>
          <w:kern w:val="0"/>
          <w:lang w:eastAsia="en-GB"/>
          <w14:ligatures w14:val="none"/>
        </w:rPr>
        <w:t xml:space="preserve">be </w:t>
      </w:r>
      <w:r w:rsidRPr="00E86311">
        <w:rPr>
          <w:rFonts w:ascii="Arial" w:eastAsia="Times New Roman" w:hAnsi="Arial" w:cs="Arial"/>
          <w:color w:val="000000"/>
          <w:kern w:val="0"/>
          <w:lang w:eastAsia="en-GB"/>
          <w14:ligatures w14:val="none"/>
        </w:rPr>
        <w:t>sent to a hospital in contrast to jail (Yourstone et al 2008).</w:t>
      </w:r>
    </w:p>
    <w:p w14:paraId="74D2063C"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384634EB"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Additionally, according to research by Kothari et al. (2014), there is a lack of statistical significance observed between the likelihood of referrals for female and male eligible offenders to Mental Health Recovery Court, a project aimed at diverting mentally ill prisoners from jails and into treatment facilities. </w:t>
      </w:r>
    </w:p>
    <w:p w14:paraId="7868DE6E"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6A2A119A" w14:textId="1CAB9403"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Cases from the </w:t>
      </w:r>
      <w:r w:rsidR="001478B9" w:rsidRPr="00E86311">
        <w:rPr>
          <w:rFonts w:ascii="Arial" w:eastAsia="Times New Roman" w:hAnsi="Arial" w:cs="Arial"/>
          <w:color w:val="000000"/>
          <w:kern w:val="0"/>
          <w:lang w:eastAsia="en-GB"/>
          <w14:ligatures w14:val="none"/>
        </w:rPr>
        <w:t>real-world</w:t>
      </w:r>
      <w:r w:rsidRPr="00E86311">
        <w:rPr>
          <w:rFonts w:ascii="Arial" w:eastAsia="Times New Roman" w:hAnsi="Arial" w:cs="Arial"/>
          <w:color w:val="000000"/>
          <w:kern w:val="0"/>
          <w:lang w:eastAsia="en-GB"/>
          <w14:ligatures w14:val="none"/>
        </w:rPr>
        <w:t xml:space="preserve"> show that outside variables can have a </w:t>
      </w:r>
      <w:r w:rsidR="007E5DAF">
        <w:rPr>
          <w:rFonts w:ascii="Arial" w:eastAsia="Times New Roman" w:hAnsi="Arial" w:cs="Arial"/>
          <w:color w:val="000000"/>
          <w:kern w:val="0"/>
          <w:lang w:eastAsia="en-GB"/>
          <w14:ligatures w14:val="none"/>
        </w:rPr>
        <w:t xml:space="preserve">detrimental </w:t>
      </w:r>
      <w:r w:rsidR="00AC19CA">
        <w:rPr>
          <w:rFonts w:ascii="Arial" w:eastAsia="Times New Roman" w:hAnsi="Arial" w:cs="Arial"/>
          <w:color w:val="000000"/>
          <w:kern w:val="0"/>
          <w:lang w:eastAsia="en-GB"/>
          <w14:ligatures w14:val="none"/>
        </w:rPr>
        <w:t>effect</w:t>
      </w:r>
      <w:r w:rsidRPr="00E86311">
        <w:rPr>
          <w:rFonts w:ascii="Arial" w:eastAsia="Times New Roman" w:hAnsi="Arial" w:cs="Arial"/>
          <w:color w:val="000000"/>
          <w:kern w:val="0"/>
          <w:lang w:eastAsia="en-GB"/>
          <w14:ligatures w14:val="none"/>
        </w:rPr>
        <w:t xml:space="preserve"> on a person's life. A case in point is the 2014 </w:t>
      </w:r>
      <w:r w:rsidR="00F80D78">
        <w:rPr>
          <w:rFonts w:ascii="Arial" w:eastAsia="Times New Roman" w:hAnsi="Arial" w:cs="Arial"/>
          <w:color w:val="000000"/>
          <w:kern w:val="0"/>
          <w:lang w:eastAsia="en-GB"/>
          <w14:ligatures w14:val="none"/>
        </w:rPr>
        <w:t>homicide</w:t>
      </w:r>
      <w:r w:rsidRPr="00E86311">
        <w:rPr>
          <w:rFonts w:ascii="Arial" w:eastAsia="Times New Roman" w:hAnsi="Arial" w:cs="Arial"/>
          <w:color w:val="000000"/>
          <w:kern w:val="0"/>
          <w:lang w:eastAsia="en-GB"/>
          <w14:ligatures w14:val="none"/>
        </w:rPr>
        <w:t xml:space="preserve"> trial of Curtis Reeves, who shot and murdered Chad </w:t>
      </w:r>
      <w:r w:rsidR="002E5A4F" w:rsidRPr="00E86311">
        <w:rPr>
          <w:rFonts w:ascii="Arial" w:eastAsia="Times New Roman" w:hAnsi="Arial" w:cs="Arial"/>
          <w:color w:val="000000"/>
          <w:kern w:val="0"/>
          <w:lang w:eastAsia="en-GB"/>
          <w14:ligatures w14:val="none"/>
        </w:rPr>
        <w:t>Olsen</w:t>
      </w:r>
      <w:r w:rsidRPr="00E86311">
        <w:rPr>
          <w:rFonts w:ascii="Arial" w:eastAsia="Times New Roman" w:hAnsi="Arial" w:cs="Arial"/>
          <w:color w:val="000000"/>
          <w:kern w:val="0"/>
          <w:lang w:eastAsia="en-GB"/>
          <w14:ligatures w14:val="none"/>
        </w:rPr>
        <w:t xml:space="preserve"> in a Florida theatre. Richard Escobar, Reeves' defence lawyer, emphasised in front of the jury and the public throughout the trial that his client was elderly and fragile, saying, "It may not be what I would have done, or you would have done, but you have to realise how Mr. Reeves was at the time... He was 71, in declining health and a decorated officer” (Dawson, 2022, para. 11). </w:t>
      </w:r>
      <w:r w:rsidR="00F80D78">
        <w:rPr>
          <w:rFonts w:ascii="Arial" w:eastAsia="Times New Roman" w:hAnsi="Arial" w:cs="Arial"/>
          <w:color w:val="000000"/>
          <w:kern w:val="0"/>
          <w:lang w:eastAsia="en-GB"/>
          <w14:ligatures w14:val="none"/>
        </w:rPr>
        <w:t xml:space="preserve">Upon completion of the trial, </w:t>
      </w:r>
      <w:r w:rsidR="00C73C07">
        <w:rPr>
          <w:rFonts w:ascii="Arial" w:eastAsia="Times New Roman" w:hAnsi="Arial" w:cs="Arial"/>
          <w:color w:val="000000"/>
          <w:kern w:val="0"/>
          <w:lang w:eastAsia="en-GB"/>
          <w14:ligatures w14:val="none"/>
        </w:rPr>
        <w:t xml:space="preserve">Reeves aged </w:t>
      </w:r>
      <w:r w:rsidRPr="00E86311">
        <w:rPr>
          <w:rFonts w:ascii="Arial" w:eastAsia="Times New Roman" w:hAnsi="Arial" w:cs="Arial"/>
          <w:color w:val="000000"/>
          <w:kern w:val="0"/>
          <w:lang w:eastAsia="en-GB"/>
          <w14:ligatures w14:val="none"/>
        </w:rPr>
        <w:t>79 years old</w:t>
      </w:r>
      <w:r w:rsidR="00C73C07">
        <w:rPr>
          <w:rFonts w:ascii="Arial" w:eastAsia="Times New Roman" w:hAnsi="Arial" w:cs="Arial"/>
          <w:color w:val="000000"/>
          <w:kern w:val="0"/>
          <w:lang w:eastAsia="en-GB"/>
          <w14:ligatures w14:val="none"/>
        </w:rPr>
        <w:t xml:space="preserve"> at the time</w:t>
      </w:r>
      <w:r w:rsidRPr="00E86311">
        <w:rPr>
          <w:rFonts w:ascii="Arial" w:eastAsia="Times New Roman" w:hAnsi="Arial" w:cs="Arial"/>
          <w:color w:val="000000"/>
          <w:kern w:val="0"/>
          <w:lang w:eastAsia="en-GB"/>
          <w14:ligatures w14:val="none"/>
        </w:rPr>
        <w:t>, was found not guilty when he presented the defence argument that he was acting in self-defence (Dawson, 2022).</w:t>
      </w:r>
    </w:p>
    <w:p w14:paraId="6AF233A9"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68B4B7C1" w14:textId="1D7A63C0"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According to Iversen et al. (2009), ageism refers to attitudes, behaviours, and stereotypes that are </w:t>
      </w:r>
      <w:r w:rsidR="00CE107B" w:rsidRPr="00E86311">
        <w:rPr>
          <w:rFonts w:ascii="Arial" w:eastAsia="Times New Roman" w:hAnsi="Arial" w:cs="Arial"/>
          <w:color w:val="000000"/>
          <w:kern w:val="0"/>
          <w:lang w:eastAsia="en-GB"/>
          <w14:ligatures w14:val="none"/>
        </w:rPr>
        <w:t>bias</w:t>
      </w:r>
      <w:r w:rsidR="00CE107B">
        <w:rPr>
          <w:rFonts w:ascii="Arial" w:eastAsia="Times New Roman" w:hAnsi="Arial" w:cs="Arial"/>
          <w:color w:val="000000"/>
          <w:kern w:val="0"/>
          <w:lang w:eastAsia="en-GB"/>
          <w14:ligatures w14:val="none"/>
        </w:rPr>
        <w:t>e</w:t>
      </w:r>
      <w:r w:rsidR="00CE107B" w:rsidRPr="00E86311">
        <w:rPr>
          <w:rFonts w:ascii="Arial" w:eastAsia="Times New Roman" w:hAnsi="Arial" w:cs="Arial"/>
          <w:color w:val="000000"/>
          <w:kern w:val="0"/>
          <w:lang w:eastAsia="en-GB"/>
          <w14:ligatures w14:val="none"/>
        </w:rPr>
        <w:t>d</w:t>
      </w:r>
      <w:r w:rsidRPr="00E86311">
        <w:rPr>
          <w:rFonts w:ascii="Arial" w:eastAsia="Times New Roman" w:hAnsi="Arial" w:cs="Arial"/>
          <w:color w:val="000000"/>
          <w:kern w:val="0"/>
          <w:lang w:eastAsia="en-GB"/>
          <w14:ligatures w14:val="none"/>
        </w:rPr>
        <w:t xml:space="preserve"> and based only on an individual's chronological age. Ageism may be caused by the notion that people in their latter years are less important or interesting to society.</w:t>
      </w:r>
    </w:p>
    <w:p w14:paraId="77FA4D8A"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587D8C96"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Overly accommodating behaviour, such as aiding too much, is a prevalent result of benevolent ageism, which has its roots in the misconception that older people are inept but kind (Fiske et al., 2002). It is prevalent for older persons to encounter benevolent ageism (Chasteen et al., 2021a). On the other hand, hostile ageism, which stems from the misconception that elderly people are incompetent or unkind, frequently takes the form of </w:t>
      </w:r>
      <w:r w:rsidRPr="00E86311">
        <w:rPr>
          <w:rFonts w:ascii="Arial" w:eastAsia="Times New Roman" w:hAnsi="Arial" w:cs="Arial"/>
          <w:color w:val="000000"/>
          <w:kern w:val="0"/>
          <w:lang w:eastAsia="en-GB"/>
          <w14:ligatures w14:val="none"/>
        </w:rPr>
        <w:lastRenderedPageBreak/>
        <w:t>condescending discrimination, where elderly people may be mistreated or ignored (Cuddy et al., 2008; Fiske et al., 2002). (Cary et al., 2017). Despite having distinct appearances, ageism in any form can have a negative impact on an older person's physical and emotional well-being (Chrisler et al., 2016; Dionigi, 2015; Marchiondo et al., 2019; Sargent-Cox et al., 2012).</w:t>
      </w:r>
    </w:p>
    <w:p w14:paraId="63872E3B"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5405822C"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Whilst ageism was originally associated with prejudices against the elderly, it is now more frequently used to describe attitudes towards people of all ages, including those who are young (LORETTO et al., 2000; Finkelstein et al., 2013). Alternatively, childism is a term used in the literature to refer to a certain type of bias against children, while reverse ageism is typically used to refer to ageism aimed against younger adults, who are typically characterised as those in their 20s and 30s (Raymer et al., 2017).</w:t>
      </w:r>
    </w:p>
    <w:p w14:paraId="725FABAC"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5B49CF95" w14:textId="2509CA99"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Ageism comes into place in real life when the media are frequently accused of perpetuating negative stereotypes surrounding older individuals, which in turn reinforces ageist beliefs (Fealy et al. 2012; Koskinen et al. 2014). International research revealed that </w:t>
      </w:r>
      <w:r w:rsidR="00E53C05" w:rsidRPr="00E86311">
        <w:rPr>
          <w:rFonts w:ascii="Arial" w:eastAsia="Times New Roman" w:hAnsi="Arial" w:cs="Arial"/>
          <w:color w:val="000000"/>
          <w:kern w:val="0"/>
          <w:lang w:eastAsia="en-GB"/>
          <w14:ligatures w14:val="none"/>
        </w:rPr>
        <w:t>biased</w:t>
      </w:r>
      <w:r w:rsidRPr="00E86311">
        <w:rPr>
          <w:rFonts w:ascii="Arial" w:eastAsia="Times New Roman" w:hAnsi="Arial" w:cs="Arial"/>
          <w:color w:val="000000"/>
          <w:kern w:val="0"/>
          <w:lang w:eastAsia="en-GB"/>
          <w14:ligatures w14:val="none"/>
        </w:rPr>
        <w:t xml:space="preserve"> media portrayals of older individuals are comparable, focusing on old age and physical dependability and presenting the population via a biological viewpoint (Phelan 2018; Wilińska and Cedersund 2010; Zhang and Harwood 2004). Vulnerability has frequently been associated with age and is said to be problem oriented according to the Chinese media (Chen 2015). </w:t>
      </w:r>
    </w:p>
    <w:p w14:paraId="39AD68C3"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4C98CE51" w14:textId="0F75D424"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To conclude, it is evident that the United States of America and the United Kingdom have very different approaches on how they tackle their legal system, for example their recruitment process or even the amount of votes required to reach a verdict. The selection of the jury is crucial to determine unbiased members who are wholly honest and unbiased in their decision making within the court. Biases are a detrimental factor affecting how the judicial process is carried out and how a verdict is </w:t>
      </w:r>
      <w:r w:rsidR="005731CE" w:rsidRPr="00E86311">
        <w:rPr>
          <w:rFonts w:ascii="Arial" w:eastAsia="Times New Roman" w:hAnsi="Arial" w:cs="Arial"/>
          <w:color w:val="000000"/>
          <w:kern w:val="0"/>
          <w:lang w:eastAsia="en-GB"/>
          <w14:ligatures w14:val="none"/>
        </w:rPr>
        <w:t>reached and</w:t>
      </w:r>
      <w:r w:rsidRPr="00E86311">
        <w:rPr>
          <w:rFonts w:ascii="Arial" w:eastAsia="Times New Roman" w:hAnsi="Arial" w:cs="Arial"/>
          <w:color w:val="000000"/>
          <w:kern w:val="0"/>
          <w:lang w:eastAsia="en-GB"/>
          <w14:ligatures w14:val="none"/>
        </w:rPr>
        <w:t xml:space="preserve"> are significant to achieving or not achieving justice for the defendants; biases such as gender, age or even race can cause a jury's decision to sway. </w:t>
      </w:r>
    </w:p>
    <w:p w14:paraId="1D2FCC39" w14:textId="77777777"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p>
    <w:p w14:paraId="4DBA7588" w14:textId="1A928B73" w:rsidR="00E86311" w:rsidRPr="00E86311" w:rsidRDefault="00E86311" w:rsidP="00E86311">
      <w:pPr>
        <w:spacing w:after="0" w:line="240" w:lineRule="auto"/>
        <w:rPr>
          <w:rFonts w:ascii="Times New Roman" w:eastAsia="Times New Roman" w:hAnsi="Times New Roman" w:cs="Times New Roman"/>
          <w:kern w:val="0"/>
          <w:sz w:val="24"/>
          <w:szCs w:val="24"/>
          <w:lang w:eastAsia="en-GB"/>
          <w14:ligatures w14:val="none"/>
        </w:rPr>
      </w:pPr>
      <w:r w:rsidRPr="00E86311">
        <w:rPr>
          <w:rFonts w:ascii="Arial" w:eastAsia="Times New Roman" w:hAnsi="Arial" w:cs="Arial"/>
          <w:color w:val="000000"/>
          <w:kern w:val="0"/>
          <w:lang w:eastAsia="en-GB"/>
          <w14:ligatures w14:val="none"/>
        </w:rPr>
        <w:t xml:space="preserve">There is extensive evidence to suggest that racial, age and gender based biases can alter decision making processes with detrimental impacts on the culpability of a defendant leading to miscarriages of justice. There </w:t>
      </w:r>
      <w:r w:rsidR="00CE3288" w:rsidRPr="00E86311">
        <w:rPr>
          <w:rFonts w:ascii="Arial" w:eastAsia="Times New Roman" w:hAnsi="Arial" w:cs="Arial"/>
          <w:color w:val="000000"/>
          <w:kern w:val="0"/>
          <w:lang w:eastAsia="en-GB"/>
          <w14:ligatures w14:val="none"/>
        </w:rPr>
        <w:t>is,</w:t>
      </w:r>
      <w:r w:rsidRPr="00E86311">
        <w:rPr>
          <w:rFonts w:ascii="Arial" w:eastAsia="Times New Roman" w:hAnsi="Arial" w:cs="Arial"/>
          <w:color w:val="000000"/>
          <w:kern w:val="0"/>
          <w:lang w:eastAsia="en-GB"/>
          <w14:ligatures w14:val="none"/>
        </w:rPr>
        <w:t xml:space="preserve"> however, contradictory evidence indicating that these biases are nothing more than </w:t>
      </w:r>
      <w:r w:rsidR="00D94F5C" w:rsidRPr="00E86311">
        <w:rPr>
          <w:rFonts w:ascii="Arial" w:eastAsia="Times New Roman" w:hAnsi="Arial" w:cs="Arial"/>
          <w:color w:val="000000"/>
          <w:kern w:val="0"/>
          <w:lang w:eastAsia="en-GB"/>
          <w14:ligatures w14:val="none"/>
        </w:rPr>
        <w:t>that and</w:t>
      </w:r>
      <w:r w:rsidRPr="00E86311">
        <w:rPr>
          <w:rFonts w:ascii="Arial" w:eastAsia="Times New Roman" w:hAnsi="Arial" w:cs="Arial"/>
          <w:color w:val="000000"/>
          <w:kern w:val="0"/>
          <w:lang w:eastAsia="en-GB"/>
          <w14:ligatures w14:val="none"/>
        </w:rPr>
        <w:t xml:space="preserve"> will therefore not impact upon an individuals’ ability to make a credible decision to seek justice in a court of law. Continuous monitoring and psychological research must be in place to avoid any potential to influence a person’s decision making in the justice process. These studies can help inform procedures in the criminal justice system in order to improve the integrity of an individual in a jury’s deliberation. The US procedures of qualifying jurors before they sit on the jury is an option that could be considered by the UK system, allowing participation only when potential jurors are questioned before any approval for any court case. This will help determine suitability to a case and potentially improve the role of the jury in the UK criminal justice system. </w:t>
      </w:r>
    </w:p>
    <w:p w14:paraId="44D696EB" w14:textId="77777777" w:rsidR="00063AC0" w:rsidRDefault="00063AC0"/>
    <w:p w14:paraId="7A816EB6" w14:textId="77777777" w:rsidR="005A60A1" w:rsidRDefault="005A60A1"/>
    <w:p w14:paraId="43588316" w14:textId="77777777" w:rsidR="005A60A1" w:rsidRDefault="005A60A1"/>
    <w:p w14:paraId="49654414" w14:textId="77777777" w:rsidR="005A60A1" w:rsidRDefault="005A60A1"/>
    <w:p w14:paraId="6C45D961" w14:textId="77777777" w:rsidR="005A60A1" w:rsidRDefault="005A60A1"/>
    <w:p w14:paraId="047592E7" w14:textId="77777777" w:rsidR="005A60A1" w:rsidRDefault="005A60A1"/>
    <w:p w14:paraId="3E630CBB" w14:textId="77777777" w:rsidR="005A60A1" w:rsidRDefault="005A60A1"/>
    <w:p w14:paraId="18931F69" w14:textId="77777777" w:rsidR="00721EA2" w:rsidRPr="00754D9C" w:rsidRDefault="00721EA2" w:rsidP="00B53CC0">
      <w:pPr>
        <w:pStyle w:val="NormalWeb"/>
        <w:spacing w:before="0" w:beforeAutospacing="0" w:after="0" w:afterAutospacing="0"/>
        <w:ind w:left="720" w:hanging="720"/>
        <w:rPr>
          <w:rFonts w:ascii="Arial" w:hAnsi="Arial" w:cs="Arial"/>
          <w:b/>
          <w:bCs/>
          <w:sz w:val="22"/>
          <w:szCs w:val="22"/>
        </w:rPr>
      </w:pPr>
      <w:r w:rsidRPr="00754D9C">
        <w:rPr>
          <w:rFonts w:ascii="Arial" w:hAnsi="Arial" w:cs="Arial"/>
          <w:b/>
          <w:bCs/>
          <w:sz w:val="22"/>
          <w:szCs w:val="22"/>
        </w:rPr>
        <w:lastRenderedPageBreak/>
        <w:t>Reference list</w:t>
      </w:r>
    </w:p>
    <w:p w14:paraId="37C68A85" w14:textId="77777777" w:rsidR="00721EA2" w:rsidRDefault="00721EA2" w:rsidP="00B53CC0">
      <w:pPr>
        <w:pStyle w:val="NormalWeb"/>
        <w:spacing w:before="0" w:beforeAutospacing="0" w:after="0" w:afterAutospacing="0"/>
        <w:ind w:left="720" w:hanging="720"/>
        <w:rPr>
          <w:rFonts w:ascii="Arial" w:hAnsi="Arial" w:cs="Arial"/>
          <w:sz w:val="22"/>
          <w:szCs w:val="22"/>
        </w:rPr>
      </w:pPr>
    </w:p>
    <w:p w14:paraId="3F93770A" w14:textId="5F28B5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Amy J.C. Cuddy, Fiske, S. T., &amp; Glick, P. (2008). Warmth and Competence as Universal Dimensions of Social Perception: The Stereotype Content Model and the BIAS Map. In </w:t>
      </w:r>
      <w:r w:rsidRPr="00B53CC0">
        <w:rPr>
          <w:rFonts w:ascii="Arial" w:hAnsi="Arial" w:cs="Arial"/>
          <w:i/>
          <w:iCs/>
          <w:sz w:val="22"/>
          <w:szCs w:val="22"/>
        </w:rPr>
        <w:t>Advances in Experimental Social Psychology</w:t>
      </w:r>
      <w:r w:rsidRPr="00B53CC0">
        <w:rPr>
          <w:rFonts w:ascii="Arial" w:hAnsi="Arial" w:cs="Arial"/>
          <w:sz w:val="22"/>
          <w:szCs w:val="22"/>
        </w:rPr>
        <w:t xml:space="preserve"> (pp. 61–149). Science Direct. https://doi.org/10.1016/s0065-2601(07)00002-0</w:t>
      </w:r>
    </w:p>
    <w:p w14:paraId="174A88C9"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Anwar, S., Bayer, P., &amp; Hjalmarsson, R. (2018). Politics in the Courtroom: Political Ideology and Jury Decision Making. </w:t>
      </w:r>
      <w:r w:rsidRPr="00B53CC0">
        <w:rPr>
          <w:rFonts w:ascii="Arial" w:hAnsi="Arial" w:cs="Arial"/>
          <w:i/>
          <w:iCs/>
          <w:sz w:val="22"/>
          <w:szCs w:val="22"/>
        </w:rPr>
        <w:t>Journal of the European Economic Association</w:t>
      </w:r>
      <w:r w:rsidRPr="00B53CC0">
        <w:rPr>
          <w:rFonts w:ascii="Arial" w:hAnsi="Arial" w:cs="Arial"/>
          <w:sz w:val="22"/>
          <w:szCs w:val="22"/>
        </w:rPr>
        <w:t xml:space="preserve">, </w:t>
      </w:r>
      <w:r w:rsidRPr="00B53CC0">
        <w:rPr>
          <w:rFonts w:ascii="Arial" w:hAnsi="Arial" w:cs="Arial"/>
          <w:i/>
          <w:iCs/>
          <w:sz w:val="22"/>
          <w:szCs w:val="22"/>
        </w:rPr>
        <w:t>17</w:t>
      </w:r>
      <w:r w:rsidRPr="00B53CC0">
        <w:rPr>
          <w:rFonts w:ascii="Arial" w:hAnsi="Arial" w:cs="Arial"/>
          <w:sz w:val="22"/>
          <w:szCs w:val="22"/>
        </w:rPr>
        <w:t>(3), 834–875. Oxford Academic. https://doi.org/10.1093/jeea/jvy013</w:t>
      </w:r>
    </w:p>
    <w:p w14:paraId="216E4BCE"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Baldus, D. C., Pulaski, C., &amp; Woodworth, G. (1983). Comparative Review of Death Sentences: An Empirical Study of the Georgia Experience. </w:t>
      </w:r>
      <w:r w:rsidRPr="00B53CC0">
        <w:rPr>
          <w:rFonts w:ascii="Arial" w:hAnsi="Arial" w:cs="Arial"/>
          <w:i/>
          <w:iCs/>
          <w:sz w:val="22"/>
          <w:szCs w:val="22"/>
        </w:rPr>
        <w:t>The Journal of Criminal Law and Criminology (1973)</w:t>
      </w:r>
      <w:r w:rsidRPr="00B53CC0">
        <w:rPr>
          <w:rFonts w:ascii="Arial" w:hAnsi="Arial" w:cs="Arial"/>
          <w:sz w:val="22"/>
          <w:szCs w:val="22"/>
        </w:rPr>
        <w:t xml:space="preserve">, </w:t>
      </w:r>
      <w:r w:rsidRPr="00B53CC0">
        <w:rPr>
          <w:rFonts w:ascii="Arial" w:hAnsi="Arial" w:cs="Arial"/>
          <w:i/>
          <w:iCs/>
          <w:sz w:val="22"/>
          <w:szCs w:val="22"/>
        </w:rPr>
        <w:t>74</w:t>
      </w:r>
      <w:r w:rsidRPr="00B53CC0">
        <w:rPr>
          <w:rFonts w:ascii="Arial" w:hAnsi="Arial" w:cs="Arial"/>
          <w:sz w:val="22"/>
          <w:szCs w:val="22"/>
        </w:rPr>
        <w:t>(3), 661–753. JSTOR. https://doi.org/10.2307/1143133</w:t>
      </w:r>
    </w:p>
    <w:p w14:paraId="1F5EEDF0"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Baldus, D. C., Woodworth, G., &amp; Grosso, C. M. (2003). A Legal and Empirical Analysis of the Nebraska Experience. In </w:t>
      </w:r>
      <w:r w:rsidRPr="00B53CC0">
        <w:rPr>
          <w:rFonts w:ascii="Arial" w:hAnsi="Arial" w:cs="Arial"/>
          <w:i/>
          <w:iCs/>
          <w:sz w:val="22"/>
          <w:szCs w:val="22"/>
        </w:rPr>
        <w:t>Arbitrariness and Discrimination in the Administration of the Death Penalty</w:t>
      </w:r>
      <w:r w:rsidRPr="00B53CC0">
        <w:rPr>
          <w:rFonts w:ascii="Arial" w:hAnsi="Arial" w:cs="Arial"/>
          <w:sz w:val="22"/>
          <w:szCs w:val="22"/>
        </w:rPr>
        <w:t xml:space="preserve"> (pp. 495–532). University of Iowa. https://heinonline.org/HOL/LandingPage?handle=hein.journals/nebklr81&amp;div=17&amp;id=&amp;page=</w:t>
      </w:r>
    </w:p>
    <w:p w14:paraId="17DACA56"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Bennet, J. M., Carbado, D., Casey, P., Dasgupta, N., Faigman, D., Godsil, R., Greenwald, A. G., Levinson, J., &amp; Mnookin, J. (2012). Implicit Bias in the courtroom [Review of </w:t>
      </w:r>
      <w:r w:rsidRPr="00B53CC0">
        <w:rPr>
          <w:rFonts w:ascii="Arial" w:hAnsi="Arial" w:cs="Arial"/>
          <w:i/>
          <w:iCs/>
          <w:sz w:val="22"/>
          <w:szCs w:val="22"/>
        </w:rPr>
        <w:t>Implicit Bias in the courtroom</w:t>
      </w:r>
      <w:r w:rsidRPr="00B53CC0">
        <w:rPr>
          <w:rFonts w:ascii="Arial" w:hAnsi="Arial" w:cs="Arial"/>
          <w:sz w:val="22"/>
          <w:szCs w:val="22"/>
        </w:rPr>
        <w:t xml:space="preserve">, by J. Kang]. </w:t>
      </w:r>
      <w:r w:rsidRPr="00B53CC0">
        <w:rPr>
          <w:rFonts w:ascii="Arial" w:hAnsi="Arial" w:cs="Arial"/>
          <w:i/>
          <w:iCs/>
          <w:sz w:val="22"/>
          <w:szCs w:val="22"/>
        </w:rPr>
        <w:t>HeinOnline</w:t>
      </w:r>
      <w:r w:rsidRPr="00B53CC0">
        <w:rPr>
          <w:rFonts w:ascii="Arial" w:hAnsi="Arial" w:cs="Arial"/>
          <w:sz w:val="22"/>
          <w:szCs w:val="22"/>
        </w:rPr>
        <w:t xml:space="preserve">, </w:t>
      </w:r>
      <w:r w:rsidRPr="00B53CC0">
        <w:rPr>
          <w:rFonts w:ascii="Arial" w:hAnsi="Arial" w:cs="Arial"/>
          <w:i/>
          <w:iCs/>
          <w:sz w:val="22"/>
          <w:szCs w:val="22"/>
        </w:rPr>
        <w:t>1</w:t>
      </w:r>
      <w:r w:rsidRPr="00B53CC0">
        <w:rPr>
          <w:rFonts w:ascii="Arial" w:hAnsi="Arial" w:cs="Arial"/>
          <w:sz w:val="22"/>
          <w:szCs w:val="22"/>
        </w:rPr>
        <w:t>, 1. https://heinonline.org/HOL/LandingPage?handle=hein.journals/uclalr59&amp;div=34&amp;id=&amp;page=</w:t>
      </w:r>
    </w:p>
    <w:p w14:paraId="3F90F6EC"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Bergeron, C. E., &amp; Mckelvie, S. J. (2004). Effects of Defendant Age on Severity of Punishment for Different Crimes. </w:t>
      </w:r>
      <w:r w:rsidRPr="00B53CC0">
        <w:rPr>
          <w:rFonts w:ascii="Arial" w:hAnsi="Arial" w:cs="Arial"/>
          <w:i/>
          <w:iCs/>
          <w:sz w:val="22"/>
          <w:szCs w:val="22"/>
        </w:rPr>
        <w:t>The Journal of Social Psychology</w:t>
      </w:r>
      <w:r w:rsidRPr="00B53CC0">
        <w:rPr>
          <w:rFonts w:ascii="Arial" w:hAnsi="Arial" w:cs="Arial"/>
          <w:sz w:val="22"/>
          <w:szCs w:val="22"/>
        </w:rPr>
        <w:t xml:space="preserve">, </w:t>
      </w:r>
      <w:r w:rsidRPr="00B53CC0">
        <w:rPr>
          <w:rFonts w:ascii="Arial" w:hAnsi="Arial" w:cs="Arial"/>
          <w:i/>
          <w:iCs/>
          <w:sz w:val="22"/>
          <w:szCs w:val="22"/>
        </w:rPr>
        <w:t>144</w:t>
      </w:r>
      <w:r w:rsidRPr="00B53CC0">
        <w:rPr>
          <w:rFonts w:ascii="Arial" w:hAnsi="Arial" w:cs="Arial"/>
          <w:sz w:val="22"/>
          <w:szCs w:val="22"/>
        </w:rPr>
        <w:t>(1), 75–90. Taylor &amp; Francis Online. https://doi.org/10.3200/socp.144.1.75-90</w:t>
      </w:r>
    </w:p>
    <w:p w14:paraId="375D7F9F"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Bodenhausen, G. V., &amp; Lichtenstein, M. (1987). Social stereotypes and information-processing strategies: The impact of task complexity. </w:t>
      </w:r>
      <w:r w:rsidRPr="00B53CC0">
        <w:rPr>
          <w:rFonts w:ascii="Arial" w:hAnsi="Arial" w:cs="Arial"/>
          <w:i/>
          <w:iCs/>
          <w:sz w:val="22"/>
          <w:szCs w:val="22"/>
        </w:rPr>
        <w:t>Journal of Personality and Social Psychology</w:t>
      </w:r>
      <w:r w:rsidRPr="00B53CC0">
        <w:rPr>
          <w:rFonts w:ascii="Arial" w:hAnsi="Arial" w:cs="Arial"/>
          <w:sz w:val="22"/>
          <w:szCs w:val="22"/>
        </w:rPr>
        <w:t xml:space="preserve">, </w:t>
      </w:r>
      <w:r w:rsidRPr="00B53CC0">
        <w:rPr>
          <w:rFonts w:ascii="Arial" w:hAnsi="Arial" w:cs="Arial"/>
          <w:i/>
          <w:iCs/>
          <w:sz w:val="22"/>
          <w:szCs w:val="22"/>
        </w:rPr>
        <w:t>52</w:t>
      </w:r>
      <w:r w:rsidRPr="00B53CC0">
        <w:rPr>
          <w:rFonts w:ascii="Arial" w:hAnsi="Arial" w:cs="Arial"/>
          <w:sz w:val="22"/>
          <w:szCs w:val="22"/>
        </w:rPr>
        <w:t>(5), 871–880. APA PsycNet. https://doi.org/10.1037/0022-3514.52.5.871</w:t>
      </w:r>
    </w:p>
    <w:p w14:paraId="18F5BFF8"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Bornstein, B. H., &amp; Greene, E. (2011). Jury Decision Making: Implications For and From Psychology. </w:t>
      </w:r>
      <w:r w:rsidRPr="00B53CC0">
        <w:rPr>
          <w:rFonts w:ascii="Arial" w:hAnsi="Arial" w:cs="Arial"/>
          <w:i/>
          <w:iCs/>
          <w:sz w:val="22"/>
          <w:szCs w:val="22"/>
        </w:rPr>
        <w:t>Current Directions in Psychological Science</w:t>
      </w:r>
      <w:r w:rsidRPr="00B53CC0">
        <w:rPr>
          <w:rFonts w:ascii="Arial" w:hAnsi="Arial" w:cs="Arial"/>
          <w:sz w:val="22"/>
          <w:szCs w:val="22"/>
        </w:rPr>
        <w:t xml:space="preserve">, </w:t>
      </w:r>
      <w:r w:rsidRPr="00B53CC0">
        <w:rPr>
          <w:rFonts w:ascii="Arial" w:hAnsi="Arial" w:cs="Arial"/>
          <w:i/>
          <w:iCs/>
          <w:sz w:val="22"/>
          <w:szCs w:val="22"/>
        </w:rPr>
        <w:t>20</w:t>
      </w:r>
      <w:r w:rsidRPr="00B53CC0">
        <w:rPr>
          <w:rFonts w:ascii="Arial" w:hAnsi="Arial" w:cs="Arial"/>
          <w:sz w:val="22"/>
          <w:szCs w:val="22"/>
        </w:rPr>
        <w:t>(1), 63–67. Association of psychological science. https://doi.org/10.1177/0963721410397282</w:t>
      </w:r>
    </w:p>
    <w:p w14:paraId="26D25254"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Cary, L. A., Chasteen, A. L., &amp; Remedios, J. (2016). The Ambivalent Ageism Scale: Developing and Validating a Scale to Measure Benevolent and Hostile Ageism. </w:t>
      </w:r>
      <w:r w:rsidRPr="00B53CC0">
        <w:rPr>
          <w:rFonts w:ascii="Arial" w:hAnsi="Arial" w:cs="Arial"/>
          <w:i/>
          <w:iCs/>
          <w:sz w:val="22"/>
          <w:szCs w:val="22"/>
        </w:rPr>
        <w:t>The Gerontologist</w:t>
      </w:r>
      <w:r w:rsidRPr="00B53CC0">
        <w:rPr>
          <w:rFonts w:ascii="Arial" w:hAnsi="Arial" w:cs="Arial"/>
          <w:sz w:val="22"/>
          <w:szCs w:val="22"/>
        </w:rPr>
        <w:t xml:space="preserve">, </w:t>
      </w:r>
      <w:r w:rsidRPr="00B53CC0">
        <w:rPr>
          <w:rFonts w:ascii="Arial" w:hAnsi="Arial" w:cs="Arial"/>
          <w:i/>
          <w:iCs/>
          <w:sz w:val="22"/>
          <w:szCs w:val="22"/>
        </w:rPr>
        <w:t>57</w:t>
      </w:r>
      <w:r w:rsidRPr="00B53CC0">
        <w:rPr>
          <w:rFonts w:ascii="Arial" w:hAnsi="Arial" w:cs="Arial"/>
          <w:sz w:val="22"/>
          <w:szCs w:val="22"/>
        </w:rPr>
        <w:t>(2), gnw118. Oxford Academic. https://doi.org/10.1093/geront/gnw118</w:t>
      </w:r>
    </w:p>
    <w:p w14:paraId="6DAD340F"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Chasteen, A. L., Horhota, M., &amp; Crumley-Branyon, J. J. (2020). Overlooked and underestimated: Experiences of ageism in young, middle-aged, and older adults. </w:t>
      </w:r>
      <w:r w:rsidRPr="00B53CC0">
        <w:rPr>
          <w:rFonts w:ascii="Arial" w:hAnsi="Arial" w:cs="Arial"/>
          <w:i/>
          <w:iCs/>
          <w:sz w:val="22"/>
          <w:szCs w:val="22"/>
        </w:rPr>
        <w:t>The Journals of Gerontology: Series B</w:t>
      </w:r>
      <w:r w:rsidRPr="00B53CC0">
        <w:rPr>
          <w:rFonts w:ascii="Arial" w:hAnsi="Arial" w:cs="Arial"/>
          <w:sz w:val="22"/>
          <w:szCs w:val="22"/>
        </w:rPr>
        <w:t xml:space="preserve">, </w:t>
      </w:r>
      <w:r w:rsidRPr="00B53CC0">
        <w:rPr>
          <w:rFonts w:ascii="Arial" w:hAnsi="Arial" w:cs="Arial"/>
          <w:i/>
          <w:iCs/>
          <w:sz w:val="22"/>
          <w:szCs w:val="22"/>
        </w:rPr>
        <w:t>76</w:t>
      </w:r>
      <w:r w:rsidRPr="00B53CC0">
        <w:rPr>
          <w:rFonts w:ascii="Arial" w:hAnsi="Arial" w:cs="Arial"/>
          <w:sz w:val="22"/>
          <w:szCs w:val="22"/>
        </w:rPr>
        <w:t>(7), 1323–1328. Oxford Academic. https://doi.org/10.1093/geronb/gbaa043</w:t>
      </w:r>
    </w:p>
    <w:p w14:paraId="28B31198"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Cheung, J. C., &amp; Kwan, A. Y. (2011). The Utility of Enhancing Filial Piety for Elder Care in China. </w:t>
      </w:r>
      <w:r w:rsidRPr="00B53CC0">
        <w:rPr>
          <w:rFonts w:ascii="Arial" w:hAnsi="Arial" w:cs="Arial"/>
          <w:i/>
          <w:iCs/>
          <w:sz w:val="22"/>
          <w:szCs w:val="22"/>
        </w:rPr>
        <w:t>Aging in China</w:t>
      </w:r>
      <w:r w:rsidRPr="00B53CC0">
        <w:rPr>
          <w:rFonts w:ascii="Arial" w:hAnsi="Arial" w:cs="Arial"/>
          <w:sz w:val="22"/>
          <w:szCs w:val="22"/>
        </w:rPr>
        <w:t xml:space="preserve">, </w:t>
      </w:r>
      <w:r w:rsidRPr="00B53CC0">
        <w:rPr>
          <w:rFonts w:ascii="Arial" w:hAnsi="Arial" w:cs="Arial"/>
          <w:i/>
          <w:iCs/>
          <w:sz w:val="22"/>
          <w:szCs w:val="22"/>
        </w:rPr>
        <w:t>1</w:t>
      </w:r>
      <w:r w:rsidRPr="00B53CC0">
        <w:rPr>
          <w:rFonts w:ascii="Arial" w:hAnsi="Arial" w:cs="Arial"/>
          <w:sz w:val="22"/>
          <w:szCs w:val="22"/>
        </w:rPr>
        <w:t>(7), 127–145. Springer Link. https://doi.org/10.1007/978-1-4419-8351-0_8</w:t>
      </w:r>
    </w:p>
    <w:p w14:paraId="78B6CEA7"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Chrisler, J. C., Barney, A., &amp; Palatino, B. (2016). Ageism can be Hazardous to Women’s Health: Ageism, Sexism, and Stereotypes of Older Women in the Healthcare System. </w:t>
      </w:r>
      <w:r w:rsidRPr="00B53CC0">
        <w:rPr>
          <w:rFonts w:ascii="Arial" w:hAnsi="Arial" w:cs="Arial"/>
          <w:i/>
          <w:iCs/>
          <w:sz w:val="22"/>
          <w:szCs w:val="22"/>
        </w:rPr>
        <w:t>Journal of Social Issues</w:t>
      </w:r>
      <w:r w:rsidRPr="00B53CC0">
        <w:rPr>
          <w:rFonts w:ascii="Arial" w:hAnsi="Arial" w:cs="Arial"/>
          <w:sz w:val="22"/>
          <w:szCs w:val="22"/>
        </w:rPr>
        <w:t xml:space="preserve">, </w:t>
      </w:r>
      <w:r w:rsidRPr="00B53CC0">
        <w:rPr>
          <w:rFonts w:ascii="Arial" w:hAnsi="Arial" w:cs="Arial"/>
          <w:i/>
          <w:iCs/>
          <w:sz w:val="22"/>
          <w:szCs w:val="22"/>
        </w:rPr>
        <w:t>72</w:t>
      </w:r>
      <w:r w:rsidRPr="00B53CC0">
        <w:rPr>
          <w:rFonts w:ascii="Arial" w:hAnsi="Arial" w:cs="Arial"/>
          <w:sz w:val="22"/>
          <w:szCs w:val="22"/>
        </w:rPr>
        <w:t>(1), 86–104. SPSSI. https://doi.org/10.1111/josi.12157</w:t>
      </w:r>
    </w:p>
    <w:p w14:paraId="1822E617"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Cohn, E. S., Bucolo, D., Pride, M., &amp; Sommers, S. R. (2009). Reducing White Juror Bias: The Role of Race Salience and Racial Attitudes. </w:t>
      </w:r>
      <w:r w:rsidRPr="00B53CC0">
        <w:rPr>
          <w:rFonts w:ascii="Arial" w:hAnsi="Arial" w:cs="Arial"/>
          <w:i/>
          <w:iCs/>
          <w:sz w:val="22"/>
          <w:szCs w:val="22"/>
        </w:rPr>
        <w:t>Journal of Applied Social Psychology</w:t>
      </w:r>
      <w:r w:rsidRPr="00B53CC0">
        <w:rPr>
          <w:rFonts w:ascii="Arial" w:hAnsi="Arial" w:cs="Arial"/>
          <w:sz w:val="22"/>
          <w:szCs w:val="22"/>
        </w:rPr>
        <w:t xml:space="preserve">, </w:t>
      </w:r>
      <w:r w:rsidRPr="00B53CC0">
        <w:rPr>
          <w:rFonts w:ascii="Arial" w:hAnsi="Arial" w:cs="Arial"/>
          <w:i/>
          <w:iCs/>
          <w:sz w:val="22"/>
          <w:szCs w:val="22"/>
        </w:rPr>
        <w:t>39</w:t>
      </w:r>
      <w:r w:rsidRPr="00B53CC0">
        <w:rPr>
          <w:rFonts w:ascii="Arial" w:hAnsi="Arial" w:cs="Arial"/>
          <w:sz w:val="22"/>
          <w:szCs w:val="22"/>
        </w:rPr>
        <w:t>(8), 1953–1973. Wiley Online. https://doi.org/10.1111/j.1559-1816.2009.00511.x</w:t>
      </w:r>
    </w:p>
    <w:p w14:paraId="0DE1B8EE" w14:textId="39EED50B"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Curley, L. J., Munro, J., &amp; Dror, I. E. (2022). Cognitive and human factors in legal layperson decision making: Sources of bias in juror decision making. </w:t>
      </w:r>
      <w:r w:rsidRPr="00B53CC0">
        <w:rPr>
          <w:rFonts w:ascii="Arial" w:hAnsi="Arial" w:cs="Arial"/>
          <w:i/>
          <w:iCs/>
          <w:sz w:val="22"/>
          <w:szCs w:val="22"/>
        </w:rPr>
        <w:t xml:space="preserve">Medicine, </w:t>
      </w:r>
      <w:r w:rsidR="00D94F5C" w:rsidRPr="00B53CC0">
        <w:rPr>
          <w:rFonts w:ascii="Arial" w:hAnsi="Arial" w:cs="Arial"/>
          <w:i/>
          <w:iCs/>
          <w:sz w:val="22"/>
          <w:szCs w:val="22"/>
        </w:rPr>
        <w:t>Science,</w:t>
      </w:r>
      <w:r w:rsidRPr="00B53CC0">
        <w:rPr>
          <w:rFonts w:ascii="Arial" w:hAnsi="Arial" w:cs="Arial"/>
          <w:i/>
          <w:iCs/>
          <w:sz w:val="22"/>
          <w:szCs w:val="22"/>
        </w:rPr>
        <w:t xml:space="preserve"> and the Law</w:t>
      </w:r>
      <w:r w:rsidRPr="00B53CC0">
        <w:rPr>
          <w:rFonts w:ascii="Arial" w:hAnsi="Arial" w:cs="Arial"/>
          <w:sz w:val="22"/>
          <w:szCs w:val="22"/>
        </w:rPr>
        <w:t xml:space="preserve">, </w:t>
      </w:r>
      <w:r w:rsidRPr="00B53CC0">
        <w:rPr>
          <w:rFonts w:ascii="Arial" w:hAnsi="Arial" w:cs="Arial"/>
          <w:i/>
          <w:iCs/>
          <w:sz w:val="22"/>
          <w:szCs w:val="22"/>
        </w:rPr>
        <w:t>62</w:t>
      </w:r>
      <w:r w:rsidRPr="00B53CC0">
        <w:rPr>
          <w:rFonts w:ascii="Arial" w:hAnsi="Arial" w:cs="Arial"/>
          <w:sz w:val="22"/>
          <w:szCs w:val="22"/>
        </w:rPr>
        <w:t>(3), 002580242210806. PubMed Central. https://doi.org/10.1177/00258024221080655</w:t>
      </w:r>
    </w:p>
    <w:p w14:paraId="27803B42" w14:textId="0FADA4CC"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lastRenderedPageBreak/>
        <w:t xml:space="preserve">Cutroni, L., &amp; Anderson, J. (2020). Lady Injustice: The Moderating Effect of Ambivalent Sexism in a Mock Case of Intimate Partner Homicide. </w:t>
      </w:r>
      <w:r w:rsidRPr="00B53CC0">
        <w:rPr>
          <w:rFonts w:ascii="Arial" w:hAnsi="Arial" w:cs="Arial"/>
          <w:i/>
          <w:iCs/>
          <w:sz w:val="22"/>
          <w:szCs w:val="22"/>
        </w:rPr>
        <w:t xml:space="preserve">Criminal Justice and </w:t>
      </w:r>
      <w:r w:rsidR="00FB1F17" w:rsidRPr="00B53CC0">
        <w:rPr>
          <w:rFonts w:ascii="Arial" w:hAnsi="Arial" w:cs="Arial"/>
          <w:i/>
          <w:iCs/>
          <w:sz w:val="22"/>
          <w:szCs w:val="22"/>
        </w:rPr>
        <w:t>Behaviour</w:t>
      </w:r>
      <w:r w:rsidRPr="00B53CC0">
        <w:rPr>
          <w:rFonts w:ascii="Arial" w:hAnsi="Arial" w:cs="Arial"/>
          <w:sz w:val="22"/>
          <w:szCs w:val="22"/>
        </w:rPr>
        <w:t xml:space="preserve">, </w:t>
      </w:r>
      <w:r w:rsidRPr="00B53CC0">
        <w:rPr>
          <w:rFonts w:ascii="Arial" w:hAnsi="Arial" w:cs="Arial"/>
          <w:i/>
          <w:iCs/>
          <w:sz w:val="22"/>
          <w:szCs w:val="22"/>
        </w:rPr>
        <w:t>48</w:t>
      </w:r>
      <w:r w:rsidRPr="00B53CC0">
        <w:rPr>
          <w:rFonts w:ascii="Arial" w:hAnsi="Arial" w:cs="Arial"/>
          <w:sz w:val="22"/>
          <w:szCs w:val="22"/>
        </w:rPr>
        <w:t>(3), 009385482096770. Sage Journals. https://doi.org/10.1177/0093854820967704</w:t>
      </w:r>
    </w:p>
    <w:p w14:paraId="7D6E20AC" w14:textId="0B187F8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Dawson, A. (2022). Curtis </w:t>
      </w:r>
      <w:r w:rsidR="00CE3288" w:rsidRPr="00B53CC0">
        <w:rPr>
          <w:rFonts w:ascii="Arial" w:hAnsi="Arial" w:cs="Arial"/>
          <w:sz w:val="22"/>
          <w:szCs w:val="22"/>
        </w:rPr>
        <w:t>reeves’</w:t>
      </w:r>
      <w:r w:rsidRPr="00B53CC0">
        <w:rPr>
          <w:rFonts w:ascii="Arial" w:hAnsi="Arial" w:cs="Arial"/>
          <w:sz w:val="22"/>
          <w:szCs w:val="22"/>
        </w:rPr>
        <w:t xml:space="preserve"> trial: All you need to know about the Pasco </w:t>
      </w:r>
      <w:r w:rsidR="00FB1F17" w:rsidRPr="00B53CC0">
        <w:rPr>
          <w:rFonts w:ascii="Arial" w:hAnsi="Arial" w:cs="Arial"/>
          <w:sz w:val="22"/>
          <w:szCs w:val="22"/>
        </w:rPr>
        <w:t>theatre</w:t>
      </w:r>
      <w:r w:rsidRPr="00B53CC0">
        <w:rPr>
          <w:rFonts w:ascii="Arial" w:hAnsi="Arial" w:cs="Arial"/>
          <w:sz w:val="22"/>
          <w:szCs w:val="22"/>
        </w:rPr>
        <w:t xml:space="preserve"> shooting. </w:t>
      </w:r>
    </w:p>
    <w:p w14:paraId="04E8748D"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de la Fuente-Núñez, V., Cohn-Schwartz, E., Roy, S., &amp; Ayalon, L. (2021). Scoping Review on Ageism against Younger Populations. </w:t>
      </w:r>
      <w:r w:rsidRPr="00B53CC0">
        <w:rPr>
          <w:rFonts w:ascii="Arial" w:hAnsi="Arial" w:cs="Arial"/>
          <w:i/>
          <w:iCs/>
          <w:sz w:val="22"/>
          <w:szCs w:val="22"/>
        </w:rPr>
        <w:t>International Journal of Environmental Research and Public Health</w:t>
      </w:r>
      <w:r w:rsidRPr="00B53CC0">
        <w:rPr>
          <w:rFonts w:ascii="Arial" w:hAnsi="Arial" w:cs="Arial"/>
          <w:sz w:val="22"/>
          <w:szCs w:val="22"/>
        </w:rPr>
        <w:t xml:space="preserve">, </w:t>
      </w:r>
      <w:r w:rsidRPr="00B53CC0">
        <w:rPr>
          <w:rFonts w:ascii="Arial" w:hAnsi="Arial" w:cs="Arial"/>
          <w:i/>
          <w:iCs/>
          <w:sz w:val="22"/>
          <w:szCs w:val="22"/>
        </w:rPr>
        <w:t>18</w:t>
      </w:r>
      <w:r w:rsidRPr="00B53CC0">
        <w:rPr>
          <w:rFonts w:ascii="Arial" w:hAnsi="Arial" w:cs="Arial"/>
          <w:sz w:val="22"/>
          <w:szCs w:val="22"/>
        </w:rPr>
        <w:t>(8), 3988. PubMed Central. https://doi.org/10.3390/ijerph18083988</w:t>
      </w:r>
    </w:p>
    <w:p w14:paraId="64CC07AF"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Dictionary.com. (2019). </w:t>
      </w:r>
      <w:r w:rsidRPr="00B53CC0">
        <w:rPr>
          <w:rFonts w:ascii="Arial" w:hAnsi="Arial" w:cs="Arial"/>
          <w:i/>
          <w:iCs/>
          <w:sz w:val="22"/>
          <w:szCs w:val="22"/>
        </w:rPr>
        <w:t>the definition of bias</w:t>
      </w:r>
      <w:r w:rsidRPr="00B53CC0">
        <w:rPr>
          <w:rFonts w:ascii="Arial" w:hAnsi="Arial" w:cs="Arial"/>
          <w:sz w:val="22"/>
          <w:szCs w:val="22"/>
        </w:rPr>
        <w:t>. Www.dictionary.com. https://www.dictionary.com/browse/bias</w:t>
      </w:r>
    </w:p>
    <w:p w14:paraId="024FA2D7"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Dionigi, R. A. (2015). Stereotypes of Aging: Their Effects on the Health of Older Adults. </w:t>
      </w:r>
      <w:r w:rsidRPr="00B53CC0">
        <w:rPr>
          <w:rFonts w:ascii="Arial" w:hAnsi="Arial" w:cs="Arial"/>
          <w:i/>
          <w:iCs/>
          <w:sz w:val="22"/>
          <w:szCs w:val="22"/>
        </w:rPr>
        <w:t>Journal of Geriatrics</w:t>
      </w:r>
      <w:r w:rsidRPr="00B53CC0">
        <w:rPr>
          <w:rFonts w:ascii="Arial" w:hAnsi="Arial" w:cs="Arial"/>
          <w:sz w:val="22"/>
          <w:szCs w:val="22"/>
        </w:rPr>
        <w:t xml:space="preserve">, </w:t>
      </w:r>
      <w:r w:rsidRPr="00B53CC0">
        <w:rPr>
          <w:rFonts w:ascii="Arial" w:hAnsi="Arial" w:cs="Arial"/>
          <w:i/>
          <w:iCs/>
          <w:sz w:val="22"/>
          <w:szCs w:val="22"/>
        </w:rPr>
        <w:t>2015</w:t>
      </w:r>
      <w:r w:rsidRPr="00B53CC0">
        <w:rPr>
          <w:rFonts w:ascii="Arial" w:hAnsi="Arial" w:cs="Arial"/>
          <w:sz w:val="22"/>
          <w:szCs w:val="22"/>
        </w:rPr>
        <w:t>(1), 1–9. Hindawi. https://doi.org/10.1155/2015/954027</w:t>
      </w:r>
    </w:p>
    <w:p w14:paraId="4426B28D"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Doerner, J. K., &amp; Demuth, S. (2010). The Independent and Joint Effects of Race/Ethnicity, Gender, and Age on Sentencing Outcomes in U.S. Federal Courts. </w:t>
      </w:r>
      <w:r w:rsidRPr="00B53CC0">
        <w:rPr>
          <w:rFonts w:ascii="Arial" w:hAnsi="Arial" w:cs="Arial"/>
          <w:i/>
          <w:iCs/>
          <w:sz w:val="22"/>
          <w:szCs w:val="22"/>
        </w:rPr>
        <w:t>Justice Quarterly</w:t>
      </w:r>
      <w:r w:rsidRPr="00B53CC0">
        <w:rPr>
          <w:rFonts w:ascii="Arial" w:hAnsi="Arial" w:cs="Arial"/>
          <w:sz w:val="22"/>
          <w:szCs w:val="22"/>
        </w:rPr>
        <w:t xml:space="preserve">, </w:t>
      </w:r>
      <w:r w:rsidRPr="00B53CC0">
        <w:rPr>
          <w:rFonts w:ascii="Arial" w:hAnsi="Arial" w:cs="Arial"/>
          <w:i/>
          <w:iCs/>
          <w:sz w:val="22"/>
          <w:szCs w:val="22"/>
        </w:rPr>
        <w:t>27</w:t>
      </w:r>
      <w:r w:rsidRPr="00B53CC0">
        <w:rPr>
          <w:rFonts w:ascii="Arial" w:hAnsi="Arial" w:cs="Arial"/>
          <w:sz w:val="22"/>
          <w:szCs w:val="22"/>
        </w:rPr>
        <w:t>(1), 1–27. Taylor &amp; Francis Online. https://doi.org/10.1080/07418820902926197</w:t>
      </w:r>
    </w:p>
    <w:p w14:paraId="1B9C97A8"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Doerner, J. K., &amp; Demuth, S. (2012). Gender and Sentencing in the Federal Courts. </w:t>
      </w:r>
      <w:r w:rsidRPr="00B53CC0">
        <w:rPr>
          <w:rFonts w:ascii="Arial" w:hAnsi="Arial" w:cs="Arial"/>
          <w:i/>
          <w:iCs/>
          <w:sz w:val="22"/>
          <w:szCs w:val="22"/>
        </w:rPr>
        <w:t>Criminal Justice Policy Review</w:t>
      </w:r>
      <w:r w:rsidRPr="00B53CC0">
        <w:rPr>
          <w:rFonts w:ascii="Arial" w:hAnsi="Arial" w:cs="Arial"/>
          <w:sz w:val="22"/>
          <w:szCs w:val="22"/>
        </w:rPr>
        <w:t xml:space="preserve">, </w:t>
      </w:r>
      <w:r w:rsidRPr="00B53CC0">
        <w:rPr>
          <w:rFonts w:ascii="Arial" w:hAnsi="Arial" w:cs="Arial"/>
          <w:i/>
          <w:iCs/>
          <w:sz w:val="22"/>
          <w:szCs w:val="22"/>
        </w:rPr>
        <w:t>25</w:t>
      </w:r>
      <w:r w:rsidRPr="00B53CC0">
        <w:rPr>
          <w:rFonts w:ascii="Arial" w:hAnsi="Arial" w:cs="Arial"/>
          <w:sz w:val="22"/>
          <w:szCs w:val="22"/>
        </w:rPr>
        <w:t>(2), 242–269. Sage Journals. https://doi.org/10.1177/0887403412466877</w:t>
      </w:r>
    </w:p>
    <w:p w14:paraId="6172B6A3"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Dovidio, J. F., Kawakami, K., Johnson, C., Johnson, B., &amp; Howard, A. (1997). On the Nature of Prejudice: Automatic and Controlled Processes. </w:t>
      </w:r>
      <w:r w:rsidRPr="00B53CC0">
        <w:rPr>
          <w:rFonts w:ascii="Arial" w:hAnsi="Arial" w:cs="Arial"/>
          <w:i/>
          <w:iCs/>
          <w:sz w:val="22"/>
          <w:szCs w:val="22"/>
        </w:rPr>
        <w:t>Journal of Experimental Social Psychology</w:t>
      </w:r>
      <w:r w:rsidRPr="00B53CC0">
        <w:rPr>
          <w:rFonts w:ascii="Arial" w:hAnsi="Arial" w:cs="Arial"/>
          <w:sz w:val="22"/>
          <w:szCs w:val="22"/>
        </w:rPr>
        <w:t xml:space="preserve">, </w:t>
      </w:r>
      <w:r w:rsidRPr="00B53CC0">
        <w:rPr>
          <w:rFonts w:ascii="Arial" w:hAnsi="Arial" w:cs="Arial"/>
          <w:i/>
          <w:iCs/>
          <w:sz w:val="22"/>
          <w:szCs w:val="22"/>
        </w:rPr>
        <w:t>33</w:t>
      </w:r>
      <w:r w:rsidRPr="00B53CC0">
        <w:rPr>
          <w:rFonts w:ascii="Arial" w:hAnsi="Arial" w:cs="Arial"/>
          <w:sz w:val="22"/>
          <w:szCs w:val="22"/>
        </w:rPr>
        <w:t>(5), 510–540. Science Direct. https://doi.org/10.1006/jesp.1997.1331</w:t>
      </w:r>
    </w:p>
    <w:p w14:paraId="08D5644F"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FEALY, G., McNAMARA, M., TREACY, M. P., &amp; LYONS, I. (2011). Constructing ageing and age identities: a case study of newspaper discourses. </w:t>
      </w:r>
      <w:r w:rsidRPr="00B53CC0">
        <w:rPr>
          <w:rFonts w:ascii="Arial" w:hAnsi="Arial" w:cs="Arial"/>
          <w:i/>
          <w:iCs/>
          <w:sz w:val="22"/>
          <w:szCs w:val="22"/>
        </w:rPr>
        <w:t>Ageing and Society</w:t>
      </w:r>
      <w:r w:rsidRPr="00B53CC0">
        <w:rPr>
          <w:rFonts w:ascii="Arial" w:hAnsi="Arial" w:cs="Arial"/>
          <w:sz w:val="22"/>
          <w:szCs w:val="22"/>
        </w:rPr>
        <w:t xml:space="preserve">, </w:t>
      </w:r>
      <w:r w:rsidRPr="00B53CC0">
        <w:rPr>
          <w:rFonts w:ascii="Arial" w:hAnsi="Arial" w:cs="Arial"/>
          <w:i/>
          <w:iCs/>
          <w:sz w:val="22"/>
          <w:szCs w:val="22"/>
        </w:rPr>
        <w:t>32</w:t>
      </w:r>
      <w:r w:rsidRPr="00B53CC0">
        <w:rPr>
          <w:rFonts w:ascii="Arial" w:hAnsi="Arial" w:cs="Arial"/>
          <w:sz w:val="22"/>
          <w:szCs w:val="22"/>
        </w:rPr>
        <w:t>(01), 85–102. Cambridge University Press. https://doi.org/10.1017/s0144686x11000092</w:t>
      </w:r>
    </w:p>
    <w:p w14:paraId="7D75DD0C"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Fein, S., Morgan, S. J., Norton, M. I., &amp; Sommers, S. R. (1997). Hype and Suspicion: The Effects of Pretrial Publicity, Race, and Suspicion on Jurors’ Verdicts. </w:t>
      </w:r>
      <w:r w:rsidRPr="00B53CC0">
        <w:rPr>
          <w:rFonts w:ascii="Arial" w:hAnsi="Arial" w:cs="Arial"/>
          <w:i/>
          <w:iCs/>
          <w:sz w:val="22"/>
          <w:szCs w:val="22"/>
        </w:rPr>
        <w:t>Journal of Social Issues</w:t>
      </w:r>
      <w:r w:rsidRPr="00B53CC0">
        <w:rPr>
          <w:rFonts w:ascii="Arial" w:hAnsi="Arial" w:cs="Arial"/>
          <w:sz w:val="22"/>
          <w:szCs w:val="22"/>
        </w:rPr>
        <w:t xml:space="preserve">, </w:t>
      </w:r>
      <w:r w:rsidRPr="00B53CC0">
        <w:rPr>
          <w:rFonts w:ascii="Arial" w:hAnsi="Arial" w:cs="Arial"/>
          <w:i/>
          <w:iCs/>
          <w:sz w:val="22"/>
          <w:szCs w:val="22"/>
        </w:rPr>
        <w:t>53</w:t>
      </w:r>
      <w:r w:rsidRPr="00B53CC0">
        <w:rPr>
          <w:rFonts w:ascii="Arial" w:hAnsi="Arial" w:cs="Arial"/>
          <w:sz w:val="22"/>
          <w:szCs w:val="22"/>
        </w:rPr>
        <w:t>(3), 487–502. APA PsycNet. https://doi.org/10.1111/0022-4537.00030</w:t>
      </w:r>
    </w:p>
    <w:p w14:paraId="2DAE17F6"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Finkelstein, L. M., Ryan, K. M., &amp; King, E. B. (2013). What do the young (old) people think of me? Content and accuracy of age-based metastereotypes. </w:t>
      </w:r>
      <w:r w:rsidRPr="00B53CC0">
        <w:rPr>
          <w:rFonts w:ascii="Arial" w:hAnsi="Arial" w:cs="Arial"/>
          <w:i/>
          <w:iCs/>
          <w:sz w:val="22"/>
          <w:szCs w:val="22"/>
        </w:rPr>
        <w:t>European Journal of Work and Organizational Psychology</w:t>
      </w:r>
      <w:r w:rsidRPr="00B53CC0">
        <w:rPr>
          <w:rFonts w:ascii="Arial" w:hAnsi="Arial" w:cs="Arial"/>
          <w:sz w:val="22"/>
          <w:szCs w:val="22"/>
        </w:rPr>
        <w:t xml:space="preserve">, </w:t>
      </w:r>
      <w:r w:rsidRPr="00B53CC0">
        <w:rPr>
          <w:rFonts w:ascii="Arial" w:hAnsi="Arial" w:cs="Arial"/>
          <w:i/>
          <w:iCs/>
          <w:sz w:val="22"/>
          <w:szCs w:val="22"/>
        </w:rPr>
        <w:t>22</w:t>
      </w:r>
      <w:r w:rsidRPr="00B53CC0">
        <w:rPr>
          <w:rFonts w:ascii="Arial" w:hAnsi="Arial" w:cs="Arial"/>
          <w:sz w:val="22"/>
          <w:szCs w:val="22"/>
        </w:rPr>
        <w:t>(6), 633–657. Taylor &amp; Francis Online. https://doi.org/10.1080/1359432x.2012.673279</w:t>
      </w:r>
    </w:p>
    <w:p w14:paraId="0ADA02ED"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Fiske, S. T., Cuddy, A. J. C., Glick, P., &amp; Xu, J. (2002). A model of (often mixed) stereotype content: Competence and warmth respectively follow from perceived status and competition. </w:t>
      </w:r>
      <w:r w:rsidRPr="00B53CC0">
        <w:rPr>
          <w:rFonts w:ascii="Arial" w:hAnsi="Arial" w:cs="Arial"/>
          <w:i/>
          <w:iCs/>
          <w:sz w:val="22"/>
          <w:szCs w:val="22"/>
        </w:rPr>
        <w:t>Journal of Personality and Social Psychology</w:t>
      </w:r>
      <w:r w:rsidRPr="00B53CC0">
        <w:rPr>
          <w:rFonts w:ascii="Arial" w:hAnsi="Arial" w:cs="Arial"/>
          <w:sz w:val="22"/>
          <w:szCs w:val="22"/>
        </w:rPr>
        <w:t xml:space="preserve">, </w:t>
      </w:r>
      <w:r w:rsidRPr="00B53CC0">
        <w:rPr>
          <w:rFonts w:ascii="Arial" w:hAnsi="Arial" w:cs="Arial"/>
          <w:i/>
          <w:iCs/>
          <w:sz w:val="22"/>
          <w:szCs w:val="22"/>
        </w:rPr>
        <w:t>82</w:t>
      </w:r>
      <w:r w:rsidRPr="00B53CC0">
        <w:rPr>
          <w:rFonts w:ascii="Arial" w:hAnsi="Arial" w:cs="Arial"/>
          <w:sz w:val="22"/>
          <w:szCs w:val="22"/>
        </w:rPr>
        <w:t>(6), 878–902. APA PsycNet. https://doi.org/10.1037/0022-3514.82.6.878</w:t>
      </w:r>
    </w:p>
    <w:p w14:paraId="68AEE74E" w14:textId="418904E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Foley, L. A., &amp; Pigott, M. A. (2002). Race, </w:t>
      </w:r>
      <w:r w:rsidR="00CE3288" w:rsidRPr="00B53CC0">
        <w:rPr>
          <w:rFonts w:ascii="Arial" w:hAnsi="Arial" w:cs="Arial"/>
          <w:sz w:val="22"/>
          <w:szCs w:val="22"/>
        </w:rPr>
        <w:t>self-</w:t>
      </w:r>
      <w:r w:rsidR="00D94F5C" w:rsidRPr="00B53CC0">
        <w:rPr>
          <w:rFonts w:ascii="Arial" w:hAnsi="Arial" w:cs="Arial"/>
          <w:sz w:val="22"/>
          <w:szCs w:val="22"/>
        </w:rPr>
        <w:t>presentation,</w:t>
      </w:r>
      <w:r w:rsidRPr="00B53CC0">
        <w:rPr>
          <w:rFonts w:ascii="Arial" w:hAnsi="Arial" w:cs="Arial"/>
          <w:sz w:val="22"/>
          <w:szCs w:val="22"/>
        </w:rPr>
        <w:t xml:space="preserve"> and reverse discrimination in jury decisions. </w:t>
      </w:r>
      <w:r w:rsidRPr="00B53CC0">
        <w:rPr>
          <w:rFonts w:ascii="Arial" w:hAnsi="Arial" w:cs="Arial"/>
          <w:i/>
          <w:iCs/>
          <w:sz w:val="22"/>
          <w:szCs w:val="22"/>
        </w:rPr>
        <w:t>American Journal of Forensic Psychology</w:t>
      </w:r>
      <w:r w:rsidRPr="00B53CC0">
        <w:rPr>
          <w:rFonts w:ascii="Arial" w:hAnsi="Arial" w:cs="Arial"/>
          <w:sz w:val="22"/>
          <w:szCs w:val="22"/>
        </w:rPr>
        <w:t xml:space="preserve">. </w:t>
      </w:r>
    </w:p>
    <w:p w14:paraId="18EC97CB"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Gaertner, S. L., &amp; Dovidio, J. F. (1986). The aversive form of racism. In J. F. Dovidio &amp; S. L. Gaertner (Eds.), </w:t>
      </w:r>
      <w:r w:rsidRPr="00B53CC0">
        <w:rPr>
          <w:rStyle w:val="Emphasis"/>
          <w:rFonts w:ascii="Arial" w:hAnsi="Arial" w:cs="Arial"/>
          <w:sz w:val="22"/>
          <w:szCs w:val="22"/>
        </w:rPr>
        <w:t>Prejudice, discrimination, and racism</w:t>
      </w:r>
      <w:r w:rsidRPr="00B53CC0">
        <w:rPr>
          <w:rFonts w:ascii="Arial" w:hAnsi="Arial" w:cs="Arial"/>
          <w:sz w:val="22"/>
          <w:szCs w:val="22"/>
        </w:rPr>
        <w:t xml:space="preserve"> (pp. 61–89). Academic Press. </w:t>
      </w:r>
    </w:p>
    <w:p w14:paraId="47881545"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Gans, H. M., Horhota, M., &amp; Diehl, M. (2023). Ageism against Older Adults: How do Intersecting Identities Influence Perceptions of Ageist Behaviors? </w:t>
      </w:r>
      <w:r w:rsidRPr="00B53CC0">
        <w:rPr>
          <w:rFonts w:ascii="Arial" w:hAnsi="Arial" w:cs="Arial"/>
          <w:i/>
          <w:iCs/>
          <w:sz w:val="22"/>
          <w:szCs w:val="22"/>
        </w:rPr>
        <w:t xml:space="preserve">Ageism against Older Adults: How Do Intersecting Identities Influence Perceptions of Ageist </w:t>
      </w:r>
      <w:proofErr w:type="gramStart"/>
      <w:r w:rsidRPr="00B53CC0">
        <w:rPr>
          <w:rFonts w:ascii="Arial" w:hAnsi="Arial" w:cs="Arial"/>
          <w:i/>
          <w:iCs/>
          <w:sz w:val="22"/>
          <w:szCs w:val="22"/>
        </w:rPr>
        <w:t>Behaviors?</w:t>
      </w:r>
      <w:r w:rsidRPr="00B53CC0">
        <w:rPr>
          <w:rFonts w:ascii="Arial" w:hAnsi="Arial" w:cs="Arial"/>
          <w:sz w:val="22"/>
          <w:szCs w:val="22"/>
        </w:rPr>
        <w:t>,</w:t>
      </w:r>
      <w:proofErr w:type="gramEnd"/>
      <w:r w:rsidRPr="00B53CC0">
        <w:rPr>
          <w:rFonts w:ascii="Arial" w:hAnsi="Arial" w:cs="Arial"/>
          <w:sz w:val="22"/>
          <w:szCs w:val="22"/>
        </w:rPr>
        <w:t xml:space="preserve"> </w:t>
      </w:r>
      <w:r w:rsidRPr="00B53CC0">
        <w:rPr>
          <w:rFonts w:ascii="Arial" w:hAnsi="Arial" w:cs="Arial"/>
          <w:i/>
          <w:iCs/>
          <w:sz w:val="22"/>
          <w:szCs w:val="22"/>
        </w:rPr>
        <w:t>42</w:t>
      </w:r>
      <w:r w:rsidRPr="00B53CC0">
        <w:rPr>
          <w:rFonts w:ascii="Arial" w:hAnsi="Arial" w:cs="Arial"/>
          <w:sz w:val="22"/>
          <w:szCs w:val="22"/>
        </w:rPr>
        <w:t>(6), 1191–1199. Sage Journals. https://doi.org/10.1177/07334648231161937</w:t>
      </w:r>
    </w:p>
    <w:p w14:paraId="4AA4DFB1"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Iversen, T. N., Larsen, L., &amp; Solem, P. E. (2009). A conceptual analysis of Ageism. </w:t>
      </w:r>
      <w:r w:rsidRPr="00B53CC0">
        <w:rPr>
          <w:rFonts w:ascii="Arial" w:hAnsi="Arial" w:cs="Arial"/>
          <w:i/>
          <w:iCs/>
          <w:sz w:val="22"/>
          <w:szCs w:val="22"/>
        </w:rPr>
        <w:t>Nordic Psychology</w:t>
      </w:r>
      <w:r w:rsidRPr="00B53CC0">
        <w:rPr>
          <w:rFonts w:ascii="Arial" w:hAnsi="Arial" w:cs="Arial"/>
          <w:sz w:val="22"/>
          <w:szCs w:val="22"/>
        </w:rPr>
        <w:t xml:space="preserve">, </w:t>
      </w:r>
      <w:r w:rsidRPr="00B53CC0">
        <w:rPr>
          <w:rFonts w:ascii="Arial" w:hAnsi="Arial" w:cs="Arial"/>
          <w:i/>
          <w:iCs/>
          <w:sz w:val="22"/>
          <w:szCs w:val="22"/>
        </w:rPr>
        <w:t>61</w:t>
      </w:r>
      <w:r w:rsidRPr="00B53CC0">
        <w:rPr>
          <w:rFonts w:ascii="Arial" w:hAnsi="Arial" w:cs="Arial"/>
          <w:sz w:val="22"/>
          <w:szCs w:val="22"/>
        </w:rPr>
        <w:t>(3), 4–22. Taylor &amp; Francis Online. https://doi.org/10.1027/1901-2276.61.3.4</w:t>
      </w:r>
    </w:p>
    <w:p w14:paraId="32266B29"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Jackson, J. D., &amp; Kovalev, N. P. (2006). Lay adjudication and human rights in Europe. </w:t>
      </w:r>
      <w:r w:rsidRPr="00B53CC0">
        <w:rPr>
          <w:rFonts w:ascii="Arial" w:hAnsi="Arial" w:cs="Arial"/>
          <w:i/>
          <w:iCs/>
          <w:sz w:val="22"/>
          <w:szCs w:val="22"/>
        </w:rPr>
        <w:t>Colum. J. Eur. L.</w:t>
      </w:r>
      <w:r w:rsidRPr="00B53CC0">
        <w:rPr>
          <w:rFonts w:ascii="Arial" w:hAnsi="Arial" w:cs="Arial"/>
          <w:sz w:val="22"/>
          <w:szCs w:val="22"/>
        </w:rPr>
        <w:t>, </w:t>
      </w:r>
      <w:r w:rsidRPr="00B53CC0">
        <w:rPr>
          <w:rFonts w:ascii="Arial" w:hAnsi="Arial" w:cs="Arial"/>
          <w:i/>
          <w:iCs/>
          <w:sz w:val="22"/>
          <w:szCs w:val="22"/>
        </w:rPr>
        <w:t>13</w:t>
      </w:r>
      <w:r w:rsidRPr="00B53CC0">
        <w:rPr>
          <w:rFonts w:ascii="Arial" w:hAnsi="Arial" w:cs="Arial"/>
          <w:sz w:val="22"/>
          <w:szCs w:val="22"/>
        </w:rPr>
        <w:t xml:space="preserve">, 83. </w:t>
      </w:r>
    </w:p>
    <w:p w14:paraId="06E9BFEA"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Johnson, J. D., Whitestone, E., Jackson, L. A., &amp; Gatto, L. (1995). Justice is Still Not Colorblind: Differential Racial Effects of Exposure to Inadmissible Evidence. </w:t>
      </w:r>
      <w:r w:rsidRPr="00B53CC0">
        <w:rPr>
          <w:rFonts w:ascii="Arial" w:hAnsi="Arial" w:cs="Arial"/>
          <w:i/>
          <w:iCs/>
          <w:sz w:val="22"/>
          <w:szCs w:val="22"/>
        </w:rPr>
        <w:lastRenderedPageBreak/>
        <w:t>Personality and Social Psychology Bulletin</w:t>
      </w:r>
      <w:r w:rsidRPr="00B53CC0">
        <w:rPr>
          <w:rFonts w:ascii="Arial" w:hAnsi="Arial" w:cs="Arial"/>
          <w:sz w:val="22"/>
          <w:szCs w:val="22"/>
        </w:rPr>
        <w:t xml:space="preserve">, </w:t>
      </w:r>
      <w:r w:rsidRPr="00B53CC0">
        <w:rPr>
          <w:rFonts w:ascii="Arial" w:hAnsi="Arial" w:cs="Arial"/>
          <w:i/>
          <w:iCs/>
          <w:sz w:val="22"/>
          <w:szCs w:val="22"/>
        </w:rPr>
        <w:t>21</w:t>
      </w:r>
      <w:r w:rsidRPr="00B53CC0">
        <w:rPr>
          <w:rFonts w:ascii="Arial" w:hAnsi="Arial" w:cs="Arial"/>
          <w:sz w:val="22"/>
          <w:szCs w:val="22"/>
        </w:rPr>
        <w:t>(9), 893–898. APA PsycNet. https://doi.org/10.1177/0146167295219003</w:t>
      </w:r>
    </w:p>
    <w:p w14:paraId="50743A71"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Kang, H., &amp; Kim, H. (2022). Ageism and Psychological Well-Being among Older Adults: </w:t>
      </w:r>
      <w:proofErr w:type="gramStart"/>
      <w:r w:rsidRPr="00B53CC0">
        <w:rPr>
          <w:rFonts w:ascii="Arial" w:hAnsi="Arial" w:cs="Arial"/>
          <w:sz w:val="22"/>
          <w:szCs w:val="22"/>
        </w:rPr>
        <w:t>a</w:t>
      </w:r>
      <w:proofErr w:type="gramEnd"/>
      <w:r w:rsidRPr="00B53CC0">
        <w:rPr>
          <w:rFonts w:ascii="Arial" w:hAnsi="Arial" w:cs="Arial"/>
          <w:sz w:val="22"/>
          <w:szCs w:val="22"/>
        </w:rPr>
        <w:t xml:space="preserve"> Systematic Review. </w:t>
      </w:r>
      <w:r w:rsidRPr="00B53CC0">
        <w:rPr>
          <w:rFonts w:ascii="Arial" w:hAnsi="Arial" w:cs="Arial"/>
          <w:i/>
          <w:iCs/>
          <w:sz w:val="22"/>
          <w:szCs w:val="22"/>
        </w:rPr>
        <w:t>Gerontology and Geriatric Medicine</w:t>
      </w:r>
      <w:r w:rsidRPr="00B53CC0">
        <w:rPr>
          <w:rFonts w:ascii="Arial" w:hAnsi="Arial" w:cs="Arial"/>
          <w:sz w:val="22"/>
          <w:szCs w:val="22"/>
        </w:rPr>
        <w:t xml:space="preserve">, </w:t>
      </w:r>
      <w:r w:rsidRPr="00B53CC0">
        <w:rPr>
          <w:rFonts w:ascii="Arial" w:hAnsi="Arial" w:cs="Arial"/>
          <w:i/>
          <w:iCs/>
          <w:sz w:val="22"/>
          <w:szCs w:val="22"/>
        </w:rPr>
        <w:t>8</w:t>
      </w:r>
      <w:r w:rsidRPr="00B53CC0">
        <w:rPr>
          <w:rFonts w:ascii="Arial" w:hAnsi="Arial" w:cs="Arial"/>
          <w:sz w:val="22"/>
          <w:szCs w:val="22"/>
        </w:rPr>
        <w:t>(8), 3–11. PubMed Central. https://doi.org/10.1177/23337214221087023</w:t>
      </w:r>
    </w:p>
    <w:p w14:paraId="15F2D101"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Kinder, D. R., &amp; Sears, D. O. (1981). Prejudice and politics: Symbolic racism versus racial threats to the good life. </w:t>
      </w:r>
      <w:r w:rsidRPr="00B53CC0">
        <w:rPr>
          <w:rFonts w:ascii="Arial" w:hAnsi="Arial" w:cs="Arial"/>
          <w:i/>
          <w:iCs/>
          <w:sz w:val="22"/>
          <w:szCs w:val="22"/>
        </w:rPr>
        <w:t>Journal of Personality and Social Psychology</w:t>
      </w:r>
      <w:r w:rsidRPr="00B53CC0">
        <w:rPr>
          <w:rFonts w:ascii="Arial" w:hAnsi="Arial" w:cs="Arial"/>
          <w:sz w:val="22"/>
          <w:szCs w:val="22"/>
        </w:rPr>
        <w:t xml:space="preserve">, </w:t>
      </w:r>
      <w:r w:rsidRPr="00B53CC0">
        <w:rPr>
          <w:rFonts w:ascii="Arial" w:hAnsi="Arial" w:cs="Arial"/>
          <w:i/>
          <w:iCs/>
          <w:sz w:val="22"/>
          <w:szCs w:val="22"/>
        </w:rPr>
        <w:t>40</w:t>
      </w:r>
      <w:r w:rsidRPr="00B53CC0">
        <w:rPr>
          <w:rFonts w:ascii="Arial" w:hAnsi="Arial" w:cs="Arial"/>
          <w:sz w:val="22"/>
          <w:szCs w:val="22"/>
        </w:rPr>
        <w:t>(3), 414–431. APA PsycNet. https://doi.org/10.1037/0022-3514.40.3.414</w:t>
      </w:r>
    </w:p>
    <w:p w14:paraId="1F48BF93"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Kirshenbaum, J. M., &amp; Miller, M. K. (2020). Judges’ experiences with mitigating jurors’ implicit biases. </w:t>
      </w:r>
      <w:r w:rsidRPr="00B53CC0">
        <w:rPr>
          <w:rFonts w:ascii="Arial" w:hAnsi="Arial" w:cs="Arial"/>
          <w:i/>
          <w:iCs/>
          <w:sz w:val="22"/>
          <w:szCs w:val="22"/>
        </w:rPr>
        <w:t>Psychiatry, Psychology and Law</w:t>
      </w:r>
      <w:r w:rsidRPr="00B53CC0">
        <w:rPr>
          <w:rFonts w:ascii="Arial" w:hAnsi="Arial" w:cs="Arial"/>
          <w:sz w:val="22"/>
          <w:szCs w:val="22"/>
        </w:rPr>
        <w:t xml:space="preserve">, </w:t>
      </w:r>
      <w:r w:rsidRPr="00B53CC0">
        <w:rPr>
          <w:rFonts w:ascii="Arial" w:hAnsi="Arial" w:cs="Arial"/>
          <w:i/>
          <w:iCs/>
          <w:sz w:val="22"/>
          <w:szCs w:val="22"/>
        </w:rPr>
        <w:t>28</w:t>
      </w:r>
      <w:r w:rsidRPr="00B53CC0">
        <w:rPr>
          <w:rFonts w:ascii="Arial" w:hAnsi="Arial" w:cs="Arial"/>
          <w:sz w:val="22"/>
          <w:szCs w:val="22"/>
        </w:rPr>
        <w:t>(5), 1–11. PubMed central. https://doi.org/10.1080/13218719.2020.1837029</w:t>
      </w:r>
    </w:p>
    <w:p w14:paraId="44EA2452"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Koskinen, S., Salminen, L., &amp; Leino-Kilpi, H. (2014). Media portrayal of older people as illustrated in Finnish newspapers. </w:t>
      </w:r>
      <w:r w:rsidRPr="00B53CC0">
        <w:rPr>
          <w:rFonts w:ascii="Arial" w:hAnsi="Arial" w:cs="Arial"/>
          <w:i/>
          <w:iCs/>
          <w:sz w:val="22"/>
          <w:szCs w:val="22"/>
        </w:rPr>
        <w:t>International Journal of Qualitative Studies on Health and Well-Being</w:t>
      </w:r>
      <w:r w:rsidRPr="00B53CC0">
        <w:rPr>
          <w:rFonts w:ascii="Arial" w:hAnsi="Arial" w:cs="Arial"/>
          <w:sz w:val="22"/>
          <w:szCs w:val="22"/>
        </w:rPr>
        <w:t xml:space="preserve">, </w:t>
      </w:r>
      <w:r w:rsidRPr="00B53CC0">
        <w:rPr>
          <w:rFonts w:ascii="Arial" w:hAnsi="Arial" w:cs="Arial"/>
          <w:i/>
          <w:iCs/>
          <w:sz w:val="22"/>
          <w:szCs w:val="22"/>
        </w:rPr>
        <w:t>9</w:t>
      </w:r>
      <w:r w:rsidRPr="00B53CC0">
        <w:rPr>
          <w:rFonts w:ascii="Arial" w:hAnsi="Arial" w:cs="Arial"/>
          <w:sz w:val="22"/>
          <w:szCs w:val="22"/>
        </w:rPr>
        <w:t>(1), 25304. Taylor &amp; Francis Online. https://doi.org/10.3402/qhw.v9.25304</w:t>
      </w:r>
    </w:p>
    <w:p w14:paraId="65804749"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Kothari, C. L., Butkiewicz, R., Williams, E. R., Jacobson, C., Morse, D. S., &amp; Cerulli, C. (2014). Does gender matter? Exploring mental health recovery court legal and health outcomes. </w:t>
      </w:r>
      <w:r w:rsidRPr="00B53CC0">
        <w:rPr>
          <w:rFonts w:ascii="Arial" w:hAnsi="Arial" w:cs="Arial"/>
          <w:i/>
          <w:iCs/>
          <w:sz w:val="22"/>
          <w:szCs w:val="22"/>
        </w:rPr>
        <w:t>Health &amp; Justice</w:t>
      </w:r>
      <w:r w:rsidRPr="00B53CC0">
        <w:rPr>
          <w:rFonts w:ascii="Arial" w:hAnsi="Arial" w:cs="Arial"/>
          <w:sz w:val="22"/>
          <w:szCs w:val="22"/>
        </w:rPr>
        <w:t xml:space="preserve">, </w:t>
      </w:r>
      <w:r w:rsidRPr="00B53CC0">
        <w:rPr>
          <w:rFonts w:ascii="Arial" w:hAnsi="Arial" w:cs="Arial"/>
          <w:i/>
          <w:iCs/>
          <w:sz w:val="22"/>
          <w:szCs w:val="22"/>
        </w:rPr>
        <w:t>2</w:t>
      </w:r>
      <w:r w:rsidRPr="00B53CC0">
        <w:rPr>
          <w:rFonts w:ascii="Arial" w:hAnsi="Arial" w:cs="Arial"/>
          <w:sz w:val="22"/>
          <w:szCs w:val="22"/>
        </w:rPr>
        <w:t>(1), 60–87. SpringerLink. https://doi.org/10.1186/s40352-014-0012-0</w:t>
      </w:r>
    </w:p>
    <w:p w14:paraId="053BB223"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Lenhart, S. (1993). Gender discrimination: a health and career development problem for women physicians. </w:t>
      </w:r>
      <w:r w:rsidRPr="00B53CC0">
        <w:rPr>
          <w:rFonts w:ascii="Arial" w:hAnsi="Arial" w:cs="Arial"/>
          <w:i/>
          <w:iCs/>
          <w:sz w:val="22"/>
          <w:szCs w:val="22"/>
        </w:rPr>
        <w:t>Journal of the American Medical Women’s Association (1972)</w:t>
      </w:r>
      <w:r w:rsidRPr="00B53CC0">
        <w:rPr>
          <w:rFonts w:ascii="Arial" w:hAnsi="Arial" w:cs="Arial"/>
          <w:sz w:val="22"/>
          <w:szCs w:val="22"/>
        </w:rPr>
        <w:t xml:space="preserve">, </w:t>
      </w:r>
      <w:r w:rsidRPr="00B53CC0">
        <w:rPr>
          <w:rFonts w:ascii="Arial" w:hAnsi="Arial" w:cs="Arial"/>
          <w:i/>
          <w:iCs/>
          <w:sz w:val="22"/>
          <w:szCs w:val="22"/>
        </w:rPr>
        <w:t>48</w:t>
      </w:r>
      <w:r w:rsidRPr="00B53CC0">
        <w:rPr>
          <w:rFonts w:ascii="Arial" w:hAnsi="Arial" w:cs="Arial"/>
          <w:sz w:val="22"/>
          <w:szCs w:val="22"/>
        </w:rPr>
        <w:t>(5), 155–159. PubMed. https://doi.org/10678206</w:t>
      </w:r>
    </w:p>
    <w:p w14:paraId="5E2D8A6E"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Levinson, J. D., Cai, H., &amp; Young, D. (2011). </w:t>
      </w:r>
      <w:r w:rsidRPr="00B53CC0">
        <w:rPr>
          <w:rFonts w:ascii="Arial" w:hAnsi="Arial" w:cs="Arial"/>
          <w:i/>
          <w:iCs/>
          <w:sz w:val="22"/>
          <w:szCs w:val="22"/>
        </w:rPr>
        <w:t>Guilty by Implicit Racial Bias: The Guilty/Not Guilty Implicit Association Test</w:t>
      </w:r>
      <w:r w:rsidRPr="00B53CC0">
        <w:rPr>
          <w:rFonts w:ascii="Arial" w:hAnsi="Arial" w:cs="Arial"/>
          <w:sz w:val="22"/>
          <w:szCs w:val="22"/>
        </w:rPr>
        <w:t xml:space="preserve"> (pp. 1–187) [Dissertation]. https://heinonline.org/HOL/LandingPage?handle=hein.journals/osjcl8&amp;div=12&amp;id=&amp;page=</w:t>
      </w:r>
    </w:p>
    <w:p w14:paraId="14249420"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Liang, J., Crowther, T. W., Picard, N., Wiser, S., Zhou, M., Alberti, G., Schulze, E.-D., McGuire, A. D., Bozzato, F., Pretzsch, H., de-Miguel, S., Paquette, A., Hérault, B., Scherer-Lorenzen, M., Barrett, C. B., Glick, H. B., Hengeveld, G. M., Nabuurs, G.-J., Pfautsch, S., &amp; Viana, H. (2016). Positive biodiversity-productivity relationship predominant in global forests. </w:t>
      </w:r>
      <w:r w:rsidRPr="00B53CC0">
        <w:rPr>
          <w:rFonts w:ascii="Arial" w:hAnsi="Arial" w:cs="Arial"/>
          <w:i/>
          <w:iCs/>
          <w:sz w:val="22"/>
          <w:szCs w:val="22"/>
        </w:rPr>
        <w:t>Science</w:t>
      </w:r>
      <w:r w:rsidRPr="00B53CC0">
        <w:rPr>
          <w:rFonts w:ascii="Arial" w:hAnsi="Arial" w:cs="Arial"/>
          <w:sz w:val="22"/>
          <w:szCs w:val="22"/>
        </w:rPr>
        <w:t xml:space="preserve">, </w:t>
      </w:r>
      <w:r w:rsidRPr="00B53CC0">
        <w:rPr>
          <w:rFonts w:ascii="Arial" w:hAnsi="Arial" w:cs="Arial"/>
          <w:i/>
          <w:iCs/>
          <w:sz w:val="22"/>
          <w:szCs w:val="22"/>
        </w:rPr>
        <w:t>354</w:t>
      </w:r>
      <w:r w:rsidRPr="00B53CC0">
        <w:rPr>
          <w:rFonts w:ascii="Arial" w:hAnsi="Arial" w:cs="Arial"/>
          <w:sz w:val="22"/>
          <w:szCs w:val="22"/>
        </w:rPr>
        <w:t>(6309). Science. https://doi.org/10.1126/science.aaf8957</w:t>
      </w:r>
    </w:p>
    <w:p w14:paraId="5A535442" w14:textId="5AA1B725"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LORETTO, W., DUNCAN, C., &amp; WHITE, P. J. (2000). Ageism and employment: controversies, </w:t>
      </w:r>
      <w:r w:rsidR="00D94F5C" w:rsidRPr="00B53CC0">
        <w:rPr>
          <w:rFonts w:ascii="Arial" w:hAnsi="Arial" w:cs="Arial"/>
          <w:sz w:val="22"/>
          <w:szCs w:val="22"/>
        </w:rPr>
        <w:t>ambiguities,</w:t>
      </w:r>
      <w:r w:rsidRPr="00B53CC0">
        <w:rPr>
          <w:rFonts w:ascii="Arial" w:hAnsi="Arial" w:cs="Arial"/>
          <w:sz w:val="22"/>
          <w:szCs w:val="22"/>
        </w:rPr>
        <w:t xml:space="preserve"> and younger people’s perceptions. </w:t>
      </w:r>
      <w:r w:rsidRPr="00B53CC0">
        <w:rPr>
          <w:rFonts w:ascii="Arial" w:hAnsi="Arial" w:cs="Arial"/>
          <w:i/>
          <w:iCs/>
          <w:sz w:val="22"/>
          <w:szCs w:val="22"/>
        </w:rPr>
        <w:t>Ageing and Society</w:t>
      </w:r>
      <w:r w:rsidRPr="00B53CC0">
        <w:rPr>
          <w:rFonts w:ascii="Arial" w:hAnsi="Arial" w:cs="Arial"/>
          <w:sz w:val="22"/>
          <w:szCs w:val="22"/>
        </w:rPr>
        <w:t xml:space="preserve">, </w:t>
      </w:r>
      <w:r w:rsidRPr="00B53CC0">
        <w:rPr>
          <w:rFonts w:ascii="Arial" w:hAnsi="Arial" w:cs="Arial"/>
          <w:i/>
          <w:iCs/>
          <w:sz w:val="22"/>
          <w:szCs w:val="22"/>
        </w:rPr>
        <w:t>20</w:t>
      </w:r>
      <w:r w:rsidRPr="00B53CC0">
        <w:rPr>
          <w:rFonts w:ascii="Arial" w:hAnsi="Arial" w:cs="Arial"/>
          <w:sz w:val="22"/>
          <w:szCs w:val="22"/>
        </w:rPr>
        <w:t>(3), 279–302. Cambridge University press. https://doi.org/10.1017/s0144686x00007741</w:t>
      </w:r>
    </w:p>
    <w:p w14:paraId="49D45080"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Marchiondo, L. A., Gonzales, E., &amp; Williams, L. J. (2017). Trajectories of Perceived Workplace Age Discrimination and Long-Term Associations </w:t>
      </w:r>
      <w:proofErr w:type="gramStart"/>
      <w:r w:rsidRPr="00B53CC0">
        <w:rPr>
          <w:rFonts w:ascii="Arial" w:hAnsi="Arial" w:cs="Arial"/>
          <w:sz w:val="22"/>
          <w:szCs w:val="22"/>
        </w:rPr>
        <w:t>With</w:t>
      </w:r>
      <w:proofErr w:type="gramEnd"/>
      <w:r w:rsidRPr="00B53CC0">
        <w:rPr>
          <w:rFonts w:ascii="Arial" w:hAnsi="Arial" w:cs="Arial"/>
          <w:sz w:val="22"/>
          <w:szCs w:val="22"/>
        </w:rPr>
        <w:t xml:space="preserve"> Mental, Self-Rated, and Occupational Health. </w:t>
      </w:r>
      <w:r w:rsidRPr="00B53CC0">
        <w:rPr>
          <w:rFonts w:ascii="Arial" w:hAnsi="Arial" w:cs="Arial"/>
          <w:i/>
          <w:iCs/>
          <w:sz w:val="22"/>
          <w:szCs w:val="22"/>
        </w:rPr>
        <w:t>The Journals of Gerontology: Series B</w:t>
      </w:r>
      <w:r w:rsidRPr="00B53CC0">
        <w:rPr>
          <w:rFonts w:ascii="Arial" w:hAnsi="Arial" w:cs="Arial"/>
          <w:sz w:val="22"/>
          <w:szCs w:val="22"/>
        </w:rPr>
        <w:t xml:space="preserve">, </w:t>
      </w:r>
      <w:r w:rsidRPr="00B53CC0">
        <w:rPr>
          <w:rFonts w:ascii="Arial" w:hAnsi="Arial" w:cs="Arial"/>
          <w:i/>
          <w:iCs/>
          <w:sz w:val="22"/>
          <w:szCs w:val="22"/>
        </w:rPr>
        <w:t>74</w:t>
      </w:r>
      <w:r w:rsidRPr="00B53CC0">
        <w:rPr>
          <w:rFonts w:ascii="Arial" w:hAnsi="Arial" w:cs="Arial"/>
          <w:sz w:val="22"/>
          <w:szCs w:val="22"/>
        </w:rPr>
        <w:t>(4), 655–663. Oxford Academic. https://doi.org/10.1093/geronb/gbx095</w:t>
      </w:r>
    </w:p>
    <w:p w14:paraId="7121273F"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Mitchell, T. L., Haw, R. M., Pfeifer, J. E., &amp; Meissner, C. A. (2005). Racial Bias in Mock Juror Decision-Making: A Meta-Analytic Review of Defendant Treatment. </w:t>
      </w:r>
      <w:r w:rsidRPr="00B53CC0">
        <w:rPr>
          <w:rFonts w:ascii="Arial" w:hAnsi="Arial" w:cs="Arial"/>
          <w:i/>
          <w:iCs/>
          <w:sz w:val="22"/>
          <w:szCs w:val="22"/>
        </w:rPr>
        <w:t>Law and Human Behavior</w:t>
      </w:r>
      <w:r w:rsidRPr="00B53CC0">
        <w:rPr>
          <w:rFonts w:ascii="Arial" w:hAnsi="Arial" w:cs="Arial"/>
          <w:sz w:val="22"/>
          <w:szCs w:val="22"/>
        </w:rPr>
        <w:t xml:space="preserve">, </w:t>
      </w:r>
      <w:r w:rsidRPr="00B53CC0">
        <w:rPr>
          <w:rFonts w:ascii="Arial" w:hAnsi="Arial" w:cs="Arial"/>
          <w:i/>
          <w:iCs/>
          <w:sz w:val="22"/>
          <w:szCs w:val="22"/>
        </w:rPr>
        <w:t>29</w:t>
      </w:r>
      <w:r w:rsidRPr="00B53CC0">
        <w:rPr>
          <w:rFonts w:ascii="Arial" w:hAnsi="Arial" w:cs="Arial"/>
          <w:sz w:val="22"/>
          <w:szCs w:val="22"/>
        </w:rPr>
        <w:t>(6), 621–637. Springer Link. https://doi.org/10.1007/s10979-005-8122-9</w:t>
      </w:r>
    </w:p>
    <w:p w14:paraId="1FEB998B"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Moore, A. (2018). “I Knew You Were Trouble”: Considering Childism(s), Shame Resilience, and Adult Caretaker Characters Surrounding YA Rape Survivor Protagonists. </w:t>
      </w:r>
      <w:r w:rsidRPr="00B53CC0">
        <w:rPr>
          <w:rFonts w:ascii="Arial" w:hAnsi="Arial" w:cs="Arial"/>
          <w:i/>
          <w:iCs/>
          <w:sz w:val="22"/>
          <w:szCs w:val="22"/>
        </w:rPr>
        <w:t>New Review of Children’s Literature and Librarianship</w:t>
      </w:r>
      <w:r w:rsidRPr="00B53CC0">
        <w:rPr>
          <w:rFonts w:ascii="Arial" w:hAnsi="Arial" w:cs="Arial"/>
          <w:sz w:val="22"/>
          <w:szCs w:val="22"/>
        </w:rPr>
        <w:t xml:space="preserve">, </w:t>
      </w:r>
      <w:r w:rsidRPr="00B53CC0">
        <w:rPr>
          <w:rFonts w:ascii="Arial" w:hAnsi="Arial" w:cs="Arial"/>
          <w:i/>
          <w:iCs/>
          <w:sz w:val="22"/>
          <w:szCs w:val="22"/>
        </w:rPr>
        <w:t>24</w:t>
      </w:r>
      <w:r w:rsidRPr="00B53CC0">
        <w:rPr>
          <w:rFonts w:ascii="Arial" w:hAnsi="Arial" w:cs="Arial"/>
          <w:sz w:val="22"/>
          <w:szCs w:val="22"/>
        </w:rPr>
        <w:t>(2), 144–166. Taylor &amp; Francis Online. https://doi.org/10.1080/13614541.2018.1535778</w:t>
      </w:r>
    </w:p>
    <w:p w14:paraId="2C6E3480"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Mustard, David B. (2001). Racial, Ethnic, and Gender Disparities in Sentencing: Evidence from the U.S. Federal Courts. </w:t>
      </w:r>
      <w:r w:rsidRPr="00B53CC0">
        <w:rPr>
          <w:rFonts w:ascii="Arial" w:hAnsi="Arial" w:cs="Arial"/>
          <w:i/>
          <w:iCs/>
          <w:sz w:val="22"/>
          <w:szCs w:val="22"/>
        </w:rPr>
        <w:t>The Journal of Law and Economics</w:t>
      </w:r>
      <w:r w:rsidRPr="00B53CC0">
        <w:rPr>
          <w:rFonts w:ascii="Arial" w:hAnsi="Arial" w:cs="Arial"/>
          <w:sz w:val="22"/>
          <w:szCs w:val="22"/>
        </w:rPr>
        <w:t xml:space="preserve">, </w:t>
      </w:r>
      <w:r w:rsidRPr="00B53CC0">
        <w:rPr>
          <w:rFonts w:ascii="Arial" w:hAnsi="Arial" w:cs="Arial"/>
          <w:i/>
          <w:iCs/>
          <w:sz w:val="22"/>
          <w:szCs w:val="22"/>
        </w:rPr>
        <w:t>44</w:t>
      </w:r>
      <w:r w:rsidRPr="00B53CC0">
        <w:rPr>
          <w:rFonts w:ascii="Arial" w:hAnsi="Arial" w:cs="Arial"/>
          <w:sz w:val="22"/>
          <w:szCs w:val="22"/>
        </w:rPr>
        <w:t>(1), 285–314. The University of Chicago press journals. https://doi.org/10.1086/320276</w:t>
      </w:r>
    </w:p>
    <w:p w14:paraId="1AE0E586"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Pannucci, C. J., &amp; Wilkins, E. G. (2011). Identifying and Avoiding Bias in Research. </w:t>
      </w:r>
      <w:r w:rsidRPr="00B53CC0">
        <w:rPr>
          <w:rFonts w:ascii="Arial" w:hAnsi="Arial" w:cs="Arial"/>
          <w:i/>
          <w:iCs/>
          <w:sz w:val="22"/>
          <w:szCs w:val="22"/>
        </w:rPr>
        <w:t>Plastic and Reconstructive Surgery</w:t>
      </w:r>
      <w:r w:rsidRPr="00B53CC0">
        <w:rPr>
          <w:rFonts w:ascii="Arial" w:hAnsi="Arial" w:cs="Arial"/>
          <w:sz w:val="22"/>
          <w:szCs w:val="22"/>
        </w:rPr>
        <w:t xml:space="preserve">, </w:t>
      </w:r>
      <w:r w:rsidRPr="00B53CC0">
        <w:rPr>
          <w:rFonts w:ascii="Arial" w:hAnsi="Arial" w:cs="Arial"/>
          <w:i/>
          <w:iCs/>
          <w:sz w:val="22"/>
          <w:szCs w:val="22"/>
        </w:rPr>
        <w:t>126</w:t>
      </w:r>
      <w:r w:rsidRPr="00B53CC0">
        <w:rPr>
          <w:rFonts w:ascii="Arial" w:hAnsi="Arial" w:cs="Arial"/>
          <w:sz w:val="22"/>
          <w:szCs w:val="22"/>
        </w:rPr>
        <w:t>(2), 619–625. https://doi.org/10.1097/prs.0b013e3181de24bc</w:t>
      </w:r>
    </w:p>
    <w:p w14:paraId="40D2030C"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lastRenderedPageBreak/>
        <w:t xml:space="preserve">Pfeifer, J. E., &amp; Ogloff, J. R. P. (1991). Ambiguity and Guilt Determinations: A Modern Racism Perspective1. </w:t>
      </w:r>
      <w:r w:rsidRPr="00B53CC0">
        <w:rPr>
          <w:rFonts w:ascii="Arial" w:hAnsi="Arial" w:cs="Arial"/>
          <w:i/>
          <w:iCs/>
          <w:sz w:val="22"/>
          <w:szCs w:val="22"/>
        </w:rPr>
        <w:t>Journal of Applied Social Psychology</w:t>
      </w:r>
      <w:r w:rsidRPr="00B53CC0">
        <w:rPr>
          <w:rFonts w:ascii="Arial" w:hAnsi="Arial" w:cs="Arial"/>
          <w:sz w:val="22"/>
          <w:szCs w:val="22"/>
        </w:rPr>
        <w:t xml:space="preserve">, </w:t>
      </w:r>
      <w:r w:rsidRPr="00B53CC0">
        <w:rPr>
          <w:rFonts w:ascii="Arial" w:hAnsi="Arial" w:cs="Arial"/>
          <w:i/>
          <w:iCs/>
          <w:sz w:val="22"/>
          <w:szCs w:val="22"/>
        </w:rPr>
        <w:t>21</w:t>
      </w:r>
      <w:r w:rsidRPr="00B53CC0">
        <w:rPr>
          <w:rFonts w:ascii="Arial" w:hAnsi="Arial" w:cs="Arial"/>
          <w:sz w:val="22"/>
          <w:szCs w:val="22"/>
        </w:rPr>
        <w:t>(21), 1713–1725. Wiley Online. https://doi.org/10.1111/j.1559-1816.1991.tb00500.x</w:t>
      </w:r>
    </w:p>
    <w:p w14:paraId="53CBB422"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Pritchard-Jones, L. (2016). The good, the bad, and the “vulnerable older adult.” </w:t>
      </w:r>
      <w:r w:rsidRPr="00B53CC0">
        <w:rPr>
          <w:rFonts w:ascii="Arial" w:hAnsi="Arial" w:cs="Arial"/>
          <w:i/>
          <w:iCs/>
          <w:sz w:val="22"/>
          <w:szCs w:val="22"/>
        </w:rPr>
        <w:t>Journal of Social Welfare and Family Law</w:t>
      </w:r>
      <w:r w:rsidRPr="00B53CC0">
        <w:rPr>
          <w:rFonts w:ascii="Arial" w:hAnsi="Arial" w:cs="Arial"/>
          <w:sz w:val="22"/>
          <w:szCs w:val="22"/>
        </w:rPr>
        <w:t xml:space="preserve">, </w:t>
      </w:r>
      <w:r w:rsidRPr="00B53CC0">
        <w:rPr>
          <w:rFonts w:ascii="Arial" w:hAnsi="Arial" w:cs="Arial"/>
          <w:i/>
          <w:iCs/>
          <w:sz w:val="22"/>
          <w:szCs w:val="22"/>
        </w:rPr>
        <w:t>38</w:t>
      </w:r>
      <w:r w:rsidRPr="00B53CC0">
        <w:rPr>
          <w:rFonts w:ascii="Arial" w:hAnsi="Arial" w:cs="Arial"/>
          <w:sz w:val="22"/>
          <w:szCs w:val="22"/>
        </w:rPr>
        <w:t>(1), 51–72. Taylor &amp; Francis Online. https://doi.org/10.1080/09649069.2016.1145838</w:t>
      </w:r>
    </w:p>
    <w:p w14:paraId="48CA4ED9"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Raymer, M., Reed, M., Spiegel, M., &amp; Purvanova, R. K. (2017). An examination of generational stereotypes as a path towards reverse ageism. </w:t>
      </w:r>
      <w:r w:rsidRPr="00B53CC0">
        <w:rPr>
          <w:rFonts w:ascii="Arial" w:hAnsi="Arial" w:cs="Arial"/>
          <w:i/>
          <w:iCs/>
          <w:sz w:val="22"/>
          <w:szCs w:val="22"/>
        </w:rPr>
        <w:t>The Psychologist-Manager Journal</w:t>
      </w:r>
      <w:r w:rsidRPr="00B53CC0">
        <w:rPr>
          <w:rFonts w:ascii="Arial" w:hAnsi="Arial" w:cs="Arial"/>
          <w:sz w:val="22"/>
          <w:szCs w:val="22"/>
        </w:rPr>
        <w:t xml:space="preserve">, </w:t>
      </w:r>
      <w:r w:rsidRPr="00B53CC0">
        <w:rPr>
          <w:rFonts w:ascii="Arial" w:hAnsi="Arial" w:cs="Arial"/>
          <w:i/>
          <w:iCs/>
          <w:sz w:val="22"/>
          <w:szCs w:val="22"/>
        </w:rPr>
        <w:t>20</w:t>
      </w:r>
      <w:r w:rsidRPr="00B53CC0">
        <w:rPr>
          <w:rFonts w:ascii="Arial" w:hAnsi="Arial" w:cs="Arial"/>
          <w:sz w:val="22"/>
          <w:szCs w:val="22"/>
        </w:rPr>
        <w:t>(3), 148–175. APA PsycNet. https://doi.org/10.1037/mgr0000057</w:t>
      </w:r>
    </w:p>
    <w:p w14:paraId="143FB426"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Ruiz-Cantero, M. T., Vives-Cases, C., Artazcoz, L., Delgado, A., Garcia Calvente, M. d. M., Miqueo, C., Montero, I., Ortiz, R., Ronda, E., Ruiz, I., &amp; Valls, C. (2007). A framework to analyse gender bias in epidemiological research. </w:t>
      </w:r>
      <w:r w:rsidRPr="00B53CC0">
        <w:rPr>
          <w:rFonts w:ascii="Arial" w:hAnsi="Arial" w:cs="Arial"/>
          <w:i/>
          <w:iCs/>
          <w:sz w:val="22"/>
          <w:szCs w:val="22"/>
        </w:rPr>
        <w:t>Journal of Epidemiology &amp; Community Health</w:t>
      </w:r>
      <w:r w:rsidRPr="00B53CC0">
        <w:rPr>
          <w:rFonts w:ascii="Arial" w:hAnsi="Arial" w:cs="Arial"/>
          <w:sz w:val="22"/>
          <w:szCs w:val="22"/>
        </w:rPr>
        <w:t xml:space="preserve">, </w:t>
      </w:r>
      <w:r w:rsidRPr="00B53CC0">
        <w:rPr>
          <w:rFonts w:ascii="Arial" w:hAnsi="Arial" w:cs="Arial"/>
          <w:i/>
          <w:iCs/>
          <w:sz w:val="22"/>
          <w:szCs w:val="22"/>
        </w:rPr>
        <w:t>61</w:t>
      </w:r>
      <w:r w:rsidRPr="00B53CC0">
        <w:rPr>
          <w:rFonts w:ascii="Arial" w:hAnsi="Arial" w:cs="Arial"/>
          <w:sz w:val="22"/>
          <w:szCs w:val="22"/>
        </w:rPr>
        <w:t>(Supplement 2), ii46–ii53. PubMed Central. https://doi.org/10.1136/jech.2007.062034</w:t>
      </w:r>
    </w:p>
    <w:p w14:paraId="6AEEDD0F"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Ruva, C. L., Smith, K. D., &amp; Sykes, E. C. (2023). Gender, Generations, and Guilt: Defendant Gender and Age Affect Jurors’ Decisions and Perceptions in an Intimate Partner Homicide Trial. </w:t>
      </w:r>
      <w:r w:rsidRPr="00B53CC0">
        <w:rPr>
          <w:rFonts w:ascii="Arial" w:hAnsi="Arial" w:cs="Arial"/>
          <w:i/>
          <w:iCs/>
          <w:sz w:val="22"/>
          <w:szCs w:val="22"/>
        </w:rPr>
        <w:t>Journal of Interpersonal Violence</w:t>
      </w:r>
      <w:r w:rsidRPr="00B53CC0">
        <w:rPr>
          <w:rFonts w:ascii="Arial" w:hAnsi="Arial" w:cs="Arial"/>
          <w:sz w:val="22"/>
          <w:szCs w:val="22"/>
        </w:rPr>
        <w:t xml:space="preserve">, </w:t>
      </w:r>
      <w:r w:rsidRPr="00B53CC0">
        <w:rPr>
          <w:rFonts w:ascii="Arial" w:hAnsi="Arial" w:cs="Arial"/>
          <w:i/>
          <w:iCs/>
          <w:sz w:val="22"/>
          <w:szCs w:val="22"/>
        </w:rPr>
        <w:t>1</w:t>
      </w:r>
      <w:r w:rsidRPr="00B53CC0">
        <w:rPr>
          <w:rFonts w:ascii="Arial" w:hAnsi="Arial" w:cs="Arial"/>
          <w:sz w:val="22"/>
          <w:szCs w:val="22"/>
        </w:rPr>
        <w:t>(1), 1–25. Sage Journals. https://doi.org/10.1177/08862605231191227</w:t>
      </w:r>
    </w:p>
    <w:p w14:paraId="68A37EAF"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Sargent-Cox, K. A., Anstey, K. J., &amp; Luszcz, M. A. (2012). The relationship between change in self-perceptions of aging and physical functioning in older adults. </w:t>
      </w:r>
      <w:r w:rsidRPr="00B53CC0">
        <w:rPr>
          <w:rFonts w:ascii="Arial" w:hAnsi="Arial" w:cs="Arial"/>
          <w:i/>
          <w:iCs/>
          <w:sz w:val="22"/>
          <w:szCs w:val="22"/>
        </w:rPr>
        <w:t>Psychology and Aging</w:t>
      </w:r>
      <w:r w:rsidRPr="00B53CC0">
        <w:rPr>
          <w:rFonts w:ascii="Arial" w:hAnsi="Arial" w:cs="Arial"/>
          <w:sz w:val="22"/>
          <w:szCs w:val="22"/>
        </w:rPr>
        <w:t xml:space="preserve">, </w:t>
      </w:r>
      <w:r w:rsidRPr="00B53CC0">
        <w:rPr>
          <w:rFonts w:ascii="Arial" w:hAnsi="Arial" w:cs="Arial"/>
          <w:i/>
          <w:iCs/>
          <w:sz w:val="22"/>
          <w:szCs w:val="22"/>
        </w:rPr>
        <w:t>27</w:t>
      </w:r>
      <w:r w:rsidRPr="00B53CC0">
        <w:rPr>
          <w:rFonts w:ascii="Arial" w:hAnsi="Arial" w:cs="Arial"/>
          <w:sz w:val="22"/>
          <w:szCs w:val="22"/>
        </w:rPr>
        <w:t>(3), 750–760. APA PsycNet. https://doi.org/10.1037/a0027578</w:t>
      </w:r>
    </w:p>
    <w:p w14:paraId="633FF1B0"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Schiøth, M. R., Sestoft, D., &amp; Lykke Mortensen, E. (2022). Gender differences vs gender bias in forensic psychiatric assessment of non-psychotic mentally disturbed violent defendants in Denmark. </w:t>
      </w:r>
      <w:r w:rsidRPr="00B53CC0">
        <w:rPr>
          <w:rFonts w:ascii="Arial" w:hAnsi="Arial" w:cs="Arial"/>
          <w:i/>
          <w:iCs/>
          <w:sz w:val="22"/>
          <w:szCs w:val="22"/>
        </w:rPr>
        <w:t>The Journal of Forensic Psychiatry &amp; Psychology</w:t>
      </w:r>
      <w:r w:rsidRPr="00B53CC0">
        <w:rPr>
          <w:rFonts w:ascii="Arial" w:hAnsi="Arial" w:cs="Arial"/>
          <w:sz w:val="22"/>
          <w:szCs w:val="22"/>
        </w:rPr>
        <w:t xml:space="preserve">, </w:t>
      </w:r>
      <w:r w:rsidRPr="00B53CC0">
        <w:rPr>
          <w:rFonts w:ascii="Arial" w:hAnsi="Arial" w:cs="Arial"/>
          <w:i/>
          <w:iCs/>
          <w:sz w:val="22"/>
          <w:szCs w:val="22"/>
        </w:rPr>
        <w:t>33</w:t>
      </w:r>
      <w:r w:rsidRPr="00B53CC0">
        <w:rPr>
          <w:rFonts w:ascii="Arial" w:hAnsi="Arial" w:cs="Arial"/>
          <w:sz w:val="22"/>
          <w:szCs w:val="22"/>
        </w:rPr>
        <w:t>(5), 1–14. Taylor &amp; Francis online. https://doi.org/10.1080/14789949.2022.2102530</w:t>
      </w:r>
    </w:p>
    <w:p w14:paraId="2727DF48"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Sheahan, C. L., Pica, &amp; Pozzulo, J. D. (2017). Abuse Is Abuse: The Influence of Type of Abuse, Victim Age, and Defendant Age on Juror Decision Making. </w:t>
      </w:r>
      <w:r w:rsidRPr="00B53CC0">
        <w:rPr>
          <w:rFonts w:ascii="Arial" w:hAnsi="Arial" w:cs="Arial"/>
          <w:i/>
          <w:iCs/>
          <w:sz w:val="22"/>
          <w:szCs w:val="22"/>
        </w:rPr>
        <w:t>Journal of Interpersonal Violence</w:t>
      </w:r>
      <w:r w:rsidRPr="00B53CC0">
        <w:rPr>
          <w:rFonts w:ascii="Arial" w:hAnsi="Arial" w:cs="Arial"/>
          <w:sz w:val="22"/>
          <w:szCs w:val="22"/>
        </w:rPr>
        <w:t xml:space="preserve">, </w:t>
      </w:r>
      <w:r w:rsidRPr="00B53CC0">
        <w:rPr>
          <w:rFonts w:ascii="Arial" w:hAnsi="Arial" w:cs="Arial"/>
          <w:i/>
          <w:iCs/>
          <w:sz w:val="22"/>
          <w:szCs w:val="22"/>
        </w:rPr>
        <w:t>36</w:t>
      </w:r>
      <w:r w:rsidRPr="00B53CC0">
        <w:rPr>
          <w:rFonts w:ascii="Arial" w:hAnsi="Arial" w:cs="Arial"/>
          <w:sz w:val="22"/>
          <w:szCs w:val="22"/>
        </w:rPr>
        <w:t>(2), 088626051773131. Sage Journals. https://doi.org/10.1177/0886260517731316</w:t>
      </w:r>
    </w:p>
    <w:p w14:paraId="3FAD87AD"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Sommers, S. R. (2006). On racial diversity and group decision making: Identifying multiple effects of racial composition on jury deliberations. </w:t>
      </w:r>
      <w:r w:rsidRPr="00B53CC0">
        <w:rPr>
          <w:rFonts w:ascii="Arial" w:hAnsi="Arial" w:cs="Arial"/>
          <w:i/>
          <w:iCs/>
          <w:sz w:val="22"/>
          <w:szCs w:val="22"/>
        </w:rPr>
        <w:t>Journal of Personality and Social Psychology</w:t>
      </w:r>
      <w:r w:rsidRPr="00B53CC0">
        <w:rPr>
          <w:rFonts w:ascii="Arial" w:hAnsi="Arial" w:cs="Arial"/>
          <w:sz w:val="22"/>
          <w:szCs w:val="22"/>
        </w:rPr>
        <w:t xml:space="preserve">, </w:t>
      </w:r>
      <w:r w:rsidRPr="00B53CC0">
        <w:rPr>
          <w:rFonts w:ascii="Arial" w:hAnsi="Arial" w:cs="Arial"/>
          <w:i/>
          <w:iCs/>
          <w:sz w:val="22"/>
          <w:szCs w:val="22"/>
        </w:rPr>
        <w:t>90</w:t>
      </w:r>
      <w:r w:rsidRPr="00B53CC0">
        <w:rPr>
          <w:rFonts w:ascii="Arial" w:hAnsi="Arial" w:cs="Arial"/>
          <w:sz w:val="22"/>
          <w:szCs w:val="22"/>
        </w:rPr>
        <w:t>(4), 597–612. APA Journals. https://doi.org/10.1037/0022-3514.90.4.597</w:t>
      </w:r>
    </w:p>
    <w:p w14:paraId="7F3ACC5D"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Sommers, S. R., &amp; Ellsworth, P. C. (2000). Race in the courtroom: Perceptions of guilt and dispositional attributions. </w:t>
      </w:r>
      <w:r w:rsidRPr="00B53CC0">
        <w:rPr>
          <w:rFonts w:ascii="Arial" w:hAnsi="Arial" w:cs="Arial"/>
          <w:i/>
          <w:iCs/>
          <w:sz w:val="22"/>
          <w:szCs w:val="22"/>
        </w:rPr>
        <w:t>Personality and Social Psychology Bulletin</w:t>
      </w:r>
      <w:r w:rsidRPr="00B53CC0">
        <w:rPr>
          <w:rFonts w:ascii="Arial" w:hAnsi="Arial" w:cs="Arial"/>
          <w:sz w:val="22"/>
          <w:szCs w:val="22"/>
        </w:rPr>
        <w:t>, </w:t>
      </w:r>
      <w:r w:rsidRPr="00B53CC0">
        <w:rPr>
          <w:rFonts w:ascii="Arial" w:hAnsi="Arial" w:cs="Arial"/>
          <w:i/>
          <w:iCs/>
          <w:sz w:val="22"/>
          <w:szCs w:val="22"/>
        </w:rPr>
        <w:t>26</w:t>
      </w:r>
      <w:r w:rsidRPr="00B53CC0">
        <w:rPr>
          <w:rFonts w:ascii="Arial" w:hAnsi="Arial" w:cs="Arial"/>
          <w:sz w:val="22"/>
          <w:szCs w:val="22"/>
        </w:rPr>
        <w:t xml:space="preserve">(11), 1367-1379. </w:t>
      </w:r>
    </w:p>
    <w:p w14:paraId="0DBF07CB"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Sommers, S. R., &amp; Ellsworth, P. C. (2000). Race in the Courtroom: Perceptions of Guilt and Dispositional Attributions. </w:t>
      </w:r>
      <w:r w:rsidRPr="00B53CC0">
        <w:rPr>
          <w:rFonts w:ascii="Arial" w:hAnsi="Arial" w:cs="Arial"/>
          <w:i/>
          <w:iCs/>
          <w:sz w:val="22"/>
          <w:szCs w:val="22"/>
        </w:rPr>
        <w:t>Personality and Social Psychology Bulletin</w:t>
      </w:r>
      <w:r w:rsidRPr="00B53CC0">
        <w:rPr>
          <w:rFonts w:ascii="Arial" w:hAnsi="Arial" w:cs="Arial"/>
          <w:sz w:val="22"/>
          <w:szCs w:val="22"/>
        </w:rPr>
        <w:t xml:space="preserve">, </w:t>
      </w:r>
      <w:r w:rsidRPr="00B53CC0">
        <w:rPr>
          <w:rFonts w:ascii="Arial" w:hAnsi="Arial" w:cs="Arial"/>
          <w:i/>
          <w:iCs/>
          <w:sz w:val="22"/>
          <w:szCs w:val="22"/>
        </w:rPr>
        <w:t>26</w:t>
      </w:r>
      <w:r w:rsidRPr="00B53CC0">
        <w:rPr>
          <w:rFonts w:ascii="Arial" w:hAnsi="Arial" w:cs="Arial"/>
          <w:sz w:val="22"/>
          <w:szCs w:val="22"/>
        </w:rPr>
        <w:t>(11), 1367–1379. APA PsycNet. https://doi.org/10.1177/0146167200263005</w:t>
      </w:r>
    </w:p>
    <w:p w14:paraId="749AC1E5"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Sommers, S. R., &amp; Ellsworth, P. C. (2001). White juror bias: An investigation of prejudice against Black defendants in the American courtroom. </w:t>
      </w:r>
      <w:r w:rsidRPr="00B53CC0">
        <w:rPr>
          <w:rFonts w:ascii="Arial" w:hAnsi="Arial" w:cs="Arial"/>
          <w:i/>
          <w:iCs/>
          <w:sz w:val="22"/>
          <w:szCs w:val="22"/>
        </w:rPr>
        <w:t>Psychology, Public Policy, and Law</w:t>
      </w:r>
      <w:r w:rsidRPr="00B53CC0">
        <w:rPr>
          <w:rFonts w:ascii="Arial" w:hAnsi="Arial" w:cs="Arial"/>
          <w:sz w:val="22"/>
          <w:szCs w:val="22"/>
        </w:rPr>
        <w:t xml:space="preserve">, </w:t>
      </w:r>
      <w:r w:rsidRPr="00B53CC0">
        <w:rPr>
          <w:rFonts w:ascii="Arial" w:hAnsi="Arial" w:cs="Arial"/>
          <w:i/>
          <w:iCs/>
          <w:sz w:val="22"/>
          <w:szCs w:val="22"/>
        </w:rPr>
        <w:t>7</w:t>
      </w:r>
      <w:r w:rsidRPr="00B53CC0">
        <w:rPr>
          <w:rFonts w:ascii="Arial" w:hAnsi="Arial" w:cs="Arial"/>
          <w:sz w:val="22"/>
          <w:szCs w:val="22"/>
        </w:rPr>
        <w:t>(1), 201–229. APA PsycNet. https://doi.org/10.1037/1076-8971.7.1.201</w:t>
      </w:r>
    </w:p>
    <w:p w14:paraId="700D7582"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Sweeney, L. T., &amp; Haney, C. (1992). The influence of race on sentencing: A meta-analytic review of experimental studies. </w:t>
      </w:r>
      <w:r w:rsidRPr="00B53CC0">
        <w:rPr>
          <w:rFonts w:ascii="Arial" w:hAnsi="Arial" w:cs="Arial"/>
          <w:i/>
          <w:iCs/>
          <w:sz w:val="22"/>
          <w:szCs w:val="22"/>
        </w:rPr>
        <w:t>Behavioral Sciences &amp; the Law</w:t>
      </w:r>
      <w:r w:rsidRPr="00B53CC0">
        <w:rPr>
          <w:rFonts w:ascii="Arial" w:hAnsi="Arial" w:cs="Arial"/>
          <w:sz w:val="22"/>
          <w:szCs w:val="22"/>
        </w:rPr>
        <w:t xml:space="preserve">, </w:t>
      </w:r>
      <w:r w:rsidRPr="00B53CC0">
        <w:rPr>
          <w:rFonts w:ascii="Arial" w:hAnsi="Arial" w:cs="Arial"/>
          <w:i/>
          <w:iCs/>
          <w:sz w:val="22"/>
          <w:szCs w:val="22"/>
        </w:rPr>
        <w:t>10</w:t>
      </w:r>
      <w:r w:rsidRPr="00B53CC0">
        <w:rPr>
          <w:rFonts w:ascii="Arial" w:hAnsi="Arial" w:cs="Arial"/>
          <w:sz w:val="22"/>
          <w:szCs w:val="22"/>
        </w:rPr>
        <w:t>(2), 179–195. Waley Online. https://doi.org/10.1002/bsl.2370100204</w:t>
      </w:r>
    </w:p>
    <w:p w14:paraId="4F61FE3A"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U.S Courts. (2016). </w:t>
      </w:r>
      <w:r w:rsidRPr="00B53CC0">
        <w:rPr>
          <w:rFonts w:ascii="Arial" w:hAnsi="Arial" w:cs="Arial"/>
          <w:i/>
          <w:iCs/>
          <w:sz w:val="22"/>
          <w:szCs w:val="22"/>
        </w:rPr>
        <w:t>Juror Selection Process | United States Courts</w:t>
      </w:r>
      <w:r w:rsidRPr="00B53CC0">
        <w:rPr>
          <w:rFonts w:ascii="Arial" w:hAnsi="Arial" w:cs="Arial"/>
          <w:sz w:val="22"/>
          <w:szCs w:val="22"/>
        </w:rPr>
        <w:t>. Www.uscourts.gov; U.S Government. https://www.uscourts.gov/services-forms/jury-service/juror-selection-process#:~:text=Jury%20service%20is%20a%20way</w:t>
      </w:r>
    </w:p>
    <w:p w14:paraId="7D62D69A"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U.S Department of Justice. (2014, November 7). </w:t>
      </w:r>
      <w:r w:rsidRPr="00B53CC0">
        <w:rPr>
          <w:rFonts w:ascii="Arial" w:hAnsi="Arial" w:cs="Arial"/>
          <w:i/>
          <w:iCs/>
          <w:sz w:val="22"/>
          <w:szCs w:val="22"/>
        </w:rPr>
        <w:t>Trial</w:t>
      </w:r>
      <w:r w:rsidRPr="00B53CC0">
        <w:rPr>
          <w:rFonts w:ascii="Arial" w:hAnsi="Arial" w:cs="Arial"/>
          <w:sz w:val="22"/>
          <w:szCs w:val="22"/>
        </w:rPr>
        <w:t>. Www.justice.gov; U.S department of justice. https://www.justice.gov/usao/justice-101/trial#:~:text=Jury%20Deliberations%20%26%20Announcement%20of%20the%20Verdict&amp;text=In%20federal%20criminal%20trials%2C%20the</w:t>
      </w:r>
    </w:p>
    <w:p w14:paraId="53CFC27D"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Veronica Margherita Cocco, Vezzali, L., Stathi, S., Di, A., &amp; Dovidio, J. F. (2023). Mobilizing or Sedative Effects? A Narrative Review of the Association Between Intergroup </w:t>
      </w:r>
      <w:r w:rsidRPr="00B53CC0">
        <w:rPr>
          <w:rFonts w:ascii="Arial" w:hAnsi="Arial" w:cs="Arial"/>
          <w:sz w:val="22"/>
          <w:szCs w:val="22"/>
        </w:rPr>
        <w:lastRenderedPageBreak/>
        <w:t xml:space="preserve">Contact and Collective Action Among Advantaged and Disadvantaged Groups. </w:t>
      </w:r>
      <w:r w:rsidRPr="00B53CC0">
        <w:rPr>
          <w:rFonts w:ascii="Arial" w:hAnsi="Arial" w:cs="Arial"/>
          <w:i/>
          <w:iCs/>
          <w:sz w:val="22"/>
          <w:szCs w:val="22"/>
        </w:rPr>
        <w:t>Personality and Social Psychology Review</w:t>
      </w:r>
      <w:r w:rsidRPr="00B53CC0">
        <w:rPr>
          <w:rFonts w:ascii="Arial" w:hAnsi="Arial" w:cs="Arial"/>
          <w:sz w:val="22"/>
          <w:szCs w:val="22"/>
        </w:rPr>
        <w:t xml:space="preserve">, </w:t>
      </w:r>
      <w:r w:rsidRPr="00B53CC0">
        <w:rPr>
          <w:rFonts w:ascii="Arial" w:hAnsi="Arial" w:cs="Arial"/>
          <w:i/>
          <w:iCs/>
          <w:sz w:val="22"/>
          <w:szCs w:val="22"/>
        </w:rPr>
        <w:t>3</w:t>
      </w:r>
      <w:r w:rsidRPr="00B53CC0">
        <w:rPr>
          <w:rFonts w:ascii="Arial" w:hAnsi="Arial" w:cs="Arial"/>
          <w:sz w:val="22"/>
          <w:szCs w:val="22"/>
        </w:rPr>
        <w:t>(6), 43–65. Sage Journals. https://doi.org/10.1177/10888683231203141</w:t>
      </w:r>
    </w:p>
    <w:p w14:paraId="646508A7"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Wilińska, M., &amp; Cedersund, E. (2010). “Classic ageism” or “brutal economy”? Old age and older people in the Polish media. </w:t>
      </w:r>
      <w:r w:rsidRPr="00B53CC0">
        <w:rPr>
          <w:rFonts w:ascii="Arial" w:hAnsi="Arial" w:cs="Arial"/>
          <w:i/>
          <w:iCs/>
          <w:sz w:val="22"/>
          <w:szCs w:val="22"/>
        </w:rPr>
        <w:t>Journal of Aging Studies</w:t>
      </w:r>
      <w:r w:rsidRPr="00B53CC0">
        <w:rPr>
          <w:rFonts w:ascii="Arial" w:hAnsi="Arial" w:cs="Arial"/>
          <w:sz w:val="22"/>
          <w:szCs w:val="22"/>
        </w:rPr>
        <w:t xml:space="preserve">, </w:t>
      </w:r>
      <w:r w:rsidRPr="00B53CC0">
        <w:rPr>
          <w:rFonts w:ascii="Arial" w:hAnsi="Arial" w:cs="Arial"/>
          <w:i/>
          <w:iCs/>
          <w:sz w:val="22"/>
          <w:szCs w:val="22"/>
        </w:rPr>
        <w:t>24</w:t>
      </w:r>
      <w:r w:rsidRPr="00B53CC0">
        <w:rPr>
          <w:rFonts w:ascii="Arial" w:hAnsi="Arial" w:cs="Arial"/>
          <w:sz w:val="22"/>
          <w:szCs w:val="22"/>
        </w:rPr>
        <w:t>(4), 335–343. Science Direct. https://doi.org/10.1016/j.jaging.2010.07.003</w:t>
      </w:r>
    </w:p>
    <w:p w14:paraId="1309E74E"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Williams, M. R., &amp; Holcomb, J. E. (2001). Racial disparity and death sentences in Ohio. </w:t>
      </w:r>
      <w:r w:rsidRPr="00B53CC0">
        <w:rPr>
          <w:rFonts w:ascii="Arial" w:hAnsi="Arial" w:cs="Arial"/>
          <w:i/>
          <w:iCs/>
          <w:sz w:val="22"/>
          <w:szCs w:val="22"/>
        </w:rPr>
        <w:t>Journal of Criminal Justice</w:t>
      </w:r>
      <w:r w:rsidRPr="00B53CC0">
        <w:rPr>
          <w:rFonts w:ascii="Arial" w:hAnsi="Arial" w:cs="Arial"/>
          <w:sz w:val="22"/>
          <w:szCs w:val="22"/>
        </w:rPr>
        <w:t xml:space="preserve">, </w:t>
      </w:r>
      <w:r w:rsidRPr="00B53CC0">
        <w:rPr>
          <w:rFonts w:ascii="Arial" w:hAnsi="Arial" w:cs="Arial"/>
          <w:i/>
          <w:iCs/>
          <w:sz w:val="22"/>
          <w:szCs w:val="22"/>
        </w:rPr>
        <w:t>29</w:t>
      </w:r>
      <w:r w:rsidRPr="00B53CC0">
        <w:rPr>
          <w:rFonts w:ascii="Arial" w:hAnsi="Arial" w:cs="Arial"/>
          <w:sz w:val="22"/>
          <w:szCs w:val="22"/>
        </w:rPr>
        <w:t>(3), 207–218. Science Direct. https://doi.org/10.1016/s0047-2352(01)00085-x</w:t>
      </w:r>
    </w:p>
    <w:p w14:paraId="7DFB5FBE"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Wittenbrink, B., Gist, P. L., &amp; Hilton, J. L. (1997). Structural properties of stereotypic knowledge and their influences on the construal of social situations. </w:t>
      </w:r>
      <w:r w:rsidRPr="00B53CC0">
        <w:rPr>
          <w:rFonts w:ascii="Arial" w:hAnsi="Arial" w:cs="Arial"/>
          <w:i/>
          <w:iCs/>
          <w:sz w:val="22"/>
          <w:szCs w:val="22"/>
        </w:rPr>
        <w:t>Journal of Personality and Social Psychology</w:t>
      </w:r>
      <w:r w:rsidRPr="00B53CC0">
        <w:rPr>
          <w:rFonts w:ascii="Arial" w:hAnsi="Arial" w:cs="Arial"/>
          <w:sz w:val="22"/>
          <w:szCs w:val="22"/>
        </w:rPr>
        <w:t xml:space="preserve">, </w:t>
      </w:r>
      <w:r w:rsidRPr="00B53CC0">
        <w:rPr>
          <w:rFonts w:ascii="Arial" w:hAnsi="Arial" w:cs="Arial"/>
          <w:i/>
          <w:iCs/>
          <w:sz w:val="22"/>
          <w:szCs w:val="22"/>
        </w:rPr>
        <w:t>72</w:t>
      </w:r>
      <w:r w:rsidRPr="00B53CC0">
        <w:rPr>
          <w:rFonts w:ascii="Arial" w:hAnsi="Arial" w:cs="Arial"/>
          <w:sz w:val="22"/>
          <w:szCs w:val="22"/>
        </w:rPr>
        <w:t>(3), 526–543. APA PsycNet. https://doi.org/10.1037/0022-3514.72.3.526</w:t>
      </w:r>
    </w:p>
    <w:p w14:paraId="2F94F602" w14:textId="36F4A122"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Yourstone, J., Lindholm, T., Grann, M., &amp; Svenson, O. (2008). Evidence of gender bias in legal insanity evaluations: A case vignette study of clinicians, </w:t>
      </w:r>
      <w:r w:rsidR="00D94F5C" w:rsidRPr="00B53CC0">
        <w:rPr>
          <w:rFonts w:ascii="Arial" w:hAnsi="Arial" w:cs="Arial"/>
          <w:sz w:val="22"/>
          <w:szCs w:val="22"/>
        </w:rPr>
        <w:t>judges,</w:t>
      </w:r>
      <w:r w:rsidRPr="00B53CC0">
        <w:rPr>
          <w:rFonts w:ascii="Arial" w:hAnsi="Arial" w:cs="Arial"/>
          <w:sz w:val="22"/>
          <w:szCs w:val="22"/>
        </w:rPr>
        <w:t xml:space="preserve"> and students. </w:t>
      </w:r>
      <w:r w:rsidRPr="00B53CC0">
        <w:rPr>
          <w:rFonts w:ascii="Arial" w:hAnsi="Arial" w:cs="Arial"/>
          <w:i/>
          <w:iCs/>
          <w:sz w:val="22"/>
          <w:szCs w:val="22"/>
        </w:rPr>
        <w:t>Nordic Journal of Psychiatry</w:t>
      </w:r>
      <w:r w:rsidRPr="00B53CC0">
        <w:rPr>
          <w:rFonts w:ascii="Arial" w:hAnsi="Arial" w:cs="Arial"/>
          <w:sz w:val="22"/>
          <w:szCs w:val="22"/>
        </w:rPr>
        <w:t xml:space="preserve">, </w:t>
      </w:r>
      <w:r w:rsidRPr="00B53CC0">
        <w:rPr>
          <w:rFonts w:ascii="Arial" w:hAnsi="Arial" w:cs="Arial"/>
          <w:i/>
          <w:iCs/>
          <w:sz w:val="22"/>
          <w:szCs w:val="22"/>
        </w:rPr>
        <w:t>62</w:t>
      </w:r>
      <w:r w:rsidRPr="00B53CC0">
        <w:rPr>
          <w:rFonts w:ascii="Arial" w:hAnsi="Arial" w:cs="Arial"/>
          <w:sz w:val="22"/>
          <w:szCs w:val="22"/>
        </w:rPr>
        <w:t>(4), 273–278. Taylor &amp; Francis online. https://doi.org/10.1080/08039480801963135</w:t>
      </w:r>
    </w:p>
    <w:p w14:paraId="00AE797B"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Zander, M. (2001). The jury in the criminal trial in the 21st century. In </w:t>
      </w:r>
      <w:r w:rsidRPr="00B53CC0">
        <w:rPr>
          <w:rFonts w:ascii="Arial" w:hAnsi="Arial" w:cs="Arial"/>
          <w:i/>
          <w:iCs/>
          <w:sz w:val="22"/>
          <w:szCs w:val="22"/>
        </w:rPr>
        <w:t>Cairn info</w:t>
      </w:r>
      <w:r w:rsidRPr="00B53CC0">
        <w:rPr>
          <w:rFonts w:ascii="Arial" w:hAnsi="Arial" w:cs="Arial"/>
          <w:sz w:val="22"/>
          <w:szCs w:val="22"/>
        </w:rPr>
        <w:t xml:space="preserve"> (pp. 121–157). https://www.cairn.info/revue-internationale-de-droit-penal-2001-1-page-121.htm</w:t>
      </w:r>
    </w:p>
    <w:p w14:paraId="4077137D"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Zhang, J., &amp; Liu, X. (2021). Media representation of older people’s vulnerability during the COVID-19 pandemic in China. </w:t>
      </w:r>
      <w:r w:rsidRPr="00B53CC0">
        <w:rPr>
          <w:rFonts w:ascii="Arial" w:hAnsi="Arial" w:cs="Arial"/>
          <w:i/>
          <w:iCs/>
          <w:sz w:val="22"/>
          <w:szCs w:val="22"/>
        </w:rPr>
        <w:t>European Journal of Ageing</w:t>
      </w:r>
      <w:r w:rsidRPr="00B53CC0">
        <w:rPr>
          <w:rFonts w:ascii="Arial" w:hAnsi="Arial" w:cs="Arial"/>
          <w:sz w:val="22"/>
          <w:szCs w:val="22"/>
        </w:rPr>
        <w:t xml:space="preserve">, </w:t>
      </w:r>
      <w:r w:rsidRPr="00B53CC0">
        <w:rPr>
          <w:rFonts w:ascii="Arial" w:hAnsi="Arial" w:cs="Arial"/>
          <w:i/>
          <w:iCs/>
          <w:sz w:val="22"/>
          <w:szCs w:val="22"/>
        </w:rPr>
        <w:t>18</w:t>
      </w:r>
      <w:r w:rsidRPr="00B53CC0">
        <w:rPr>
          <w:rFonts w:ascii="Arial" w:hAnsi="Arial" w:cs="Arial"/>
          <w:sz w:val="22"/>
          <w:szCs w:val="22"/>
        </w:rPr>
        <w:t>(18), 149–158. Springer Link. https://doi.org/10.1007/s10433-021-00613-x</w:t>
      </w:r>
    </w:p>
    <w:p w14:paraId="333377E8" w14:textId="77777777" w:rsidR="00B53CC0" w:rsidRPr="00B53CC0" w:rsidRDefault="00B53CC0" w:rsidP="00B53CC0">
      <w:pPr>
        <w:pStyle w:val="NormalWeb"/>
        <w:spacing w:before="0" w:beforeAutospacing="0" w:after="0" w:afterAutospacing="0"/>
        <w:ind w:left="720" w:hanging="720"/>
        <w:rPr>
          <w:rFonts w:ascii="Arial" w:hAnsi="Arial" w:cs="Arial"/>
          <w:sz w:val="22"/>
          <w:szCs w:val="22"/>
        </w:rPr>
      </w:pPr>
      <w:r w:rsidRPr="00B53CC0">
        <w:rPr>
          <w:rFonts w:ascii="Arial" w:hAnsi="Arial" w:cs="Arial"/>
          <w:sz w:val="22"/>
          <w:szCs w:val="22"/>
        </w:rPr>
        <w:t xml:space="preserve">Zhang, Y. B., &amp; Harwood, J. (2004). Modernization and Tradition in an Age of Globalization: Cultural Values in Chinese Television Commercials. </w:t>
      </w:r>
      <w:r w:rsidRPr="00B53CC0">
        <w:rPr>
          <w:rFonts w:ascii="Arial" w:hAnsi="Arial" w:cs="Arial"/>
          <w:i/>
          <w:iCs/>
          <w:sz w:val="22"/>
          <w:szCs w:val="22"/>
        </w:rPr>
        <w:t>Journal of Communication</w:t>
      </w:r>
      <w:r w:rsidRPr="00B53CC0">
        <w:rPr>
          <w:rFonts w:ascii="Arial" w:hAnsi="Arial" w:cs="Arial"/>
          <w:sz w:val="22"/>
          <w:szCs w:val="22"/>
        </w:rPr>
        <w:t xml:space="preserve">, </w:t>
      </w:r>
      <w:r w:rsidRPr="00B53CC0">
        <w:rPr>
          <w:rFonts w:ascii="Arial" w:hAnsi="Arial" w:cs="Arial"/>
          <w:i/>
          <w:iCs/>
          <w:sz w:val="22"/>
          <w:szCs w:val="22"/>
        </w:rPr>
        <w:t>54</w:t>
      </w:r>
      <w:r w:rsidRPr="00B53CC0">
        <w:rPr>
          <w:rFonts w:ascii="Arial" w:hAnsi="Arial" w:cs="Arial"/>
          <w:sz w:val="22"/>
          <w:szCs w:val="22"/>
        </w:rPr>
        <w:t>(1), 156–172. Wiley Online. https://doi.org/10.1111/j.1460-2466.2004.tb02619.x</w:t>
      </w:r>
    </w:p>
    <w:p w14:paraId="323C6D9B" w14:textId="77777777" w:rsidR="00B53CC0" w:rsidRPr="00B53CC0" w:rsidRDefault="00B53CC0">
      <w:pPr>
        <w:rPr>
          <w:b/>
          <w:bCs/>
        </w:rPr>
      </w:pPr>
    </w:p>
    <w:sectPr w:rsidR="00B53CC0" w:rsidRPr="00B53C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289"/>
    <w:rsid w:val="000263AA"/>
    <w:rsid w:val="00027913"/>
    <w:rsid w:val="00031109"/>
    <w:rsid w:val="00063AC0"/>
    <w:rsid w:val="00065545"/>
    <w:rsid w:val="000C2D18"/>
    <w:rsid w:val="001478B9"/>
    <w:rsid w:val="001954F1"/>
    <w:rsid w:val="002757E8"/>
    <w:rsid w:val="00280780"/>
    <w:rsid w:val="002E5A4F"/>
    <w:rsid w:val="003113C5"/>
    <w:rsid w:val="003D4E9C"/>
    <w:rsid w:val="003F04F2"/>
    <w:rsid w:val="003F56CA"/>
    <w:rsid w:val="0040343A"/>
    <w:rsid w:val="00413F63"/>
    <w:rsid w:val="004B0E8F"/>
    <w:rsid w:val="004C1DA0"/>
    <w:rsid w:val="005731CE"/>
    <w:rsid w:val="005A60A1"/>
    <w:rsid w:val="005B0917"/>
    <w:rsid w:val="005B4373"/>
    <w:rsid w:val="005F02F5"/>
    <w:rsid w:val="00657B17"/>
    <w:rsid w:val="0070109E"/>
    <w:rsid w:val="00721EA2"/>
    <w:rsid w:val="00754D9C"/>
    <w:rsid w:val="00755250"/>
    <w:rsid w:val="007E5DAF"/>
    <w:rsid w:val="00852A6D"/>
    <w:rsid w:val="008669DD"/>
    <w:rsid w:val="008D6F8C"/>
    <w:rsid w:val="00930F98"/>
    <w:rsid w:val="009360D2"/>
    <w:rsid w:val="00957839"/>
    <w:rsid w:val="009C5798"/>
    <w:rsid w:val="00AC19CA"/>
    <w:rsid w:val="00AE3673"/>
    <w:rsid w:val="00B37289"/>
    <w:rsid w:val="00B53CC0"/>
    <w:rsid w:val="00BB1E9A"/>
    <w:rsid w:val="00BD5B9B"/>
    <w:rsid w:val="00C50643"/>
    <w:rsid w:val="00C73C07"/>
    <w:rsid w:val="00CE107B"/>
    <w:rsid w:val="00CE3288"/>
    <w:rsid w:val="00D65B7B"/>
    <w:rsid w:val="00D94F5C"/>
    <w:rsid w:val="00DB12DF"/>
    <w:rsid w:val="00DB3C0C"/>
    <w:rsid w:val="00DD4C42"/>
    <w:rsid w:val="00E14AE8"/>
    <w:rsid w:val="00E31FB9"/>
    <w:rsid w:val="00E53C05"/>
    <w:rsid w:val="00E80FE5"/>
    <w:rsid w:val="00E86311"/>
    <w:rsid w:val="00F5274F"/>
    <w:rsid w:val="00F80D78"/>
    <w:rsid w:val="00FB1F17"/>
    <w:rsid w:val="00FD6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C43E6"/>
  <w15:chartTrackingRefBased/>
  <w15:docId w15:val="{B84D7B59-063A-4258-859B-8339B51AF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63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53C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67281">
      <w:bodyDiv w:val="1"/>
      <w:marLeft w:val="0"/>
      <w:marRight w:val="0"/>
      <w:marTop w:val="0"/>
      <w:marBottom w:val="0"/>
      <w:divBdr>
        <w:top w:val="none" w:sz="0" w:space="0" w:color="auto"/>
        <w:left w:val="none" w:sz="0" w:space="0" w:color="auto"/>
        <w:bottom w:val="none" w:sz="0" w:space="0" w:color="auto"/>
        <w:right w:val="none" w:sz="0" w:space="0" w:color="auto"/>
      </w:divBdr>
    </w:div>
    <w:div w:id="1014455904">
      <w:bodyDiv w:val="1"/>
      <w:marLeft w:val="0"/>
      <w:marRight w:val="0"/>
      <w:marTop w:val="0"/>
      <w:marBottom w:val="0"/>
      <w:divBdr>
        <w:top w:val="none" w:sz="0" w:space="0" w:color="auto"/>
        <w:left w:val="none" w:sz="0" w:space="0" w:color="auto"/>
        <w:bottom w:val="none" w:sz="0" w:space="0" w:color="auto"/>
        <w:right w:val="none" w:sz="0" w:space="0" w:color="auto"/>
      </w:divBdr>
      <w:divsChild>
        <w:div w:id="57011811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d6450d4fad2e81a463808989d97bd41e">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3c2b16fc736d80ab362209f80ba12555"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4D9E61-629B-4538-8DD7-CE5B6A8AA181}">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B906782E-4D5D-4A89-9B8B-F27A21FDA57F}">
  <ds:schemaRefs>
    <ds:schemaRef ds:uri="http://schemas.microsoft.com/sharepoint/v3/contenttype/forms"/>
  </ds:schemaRefs>
</ds:datastoreItem>
</file>

<file path=customXml/itemProps3.xml><?xml version="1.0" encoding="utf-8"?>
<ds:datastoreItem xmlns:ds="http://schemas.openxmlformats.org/officeDocument/2006/customXml" ds:itemID="{A6F3B6AA-7226-4631-8187-4C3536CD5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4797</Words>
  <Characters>27343</Characters>
  <Application>Microsoft Office Word</Application>
  <DocSecurity>0</DocSecurity>
  <Lines>227</Lines>
  <Paragraphs>64</Paragraphs>
  <ScaleCrop>false</ScaleCrop>
  <Company/>
  <LinksUpToDate>false</LinksUpToDate>
  <CharactersWithSpaces>32076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 (2103554)</cp:lastModifiedBy>
  <cp:revision>59</cp:revision>
  <dcterms:created xsi:type="dcterms:W3CDTF">2023-11-19T18:03:00Z</dcterms:created>
  <dcterms:modified xsi:type="dcterms:W3CDTF">2023-11-19T19:01:00Z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