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5E4AF9" w:rsidRPr="005E4AF9" w:rsidRDefault="005E4AF9" w:rsidP="005E4AF9">
      <w:pPr>
        <w:spacing w:line="360" w:lineRule="auto"/>
        <w:jc w:val="center"/>
        <w:rPr>
          <w:rFonts w:ascii="Arial" w:hAnsi="Arial" w:cs="Arial"/>
          <w:b/>
        </w:rPr>
      </w:pPr>
      <w:r w:rsidRPr="005E4AF9">
        <w:rPr>
          <w:rFonts w:ascii="Arial" w:hAnsi="Arial" w:cs="Arial"/>
          <w:b/>
        </w:rPr>
        <w:t>University Number: 1800103</w:t>
      </w:r>
    </w:p>
    <w:p w:rsidR="005E4AF9" w:rsidRPr="005E4AF9" w:rsidRDefault="005E4AF9" w:rsidP="005E4AF9">
      <w:pPr>
        <w:spacing w:line="360" w:lineRule="auto"/>
        <w:jc w:val="center"/>
        <w:rPr>
          <w:rFonts w:ascii="Arial" w:hAnsi="Arial" w:cs="Arial"/>
          <w:b/>
        </w:rPr>
      </w:pPr>
      <w:r w:rsidRPr="005E4AF9">
        <w:rPr>
          <w:rFonts w:ascii="Arial" w:hAnsi="Arial" w:cs="Arial"/>
          <w:b/>
        </w:rPr>
        <w:t>Date of Submission: 04/01/2020</w:t>
      </w:r>
    </w:p>
    <w:p w:rsidR="005E4AF9" w:rsidRPr="005E4AF9" w:rsidRDefault="005E4AF9" w:rsidP="005E4AF9">
      <w:pPr>
        <w:spacing w:line="360" w:lineRule="auto"/>
        <w:jc w:val="center"/>
        <w:rPr>
          <w:rFonts w:ascii="Arial" w:hAnsi="Arial" w:cs="Arial"/>
          <w:b/>
        </w:rPr>
      </w:pPr>
      <w:r w:rsidRPr="005E4AF9">
        <w:rPr>
          <w:rFonts w:ascii="Arial" w:hAnsi="Arial" w:cs="Arial"/>
          <w:b/>
        </w:rPr>
        <w:t>Word Count:</w:t>
      </w:r>
      <w:r w:rsidR="0077166A">
        <w:rPr>
          <w:rFonts w:ascii="Arial" w:hAnsi="Arial" w:cs="Arial"/>
          <w:b/>
        </w:rPr>
        <w:t xml:space="preserve"> 4672</w:t>
      </w:r>
      <w:bookmarkStart w:id="0" w:name="_GoBack"/>
      <w:bookmarkEnd w:id="0"/>
    </w:p>
    <w:p w:rsidR="005E4AF9" w:rsidRPr="005E4AF9" w:rsidRDefault="005E4AF9" w:rsidP="005E4AF9">
      <w:pPr>
        <w:spacing w:line="360" w:lineRule="auto"/>
        <w:jc w:val="center"/>
        <w:rPr>
          <w:rFonts w:ascii="Arial" w:hAnsi="Arial" w:cs="Arial"/>
          <w:b/>
        </w:rPr>
      </w:pPr>
      <w:r w:rsidRPr="005E4AF9">
        <w:rPr>
          <w:rFonts w:ascii="Arial" w:hAnsi="Arial" w:cs="Arial"/>
          <w:b/>
        </w:rPr>
        <w:t>Title: Public protection. Critically evaluate police strategies for dealing with public protection incidents considering the impact of abuse on victims, the impact personal attitudes and values on the investigative process and the association between serious and organised crim groups and public protection issues.</w:t>
      </w:r>
    </w:p>
    <w:p w:rsidR="005E4AF9" w:rsidRDefault="005E4AF9" w:rsidP="005E4AF9">
      <w:pPr>
        <w:spacing w:line="360" w:lineRule="auto"/>
        <w:jc w:val="center"/>
        <w:rPr>
          <w:rFonts w:ascii="Arial" w:hAnsi="Arial" w:cs="Arial"/>
        </w:rPr>
      </w:pPr>
    </w:p>
    <w:p w:rsidR="005E4AF9" w:rsidRDefault="005E4AF9" w:rsidP="005E4AF9">
      <w:pPr>
        <w:spacing w:line="360" w:lineRule="auto"/>
        <w:jc w:val="both"/>
        <w:rPr>
          <w:rFonts w:ascii="Arial" w:hAnsi="Arial" w:cs="Arial"/>
        </w:rPr>
      </w:pPr>
    </w:p>
    <w:p w:rsidR="005E4AF9" w:rsidRDefault="005E4AF9" w:rsidP="005E4AF9">
      <w:pPr>
        <w:spacing w:line="360" w:lineRule="auto"/>
        <w:jc w:val="both"/>
        <w:rPr>
          <w:rFonts w:ascii="Arial" w:hAnsi="Arial" w:cs="Arial"/>
        </w:rPr>
      </w:pPr>
    </w:p>
    <w:p w:rsidR="00404709" w:rsidRPr="005E4AF9" w:rsidRDefault="0074231C" w:rsidP="005E4AF9">
      <w:pPr>
        <w:spacing w:line="360" w:lineRule="auto"/>
        <w:jc w:val="both"/>
        <w:rPr>
          <w:rFonts w:ascii="Arial" w:hAnsi="Arial" w:cs="Arial"/>
        </w:rPr>
      </w:pPr>
      <w:r w:rsidRPr="005E4AF9">
        <w:rPr>
          <w:rFonts w:ascii="Arial" w:hAnsi="Arial" w:cs="Arial"/>
        </w:rPr>
        <w:lastRenderedPageBreak/>
        <w:t xml:space="preserve">This essay will critically evaluate police strategies for dealing with </w:t>
      </w:r>
      <w:r w:rsidR="005E4AF9" w:rsidRPr="005E4AF9">
        <w:rPr>
          <w:rFonts w:ascii="Arial" w:hAnsi="Arial" w:cs="Arial"/>
        </w:rPr>
        <w:t>a public protection incident</w:t>
      </w:r>
      <w:r w:rsidRPr="005E4AF9">
        <w:rPr>
          <w:rFonts w:ascii="Arial" w:hAnsi="Arial" w:cs="Arial"/>
        </w:rPr>
        <w:t xml:space="preserve"> and discuss and consider the impact of abuse on victims. Additionally the personal attitudes and values of the investigative process will be explored</w:t>
      </w:r>
      <w:r w:rsidR="005E4AF9" w:rsidRPr="005E4AF9">
        <w:rPr>
          <w:rFonts w:ascii="Arial" w:hAnsi="Arial" w:cs="Arial"/>
        </w:rPr>
        <w:t xml:space="preserve"> throughout</w:t>
      </w:r>
      <w:r w:rsidRPr="005E4AF9">
        <w:rPr>
          <w:rFonts w:ascii="Arial" w:hAnsi="Arial" w:cs="Arial"/>
        </w:rPr>
        <w:t xml:space="preserve"> and the association public incidents can have with serious and organised crime.</w:t>
      </w:r>
    </w:p>
    <w:p w:rsidR="0074231C" w:rsidRPr="005E4AF9" w:rsidRDefault="0074231C" w:rsidP="005E4AF9">
      <w:pPr>
        <w:spacing w:line="360" w:lineRule="auto"/>
        <w:jc w:val="both"/>
        <w:rPr>
          <w:rFonts w:ascii="Arial" w:hAnsi="Arial" w:cs="Arial"/>
        </w:rPr>
      </w:pPr>
      <w:r w:rsidRPr="005E4AF9">
        <w:rPr>
          <w:rFonts w:ascii="Arial" w:hAnsi="Arial" w:cs="Arial"/>
        </w:rPr>
        <w:t xml:space="preserve">The term public incident covers a large range of incidents. These include; adults at risk, CSE (child sexual exploitation), child protection, female genital mutilation, forced marriage, honour based violence, MOSVO (management of sex offenders and violent offenders), PDP (potentially dangerous persons), missing persons, rape and serious sexual offences, mental health, stalking and harassment, domestic violence and older persons. Many of these examples will be seen in conjunction with other examples in one incident. For example within CSE incidents this can then also include, child protection, missing persons, rape and serious sexual offences, mental health, stalking and harassment, domestic violence and many other offences. </w:t>
      </w:r>
    </w:p>
    <w:p w:rsidR="005E4AF9" w:rsidRPr="005E4AF9" w:rsidRDefault="00103B49" w:rsidP="005E4AF9">
      <w:pPr>
        <w:spacing w:line="360" w:lineRule="auto"/>
        <w:jc w:val="both"/>
        <w:rPr>
          <w:rFonts w:ascii="Arial" w:hAnsi="Arial" w:cs="Arial"/>
        </w:rPr>
      </w:pPr>
      <w:r w:rsidRPr="005E4AF9">
        <w:rPr>
          <w:rFonts w:ascii="Arial" w:hAnsi="Arial" w:cs="Arial"/>
        </w:rPr>
        <w:t xml:space="preserve">This essay will </w:t>
      </w:r>
      <w:r w:rsidR="005E4AF9" w:rsidRPr="005E4AF9">
        <w:rPr>
          <w:rFonts w:ascii="Arial" w:hAnsi="Arial" w:cs="Arial"/>
        </w:rPr>
        <w:t xml:space="preserve">focus on one particular public incident, child sexual exploitation. The essay will </w:t>
      </w:r>
      <w:r w:rsidRPr="005E4AF9">
        <w:rPr>
          <w:rFonts w:ascii="Arial" w:hAnsi="Arial" w:cs="Arial"/>
        </w:rPr>
        <w:t>be divided into sections which will focus on</w:t>
      </w:r>
      <w:r w:rsidR="005E4AF9" w:rsidRPr="005E4AF9">
        <w:rPr>
          <w:rFonts w:ascii="Arial" w:hAnsi="Arial" w:cs="Arial"/>
        </w:rPr>
        <w:t>; what is child sexual exploitation,</w:t>
      </w:r>
      <w:r w:rsidRPr="005E4AF9">
        <w:rPr>
          <w:rFonts w:ascii="Arial" w:hAnsi="Arial" w:cs="Arial"/>
        </w:rPr>
        <w:t xml:space="preserve"> </w:t>
      </w:r>
      <w:r w:rsidR="005E4AF9" w:rsidRPr="005E4AF9">
        <w:rPr>
          <w:rFonts w:ascii="Arial" w:hAnsi="Arial" w:cs="Arial"/>
        </w:rPr>
        <w:t>p</w:t>
      </w:r>
      <w:r w:rsidR="000216C3" w:rsidRPr="005E4AF9">
        <w:rPr>
          <w:rFonts w:ascii="Arial" w:hAnsi="Arial" w:cs="Arial"/>
        </w:rPr>
        <w:t xml:space="preserve">olicing strategies to deal with the </w:t>
      </w:r>
      <w:r w:rsidR="005E4AF9" w:rsidRPr="005E4AF9">
        <w:rPr>
          <w:rFonts w:ascii="Arial" w:hAnsi="Arial" w:cs="Arial"/>
        </w:rPr>
        <w:t>child sexual exploitation</w:t>
      </w:r>
      <w:r w:rsidR="000216C3" w:rsidRPr="005E4AF9">
        <w:rPr>
          <w:rFonts w:ascii="Arial" w:hAnsi="Arial" w:cs="Arial"/>
        </w:rPr>
        <w:t xml:space="preserve">, the impact the incidents can have on victims, </w:t>
      </w:r>
      <w:r w:rsidR="005E4AF9" w:rsidRPr="005E4AF9">
        <w:rPr>
          <w:rFonts w:ascii="Arial" w:hAnsi="Arial" w:cs="Arial"/>
        </w:rPr>
        <w:t>the safeguarding of victims</w:t>
      </w:r>
      <w:r w:rsidR="000216C3" w:rsidRPr="005E4AF9">
        <w:rPr>
          <w:rFonts w:ascii="Arial" w:hAnsi="Arial" w:cs="Arial"/>
        </w:rPr>
        <w:t xml:space="preserve"> and links </w:t>
      </w:r>
      <w:r w:rsidR="005E4AF9" w:rsidRPr="005E4AF9">
        <w:rPr>
          <w:rFonts w:ascii="Arial" w:hAnsi="Arial" w:cs="Arial"/>
        </w:rPr>
        <w:t>child sexual exploitation</w:t>
      </w:r>
      <w:r w:rsidR="000216C3" w:rsidRPr="005E4AF9">
        <w:rPr>
          <w:rFonts w:ascii="Arial" w:hAnsi="Arial" w:cs="Arial"/>
        </w:rPr>
        <w:t xml:space="preserve"> may have to serious and organised crime. </w:t>
      </w:r>
      <w:r w:rsidR="005E4AF9" w:rsidRPr="005E4AF9">
        <w:rPr>
          <w:rFonts w:ascii="Arial" w:hAnsi="Arial" w:cs="Arial"/>
        </w:rPr>
        <w:t>Throughout the essay the impact of professional’s individual opinions and views will be discussed and how they can impact an investigation. Additionally child sexual exploitation can include other public incidents, these will be touched upon throughout the essay when relevant.</w:t>
      </w:r>
    </w:p>
    <w:p w:rsidR="000216C3" w:rsidRPr="005E4AF9" w:rsidRDefault="000216C3" w:rsidP="005E4AF9">
      <w:pPr>
        <w:spacing w:line="360" w:lineRule="auto"/>
        <w:jc w:val="both"/>
        <w:rPr>
          <w:rFonts w:ascii="Arial" w:hAnsi="Arial" w:cs="Arial"/>
          <w:b/>
        </w:rPr>
      </w:pPr>
      <w:r w:rsidRPr="005E4AF9">
        <w:rPr>
          <w:rFonts w:ascii="Arial" w:hAnsi="Arial" w:cs="Arial"/>
          <w:b/>
        </w:rPr>
        <w:t>Child sexual exploitation.</w:t>
      </w:r>
    </w:p>
    <w:p w:rsidR="00862809" w:rsidRPr="005E4AF9" w:rsidRDefault="00862809" w:rsidP="005E4AF9">
      <w:pPr>
        <w:spacing w:line="360" w:lineRule="auto"/>
        <w:jc w:val="both"/>
        <w:rPr>
          <w:rFonts w:ascii="Arial" w:hAnsi="Arial" w:cs="Arial"/>
          <w:b/>
        </w:rPr>
      </w:pPr>
      <w:r w:rsidRPr="005E4AF9">
        <w:rPr>
          <w:rFonts w:ascii="Arial" w:hAnsi="Arial" w:cs="Arial"/>
          <w:b/>
        </w:rPr>
        <w:t>What is child sexual exploitation?</w:t>
      </w:r>
    </w:p>
    <w:p w:rsidR="000216C3" w:rsidRPr="005E4AF9" w:rsidRDefault="000216C3" w:rsidP="005E4AF9">
      <w:pPr>
        <w:pStyle w:val="NormalWeb"/>
        <w:spacing w:line="360" w:lineRule="auto"/>
        <w:jc w:val="both"/>
        <w:rPr>
          <w:rFonts w:ascii="Arial" w:hAnsi="Arial" w:cs="Arial"/>
          <w:sz w:val="22"/>
          <w:szCs w:val="22"/>
          <w:lang w:val="en"/>
        </w:rPr>
      </w:pPr>
      <w:r w:rsidRPr="005E4AF9">
        <w:rPr>
          <w:rFonts w:ascii="Arial" w:hAnsi="Arial" w:cs="Arial"/>
          <w:sz w:val="22"/>
          <w:szCs w:val="22"/>
        </w:rPr>
        <w:t>According to (Child sexual exploitation, 2021) c</w:t>
      </w:r>
      <w:r w:rsidR="008E58FB" w:rsidRPr="005E4AF9">
        <w:rPr>
          <w:rFonts w:ascii="Arial" w:hAnsi="Arial" w:cs="Arial"/>
          <w:sz w:val="22"/>
          <w:szCs w:val="22"/>
        </w:rPr>
        <w:t xml:space="preserve">hild sexual exploitation </w:t>
      </w:r>
      <w:r w:rsidRPr="005E4AF9">
        <w:rPr>
          <w:rFonts w:ascii="Arial" w:hAnsi="Arial" w:cs="Arial"/>
          <w:sz w:val="22"/>
          <w:szCs w:val="22"/>
          <w:lang w:val="en"/>
        </w:rPr>
        <w:t xml:space="preserve">is a type of </w:t>
      </w:r>
      <w:hyperlink r:id="rId6" w:tooltip="Sexual abuse" w:history="1">
        <w:r w:rsidRPr="005E4AF9">
          <w:rPr>
            <w:rStyle w:val="Hyperlink"/>
            <w:rFonts w:ascii="Arial" w:hAnsi="Arial" w:cs="Arial"/>
            <w:color w:val="auto"/>
            <w:sz w:val="22"/>
            <w:szCs w:val="22"/>
            <w:u w:val="none"/>
            <w:lang w:val="en"/>
          </w:rPr>
          <w:t>sexual abuse</w:t>
        </w:r>
      </w:hyperlink>
      <w:r w:rsidRPr="005E4AF9">
        <w:rPr>
          <w:rFonts w:ascii="Arial" w:hAnsi="Arial" w:cs="Arial"/>
          <w:sz w:val="22"/>
          <w:szCs w:val="22"/>
          <w:lang w:val="en"/>
        </w:rPr>
        <w:t>. When a child or young person is exploited they're given things, like gifts, drugs, money, status and affection, in exchange for performing sexual activities. Children and young people are often tricked into believing they're in a loving and consensual relationship. This is called </w:t>
      </w:r>
      <w:hyperlink r:id="rId7" w:tooltip="Grooming" w:history="1">
        <w:r w:rsidRPr="005E4AF9">
          <w:rPr>
            <w:rStyle w:val="Hyperlink"/>
            <w:rFonts w:ascii="Arial" w:hAnsi="Arial" w:cs="Arial"/>
            <w:color w:val="auto"/>
            <w:sz w:val="22"/>
            <w:szCs w:val="22"/>
            <w:u w:val="none"/>
            <w:lang w:val="en"/>
          </w:rPr>
          <w:t>grooming</w:t>
        </w:r>
      </w:hyperlink>
      <w:r w:rsidRPr="005E4AF9">
        <w:rPr>
          <w:rFonts w:ascii="Arial" w:hAnsi="Arial" w:cs="Arial"/>
          <w:sz w:val="22"/>
          <w:szCs w:val="22"/>
          <w:lang w:val="en"/>
        </w:rPr>
        <w:t>. They may trust their abuser and not understand that they're being abused.</w:t>
      </w:r>
    </w:p>
    <w:p w:rsidR="008E58FB" w:rsidRPr="005E4AF9" w:rsidRDefault="00862809" w:rsidP="005E4AF9">
      <w:pPr>
        <w:pStyle w:val="NormalWeb"/>
        <w:spacing w:line="360" w:lineRule="auto"/>
        <w:jc w:val="both"/>
        <w:rPr>
          <w:rFonts w:ascii="Arial" w:hAnsi="Arial" w:cs="Arial"/>
          <w:sz w:val="22"/>
          <w:szCs w:val="22"/>
          <w:lang w:val="en"/>
        </w:rPr>
      </w:pPr>
      <w:r w:rsidRPr="005E4AF9">
        <w:rPr>
          <w:rFonts w:ascii="Arial" w:hAnsi="Arial" w:cs="Arial"/>
          <w:sz w:val="22"/>
          <w:szCs w:val="22"/>
          <w:lang w:val="en"/>
        </w:rPr>
        <w:t>Abusers can use violence and intimidation to make a child or young person feel that they have no choice.</w:t>
      </w:r>
      <w:r w:rsidR="000216C3" w:rsidRPr="005E4AF9">
        <w:rPr>
          <w:rFonts w:ascii="Arial" w:hAnsi="Arial" w:cs="Arial"/>
          <w:sz w:val="22"/>
          <w:szCs w:val="22"/>
          <w:lang w:val="en"/>
        </w:rPr>
        <w:t xml:space="preserve"> They may lend them large sums of money they know can't be repaid or use financial abuse to control them.</w:t>
      </w:r>
    </w:p>
    <w:p w:rsidR="000216C3" w:rsidRPr="005E4AF9" w:rsidRDefault="000216C3" w:rsidP="005E4AF9">
      <w:pPr>
        <w:pStyle w:val="NormalWeb"/>
        <w:spacing w:line="360" w:lineRule="auto"/>
        <w:jc w:val="both"/>
        <w:rPr>
          <w:rFonts w:ascii="Arial" w:hAnsi="Arial" w:cs="Arial"/>
          <w:sz w:val="22"/>
          <w:szCs w:val="22"/>
          <w:lang w:val="en"/>
        </w:rPr>
      </w:pPr>
      <w:r w:rsidRPr="005E4AF9">
        <w:rPr>
          <w:rFonts w:ascii="Arial" w:hAnsi="Arial" w:cs="Arial"/>
          <w:sz w:val="22"/>
          <w:szCs w:val="22"/>
          <w:lang w:val="en"/>
        </w:rPr>
        <w:lastRenderedPageBreak/>
        <w:t>Anybody can be a perpetrator of CSE, no matter their age, gender or race. The relationship could be framed as friendship, someone to look up to or romantic. Children and young people who are exploited may also be used to 'find' or coerce others to join groups.</w:t>
      </w:r>
    </w:p>
    <w:p w:rsidR="00862809" w:rsidRPr="005E4AF9" w:rsidRDefault="00862809" w:rsidP="005E4AF9">
      <w:pPr>
        <w:pStyle w:val="NormalWeb"/>
        <w:spacing w:line="360" w:lineRule="auto"/>
        <w:jc w:val="both"/>
        <w:rPr>
          <w:rFonts w:ascii="Arial" w:hAnsi="Arial" w:cs="Arial"/>
          <w:b/>
          <w:sz w:val="22"/>
          <w:szCs w:val="22"/>
          <w:lang w:val="en"/>
        </w:rPr>
      </w:pPr>
      <w:r w:rsidRPr="005E4AF9">
        <w:rPr>
          <w:rFonts w:ascii="Arial" w:hAnsi="Arial" w:cs="Arial"/>
          <w:b/>
          <w:sz w:val="22"/>
          <w:szCs w:val="22"/>
          <w:lang w:val="en"/>
        </w:rPr>
        <w:t>Police strategies</w:t>
      </w:r>
    </w:p>
    <w:p w:rsidR="005E4AF9" w:rsidRPr="005E4AF9" w:rsidRDefault="005E4AF9" w:rsidP="005E4AF9">
      <w:pPr>
        <w:pStyle w:val="NormalWeb"/>
        <w:spacing w:line="360" w:lineRule="auto"/>
        <w:jc w:val="both"/>
        <w:rPr>
          <w:rFonts w:ascii="Arial" w:hAnsi="Arial" w:cs="Arial"/>
          <w:b/>
          <w:sz w:val="22"/>
          <w:szCs w:val="22"/>
          <w:lang w:val="en"/>
        </w:rPr>
      </w:pPr>
      <w:r w:rsidRPr="005E4AF9">
        <w:rPr>
          <w:rFonts w:ascii="Arial" w:hAnsi="Arial" w:cs="Arial"/>
          <w:b/>
          <w:sz w:val="22"/>
          <w:szCs w:val="22"/>
          <w:lang w:val="en"/>
        </w:rPr>
        <w:t>Initial call</w:t>
      </w:r>
    </w:p>
    <w:p w:rsidR="009D674E" w:rsidRPr="005E4AF9" w:rsidRDefault="009D674E" w:rsidP="005E4AF9">
      <w:pPr>
        <w:pStyle w:val="NormalWeb"/>
        <w:spacing w:line="360" w:lineRule="auto"/>
        <w:jc w:val="both"/>
        <w:rPr>
          <w:rFonts w:ascii="Arial" w:hAnsi="Arial" w:cs="Arial"/>
          <w:sz w:val="22"/>
          <w:szCs w:val="22"/>
          <w:lang w:val="en"/>
        </w:rPr>
      </w:pPr>
      <w:r w:rsidRPr="005E4AF9">
        <w:rPr>
          <w:rFonts w:ascii="Arial" w:hAnsi="Arial" w:cs="Arial"/>
          <w:sz w:val="22"/>
          <w:szCs w:val="22"/>
          <w:lang w:val="en"/>
        </w:rPr>
        <w:t>Within South Wales Police initial calls are g</w:t>
      </w:r>
      <w:r w:rsidR="005E4AF9" w:rsidRPr="005E4AF9">
        <w:rPr>
          <w:rFonts w:ascii="Arial" w:hAnsi="Arial" w:cs="Arial"/>
          <w:sz w:val="22"/>
          <w:szCs w:val="22"/>
          <w:lang w:val="en"/>
        </w:rPr>
        <w:t>raded using the THRIVE approach</w:t>
      </w:r>
      <w:r w:rsidRPr="005E4AF9">
        <w:rPr>
          <w:rFonts w:ascii="Arial" w:hAnsi="Arial" w:cs="Arial"/>
          <w:sz w:val="22"/>
          <w:szCs w:val="22"/>
          <w:lang w:val="en"/>
        </w:rPr>
        <w:t xml:space="preserve"> </w:t>
      </w:r>
      <w:r w:rsidR="005E4AF9" w:rsidRPr="005E4AF9">
        <w:rPr>
          <w:rFonts w:ascii="Arial" w:hAnsi="Arial" w:cs="Arial"/>
          <w:sz w:val="22"/>
          <w:szCs w:val="22"/>
          <w:lang w:val="en"/>
        </w:rPr>
        <w:t>(2021). This approach takes into account; Threat, Harm, Risk, Investigation, Vulnerability and Engagement. This strategy works to grade the initial call to the control room and help decide on the grading of response. The more ‘boxes’ the call ticks the faster the response.</w:t>
      </w:r>
    </w:p>
    <w:p w:rsidR="005E4AF9" w:rsidRPr="005E4AF9" w:rsidRDefault="005E4AF9" w:rsidP="005E4AF9">
      <w:pPr>
        <w:pStyle w:val="NormalWeb"/>
        <w:spacing w:line="360" w:lineRule="auto"/>
        <w:jc w:val="both"/>
        <w:rPr>
          <w:rFonts w:ascii="Arial" w:hAnsi="Arial" w:cs="Arial"/>
          <w:sz w:val="22"/>
          <w:szCs w:val="22"/>
          <w:lang w:val="en"/>
        </w:rPr>
      </w:pPr>
      <w:r w:rsidRPr="005E4AF9">
        <w:rPr>
          <w:rFonts w:ascii="Arial" w:hAnsi="Arial" w:cs="Arial"/>
          <w:sz w:val="22"/>
          <w:szCs w:val="22"/>
          <w:lang w:val="en"/>
        </w:rPr>
        <w:t xml:space="preserve">The THRIVE approach is used within many Police forces however there are positives and negatives to this technique. (How we handle incidents - North Yorkshire Police, 2021) States that the THRIVE technique creates an individual assessment to every incident and provides a bespoke service for each incident. </w:t>
      </w:r>
    </w:p>
    <w:p w:rsidR="005E4AF9" w:rsidRPr="005E4AF9" w:rsidRDefault="005E4AF9" w:rsidP="005E4AF9">
      <w:pPr>
        <w:pStyle w:val="NormalWeb"/>
        <w:spacing w:line="360" w:lineRule="auto"/>
        <w:jc w:val="both"/>
        <w:rPr>
          <w:rFonts w:ascii="Arial" w:hAnsi="Arial" w:cs="Arial"/>
          <w:sz w:val="22"/>
          <w:szCs w:val="22"/>
          <w:lang w:val="en"/>
        </w:rPr>
      </w:pPr>
      <w:r w:rsidRPr="005E4AF9">
        <w:rPr>
          <w:rFonts w:ascii="Arial" w:hAnsi="Arial" w:cs="Arial"/>
          <w:sz w:val="22"/>
          <w:szCs w:val="22"/>
          <w:lang w:val="en"/>
        </w:rPr>
        <w:t xml:space="preserve">The THRIVE approach means that the correct people are deployed to the incident meaning that the initial response is as effective and proportionate as possible. </w:t>
      </w:r>
      <w:r w:rsidRPr="005E4AF9">
        <w:rPr>
          <w:rFonts w:ascii="Arial" w:hAnsi="Arial" w:cs="Arial"/>
          <w:sz w:val="22"/>
          <w:szCs w:val="22"/>
          <w:lang w:val="en"/>
        </w:rPr>
        <w:t xml:space="preserve">Additionally calls that used to require police officer attendance can now be dealt with over the telephone which can free up resources. </w:t>
      </w:r>
    </w:p>
    <w:p w:rsidR="005E4AF9" w:rsidRPr="005E4AF9" w:rsidRDefault="005E4AF9" w:rsidP="005E4AF9">
      <w:pPr>
        <w:pStyle w:val="NormalWeb"/>
        <w:spacing w:line="360" w:lineRule="auto"/>
        <w:jc w:val="both"/>
        <w:rPr>
          <w:rFonts w:ascii="Arial" w:hAnsi="Arial" w:cs="Arial"/>
          <w:sz w:val="22"/>
          <w:szCs w:val="22"/>
          <w:lang w:val="en"/>
        </w:rPr>
      </w:pPr>
      <w:r w:rsidRPr="005E4AF9">
        <w:rPr>
          <w:rFonts w:ascii="Arial" w:hAnsi="Arial" w:cs="Arial"/>
          <w:sz w:val="22"/>
          <w:szCs w:val="22"/>
          <w:lang w:val="en"/>
        </w:rPr>
        <w:t>Although on paper and for the majority of calls the THRIVE technique is suitable and effective there are negatives to the strategy. For example (Northamptonshire Police, 2015) found that a number of the call handlers within their call centers had not been trained on the THRIVE technique. This meant that there were inconsistencies between calls which had an adverse effect on the victims, particularly vulnerable callers. Different call takers perceived people as vulnerable in different ways due to their own personal attitudes and values. Within child sexual exploitation this could be due to personal opinion on what makes a person a victim or a willing participant, especially as a child gets older and closer to legally becoming an adult. Furthermore as child sexual exploitation specifically includes sexual activity some people may be of the opinion that as a child is able to legally consent to sexual activity at the age of sixteen that those who are above this age cannot be a victim if they are agreeing to the sexual activity. However child sexual exploitation is a lot more complicated than that, and although the victim themselves may even believe that they are consenting to the sexual activity this does not mean that they have not been manipulate and coerced into feeling this way.</w:t>
      </w:r>
    </w:p>
    <w:p w:rsidR="005E4AF9" w:rsidRPr="005E4AF9" w:rsidRDefault="005E4AF9" w:rsidP="005E4AF9">
      <w:pPr>
        <w:pStyle w:val="NormalWeb"/>
        <w:spacing w:line="360" w:lineRule="auto"/>
        <w:jc w:val="both"/>
        <w:rPr>
          <w:rFonts w:ascii="Arial" w:hAnsi="Arial" w:cs="Arial"/>
          <w:sz w:val="22"/>
          <w:szCs w:val="22"/>
          <w:lang w:val="en"/>
        </w:rPr>
      </w:pPr>
      <w:r w:rsidRPr="005E4AF9">
        <w:rPr>
          <w:rFonts w:ascii="Arial" w:hAnsi="Arial" w:cs="Arial"/>
          <w:sz w:val="22"/>
          <w:szCs w:val="22"/>
          <w:lang w:val="en"/>
        </w:rPr>
        <w:lastRenderedPageBreak/>
        <w:t>Overall the THRIVE strategy is a good tool for assessing initial calls, however it is important to remember that it is not a fool proof tool and human opinion will inevitably impact the outcome of the THRIVE approach, especially with more complex incidents such as child sexual exploitation.</w:t>
      </w:r>
    </w:p>
    <w:p w:rsidR="005E4AF9" w:rsidRDefault="005E4AF9" w:rsidP="005E4AF9">
      <w:pPr>
        <w:pStyle w:val="NormalWeb"/>
        <w:spacing w:line="360" w:lineRule="auto"/>
        <w:jc w:val="both"/>
        <w:rPr>
          <w:rFonts w:ascii="Arial" w:hAnsi="Arial" w:cs="Arial"/>
          <w:sz w:val="22"/>
          <w:szCs w:val="22"/>
          <w:lang w:val="en"/>
        </w:rPr>
      </w:pPr>
      <w:r w:rsidRPr="005E4AF9">
        <w:rPr>
          <w:rFonts w:ascii="Arial" w:hAnsi="Arial" w:cs="Arial"/>
          <w:sz w:val="22"/>
          <w:szCs w:val="22"/>
          <w:lang w:val="en"/>
        </w:rPr>
        <w:t xml:space="preserve">In addition to the THRIVE technique initial call handlers are also trained to conduct background searches on those involved, the address’ that are linked and any other information they are given. These searches give invaluable information, provide a ‘picture’ and supply important officer safety information. Furthermore, (Lindsay, Cooke and Jackson, 2009) found that previous warning markers attached to victims and suspects can improve the response that police make to an incident. For example if a child or vulnerable adult has gone missing numerous times this is a key indicator that they are at risk of child sexual exploitation and would indicate to the attending officer that there is the possibility of child sexual exploitation and makes them aware of that face before they arrive at the call. Moreover, the specific marker ‘at risk of child sexual exploitation from ____’ can also be attached to a victim, this is to give officers and call takers prior knowledge that the victim is already at risk and vulnerable and may influence an officers response. Additionally, markers such as previous missing person, mental health, violent, drugs user, domestic violence victim, assault police, firearms etc. can be placed upon a person. Again this can have negative and positive aspects. Officer safety has improved since warning markers for previous violence have been added (Andrew, Henry, Coleman and Wiles, 2012). Response and positive action for domestic violence incidents (Thornton, 2017) have also improved. However, warning markers can also have a negative response as an officer or call taker will have their own opinion on the incident and often when a victim is a repeat caller their call can be taken less seriously due to preconceived ideas. </w:t>
      </w:r>
    </w:p>
    <w:p w:rsidR="005E4AF9" w:rsidRP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Although the above is relevant it is important to note that a victim of child sexual exploitation is unlikely to make an initial call to police themselves. The initial call is likely to come from a teacher, family member, friend, neighbor, social worker or they are to be the subject of another call and concerns are likely to be raised by the officer in attendance.</w:t>
      </w:r>
    </w:p>
    <w:p w:rsidR="005E4AF9" w:rsidRDefault="005E4AF9" w:rsidP="005E4AF9">
      <w:pPr>
        <w:pStyle w:val="NormalWeb"/>
        <w:spacing w:line="360" w:lineRule="auto"/>
        <w:jc w:val="both"/>
        <w:rPr>
          <w:rFonts w:ascii="Arial" w:hAnsi="Arial" w:cs="Arial"/>
          <w:b/>
          <w:sz w:val="22"/>
          <w:szCs w:val="22"/>
          <w:lang w:val="en"/>
        </w:rPr>
      </w:pPr>
      <w:r w:rsidRPr="005E4AF9">
        <w:rPr>
          <w:rFonts w:ascii="Arial" w:hAnsi="Arial" w:cs="Arial"/>
          <w:b/>
          <w:sz w:val="22"/>
          <w:szCs w:val="22"/>
          <w:lang w:val="en"/>
        </w:rPr>
        <w:t>First response</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Every incident that relates to the concern of a child the first responder must adhere to the fast track actions and utilise </w:t>
      </w:r>
      <w:r w:rsidRPr="005E4AF9">
        <w:rPr>
          <w:rFonts w:ascii="Arial" w:hAnsi="Arial" w:cs="Arial"/>
          <w:sz w:val="22"/>
          <w:szCs w:val="22"/>
          <w:lang w:val="en"/>
        </w:rPr>
        <w:t xml:space="preserve">the National Decision Making Model (Terrill and </w:t>
      </w:r>
      <w:proofErr w:type="spellStart"/>
      <w:r w:rsidRPr="005E4AF9">
        <w:rPr>
          <w:rFonts w:ascii="Arial" w:hAnsi="Arial" w:cs="Arial"/>
          <w:sz w:val="22"/>
          <w:szCs w:val="22"/>
          <w:lang w:val="en"/>
        </w:rPr>
        <w:t>Paoline</w:t>
      </w:r>
      <w:proofErr w:type="spellEnd"/>
      <w:r w:rsidRPr="005E4AF9">
        <w:rPr>
          <w:rFonts w:ascii="Arial" w:hAnsi="Arial" w:cs="Arial"/>
          <w:sz w:val="22"/>
          <w:szCs w:val="22"/>
          <w:lang w:val="en"/>
        </w:rPr>
        <w:t>, 2007)</w:t>
      </w:r>
      <w:r>
        <w:rPr>
          <w:rFonts w:ascii="Arial" w:hAnsi="Arial" w:cs="Arial"/>
          <w:sz w:val="22"/>
          <w:szCs w:val="22"/>
          <w:lang w:val="en"/>
        </w:rPr>
        <w:t xml:space="preserve">.  </w:t>
      </w:r>
    </w:p>
    <w:p w:rsidR="005E4AF9" w:rsidRP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It is important to note that when a child is being spoken to or interviewed by officers an appropriate adult is used. This can be a family member, social worker or any adult deemed appropriate to support the child. It is important to remember that some adults in a child at risk </w:t>
      </w:r>
      <w:r>
        <w:rPr>
          <w:rFonts w:ascii="Arial" w:hAnsi="Arial" w:cs="Arial"/>
          <w:sz w:val="22"/>
          <w:szCs w:val="22"/>
          <w:lang w:val="en"/>
        </w:rPr>
        <w:lastRenderedPageBreak/>
        <w:t>of child sexual exploitation may not be appropriate in the capacity and may be aware or involved in the offence.</w:t>
      </w:r>
      <w:r>
        <w:rPr>
          <w:rFonts w:ascii="Arial" w:hAnsi="Arial" w:cs="Arial"/>
          <w:sz w:val="22"/>
          <w:szCs w:val="22"/>
          <w:lang w:val="en"/>
        </w:rPr>
        <w:t xml:space="preserve"> Moreover, as previously noted the initial call is unlikely to have been made by the victim. This means that the attending officer needs to be aware that the victim may not believe they are a victim and may protect their abuser. Often a rapport needs to be built up to enable the victim to be forthcoming with information of their own. </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However, officers are duty bound to attend such calls and South Wales Police force have a list of information that they expect the initial responders to collect on the initial call in regards to child sexual exploitation. This list in not exhaustive but includes the following; location of the incident, </w:t>
      </w:r>
      <w:r w:rsidRPr="005E4AF9">
        <w:rPr>
          <w:rFonts w:ascii="Arial" w:hAnsi="Arial" w:cs="Arial"/>
          <w:sz w:val="22"/>
          <w:szCs w:val="22"/>
          <w:lang w:val="en"/>
        </w:rPr>
        <w:t>location of the suspect and victim (and any other child</w:t>
      </w:r>
      <w:r>
        <w:rPr>
          <w:rFonts w:ascii="Arial" w:hAnsi="Arial" w:cs="Arial"/>
          <w:sz w:val="22"/>
          <w:szCs w:val="22"/>
          <w:lang w:val="en"/>
        </w:rPr>
        <w:t xml:space="preserve">ren in the same household, e.g. Siblings), </w:t>
      </w:r>
      <w:r w:rsidRPr="005E4AF9">
        <w:rPr>
          <w:rFonts w:ascii="Arial" w:hAnsi="Arial" w:cs="Arial"/>
          <w:sz w:val="22"/>
          <w:szCs w:val="22"/>
          <w:lang w:val="en"/>
        </w:rPr>
        <w:t xml:space="preserve">whether anyone is injured, nature and severity </w:t>
      </w:r>
      <w:r>
        <w:rPr>
          <w:rFonts w:ascii="Arial" w:hAnsi="Arial" w:cs="Arial"/>
          <w:sz w:val="22"/>
          <w:szCs w:val="22"/>
          <w:lang w:val="en"/>
        </w:rPr>
        <w:t xml:space="preserve">of injuries and whether medical assistance is required, </w:t>
      </w:r>
      <w:r w:rsidRPr="005E4AF9">
        <w:rPr>
          <w:rFonts w:ascii="Arial" w:hAnsi="Arial" w:cs="Arial"/>
          <w:sz w:val="22"/>
          <w:szCs w:val="22"/>
          <w:lang w:val="en"/>
        </w:rPr>
        <w:t>whe</w:t>
      </w:r>
      <w:r>
        <w:rPr>
          <w:rFonts w:ascii="Arial" w:hAnsi="Arial" w:cs="Arial"/>
          <w:sz w:val="22"/>
          <w:szCs w:val="22"/>
          <w:lang w:val="en"/>
        </w:rPr>
        <w:t xml:space="preserve">ther any weapons have been used, </w:t>
      </w:r>
      <w:r w:rsidRPr="005E4AF9">
        <w:rPr>
          <w:rFonts w:ascii="Arial" w:hAnsi="Arial" w:cs="Arial"/>
          <w:sz w:val="22"/>
          <w:szCs w:val="22"/>
          <w:lang w:val="en"/>
        </w:rPr>
        <w:t>whether any weapo</w:t>
      </w:r>
      <w:r>
        <w:rPr>
          <w:rFonts w:ascii="Arial" w:hAnsi="Arial" w:cs="Arial"/>
          <w:sz w:val="22"/>
          <w:szCs w:val="22"/>
          <w:lang w:val="en"/>
        </w:rPr>
        <w:t xml:space="preserve">ns are available to the suspect, </w:t>
      </w:r>
      <w:r w:rsidRPr="005E4AF9">
        <w:rPr>
          <w:rFonts w:ascii="Arial" w:hAnsi="Arial" w:cs="Arial"/>
          <w:sz w:val="22"/>
          <w:szCs w:val="22"/>
          <w:lang w:val="en"/>
        </w:rPr>
        <w:t>nature of the incident or concern</w:t>
      </w:r>
      <w:r>
        <w:rPr>
          <w:rFonts w:ascii="Arial" w:hAnsi="Arial" w:cs="Arial"/>
          <w:sz w:val="22"/>
          <w:szCs w:val="22"/>
          <w:lang w:val="en"/>
        </w:rPr>
        <w:t xml:space="preserve">, </w:t>
      </w:r>
      <w:r w:rsidRPr="005E4AF9">
        <w:rPr>
          <w:rFonts w:ascii="Arial" w:hAnsi="Arial" w:cs="Arial"/>
          <w:sz w:val="22"/>
          <w:szCs w:val="22"/>
          <w:lang w:val="en"/>
        </w:rPr>
        <w:t>identity and details of the victim and any other child</w:t>
      </w:r>
      <w:r>
        <w:rPr>
          <w:rFonts w:ascii="Arial" w:hAnsi="Arial" w:cs="Arial"/>
          <w:sz w:val="22"/>
          <w:szCs w:val="22"/>
          <w:lang w:val="en"/>
        </w:rPr>
        <w:t xml:space="preserve">ren, including names (correctly </w:t>
      </w:r>
      <w:r w:rsidRPr="005E4AF9">
        <w:rPr>
          <w:rFonts w:ascii="Arial" w:hAnsi="Arial" w:cs="Arial"/>
          <w:sz w:val="22"/>
          <w:szCs w:val="22"/>
          <w:lang w:val="en"/>
        </w:rPr>
        <w:t>spelt) sex, dates of birth, home addresses, telepho</w:t>
      </w:r>
      <w:r>
        <w:rPr>
          <w:rFonts w:ascii="Arial" w:hAnsi="Arial" w:cs="Arial"/>
          <w:sz w:val="22"/>
          <w:szCs w:val="22"/>
          <w:lang w:val="en"/>
        </w:rPr>
        <w:t xml:space="preserve">ne numbers and whether they are safe, </w:t>
      </w:r>
      <w:r w:rsidRPr="005E4AF9">
        <w:rPr>
          <w:rFonts w:ascii="Arial" w:hAnsi="Arial" w:cs="Arial"/>
          <w:sz w:val="22"/>
          <w:szCs w:val="22"/>
          <w:lang w:val="en"/>
        </w:rPr>
        <w:t>identity of other parties involved, including the suspect</w:t>
      </w:r>
      <w:r>
        <w:rPr>
          <w:rFonts w:ascii="Arial" w:hAnsi="Arial" w:cs="Arial"/>
          <w:sz w:val="22"/>
          <w:szCs w:val="22"/>
          <w:lang w:val="en"/>
        </w:rPr>
        <w:t xml:space="preserve">, their names (correctly spelt) </w:t>
      </w:r>
      <w:r w:rsidRPr="005E4AF9">
        <w:rPr>
          <w:rFonts w:ascii="Arial" w:hAnsi="Arial" w:cs="Arial"/>
          <w:sz w:val="22"/>
          <w:szCs w:val="22"/>
          <w:lang w:val="en"/>
        </w:rPr>
        <w:t>sex, dates of birth, ho</w:t>
      </w:r>
      <w:r>
        <w:rPr>
          <w:rFonts w:ascii="Arial" w:hAnsi="Arial" w:cs="Arial"/>
          <w:sz w:val="22"/>
          <w:szCs w:val="22"/>
          <w:lang w:val="en"/>
        </w:rPr>
        <w:t xml:space="preserve">me addresses, telephone numbers, </w:t>
      </w:r>
      <w:r w:rsidRPr="005E4AF9">
        <w:rPr>
          <w:rFonts w:ascii="Arial" w:hAnsi="Arial" w:cs="Arial"/>
          <w:sz w:val="22"/>
          <w:szCs w:val="22"/>
          <w:lang w:val="en"/>
        </w:rPr>
        <w:t>whether communication or language issues exist and w</w:t>
      </w:r>
      <w:r>
        <w:rPr>
          <w:rFonts w:ascii="Arial" w:hAnsi="Arial" w:cs="Arial"/>
          <w:sz w:val="22"/>
          <w:szCs w:val="22"/>
          <w:lang w:val="en"/>
        </w:rPr>
        <w:t xml:space="preserve">hether officers will require an </w:t>
      </w:r>
      <w:r w:rsidRPr="005E4AF9">
        <w:rPr>
          <w:rFonts w:ascii="Arial" w:hAnsi="Arial" w:cs="Arial"/>
          <w:sz w:val="22"/>
          <w:szCs w:val="22"/>
          <w:lang w:val="en"/>
        </w:rPr>
        <w:t>interprete</w:t>
      </w:r>
      <w:r>
        <w:rPr>
          <w:rFonts w:ascii="Arial" w:hAnsi="Arial" w:cs="Arial"/>
          <w:sz w:val="22"/>
          <w:szCs w:val="22"/>
          <w:lang w:val="en"/>
        </w:rPr>
        <w:t xml:space="preserve">r or a registered intermediary, </w:t>
      </w:r>
      <w:r w:rsidRPr="005E4AF9">
        <w:rPr>
          <w:rFonts w:ascii="Arial" w:hAnsi="Arial" w:cs="Arial"/>
          <w:sz w:val="22"/>
          <w:szCs w:val="22"/>
          <w:lang w:val="en"/>
        </w:rPr>
        <w:t>whether any person present a</w:t>
      </w:r>
      <w:r>
        <w:rPr>
          <w:rFonts w:ascii="Arial" w:hAnsi="Arial" w:cs="Arial"/>
          <w:sz w:val="22"/>
          <w:szCs w:val="22"/>
          <w:lang w:val="en"/>
        </w:rPr>
        <w:t xml:space="preserve">ppears drunk or has taken drugs, </w:t>
      </w:r>
      <w:r w:rsidRPr="005E4AF9">
        <w:rPr>
          <w:rFonts w:ascii="Arial" w:hAnsi="Arial" w:cs="Arial"/>
          <w:sz w:val="22"/>
          <w:szCs w:val="22"/>
          <w:lang w:val="en"/>
        </w:rPr>
        <w:t>whether there are any particular requirements, for example</w:t>
      </w:r>
      <w:r>
        <w:rPr>
          <w:rFonts w:ascii="Arial" w:hAnsi="Arial" w:cs="Arial"/>
          <w:sz w:val="22"/>
          <w:szCs w:val="22"/>
          <w:lang w:val="en"/>
        </w:rPr>
        <w:t xml:space="preserve">, relating to disability and/or mental ill health, description of the suspect, whether any court orders apply, </w:t>
      </w:r>
      <w:r w:rsidRPr="005E4AF9">
        <w:rPr>
          <w:rFonts w:ascii="Arial" w:hAnsi="Arial" w:cs="Arial"/>
          <w:sz w:val="22"/>
          <w:szCs w:val="22"/>
          <w:lang w:val="en"/>
        </w:rPr>
        <w:t>a first account</w:t>
      </w:r>
      <w:r>
        <w:rPr>
          <w:rFonts w:ascii="Arial" w:hAnsi="Arial" w:cs="Arial"/>
          <w:sz w:val="22"/>
          <w:szCs w:val="22"/>
          <w:lang w:val="en"/>
        </w:rPr>
        <w:t xml:space="preserve">, </w:t>
      </w:r>
      <w:r w:rsidRPr="005E4AF9">
        <w:rPr>
          <w:rFonts w:ascii="Arial" w:hAnsi="Arial" w:cs="Arial"/>
          <w:sz w:val="22"/>
          <w:szCs w:val="22"/>
          <w:lang w:val="en"/>
        </w:rPr>
        <w:t>details of the chi</w:t>
      </w:r>
      <w:r>
        <w:rPr>
          <w:rFonts w:ascii="Arial" w:hAnsi="Arial" w:cs="Arial"/>
          <w:sz w:val="22"/>
          <w:szCs w:val="22"/>
          <w:lang w:val="en"/>
        </w:rPr>
        <w:t xml:space="preserve">ldren’s school and GP, if known, </w:t>
      </w:r>
      <w:r w:rsidRPr="005E4AF9">
        <w:rPr>
          <w:rFonts w:ascii="Arial" w:hAnsi="Arial" w:cs="Arial"/>
          <w:sz w:val="22"/>
          <w:szCs w:val="22"/>
          <w:lang w:val="en"/>
        </w:rPr>
        <w:t>whether there is any history of involv</w:t>
      </w:r>
      <w:r>
        <w:rPr>
          <w:rFonts w:ascii="Arial" w:hAnsi="Arial" w:cs="Arial"/>
          <w:sz w:val="22"/>
          <w:szCs w:val="22"/>
          <w:lang w:val="en"/>
        </w:rPr>
        <w:t xml:space="preserve">ement of children’s social care, </w:t>
      </w:r>
      <w:r w:rsidRPr="005E4AF9">
        <w:rPr>
          <w:rFonts w:ascii="Arial" w:hAnsi="Arial" w:cs="Arial"/>
          <w:sz w:val="22"/>
          <w:szCs w:val="22"/>
          <w:lang w:val="en"/>
        </w:rPr>
        <w:t xml:space="preserve">details of the </w:t>
      </w:r>
      <w:r w:rsidRPr="005E4AF9">
        <w:rPr>
          <w:rFonts w:ascii="Arial" w:hAnsi="Arial" w:cs="Arial"/>
          <w:sz w:val="22"/>
          <w:szCs w:val="22"/>
          <w:lang w:val="en"/>
        </w:rPr>
        <w:t>demeanor</w:t>
      </w:r>
      <w:r w:rsidRPr="005E4AF9">
        <w:rPr>
          <w:rFonts w:ascii="Arial" w:hAnsi="Arial" w:cs="Arial"/>
          <w:sz w:val="22"/>
          <w:szCs w:val="22"/>
          <w:lang w:val="en"/>
        </w:rPr>
        <w:t xml:space="preserve"> of the caller, victim, suspect and others presen</w:t>
      </w:r>
      <w:r>
        <w:rPr>
          <w:rFonts w:ascii="Arial" w:hAnsi="Arial" w:cs="Arial"/>
          <w:sz w:val="22"/>
          <w:szCs w:val="22"/>
          <w:lang w:val="en"/>
        </w:rPr>
        <w:t xml:space="preserve">t, </w:t>
      </w:r>
      <w:r w:rsidRPr="005E4AF9">
        <w:rPr>
          <w:rFonts w:ascii="Arial" w:hAnsi="Arial" w:cs="Arial"/>
          <w:sz w:val="22"/>
          <w:szCs w:val="22"/>
          <w:lang w:val="en"/>
        </w:rPr>
        <w:t xml:space="preserve">whether the </w:t>
      </w:r>
      <w:r>
        <w:rPr>
          <w:rFonts w:ascii="Arial" w:hAnsi="Arial" w:cs="Arial"/>
          <w:sz w:val="22"/>
          <w:szCs w:val="22"/>
          <w:lang w:val="en"/>
        </w:rPr>
        <w:t xml:space="preserve">child or suspect has a computer, </w:t>
      </w:r>
      <w:r w:rsidRPr="005E4AF9">
        <w:rPr>
          <w:rFonts w:ascii="Arial" w:hAnsi="Arial" w:cs="Arial"/>
          <w:sz w:val="22"/>
          <w:szCs w:val="22"/>
          <w:lang w:val="en"/>
        </w:rPr>
        <w:t>internet service provider</w:t>
      </w:r>
      <w:r>
        <w:rPr>
          <w:rFonts w:ascii="Arial" w:hAnsi="Arial" w:cs="Arial"/>
          <w:sz w:val="22"/>
          <w:szCs w:val="22"/>
          <w:lang w:val="en"/>
        </w:rPr>
        <w:t xml:space="preserve"> and email address and user names. All of this information is important to understand what offences there are, who is involved, to safeguard any others involved and to begin an investigation.</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Although on paper the initial response officer is expected to gather this information the reality is that often they are unable to. Often victims of child sexual exploitation are unwilling to speak with officers, this can be for a number of reasons. The victim may not realise or believe that they are a victim. Perpetrators of such crimes are very manipulative and have a huge amount of control over the victim. Often even if a victim is aware that offences are being committed they are too scared to speak to anyone of an official role out of fear of what will happen to them if they do. Additionally, often victims have been forced to do sexual or criminal act against their will, this can mean that a victim is threatened by the police and scared of getting into trouble themselves. Victims of child sexual exploitation are often explained away as ‘life style choices’ which gives the impression that the victim chose to live this way, this is an example of personal opinion and values effecting a police investigation. No child or vulnerable adult </w:t>
      </w:r>
      <w:r>
        <w:rPr>
          <w:rFonts w:ascii="Arial" w:hAnsi="Arial" w:cs="Arial"/>
          <w:sz w:val="22"/>
          <w:szCs w:val="22"/>
          <w:lang w:val="en"/>
        </w:rPr>
        <w:lastRenderedPageBreak/>
        <w:t xml:space="preserve">can choose to be sexually exploited and as previously stated even if they appear to believe they chose the lifestyle themselves that is not the case. Children cannot choose to be sexually exploited. </w:t>
      </w:r>
      <w:r w:rsidRPr="005E4AF9">
        <w:rPr>
          <w:rFonts w:ascii="Arial" w:hAnsi="Arial" w:cs="Arial"/>
          <w:sz w:val="22"/>
          <w:szCs w:val="22"/>
          <w:lang w:val="en"/>
        </w:rPr>
        <w:t xml:space="preserve">(Beckett and Pearce, </w:t>
      </w:r>
      <w:proofErr w:type="spellStart"/>
      <w:r w:rsidRPr="005E4AF9">
        <w:rPr>
          <w:rFonts w:ascii="Arial" w:hAnsi="Arial" w:cs="Arial"/>
          <w:sz w:val="22"/>
          <w:szCs w:val="22"/>
          <w:lang w:val="en"/>
        </w:rPr>
        <w:t>n.d.</w:t>
      </w:r>
      <w:proofErr w:type="spellEnd"/>
      <w:r w:rsidRPr="005E4AF9">
        <w:rPr>
          <w:rFonts w:ascii="Arial" w:hAnsi="Arial" w:cs="Arial"/>
          <w:sz w:val="22"/>
          <w:szCs w:val="22"/>
          <w:lang w:val="en"/>
        </w:rPr>
        <w:t>)</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It was previously stated that often child sexual exploitation is not reported and is picked up on by officers. There are key points that officers are taught to look out for at calls involving children and vulnerable adults. The </w:t>
      </w:r>
      <w:r w:rsidRPr="005E4AF9">
        <w:rPr>
          <w:rFonts w:ascii="Arial" w:hAnsi="Arial" w:cs="Arial"/>
          <w:sz w:val="22"/>
          <w:szCs w:val="22"/>
          <w:lang w:val="en"/>
        </w:rPr>
        <w:t>acronym</w:t>
      </w:r>
      <w:r>
        <w:rPr>
          <w:rFonts w:ascii="Arial" w:hAnsi="Arial" w:cs="Arial"/>
          <w:sz w:val="22"/>
          <w:szCs w:val="22"/>
          <w:lang w:val="en"/>
        </w:rPr>
        <w:t xml:space="preserve"> is SAFEGUARD and stands for Sexual h</w:t>
      </w:r>
      <w:r w:rsidR="00285081">
        <w:rPr>
          <w:rFonts w:ascii="Arial" w:hAnsi="Arial" w:cs="Arial"/>
          <w:sz w:val="22"/>
          <w:szCs w:val="22"/>
          <w:lang w:val="en"/>
        </w:rPr>
        <w:t>e</w:t>
      </w:r>
      <w:r>
        <w:rPr>
          <w:rFonts w:ascii="Arial" w:hAnsi="Arial" w:cs="Arial"/>
          <w:sz w:val="22"/>
          <w:szCs w:val="22"/>
          <w:lang w:val="en"/>
        </w:rPr>
        <w:t>alth and behavior, Absent from school, Familial abuse or problems at home, Emotional and physical condition, Gangs, older age groups and involvement in crime, Use of technology and sexual bullying, Alcohol and drug misuse, Receipt of unexplained gifts or money and Distrust of authority figures</w:t>
      </w:r>
      <w:r w:rsidR="00285081">
        <w:rPr>
          <w:rFonts w:ascii="Arial" w:hAnsi="Arial" w:cs="Arial"/>
          <w:sz w:val="22"/>
          <w:szCs w:val="22"/>
          <w:lang w:val="en"/>
        </w:rPr>
        <w:t xml:space="preserve"> </w:t>
      </w:r>
      <w:r w:rsidR="00285081" w:rsidRPr="00285081">
        <w:rPr>
          <w:rFonts w:ascii="Arial" w:hAnsi="Arial" w:cs="Arial"/>
          <w:sz w:val="22"/>
          <w:szCs w:val="22"/>
          <w:lang w:val="en"/>
        </w:rPr>
        <w:t xml:space="preserve">(Hutton and Johnston, </w:t>
      </w:r>
      <w:proofErr w:type="spellStart"/>
      <w:r w:rsidR="00285081" w:rsidRPr="00285081">
        <w:rPr>
          <w:rFonts w:ascii="Arial" w:hAnsi="Arial" w:cs="Arial"/>
          <w:sz w:val="22"/>
          <w:szCs w:val="22"/>
          <w:lang w:val="en"/>
        </w:rPr>
        <w:t>n.d.</w:t>
      </w:r>
      <w:proofErr w:type="spellEnd"/>
      <w:r w:rsidR="00285081" w:rsidRPr="00285081">
        <w:rPr>
          <w:rFonts w:ascii="Arial" w:hAnsi="Arial" w:cs="Arial"/>
          <w:sz w:val="22"/>
          <w:szCs w:val="22"/>
          <w:lang w:val="en"/>
        </w:rPr>
        <w:t>)</w:t>
      </w:r>
      <w:r>
        <w:rPr>
          <w:rFonts w:ascii="Arial" w:hAnsi="Arial" w:cs="Arial"/>
          <w:sz w:val="22"/>
          <w:szCs w:val="22"/>
          <w:lang w:val="en"/>
        </w:rPr>
        <w:t>.</w:t>
      </w:r>
      <w:r w:rsidR="00285081">
        <w:rPr>
          <w:rFonts w:ascii="Arial" w:hAnsi="Arial" w:cs="Arial"/>
          <w:sz w:val="22"/>
          <w:szCs w:val="22"/>
          <w:lang w:val="en"/>
        </w:rPr>
        <w:t xml:space="preserve"> This is a simple strategy that police officers are taught during initial training and can improve an officers chances of spotting child sexual exploitation.</w:t>
      </w:r>
    </w:p>
    <w:p w:rsidR="00146852" w:rsidRDefault="00146852" w:rsidP="005E4AF9">
      <w:pPr>
        <w:pStyle w:val="NormalWeb"/>
        <w:spacing w:line="360" w:lineRule="auto"/>
        <w:jc w:val="both"/>
        <w:rPr>
          <w:rFonts w:ascii="Arial" w:hAnsi="Arial" w:cs="Arial"/>
          <w:sz w:val="22"/>
          <w:szCs w:val="22"/>
          <w:lang w:val="en"/>
        </w:rPr>
      </w:pPr>
      <w:r>
        <w:rPr>
          <w:rFonts w:ascii="Arial" w:hAnsi="Arial" w:cs="Arial"/>
          <w:sz w:val="22"/>
          <w:szCs w:val="22"/>
          <w:lang w:val="en"/>
        </w:rPr>
        <w:t>It has been noted that often children who are victims of child sexual exploitation are often forced to commit criminal acts. This can result in the victim being arrested. MET police are piloting an approach called the ‘golden hour’, this approach means that as soon as a child or vulnerable adult who is at risk of child sexual exploitation is in custody the local authority is contacted within the first hour. This enables imitate information sharing and a multi-agency approach meaning that both agencies have all the relevant information to hand to help make informed decisions and decide on the next steps. Also a proactive safeguarding plan can be put in place and better signposting. Social care also have all the required information to make a quick follow up on release and address any safeguarding concerns. Moreover, social services can act quicker and possibly engage with the victim before they have had the opportunity to engage with the subject, this would give the authorities a better chance of making a positive impact with the child at risk.</w:t>
      </w:r>
    </w:p>
    <w:p w:rsidR="005E4AF9" w:rsidRPr="005E4AF9" w:rsidRDefault="005E4AF9" w:rsidP="005E4AF9">
      <w:pPr>
        <w:pStyle w:val="NormalWeb"/>
        <w:spacing w:line="360" w:lineRule="auto"/>
        <w:jc w:val="both"/>
        <w:rPr>
          <w:rFonts w:ascii="Arial" w:hAnsi="Arial" w:cs="Arial"/>
          <w:b/>
          <w:sz w:val="22"/>
          <w:szCs w:val="22"/>
          <w:lang w:val="en"/>
        </w:rPr>
      </w:pPr>
      <w:r>
        <w:rPr>
          <w:rFonts w:ascii="Arial" w:hAnsi="Arial" w:cs="Arial"/>
          <w:b/>
          <w:sz w:val="22"/>
          <w:szCs w:val="22"/>
          <w:lang w:val="en"/>
        </w:rPr>
        <w:t>What happens next? (Including safeguarding)</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After possible child sexual exploitation has been identified the police must act. Child abuse cases require action and Section 11 of The Children’s Act 2004 states that there is an obligation on the police to safeguard children </w:t>
      </w:r>
      <w:r w:rsidRPr="005E4AF9">
        <w:rPr>
          <w:rFonts w:ascii="Arial" w:hAnsi="Arial" w:cs="Arial"/>
          <w:sz w:val="22"/>
          <w:szCs w:val="22"/>
          <w:lang w:val="en"/>
        </w:rPr>
        <w:t>(Children Act 2004, 2004)</w:t>
      </w:r>
      <w:r>
        <w:rPr>
          <w:rFonts w:ascii="Arial" w:hAnsi="Arial" w:cs="Arial"/>
          <w:sz w:val="22"/>
          <w:szCs w:val="22"/>
          <w:lang w:val="en"/>
        </w:rPr>
        <w:t>.</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A public protection notice is submitted by officers after the initial call. A public protection notice is a form that came into force in 2015 and is an information sharing document whereby an officer can record and share their safeguarding concerns </w:t>
      </w:r>
      <w:r w:rsidRPr="005E4AF9">
        <w:rPr>
          <w:rFonts w:ascii="Arial" w:hAnsi="Arial" w:cs="Arial"/>
          <w:sz w:val="22"/>
          <w:szCs w:val="22"/>
          <w:lang w:val="en"/>
        </w:rPr>
        <w:t>(Concern for a child, 2021)</w:t>
      </w:r>
      <w:r>
        <w:rPr>
          <w:rFonts w:ascii="Arial" w:hAnsi="Arial" w:cs="Arial"/>
          <w:sz w:val="22"/>
          <w:szCs w:val="22"/>
          <w:lang w:val="en"/>
        </w:rPr>
        <w:t xml:space="preserve">. When a public protection notice is filled in it is reviewed by the public protection unit where a trained </w:t>
      </w:r>
      <w:r>
        <w:rPr>
          <w:rFonts w:ascii="Arial" w:hAnsi="Arial" w:cs="Arial"/>
          <w:sz w:val="22"/>
          <w:szCs w:val="22"/>
          <w:lang w:val="en"/>
        </w:rPr>
        <w:lastRenderedPageBreak/>
        <w:t xml:space="preserve">officer will review and risk assess the information. If necessary the public protection notice will be forwarded to partner agencies for their information and further action. </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This is a great strategy and tool for the police. However it is also open to personal opinion impacting what happens next. Although it is ideal to think that every police officer will put one hundred percent effort and has had all of the correct training it would be foolish to think this is the case. An officer naturally has interest within policing and opinions. If an officer that is interested in a career within public incidents attends the call the likelihood is that they will be more ‘interested’ in the incident than an officer with no interest in that sector, this does not mean that those who are not interested do a bad job but nevertheless this would have an impact. Moreover, an officer who is finishing three hours late and has five public protection notices to complete from different calls that day may not put as much detail in as an officer who only has one and is finishing on time. Although a brilliant tool to collect and disseminate information it is not infallible and details can be missed. These details could be the difference between a victim being marked as a medium risk victim as opposed to a high risk victim.</w:t>
      </w:r>
    </w:p>
    <w:p w:rsidR="005E4AF9" w:rsidRP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Nonetheless, this information is often sent on to The </w:t>
      </w:r>
      <w:r w:rsidRPr="005E4AF9">
        <w:rPr>
          <w:rFonts w:ascii="Arial" w:hAnsi="Arial" w:cs="Arial"/>
          <w:sz w:val="22"/>
          <w:szCs w:val="22"/>
          <w:lang w:val="en"/>
        </w:rPr>
        <w:t>Child Abuse Investigatio</w:t>
      </w:r>
      <w:r>
        <w:rPr>
          <w:rFonts w:ascii="Arial" w:hAnsi="Arial" w:cs="Arial"/>
          <w:sz w:val="22"/>
          <w:szCs w:val="22"/>
          <w:lang w:val="en"/>
        </w:rPr>
        <w:t>n Units, this unit is in place to protect and safeguard children, investigate child abuse offences and prosecute offenders.</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 xml:space="preserve">When an incident is passed to the child abuse investigation unit multi agency </w:t>
      </w:r>
      <w:r w:rsidRPr="005E4AF9">
        <w:rPr>
          <w:rFonts w:ascii="Arial" w:hAnsi="Arial" w:cs="Arial"/>
          <w:sz w:val="22"/>
          <w:szCs w:val="22"/>
          <w:lang w:val="en"/>
        </w:rPr>
        <w:t xml:space="preserve">meetings </w:t>
      </w:r>
      <w:r>
        <w:rPr>
          <w:rFonts w:ascii="Arial" w:hAnsi="Arial" w:cs="Arial"/>
          <w:sz w:val="22"/>
          <w:szCs w:val="22"/>
          <w:lang w:val="en"/>
        </w:rPr>
        <w:t xml:space="preserve">take place </w:t>
      </w:r>
      <w:r w:rsidRPr="005E4AF9">
        <w:rPr>
          <w:rFonts w:ascii="Arial" w:hAnsi="Arial" w:cs="Arial"/>
          <w:sz w:val="22"/>
          <w:szCs w:val="22"/>
          <w:lang w:val="en"/>
        </w:rPr>
        <w:t>and child protection case conferences to discuss child</w:t>
      </w:r>
      <w:r>
        <w:rPr>
          <w:rFonts w:ascii="Arial" w:hAnsi="Arial" w:cs="Arial"/>
          <w:sz w:val="22"/>
          <w:szCs w:val="22"/>
          <w:lang w:val="en"/>
        </w:rPr>
        <w:t xml:space="preserve">ren and young persons at </w:t>
      </w:r>
      <w:r w:rsidRPr="005E4AF9">
        <w:rPr>
          <w:rFonts w:ascii="Arial" w:hAnsi="Arial" w:cs="Arial"/>
          <w:sz w:val="22"/>
          <w:szCs w:val="22"/>
          <w:lang w:val="en"/>
        </w:rPr>
        <w:t xml:space="preserve">risk. </w:t>
      </w:r>
      <w:r>
        <w:rPr>
          <w:rFonts w:ascii="Arial" w:hAnsi="Arial" w:cs="Arial"/>
          <w:sz w:val="22"/>
          <w:szCs w:val="22"/>
          <w:lang w:val="en"/>
        </w:rPr>
        <w:t xml:space="preserve">All case conferences in regards to a child must include social services. </w:t>
      </w:r>
      <w:r w:rsidRPr="005E4AF9">
        <w:rPr>
          <w:rFonts w:ascii="Arial" w:hAnsi="Arial" w:cs="Arial"/>
          <w:sz w:val="22"/>
          <w:szCs w:val="22"/>
          <w:lang w:val="en"/>
        </w:rPr>
        <w:t>(Lindon, 2012)</w:t>
      </w:r>
      <w:r>
        <w:rPr>
          <w:rFonts w:ascii="Arial" w:hAnsi="Arial" w:cs="Arial"/>
          <w:sz w:val="22"/>
          <w:szCs w:val="22"/>
          <w:lang w:val="en"/>
        </w:rPr>
        <w:t xml:space="preserve"> Demonstrates that a multi-agency approach is beneficial to all involved and transparency between agencies makes it easier to safeguard and protect children and vulnerable adults. Furthermore, </w:t>
      </w:r>
      <w:r w:rsidRPr="005E4AF9">
        <w:rPr>
          <w:rFonts w:ascii="Arial" w:hAnsi="Arial" w:cs="Arial"/>
          <w:sz w:val="22"/>
          <w:szCs w:val="22"/>
          <w:lang w:val="en"/>
        </w:rPr>
        <w:t>(Smith, 2009)</w:t>
      </w:r>
      <w:r>
        <w:rPr>
          <w:rFonts w:ascii="Arial" w:hAnsi="Arial" w:cs="Arial"/>
          <w:sz w:val="22"/>
          <w:szCs w:val="22"/>
          <w:lang w:val="en"/>
        </w:rPr>
        <w:t xml:space="preserve"> states that under the Childcare Act 2004 agencies must take a multi-agency approach when working with children.</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As previously mentioned some cases of child sexual exploitation are not reported and are indicated by an officer attending another incident it is often down to the officer to then attempt to gain any information they can and fill in the public protection notice and to kick start further action and safeguarding. However in relation to missing persons with possible links to child sexual exploitation there is a department with</w:t>
      </w:r>
      <w:r w:rsidR="00285081">
        <w:rPr>
          <w:rFonts w:ascii="Arial" w:hAnsi="Arial" w:cs="Arial"/>
          <w:sz w:val="22"/>
          <w:szCs w:val="22"/>
          <w:lang w:val="en"/>
        </w:rPr>
        <w:t>in the missing person</w:t>
      </w:r>
      <w:r>
        <w:rPr>
          <w:rFonts w:ascii="Arial" w:hAnsi="Arial" w:cs="Arial"/>
          <w:sz w:val="22"/>
          <w:szCs w:val="22"/>
          <w:lang w:val="en"/>
        </w:rPr>
        <w:t xml:space="preserve"> investigation team, these are child advocates. These officers focus on child sexual exploitation and conduct the return home interviews of missing children deemed at risk of child sexual exploitation. This means that a specific person trained to speak with children will attend the address and speak with the child face to face. The positives of this strategy are the training and experience that the trained officer will have. However, it does not take into account that a response officer may have built </w:t>
      </w:r>
      <w:r>
        <w:rPr>
          <w:rFonts w:ascii="Arial" w:hAnsi="Arial" w:cs="Arial"/>
          <w:sz w:val="22"/>
          <w:szCs w:val="22"/>
          <w:lang w:val="en"/>
        </w:rPr>
        <w:lastRenderedPageBreak/>
        <w:t>up a rapport with the victim on previous incidents and that a victim may feel more comfortable speaking with an officer they already know. Moreover, this trained officer does not always conduct these return home meetings. A very recent example of this not happening is the current global pandemic. This pandemic has meant that many police staff are working from home, this has meant that response officers have been expected to take on more and conduct return to home interview themselves, this could have a positive effect due to the previous statement. Conversely, the effect and impact could be negative due to untrained officers conducting and progressing investigations they are not specifically trained to do, possibly therefore missing important questions and details which could result in key information being missed.</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On occasion</w:t>
      </w:r>
      <w:r w:rsidR="00285081">
        <w:rPr>
          <w:rFonts w:ascii="Arial" w:hAnsi="Arial" w:cs="Arial"/>
          <w:sz w:val="22"/>
          <w:szCs w:val="22"/>
          <w:lang w:val="en"/>
        </w:rPr>
        <w:t>,</w:t>
      </w:r>
      <w:r>
        <w:rPr>
          <w:rFonts w:ascii="Arial" w:hAnsi="Arial" w:cs="Arial"/>
          <w:sz w:val="22"/>
          <w:szCs w:val="22"/>
          <w:lang w:val="en"/>
        </w:rPr>
        <w:t xml:space="preserve"> although there may not be enough evidence of an offence to prosecute all that can be done to protect the victim at that time is to safeguard the child as much as possible. </w:t>
      </w:r>
      <w:r w:rsidR="00285081">
        <w:rPr>
          <w:rFonts w:ascii="Arial" w:hAnsi="Arial" w:cs="Arial"/>
          <w:sz w:val="22"/>
          <w:szCs w:val="22"/>
          <w:lang w:val="en"/>
        </w:rPr>
        <w:t xml:space="preserve">In some cases a </w:t>
      </w:r>
      <w:r w:rsidR="00285081" w:rsidRPr="00285081">
        <w:rPr>
          <w:rFonts w:ascii="Arial" w:hAnsi="Arial" w:cs="Arial"/>
          <w:sz w:val="22"/>
          <w:szCs w:val="22"/>
          <w:lang w:val="en"/>
        </w:rPr>
        <w:t>Child Abduction Warning Notices (CAWN’s)</w:t>
      </w:r>
      <w:r w:rsidR="00285081">
        <w:rPr>
          <w:rFonts w:ascii="Arial" w:hAnsi="Arial" w:cs="Arial"/>
          <w:sz w:val="22"/>
          <w:szCs w:val="22"/>
          <w:lang w:val="en"/>
        </w:rPr>
        <w:t xml:space="preserve"> can be put in place. A child abduction warning notice is effectively a letter warning those involved who may place the child at risk, they are relevant to the following criminal offences: Section 2 of the child abduction act 1984, Section 49 of the children’s act 1989. There are two types of child abduction warning notices, one for a child under sixteen and one for a child over sixteen who is subject of a full care order or emergency protection. The child abduction notice is a preventative tool to make those involved aware that the authorities are aware of their involvement of the child. The child abduction notice is also a valuable tool for a later prosecution as it can negate any claim that the subject did not know that their actions amounted to a criminal offence.</w:t>
      </w:r>
      <w:r w:rsidR="00285081" w:rsidRPr="00285081">
        <w:rPr>
          <w:rFonts w:ascii="Arial" w:hAnsi="Arial" w:cs="Arial"/>
          <w:sz w:val="22"/>
          <w:szCs w:val="22"/>
          <w:lang w:val="en"/>
        </w:rPr>
        <w:t xml:space="preserve"> (Hub, 2021)</w:t>
      </w:r>
      <w:r w:rsidR="00285081">
        <w:rPr>
          <w:rFonts w:ascii="Arial" w:hAnsi="Arial" w:cs="Arial"/>
          <w:sz w:val="22"/>
          <w:szCs w:val="22"/>
          <w:lang w:val="en"/>
        </w:rPr>
        <w:t>.</w:t>
      </w:r>
    </w:p>
    <w:p w:rsidR="00C93980" w:rsidRPr="005E4AF9" w:rsidRDefault="00C93980" w:rsidP="005E4AF9">
      <w:pPr>
        <w:pStyle w:val="NormalWeb"/>
        <w:spacing w:line="360" w:lineRule="auto"/>
        <w:jc w:val="both"/>
        <w:rPr>
          <w:rFonts w:ascii="Arial" w:hAnsi="Arial" w:cs="Arial"/>
          <w:sz w:val="22"/>
          <w:szCs w:val="22"/>
          <w:lang w:val="en"/>
        </w:rPr>
      </w:pPr>
      <w:r>
        <w:rPr>
          <w:rFonts w:ascii="Arial" w:hAnsi="Arial" w:cs="Arial"/>
          <w:sz w:val="22"/>
          <w:szCs w:val="22"/>
          <w:lang w:val="en"/>
        </w:rPr>
        <w:t>If there is evidence of an offence arrest and prosecution are the ideal outcome for the authorities. However, this is not always the ideal outcome for the child or vulnerable adult. Often there is a group of people committing the offence and the child or vulnerable adult may still be manipulated and controlled by the others involved. They may be isolated by what they perceived to be their friend group and blamed for the subject being prosecuted. It is up to the authorities to safeguard the child or young person during a legal case. This can include special measures, such as video links, the removal of their name in cases, moving them physically to a new area and ongoing support.</w:t>
      </w:r>
    </w:p>
    <w:p w:rsidR="00862809" w:rsidRDefault="005E4AF9" w:rsidP="008E58FB">
      <w:pPr>
        <w:pStyle w:val="NormalWeb"/>
        <w:spacing w:line="360" w:lineRule="auto"/>
        <w:jc w:val="both"/>
        <w:rPr>
          <w:rFonts w:ascii="Arial" w:hAnsi="Arial" w:cs="Arial"/>
          <w:b/>
          <w:sz w:val="22"/>
          <w:szCs w:val="22"/>
          <w:lang w:val="en"/>
        </w:rPr>
      </w:pPr>
      <w:r>
        <w:rPr>
          <w:rFonts w:ascii="Arial" w:hAnsi="Arial" w:cs="Arial"/>
          <w:b/>
          <w:sz w:val="22"/>
          <w:szCs w:val="22"/>
          <w:lang w:val="en"/>
        </w:rPr>
        <w:t>Impact on the victim</w:t>
      </w:r>
    </w:p>
    <w:p w:rsidR="005E4AF9" w:rsidRDefault="005E4AF9" w:rsidP="005E4AF9">
      <w:pPr>
        <w:pStyle w:val="NormalWeb"/>
        <w:spacing w:line="360" w:lineRule="auto"/>
        <w:jc w:val="both"/>
        <w:rPr>
          <w:rFonts w:ascii="Arial" w:hAnsi="Arial" w:cs="Arial"/>
          <w:sz w:val="22"/>
          <w:szCs w:val="22"/>
          <w:lang w:val="en"/>
        </w:rPr>
      </w:pPr>
      <w:r>
        <w:rPr>
          <w:rFonts w:ascii="Arial" w:hAnsi="Arial" w:cs="Arial"/>
          <w:sz w:val="22"/>
          <w:szCs w:val="22"/>
          <w:lang w:val="en"/>
        </w:rPr>
        <w:t>Child sexual exploitation can have short and long term effect</w:t>
      </w:r>
      <w:r w:rsidR="001F0BC4">
        <w:rPr>
          <w:rFonts w:ascii="Arial" w:hAnsi="Arial" w:cs="Arial"/>
          <w:sz w:val="22"/>
          <w:szCs w:val="22"/>
          <w:lang w:val="en"/>
        </w:rPr>
        <w:t>s</w:t>
      </w:r>
      <w:r>
        <w:rPr>
          <w:rFonts w:ascii="Arial" w:hAnsi="Arial" w:cs="Arial"/>
          <w:sz w:val="22"/>
          <w:szCs w:val="22"/>
          <w:lang w:val="en"/>
        </w:rPr>
        <w:t xml:space="preserve"> on a child which can follow them into adulthood </w:t>
      </w:r>
      <w:r w:rsidRPr="005E4AF9">
        <w:rPr>
          <w:rFonts w:ascii="Arial" w:hAnsi="Arial" w:cs="Arial"/>
          <w:sz w:val="22"/>
          <w:szCs w:val="22"/>
          <w:lang w:val="en"/>
        </w:rPr>
        <w:t>(Child sexual exploitation, 2021)</w:t>
      </w:r>
      <w:r>
        <w:rPr>
          <w:rFonts w:ascii="Arial" w:hAnsi="Arial" w:cs="Arial"/>
          <w:sz w:val="22"/>
          <w:szCs w:val="22"/>
          <w:lang w:val="en"/>
        </w:rPr>
        <w:t xml:space="preserve">. The initial effects of child sexual exploitation which take place while the abuse is ongoing can include; isolation from friends and family, missing school which can impact education and exams, alcohol and drug abuse, criminal </w:t>
      </w:r>
      <w:r>
        <w:rPr>
          <w:rFonts w:ascii="Arial" w:hAnsi="Arial" w:cs="Arial"/>
          <w:sz w:val="22"/>
          <w:szCs w:val="22"/>
          <w:lang w:val="en"/>
        </w:rPr>
        <w:lastRenderedPageBreak/>
        <w:t>behavior, struggles with trust and forming new relationships, pregnancy, self-hate, suicide attempts, homelessness, shame, depression and break down within family relationships. This list is not exhaustive and no two victims will deal with what has happened to them the same way.</w:t>
      </w:r>
    </w:p>
    <w:p w:rsidR="001F0BC4" w:rsidRDefault="001F0BC4" w:rsidP="005E4AF9">
      <w:pPr>
        <w:pStyle w:val="NormalWeb"/>
        <w:spacing w:line="360" w:lineRule="auto"/>
        <w:jc w:val="both"/>
        <w:rPr>
          <w:rFonts w:ascii="Arial" w:hAnsi="Arial" w:cs="Arial"/>
          <w:sz w:val="22"/>
          <w:szCs w:val="22"/>
          <w:lang w:val="en"/>
        </w:rPr>
      </w:pPr>
      <w:r w:rsidRPr="001F0BC4">
        <w:rPr>
          <w:rFonts w:ascii="Arial" w:hAnsi="Arial" w:cs="Arial"/>
          <w:sz w:val="22"/>
          <w:szCs w:val="22"/>
          <w:lang w:val="en"/>
        </w:rPr>
        <w:t>(</w:t>
      </w:r>
      <w:proofErr w:type="spellStart"/>
      <w:r w:rsidRPr="001F0BC4">
        <w:rPr>
          <w:rFonts w:ascii="Arial" w:hAnsi="Arial" w:cs="Arial"/>
          <w:sz w:val="22"/>
          <w:szCs w:val="22"/>
          <w:lang w:val="en"/>
        </w:rPr>
        <w:t>Lalor</w:t>
      </w:r>
      <w:proofErr w:type="spellEnd"/>
      <w:r w:rsidRPr="001F0BC4">
        <w:rPr>
          <w:rFonts w:ascii="Arial" w:hAnsi="Arial" w:cs="Arial"/>
          <w:sz w:val="22"/>
          <w:szCs w:val="22"/>
          <w:lang w:val="en"/>
        </w:rPr>
        <w:t xml:space="preserve"> and </w:t>
      </w:r>
      <w:proofErr w:type="spellStart"/>
      <w:r w:rsidRPr="001F0BC4">
        <w:rPr>
          <w:rFonts w:ascii="Arial" w:hAnsi="Arial" w:cs="Arial"/>
          <w:sz w:val="22"/>
          <w:szCs w:val="22"/>
          <w:lang w:val="en"/>
        </w:rPr>
        <w:t>McElvaney</w:t>
      </w:r>
      <w:proofErr w:type="spellEnd"/>
      <w:r w:rsidRPr="001F0BC4">
        <w:rPr>
          <w:rFonts w:ascii="Arial" w:hAnsi="Arial" w:cs="Arial"/>
          <w:sz w:val="22"/>
          <w:szCs w:val="22"/>
          <w:lang w:val="en"/>
        </w:rPr>
        <w:t>, 2010)</w:t>
      </w:r>
      <w:r>
        <w:rPr>
          <w:rFonts w:ascii="Arial" w:hAnsi="Arial" w:cs="Arial"/>
          <w:sz w:val="22"/>
          <w:szCs w:val="22"/>
          <w:lang w:val="en"/>
        </w:rPr>
        <w:t xml:space="preserve"> Discusses how sexual abuse as a child can mean that the person is more likely to engage in high risk sexual behavior, this indicates that children who are abused sexually are statistically more likely to engage in unsafe sex, be further exploited and participate in activities such as prostitution, which creates further risk and harm to the victim. Additionally, if the victim engages in these </w:t>
      </w:r>
      <w:r w:rsidR="00C93980">
        <w:rPr>
          <w:rFonts w:ascii="Arial" w:hAnsi="Arial" w:cs="Arial"/>
          <w:sz w:val="22"/>
          <w:szCs w:val="22"/>
          <w:lang w:val="en"/>
        </w:rPr>
        <w:t>high risk</w:t>
      </w:r>
      <w:r>
        <w:rPr>
          <w:rFonts w:ascii="Arial" w:hAnsi="Arial" w:cs="Arial"/>
          <w:sz w:val="22"/>
          <w:szCs w:val="22"/>
          <w:lang w:val="en"/>
        </w:rPr>
        <w:t xml:space="preserve"> </w:t>
      </w:r>
      <w:r w:rsidR="00C93980">
        <w:rPr>
          <w:rFonts w:ascii="Arial" w:hAnsi="Arial" w:cs="Arial"/>
          <w:sz w:val="22"/>
          <w:szCs w:val="22"/>
          <w:lang w:val="en"/>
        </w:rPr>
        <w:t>behaviors</w:t>
      </w:r>
      <w:r>
        <w:rPr>
          <w:rFonts w:ascii="Arial" w:hAnsi="Arial" w:cs="Arial"/>
          <w:sz w:val="22"/>
          <w:szCs w:val="22"/>
          <w:lang w:val="en"/>
        </w:rPr>
        <w:t xml:space="preserve"> it can create a bias towards them as a risk taker who has chosen the life style rather than a victim. This can have an adverse effect on a prosecution and </w:t>
      </w:r>
      <w:r w:rsidR="00C93980">
        <w:rPr>
          <w:rFonts w:ascii="Arial" w:hAnsi="Arial" w:cs="Arial"/>
          <w:sz w:val="22"/>
          <w:szCs w:val="22"/>
          <w:lang w:val="en"/>
        </w:rPr>
        <w:t>response from authorities.</w:t>
      </w:r>
    </w:p>
    <w:p w:rsidR="001F0BC4" w:rsidRPr="001F0BC4" w:rsidRDefault="001F0BC4" w:rsidP="001F0BC4">
      <w:pPr>
        <w:pStyle w:val="NormalWeb"/>
        <w:spacing w:line="360" w:lineRule="auto"/>
        <w:jc w:val="both"/>
        <w:rPr>
          <w:rFonts w:ascii="Arial" w:hAnsi="Arial" w:cs="Arial"/>
          <w:sz w:val="22"/>
          <w:szCs w:val="22"/>
          <w:lang w:val="en"/>
        </w:rPr>
      </w:pPr>
      <w:r w:rsidRPr="001F0BC4">
        <w:rPr>
          <w:rFonts w:ascii="Arial" w:hAnsi="Arial" w:cs="Arial"/>
          <w:sz w:val="22"/>
          <w:szCs w:val="22"/>
          <w:lang w:val="en"/>
        </w:rPr>
        <w:t>(Scott, 1992)</w:t>
      </w:r>
      <w:r>
        <w:rPr>
          <w:rFonts w:ascii="Arial" w:hAnsi="Arial" w:cs="Arial"/>
          <w:sz w:val="22"/>
          <w:szCs w:val="22"/>
          <w:lang w:val="en"/>
        </w:rPr>
        <w:t xml:space="preserve"> Looked at the effects on b</w:t>
      </w:r>
      <w:r w:rsidRPr="001F0BC4">
        <w:rPr>
          <w:rFonts w:ascii="Arial" w:hAnsi="Arial" w:cs="Arial"/>
          <w:sz w:val="22"/>
          <w:szCs w:val="22"/>
          <w:lang w:val="en"/>
        </w:rPr>
        <w:t xml:space="preserve">oth male and female victims of </w:t>
      </w:r>
      <w:r>
        <w:rPr>
          <w:rFonts w:ascii="Arial" w:hAnsi="Arial" w:cs="Arial"/>
          <w:sz w:val="22"/>
          <w:szCs w:val="22"/>
          <w:lang w:val="en"/>
        </w:rPr>
        <w:t xml:space="preserve">sexual </w:t>
      </w:r>
      <w:r w:rsidRPr="001F0BC4">
        <w:rPr>
          <w:rFonts w:ascii="Arial" w:hAnsi="Arial" w:cs="Arial"/>
          <w:sz w:val="22"/>
          <w:szCs w:val="22"/>
          <w:lang w:val="en"/>
        </w:rPr>
        <w:t>abuse</w:t>
      </w:r>
      <w:r>
        <w:rPr>
          <w:rFonts w:ascii="Arial" w:hAnsi="Arial" w:cs="Arial"/>
          <w:sz w:val="22"/>
          <w:szCs w:val="22"/>
          <w:lang w:val="en"/>
        </w:rPr>
        <w:t>. The study found that victims of sexual abuse as a child</w:t>
      </w:r>
      <w:r w:rsidRPr="001F0BC4">
        <w:rPr>
          <w:rFonts w:ascii="Arial" w:hAnsi="Arial" w:cs="Arial"/>
          <w:sz w:val="22"/>
          <w:szCs w:val="22"/>
          <w:lang w:val="en"/>
        </w:rPr>
        <w:t xml:space="preserve"> had significantly higher</w:t>
      </w:r>
      <w:r>
        <w:rPr>
          <w:rFonts w:ascii="Arial" w:hAnsi="Arial" w:cs="Arial"/>
          <w:sz w:val="22"/>
          <w:szCs w:val="22"/>
          <w:lang w:val="en"/>
        </w:rPr>
        <w:t xml:space="preserve"> rates of psychiatric treatment. </w:t>
      </w:r>
      <w:r w:rsidRPr="001F0BC4">
        <w:rPr>
          <w:rFonts w:ascii="Arial" w:hAnsi="Arial" w:cs="Arial"/>
          <w:sz w:val="22"/>
          <w:szCs w:val="22"/>
          <w:lang w:val="en"/>
        </w:rPr>
        <w:t>Rates were higher for childhood mental disorders, personality disorders, anxiety disorders and major affective disorders</w:t>
      </w:r>
      <w:r>
        <w:rPr>
          <w:rFonts w:ascii="Arial" w:hAnsi="Arial" w:cs="Arial"/>
          <w:sz w:val="22"/>
          <w:szCs w:val="22"/>
          <w:lang w:val="en"/>
        </w:rPr>
        <w:t>.</w:t>
      </w:r>
    </w:p>
    <w:p w:rsidR="005E4AF9" w:rsidRPr="005E4AF9" w:rsidRDefault="00C908F5" w:rsidP="005E4AF9">
      <w:pPr>
        <w:pStyle w:val="NormalWeb"/>
        <w:spacing w:line="360" w:lineRule="auto"/>
        <w:jc w:val="both"/>
        <w:rPr>
          <w:rFonts w:ascii="Arial" w:hAnsi="Arial" w:cs="Arial"/>
          <w:sz w:val="22"/>
          <w:szCs w:val="22"/>
          <w:lang w:val="en"/>
        </w:rPr>
      </w:pPr>
      <w:r>
        <w:rPr>
          <w:rFonts w:ascii="Arial" w:hAnsi="Arial" w:cs="Arial"/>
          <w:sz w:val="22"/>
          <w:szCs w:val="22"/>
          <w:lang w:val="en"/>
        </w:rPr>
        <w:t>There is no way to fully predict the impact that child sexual exploitation will have on a victim. Nevertheless, it is likely to be a huge barrier to overcome and live a normal life and for some victims it is something they will never get over.</w:t>
      </w:r>
    </w:p>
    <w:p w:rsidR="005E4AF9" w:rsidRDefault="005E4AF9" w:rsidP="008E58FB">
      <w:pPr>
        <w:pStyle w:val="NormalWeb"/>
        <w:spacing w:line="360" w:lineRule="auto"/>
        <w:jc w:val="both"/>
        <w:rPr>
          <w:rFonts w:ascii="Arial" w:hAnsi="Arial" w:cs="Arial"/>
          <w:b/>
          <w:sz w:val="22"/>
          <w:szCs w:val="22"/>
          <w:lang w:val="en"/>
        </w:rPr>
      </w:pPr>
      <w:r>
        <w:rPr>
          <w:rFonts w:ascii="Arial" w:hAnsi="Arial" w:cs="Arial"/>
          <w:b/>
          <w:sz w:val="22"/>
          <w:szCs w:val="22"/>
          <w:lang w:val="en"/>
        </w:rPr>
        <w:t>Links to serious and organised crime</w:t>
      </w:r>
    </w:p>
    <w:p w:rsidR="00C908F5" w:rsidRDefault="00C908F5" w:rsidP="008E58FB">
      <w:pPr>
        <w:pStyle w:val="NormalWeb"/>
        <w:spacing w:line="360" w:lineRule="auto"/>
        <w:jc w:val="both"/>
        <w:rPr>
          <w:rFonts w:ascii="Arial" w:hAnsi="Arial" w:cs="Arial"/>
          <w:sz w:val="22"/>
          <w:szCs w:val="22"/>
          <w:lang w:val="en"/>
        </w:rPr>
      </w:pPr>
      <w:r w:rsidRPr="00C908F5">
        <w:rPr>
          <w:rFonts w:ascii="Arial" w:hAnsi="Arial" w:cs="Arial"/>
          <w:sz w:val="22"/>
          <w:szCs w:val="22"/>
          <w:lang w:val="en"/>
        </w:rPr>
        <w:t xml:space="preserve">There </w:t>
      </w:r>
      <w:r>
        <w:rPr>
          <w:rFonts w:ascii="Arial" w:hAnsi="Arial" w:cs="Arial"/>
          <w:sz w:val="22"/>
          <w:szCs w:val="22"/>
          <w:lang w:val="en"/>
        </w:rPr>
        <w:t>are a number of serious and organised crimes linked to child sexual exploitation. These include but are not limited to, county lines, gangs, trafficking and explicit images of young people being viewed and shared online.</w:t>
      </w:r>
    </w:p>
    <w:p w:rsidR="0077166A" w:rsidRDefault="00C908F5" w:rsidP="00C908F5">
      <w:pPr>
        <w:pStyle w:val="NormalWeb"/>
        <w:spacing w:line="360" w:lineRule="auto"/>
        <w:jc w:val="both"/>
        <w:rPr>
          <w:rFonts w:ascii="Arial" w:hAnsi="Arial" w:cs="Arial"/>
          <w:sz w:val="22"/>
          <w:szCs w:val="22"/>
          <w:lang w:val="en"/>
        </w:rPr>
      </w:pPr>
      <w:r>
        <w:rPr>
          <w:rFonts w:ascii="Arial" w:hAnsi="Arial" w:cs="Arial"/>
          <w:sz w:val="22"/>
          <w:szCs w:val="22"/>
          <w:lang w:val="en"/>
        </w:rPr>
        <w:t xml:space="preserve">Children and vulnerable adults who are being sexually exploited can be used by offenders to take images to share for financial and personal gain. Additionally these images can be taken as a manipulative tool to prevent the victim speaking out over fear of the images being shared with family and friends. South Wales Police have developed an operation called Net Safe to target those creating, viewing and sharing sexually explicit images of young people online. The operation directs </w:t>
      </w:r>
      <w:r w:rsidRPr="00C908F5">
        <w:rPr>
          <w:rFonts w:ascii="Arial" w:hAnsi="Arial" w:cs="Arial"/>
          <w:sz w:val="22"/>
          <w:szCs w:val="22"/>
          <w:lang w:val="en"/>
        </w:rPr>
        <w:t xml:space="preserve">offenders, potential offenders, and their concerned loved ones to a confidential and anonymous helpline, and self-help resources to enable them to proactively address their </w:t>
      </w:r>
      <w:r w:rsidRPr="00C908F5">
        <w:rPr>
          <w:rFonts w:ascii="Arial" w:hAnsi="Arial" w:cs="Arial"/>
          <w:sz w:val="22"/>
          <w:szCs w:val="22"/>
          <w:lang w:val="en"/>
        </w:rPr>
        <w:t>behavior</w:t>
      </w:r>
      <w:r w:rsidRPr="00C908F5">
        <w:rPr>
          <w:rFonts w:ascii="Arial" w:hAnsi="Arial" w:cs="Arial"/>
          <w:sz w:val="22"/>
          <w:szCs w:val="22"/>
          <w:lang w:val="en"/>
        </w:rPr>
        <w:t>.</w:t>
      </w:r>
      <w:r w:rsidRPr="00C908F5">
        <w:t xml:space="preserve"> </w:t>
      </w:r>
      <w:r>
        <w:rPr>
          <w:rFonts w:ascii="Arial" w:hAnsi="Arial" w:cs="Arial"/>
          <w:sz w:val="22"/>
          <w:szCs w:val="22"/>
          <w:lang w:val="en"/>
        </w:rPr>
        <w:t>Operation Net Safe also</w:t>
      </w:r>
      <w:r w:rsidRPr="00C908F5">
        <w:rPr>
          <w:rFonts w:ascii="Arial" w:hAnsi="Arial" w:cs="Arial"/>
          <w:sz w:val="22"/>
          <w:szCs w:val="22"/>
          <w:lang w:val="en"/>
        </w:rPr>
        <w:t xml:space="preserve"> targets people who are creating, viewing and sharing sexually explicit images of young people under the age of 18 online.</w:t>
      </w:r>
      <w:r>
        <w:rPr>
          <w:rFonts w:ascii="Arial" w:hAnsi="Arial" w:cs="Arial"/>
          <w:sz w:val="22"/>
          <w:szCs w:val="22"/>
          <w:lang w:val="en"/>
        </w:rPr>
        <w:t xml:space="preserve"> </w:t>
      </w:r>
    </w:p>
    <w:p w:rsidR="00C908F5" w:rsidRPr="00C908F5" w:rsidRDefault="00C908F5" w:rsidP="00C908F5">
      <w:pPr>
        <w:pStyle w:val="NormalWeb"/>
        <w:spacing w:line="360" w:lineRule="auto"/>
        <w:jc w:val="both"/>
        <w:rPr>
          <w:rFonts w:ascii="Arial" w:hAnsi="Arial" w:cs="Arial"/>
          <w:sz w:val="22"/>
          <w:szCs w:val="22"/>
          <w:lang w:val="en"/>
        </w:rPr>
      </w:pPr>
      <w:r>
        <w:rPr>
          <w:rFonts w:ascii="Arial" w:hAnsi="Arial" w:cs="Arial"/>
          <w:sz w:val="22"/>
          <w:szCs w:val="22"/>
          <w:lang w:val="en"/>
        </w:rPr>
        <w:lastRenderedPageBreak/>
        <w:t xml:space="preserve">County lines </w:t>
      </w:r>
      <w:r w:rsidRPr="00C908F5">
        <w:rPr>
          <w:rFonts w:ascii="Arial" w:hAnsi="Arial" w:cs="Arial"/>
          <w:sz w:val="22"/>
          <w:szCs w:val="22"/>
          <w:lang w:val="en"/>
        </w:rPr>
        <w:t>is a term used when drug gangs from big cities expand their operations to smaller towns, often using violence to drive out local dealers and exploiting children and vulnerable people to sell drugs. These dealers will use dedicated mobile phone lines, known as 'deal lines', to take orders from drug users.</w:t>
      </w:r>
      <w:r w:rsidR="0077166A">
        <w:rPr>
          <w:rFonts w:ascii="Arial" w:hAnsi="Arial" w:cs="Arial"/>
          <w:sz w:val="22"/>
          <w:szCs w:val="22"/>
          <w:lang w:val="en"/>
        </w:rPr>
        <w:t xml:space="preserve"> </w:t>
      </w:r>
      <w:r w:rsidR="0077166A" w:rsidRPr="0077166A">
        <w:rPr>
          <w:rFonts w:ascii="Arial" w:hAnsi="Arial" w:cs="Arial"/>
          <w:sz w:val="22"/>
          <w:szCs w:val="22"/>
          <w:lang w:val="en"/>
        </w:rPr>
        <w:t>(County Lines, 2021)</w:t>
      </w:r>
      <w:r w:rsidR="0077166A">
        <w:rPr>
          <w:rFonts w:ascii="Arial" w:hAnsi="Arial" w:cs="Arial"/>
          <w:sz w:val="22"/>
          <w:szCs w:val="22"/>
          <w:lang w:val="en"/>
        </w:rPr>
        <w:t>. Children and vulnerable adults who are exploited sexually are often exploited to commit crime. There has been a huge rise in children being exploited to carry and deal drugs for gangs, often known as runners. Although not all those being exploited to commit crime are also being exploited sexually it is a risk factor and something for officers to be aware of. The majority of those being exploited for drugs are young males, public perception that females are more likely to be exploited sexually can mean that this risk can be overlooked by authorities. It is important to note the link between the two forms of exploitation especially as a control and manipulation tactic.</w:t>
      </w:r>
    </w:p>
    <w:p w:rsidR="005E4AF9" w:rsidRPr="0077166A" w:rsidRDefault="0077166A" w:rsidP="008E58FB">
      <w:pPr>
        <w:pStyle w:val="NormalWeb"/>
        <w:spacing w:line="360" w:lineRule="auto"/>
        <w:jc w:val="both"/>
        <w:rPr>
          <w:rFonts w:ascii="Arial" w:hAnsi="Arial" w:cs="Arial"/>
          <w:sz w:val="22"/>
          <w:szCs w:val="22"/>
          <w:lang w:val="en"/>
        </w:rPr>
      </w:pPr>
      <w:r>
        <w:rPr>
          <w:rFonts w:ascii="Arial" w:hAnsi="Arial" w:cs="Arial"/>
          <w:sz w:val="22"/>
          <w:szCs w:val="22"/>
          <w:lang w:val="en"/>
        </w:rPr>
        <w:t xml:space="preserve">A rise in children being trafficked within the UK to be used for sexual exploitation has risen. Subjects prey on vulnerable children and young adults and use them for not only their own sexual gratification but also ‘loan’ them out to ‘friends’. There has been a rise in the media on stories of gangs trafficking children within the UK. The notable documentary ‘Three Girls’ has brought greater attention and understanding to the issue.  </w:t>
      </w:r>
    </w:p>
    <w:p w:rsidR="000216C3" w:rsidRDefault="005E4AF9" w:rsidP="001F0BC4">
      <w:pPr>
        <w:pStyle w:val="NormalWeb"/>
        <w:spacing w:line="360" w:lineRule="auto"/>
        <w:jc w:val="both"/>
        <w:rPr>
          <w:rFonts w:ascii="Arial" w:hAnsi="Arial" w:cs="Arial"/>
          <w:b/>
          <w:sz w:val="22"/>
          <w:szCs w:val="22"/>
          <w:lang w:val="en"/>
        </w:rPr>
      </w:pPr>
      <w:r>
        <w:rPr>
          <w:rFonts w:ascii="Arial" w:hAnsi="Arial" w:cs="Arial"/>
          <w:b/>
          <w:sz w:val="22"/>
          <w:szCs w:val="22"/>
          <w:lang w:val="en"/>
        </w:rPr>
        <w:t>Conclusion</w:t>
      </w:r>
    </w:p>
    <w:p w:rsidR="001D14EF" w:rsidRDefault="00C93980" w:rsidP="001F0BC4">
      <w:pPr>
        <w:pStyle w:val="NormalWeb"/>
        <w:spacing w:line="360" w:lineRule="auto"/>
        <w:jc w:val="both"/>
        <w:rPr>
          <w:rFonts w:ascii="Arial" w:hAnsi="Arial" w:cs="Arial"/>
          <w:sz w:val="22"/>
          <w:szCs w:val="22"/>
          <w:lang w:val="en"/>
        </w:rPr>
      </w:pPr>
      <w:r>
        <w:rPr>
          <w:rFonts w:ascii="Arial" w:hAnsi="Arial" w:cs="Arial"/>
          <w:sz w:val="22"/>
          <w:szCs w:val="22"/>
          <w:lang w:val="en"/>
        </w:rPr>
        <w:t xml:space="preserve">In conclusion, the police strategies for dealing with the public incident child sexual exploitation are </w:t>
      </w:r>
      <w:r w:rsidR="00E9159D">
        <w:rPr>
          <w:rFonts w:ascii="Arial" w:hAnsi="Arial" w:cs="Arial"/>
          <w:sz w:val="22"/>
          <w:szCs w:val="22"/>
          <w:lang w:val="en"/>
        </w:rPr>
        <w:t>positive. There are strategies in place to help officers recognise child sexual exploitation as well as strategies to make sure that victims are safeguarded and protected. There are also preventative strategies that can be used and also piolet strategies taking place to improve in these areas. Although on balance the police are working hard to create a multi-agency approach and to make signposting of victims and possible children and vulnerable adults at risk there will also be factors that have a negative impact on these strategies. These have been discussed throughout the essay and are mostly due to resources, personal opinion and engagement from the victim. Though there are ways to improve these weaknesses there is always going to be some incidents and victims that may not get the s</w:t>
      </w:r>
      <w:r w:rsidR="001D14EF">
        <w:rPr>
          <w:rFonts w:ascii="Arial" w:hAnsi="Arial" w:cs="Arial"/>
          <w:sz w:val="22"/>
          <w:szCs w:val="22"/>
          <w:lang w:val="en"/>
        </w:rPr>
        <w:t xml:space="preserve">upport they need straight away and there are always going to be victims who do not want to engage. </w:t>
      </w:r>
    </w:p>
    <w:p w:rsidR="00C93980" w:rsidRDefault="001D14EF" w:rsidP="001F0BC4">
      <w:pPr>
        <w:pStyle w:val="NormalWeb"/>
        <w:spacing w:line="360" w:lineRule="auto"/>
        <w:jc w:val="both"/>
        <w:rPr>
          <w:rFonts w:ascii="Arial" w:hAnsi="Arial" w:cs="Arial"/>
          <w:sz w:val="22"/>
          <w:szCs w:val="22"/>
          <w:lang w:val="en"/>
        </w:rPr>
      </w:pPr>
      <w:r>
        <w:rPr>
          <w:rFonts w:ascii="Arial" w:hAnsi="Arial" w:cs="Arial"/>
          <w:sz w:val="22"/>
          <w:szCs w:val="22"/>
          <w:lang w:val="en"/>
        </w:rPr>
        <w:t xml:space="preserve">As a police officer the most important to recognise and identify children and vulnerable adults at risk, to ensure those at risk are safeguarded, to challenge any safeguarding concerns or assessments that you do not agree with, to use a multi-agency approach effectively, listen to the child or vulnerable adult and utilise options to do so, such as dropping a missing child home, unrelated calls, custody encounters etc. It is important to use disruption techniques </w:t>
      </w:r>
      <w:r>
        <w:rPr>
          <w:rFonts w:ascii="Arial" w:hAnsi="Arial" w:cs="Arial"/>
          <w:sz w:val="22"/>
          <w:szCs w:val="22"/>
          <w:lang w:val="en"/>
        </w:rPr>
        <w:lastRenderedPageBreak/>
        <w:t>such as child abduction notices, ensure an effective response is given and to challenge unconscious and conscious bias amongst professionals.</w:t>
      </w:r>
    </w:p>
    <w:p w:rsidR="00F40A59" w:rsidRDefault="001D14EF" w:rsidP="001D14EF">
      <w:pPr>
        <w:pStyle w:val="NormalWeb"/>
        <w:spacing w:line="360" w:lineRule="auto"/>
        <w:jc w:val="both"/>
        <w:rPr>
          <w:rFonts w:ascii="Arial" w:hAnsi="Arial" w:cs="Arial"/>
          <w:sz w:val="22"/>
          <w:szCs w:val="22"/>
        </w:rPr>
      </w:pPr>
      <w:r w:rsidRPr="001D14EF">
        <w:rPr>
          <w:rFonts w:ascii="Arial" w:hAnsi="Arial" w:cs="Arial"/>
          <w:sz w:val="22"/>
          <w:szCs w:val="22"/>
          <w:lang w:val="en"/>
        </w:rPr>
        <w:t xml:space="preserve">Authorities within Wales are publishing documents to support frontline workers and it is important to keep up-to-date and aware of these. Some include, </w:t>
      </w:r>
      <w:r w:rsidR="00F40A59" w:rsidRPr="001D14EF">
        <w:rPr>
          <w:rFonts w:ascii="Arial" w:hAnsi="Arial" w:cs="Arial"/>
          <w:sz w:val="22"/>
          <w:szCs w:val="22"/>
        </w:rPr>
        <w:t>Safeguarding of children and young peopl</w:t>
      </w:r>
      <w:r w:rsidRPr="001D14EF">
        <w:rPr>
          <w:rFonts w:ascii="Arial" w:hAnsi="Arial" w:cs="Arial"/>
          <w:sz w:val="22"/>
          <w:szCs w:val="22"/>
        </w:rPr>
        <w:t>e from sexual exploitation which</w:t>
      </w:r>
      <w:r w:rsidR="00F40A59" w:rsidRPr="001D14EF">
        <w:rPr>
          <w:rFonts w:ascii="Arial" w:hAnsi="Arial" w:cs="Arial"/>
          <w:sz w:val="22"/>
          <w:szCs w:val="22"/>
        </w:rPr>
        <w:t xml:space="preserve"> is </w:t>
      </w:r>
      <w:r w:rsidRPr="001D14EF">
        <w:rPr>
          <w:rFonts w:ascii="Arial" w:hAnsi="Arial" w:cs="Arial"/>
          <w:sz w:val="22"/>
          <w:szCs w:val="22"/>
        </w:rPr>
        <w:t xml:space="preserve">a </w:t>
      </w:r>
      <w:r w:rsidR="00F40A59" w:rsidRPr="001D14EF">
        <w:rPr>
          <w:rFonts w:ascii="Arial" w:hAnsi="Arial" w:cs="Arial"/>
          <w:sz w:val="22"/>
          <w:szCs w:val="22"/>
        </w:rPr>
        <w:t>statutory guidance on preventing child sexual exploitation and outlines the roles and responsibilities of professional organisations such as Loc</w:t>
      </w:r>
      <w:r w:rsidRPr="001D14EF">
        <w:rPr>
          <w:rFonts w:ascii="Arial" w:hAnsi="Arial" w:cs="Arial"/>
          <w:sz w:val="22"/>
          <w:szCs w:val="22"/>
        </w:rPr>
        <w:t xml:space="preserve">al Safeguarding Children Boards, </w:t>
      </w:r>
      <w:r w:rsidR="00F40A59" w:rsidRPr="001D14EF">
        <w:rPr>
          <w:rFonts w:ascii="Arial" w:hAnsi="Arial" w:cs="Arial"/>
          <w:sz w:val="22"/>
          <w:szCs w:val="22"/>
        </w:rPr>
        <w:t>the police, health and education services and voluntary groups (Welsh Government, 2011).</w:t>
      </w:r>
      <w:r w:rsidRPr="001D14EF">
        <w:rPr>
          <w:rFonts w:ascii="Arial" w:hAnsi="Arial" w:cs="Arial"/>
          <w:sz w:val="22"/>
          <w:szCs w:val="22"/>
        </w:rPr>
        <w:t xml:space="preserve"> </w:t>
      </w:r>
      <w:r w:rsidR="00F40A59" w:rsidRPr="001D14EF">
        <w:rPr>
          <w:rFonts w:ascii="Arial" w:hAnsi="Arial" w:cs="Arial"/>
          <w:sz w:val="22"/>
          <w:szCs w:val="22"/>
        </w:rPr>
        <w:t>The Wales Safeguarding Procedures include a practice guide on safeguarding children from child sexual exploitation (Wales Safeguarding Procedures Project Board, 2019)</w:t>
      </w:r>
      <w:r w:rsidRPr="001D14EF">
        <w:rPr>
          <w:rFonts w:ascii="Arial" w:hAnsi="Arial" w:cs="Arial"/>
          <w:sz w:val="22"/>
          <w:szCs w:val="22"/>
        </w:rPr>
        <w:t xml:space="preserve"> </w:t>
      </w:r>
      <w:r w:rsidR="00F40A59" w:rsidRPr="001D14EF">
        <w:rPr>
          <w:rFonts w:ascii="Arial" w:hAnsi="Arial" w:cs="Arial"/>
          <w:sz w:val="22"/>
          <w:szCs w:val="22"/>
        </w:rPr>
        <w:t>The Home Office has published a Child exploitation disruption toolkit to help frontline staff and safeguarding partners understand their legislative powers and use best practice to disrupt the sexual and criminal exploitation of children and young people (Home Office, 2019).</w:t>
      </w:r>
    </w:p>
    <w:p w:rsidR="001D14EF" w:rsidRDefault="001D14EF" w:rsidP="001D14EF">
      <w:pPr>
        <w:pStyle w:val="NormalWeb"/>
        <w:spacing w:line="360" w:lineRule="auto"/>
        <w:jc w:val="both"/>
        <w:rPr>
          <w:rFonts w:ascii="Arial" w:hAnsi="Arial" w:cs="Arial"/>
          <w:sz w:val="22"/>
          <w:szCs w:val="22"/>
        </w:rPr>
      </w:pPr>
      <w:r>
        <w:rPr>
          <w:rFonts w:ascii="Arial" w:hAnsi="Arial" w:cs="Arial"/>
          <w:sz w:val="22"/>
          <w:szCs w:val="22"/>
        </w:rPr>
        <w:t>In regards to the impact that the abuse has on victims it is undeniable that sexual offences have a huge impact on victims, particularly children and vulnerable adults. Not only will there be physical impacts but also impacts that cannot be seen, such as mental health impacts. Additionally these impacts will not only have an effect at the time of the abuse but can follow a victim into adult hood and stay with them for the rest of their lives. There is no positive impact of sexual abuse.</w:t>
      </w:r>
    </w:p>
    <w:p w:rsidR="001D14EF" w:rsidRDefault="001D14EF" w:rsidP="001D14EF">
      <w:pPr>
        <w:pStyle w:val="NormalWeb"/>
        <w:spacing w:line="360" w:lineRule="auto"/>
        <w:jc w:val="both"/>
        <w:rPr>
          <w:rFonts w:ascii="Arial" w:hAnsi="Arial" w:cs="Arial"/>
          <w:sz w:val="22"/>
          <w:szCs w:val="22"/>
        </w:rPr>
      </w:pPr>
      <w:r>
        <w:rPr>
          <w:rFonts w:ascii="Arial" w:hAnsi="Arial" w:cs="Arial"/>
          <w:sz w:val="22"/>
          <w:szCs w:val="22"/>
        </w:rPr>
        <w:t xml:space="preserve">Throughout this essay it has been clear that personal opinions, attitudes and morals can have a detrimental impact on investigations. However it is important to note that personal opinions, attitudes and morals can also be the cause for positive action </w:t>
      </w:r>
      <w:r w:rsidR="003F7998">
        <w:rPr>
          <w:rFonts w:ascii="Arial" w:hAnsi="Arial" w:cs="Arial"/>
          <w:sz w:val="22"/>
          <w:szCs w:val="22"/>
        </w:rPr>
        <w:t xml:space="preserve">and results. Additionally it would be improper to suggest that all police officers let their personal opinions, attitudes and morals impact their work in a negative way. Many officers disregard their personal views </w:t>
      </w:r>
      <w:proofErr w:type="spellStart"/>
      <w:r w:rsidR="003F7998">
        <w:rPr>
          <w:rFonts w:ascii="Arial" w:hAnsi="Arial" w:cs="Arial"/>
          <w:sz w:val="22"/>
          <w:szCs w:val="22"/>
        </w:rPr>
        <w:t>everyday</w:t>
      </w:r>
      <w:proofErr w:type="spellEnd"/>
      <w:r w:rsidR="003F7998">
        <w:rPr>
          <w:rFonts w:ascii="Arial" w:hAnsi="Arial" w:cs="Arial"/>
          <w:sz w:val="22"/>
          <w:szCs w:val="22"/>
        </w:rPr>
        <w:t>.</w:t>
      </w:r>
    </w:p>
    <w:p w:rsidR="003F7998" w:rsidRDefault="003F7998" w:rsidP="001D14EF">
      <w:pPr>
        <w:pStyle w:val="NormalWeb"/>
        <w:spacing w:line="360" w:lineRule="auto"/>
        <w:jc w:val="both"/>
        <w:rPr>
          <w:rFonts w:ascii="Arial" w:hAnsi="Arial" w:cs="Arial"/>
          <w:sz w:val="22"/>
          <w:szCs w:val="22"/>
        </w:rPr>
      </w:pPr>
      <w:r>
        <w:rPr>
          <w:rFonts w:ascii="Arial" w:hAnsi="Arial" w:cs="Arial"/>
          <w:sz w:val="22"/>
          <w:szCs w:val="22"/>
        </w:rPr>
        <w:t>This essay has demonstrated a clear link between child sexual exploitation between serious and organised crime. The title of child sexual exploitation suggests that the victims are used for sexual gratification only however that is not the case. Children appear to be exploited for criminal gain and sexual gratification has become a way to manipulate and control children and vulnerable adults to groom them and pressure them into involvement with crime, drugs and gangs.</w:t>
      </w:r>
    </w:p>
    <w:p w:rsidR="003F7998" w:rsidRDefault="003F7998" w:rsidP="001D14EF">
      <w:pPr>
        <w:pStyle w:val="NormalWeb"/>
        <w:spacing w:line="360" w:lineRule="auto"/>
        <w:jc w:val="both"/>
        <w:rPr>
          <w:rFonts w:ascii="Arial" w:hAnsi="Arial" w:cs="Arial"/>
          <w:sz w:val="22"/>
          <w:szCs w:val="22"/>
        </w:rPr>
      </w:pPr>
      <w:r>
        <w:rPr>
          <w:rFonts w:ascii="Arial" w:hAnsi="Arial" w:cs="Arial"/>
          <w:sz w:val="22"/>
          <w:szCs w:val="22"/>
        </w:rPr>
        <w:t xml:space="preserve">The main point that I wish this essay to state is that no child or vulnerable adult can choose to be sexually exploited. </w:t>
      </w:r>
    </w:p>
    <w:p w:rsidR="003F7998" w:rsidRDefault="003F7998" w:rsidP="001D14EF">
      <w:pPr>
        <w:pStyle w:val="NormalWeb"/>
        <w:spacing w:line="360" w:lineRule="auto"/>
        <w:jc w:val="both"/>
        <w:rPr>
          <w:rFonts w:ascii="Arial" w:hAnsi="Arial" w:cs="Arial"/>
          <w:sz w:val="22"/>
          <w:szCs w:val="22"/>
        </w:rPr>
      </w:pPr>
      <w:r>
        <w:rPr>
          <w:rFonts w:ascii="Arial" w:hAnsi="Arial" w:cs="Arial"/>
          <w:sz w:val="22"/>
          <w:szCs w:val="22"/>
        </w:rPr>
        <w:lastRenderedPageBreak/>
        <w:t>This essay has also made me consider the question, when does a victim become a suspect? We treat children and vulnerable adults as victims but what happens when they become adults and are no longer in the care system? If they were groomed and exploited as a child are they not still a victim after their eighteenth birthday? Or are they suddenly accountable for their decisions and actions? Are they suddenly no longer exploited?</w:t>
      </w: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Default="0077166A" w:rsidP="001D14EF">
      <w:pPr>
        <w:pStyle w:val="NormalWeb"/>
        <w:spacing w:line="360" w:lineRule="auto"/>
        <w:jc w:val="both"/>
        <w:rPr>
          <w:rFonts w:ascii="Arial" w:hAnsi="Arial" w:cs="Arial"/>
          <w:sz w:val="22"/>
          <w:szCs w:val="22"/>
        </w:rPr>
      </w:pPr>
    </w:p>
    <w:p w:rsidR="0077166A" w:rsidRPr="0077166A" w:rsidRDefault="0077166A" w:rsidP="0077166A">
      <w:pPr>
        <w:spacing w:after="264" w:line="240" w:lineRule="auto"/>
        <w:rPr>
          <w:rFonts w:eastAsia="Times New Roman" w:cs="Times New Roman"/>
          <w:lang w:val="en-US"/>
        </w:rPr>
      </w:pPr>
      <w:r w:rsidRPr="0077166A">
        <w:rPr>
          <w:rFonts w:ascii="Times New Roman" w:eastAsia="Times New Roman" w:hAnsi="Times New Roman" w:cs="Times New Roman"/>
          <w:sz w:val="36"/>
          <w:szCs w:val="36"/>
          <w:lang w:val="en-US"/>
        </w:rPr>
        <w:lastRenderedPageBreak/>
        <w:t>References</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2004. </w:t>
      </w:r>
      <w:r w:rsidRPr="0077166A">
        <w:rPr>
          <w:rFonts w:ascii="Times New Roman" w:eastAsia="Times New Roman" w:hAnsi="Times New Roman" w:cs="Times New Roman"/>
          <w:i/>
          <w:sz w:val="24"/>
          <w:szCs w:val="24"/>
          <w:lang w:val="en-US"/>
        </w:rPr>
        <w:t>Children Act 2004</w:t>
      </w:r>
      <w:r w:rsidRPr="0077166A">
        <w:rPr>
          <w:rFonts w:ascii="Times New Roman" w:eastAsia="Times New Roman" w:hAnsi="Times New Roman" w:cs="Times New Roman"/>
          <w:sz w:val="24"/>
          <w:szCs w:val="24"/>
          <w:lang w:val="en-US"/>
        </w:rPr>
        <w:t>. London: Stationery Office.</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2004. </w:t>
      </w:r>
      <w:r w:rsidRPr="0077166A">
        <w:rPr>
          <w:rFonts w:ascii="Times New Roman" w:eastAsia="Times New Roman" w:hAnsi="Times New Roman" w:cs="Times New Roman"/>
          <w:i/>
          <w:sz w:val="24"/>
          <w:szCs w:val="24"/>
          <w:lang w:val="en-US"/>
        </w:rPr>
        <w:t>Children Act 2004</w:t>
      </w:r>
      <w:r w:rsidRPr="0077166A">
        <w:rPr>
          <w:rFonts w:ascii="Times New Roman" w:eastAsia="Times New Roman" w:hAnsi="Times New Roman" w:cs="Times New Roman"/>
          <w:sz w:val="24"/>
          <w:szCs w:val="24"/>
          <w:lang w:val="en-US"/>
        </w:rPr>
        <w:t>. London: Stationery Office.</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Andrew, J., Henry, T., Coleman, D. and Wiles, J., 2012. Occurrence of Injury During Officer Safety Training at Kent Police. </w:t>
      </w:r>
      <w:r w:rsidRPr="0077166A">
        <w:rPr>
          <w:rFonts w:ascii="Times New Roman" w:eastAsia="Times New Roman" w:hAnsi="Times New Roman" w:cs="Times New Roman"/>
          <w:i/>
          <w:sz w:val="24"/>
          <w:szCs w:val="24"/>
          <w:lang w:val="en-US"/>
        </w:rPr>
        <w:t>The Police Journal</w:t>
      </w:r>
      <w:r w:rsidRPr="0077166A">
        <w:rPr>
          <w:rFonts w:ascii="Times New Roman" w:eastAsia="Times New Roman" w:hAnsi="Times New Roman" w:cs="Times New Roman"/>
          <w:sz w:val="24"/>
          <w:szCs w:val="24"/>
          <w:lang w:val="en-US"/>
        </w:rPr>
        <w:t>, pp.1-10.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App.college.police.uk. 2021. </w:t>
      </w:r>
      <w:r w:rsidRPr="0077166A">
        <w:rPr>
          <w:rFonts w:ascii="Times New Roman" w:eastAsia="Times New Roman" w:hAnsi="Times New Roman" w:cs="Times New Roman"/>
          <w:i/>
          <w:sz w:val="24"/>
          <w:szCs w:val="24"/>
          <w:lang w:val="en-US"/>
        </w:rPr>
        <w:t>Concern For A Child</w:t>
      </w:r>
      <w:r w:rsidRPr="0077166A">
        <w:rPr>
          <w:rFonts w:ascii="Times New Roman" w:eastAsia="Times New Roman" w:hAnsi="Times New Roman" w:cs="Times New Roman"/>
          <w:sz w:val="24"/>
          <w:szCs w:val="24"/>
          <w:lang w:val="en-US"/>
        </w:rPr>
        <w:t>. [online] Available at: &lt;https://www.app.college.police.uk/app-content/major-investigation-and-public-protection/child-abuse/concern-for-a-child/&gt; [Accessed 2 December 2020].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Beckett, H. and Pearce, J., </w:t>
      </w:r>
      <w:proofErr w:type="spellStart"/>
      <w:r w:rsidRPr="0077166A">
        <w:rPr>
          <w:rFonts w:ascii="Times New Roman" w:eastAsia="Times New Roman" w:hAnsi="Times New Roman" w:cs="Times New Roman"/>
          <w:sz w:val="24"/>
          <w:szCs w:val="24"/>
          <w:lang w:val="en-US"/>
        </w:rPr>
        <w:t>n.d.</w:t>
      </w:r>
      <w:proofErr w:type="spellEnd"/>
      <w:r w:rsidRPr="0077166A">
        <w:rPr>
          <w:rFonts w:ascii="Times New Roman" w:eastAsia="Times New Roman" w:hAnsi="Times New Roman" w:cs="Times New Roman"/>
          <w:sz w:val="24"/>
          <w:szCs w:val="24"/>
          <w:lang w:val="en-US"/>
        </w:rPr>
        <w:t xml:space="preserve"> </w:t>
      </w:r>
      <w:r w:rsidRPr="0077166A">
        <w:rPr>
          <w:rFonts w:ascii="Times New Roman" w:eastAsia="Times New Roman" w:hAnsi="Times New Roman" w:cs="Times New Roman"/>
          <w:i/>
          <w:sz w:val="24"/>
          <w:szCs w:val="24"/>
          <w:lang w:val="en-US"/>
        </w:rPr>
        <w:t>Understanding And Responding To Child Sexual Exploitation</w:t>
      </w:r>
      <w:r w:rsidRPr="0077166A">
        <w:rPr>
          <w:rFonts w:ascii="Times New Roman" w:eastAsia="Times New Roman" w:hAnsi="Times New Roman" w:cs="Times New Roman"/>
          <w:sz w:val="24"/>
          <w:szCs w:val="24"/>
          <w:lang w:val="en-US"/>
        </w:rPr>
        <w:t>.</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College.police.uk. 2021. [online] Available at: &lt;https://www.college.police.uk/About/Documents/Conference/The_THRIVE_approach_workshop.pdf&gt; [Accessed 4 December 2020].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Hub, S., 2021. </w:t>
      </w:r>
      <w:r w:rsidRPr="0077166A">
        <w:rPr>
          <w:rFonts w:ascii="Times New Roman" w:eastAsia="Times New Roman" w:hAnsi="Times New Roman" w:cs="Times New Roman"/>
          <w:i/>
          <w:sz w:val="24"/>
          <w:szCs w:val="24"/>
          <w:lang w:val="en-US"/>
        </w:rPr>
        <w:t>Child Abduction Warning Notices (CAWN’S) – Safeguarding Hub</w:t>
      </w:r>
      <w:r w:rsidRPr="0077166A">
        <w:rPr>
          <w:rFonts w:ascii="Times New Roman" w:eastAsia="Times New Roman" w:hAnsi="Times New Roman" w:cs="Times New Roman"/>
          <w:sz w:val="24"/>
          <w:szCs w:val="24"/>
          <w:lang w:val="en-US"/>
        </w:rPr>
        <w:t>. [online] Safeguardinghub.co.uk. Available at: &lt;https://safeguardinghub.co.uk/child-abduction-warning-notices-cawns/&gt; [Accessed 4 December 2020].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Hutton, G. and Johnston, D., </w:t>
      </w:r>
      <w:proofErr w:type="spellStart"/>
      <w:r w:rsidRPr="0077166A">
        <w:rPr>
          <w:rFonts w:ascii="Times New Roman" w:eastAsia="Times New Roman" w:hAnsi="Times New Roman" w:cs="Times New Roman"/>
          <w:sz w:val="24"/>
          <w:szCs w:val="24"/>
          <w:lang w:val="en-US"/>
        </w:rPr>
        <w:t>n.d.</w:t>
      </w:r>
      <w:proofErr w:type="spellEnd"/>
      <w:r w:rsidRPr="0077166A">
        <w:rPr>
          <w:rFonts w:ascii="Times New Roman" w:eastAsia="Times New Roman" w:hAnsi="Times New Roman" w:cs="Times New Roman"/>
          <w:sz w:val="24"/>
          <w:szCs w:val="24"/>
          <w:lang w:val="en-US"/>
        </w:rPr>
        <w:t xml:space="preserve"> </w:t>
      </w:r>
      <w:r w:rsidRPr="0077166A">
        <w:rPr>
          <w:rFonts w:ascii="Times New Roman" w:eastAsia="Times New Roman" w:hAnsi="Times New Roman" w:cs="Times New Roman"/>
          <w:i/>
          <w:sz w:val="24"/>
          <w:szCs w:val="24"/>
          <w:lang w:val="en-US"/>
        </w:rPr>
        <w:t>Blackstone's Police Manual</w:t>
      </w:r>
      <w:r w:rsidRPr="0077166A">
        <w:rPr>
          <w:rFonts w:ascii="Times New Roman" w:eastAsia="Times New Roman" w:hAnsi="Times New Roman" w:cs="Times New Roman"/>
          <w:sz w:val="24"/>
          <w:szCs w:val="24"/>
          <w:lang w:val="en-US"/>
        </w:rPr>
        <w:t>.</w:t>
      </w:r>
    </w:p>
    <w:p w:rsidR="0077166A" w:rsidRPr="0077166A" w:rsidRDefault="0077166A" w:rsidP="0077166A">
      <w:pPr>
        <w:spacing w:after="336" w:line="360" w:lineRule="auto"/>
        <w:rPr>
          <w:rFonts w:eastAsia="Times New Roman" w:cs="Times New Roman"/>
          <w:lang w:val="en-US"/>
        </w:rPr>
      </w:pPr>
      <w:proofErr w:type="spellStart"/>
      <w:r w:rsidRPr="0077166A">
        <w:rPr>
          <w:rFonts w:ascii="Times New Roman" w:eastAsia="Times New Roman" w:hAnsi="Times New Roman" w:cs="Times New Roman"/>
          <w:sz w:val="24"/>
          <w:szCs w:val="24"/>
          <w:lang w:val="en-US"/>
        </w:rPr>
        <w:t>Lalor</w:t>
      </w:r>
      <w:proofErr w:type="spellEnd"/>
      <w:r w:rsidRPr="0077166A">
        <w:rPr>
          <w:rFonts w:ascii="Times New Roman" w:eastAsia="Times New Roman" w:hAnsi="Times New Roman" w:cs="Times New Roman"/>
          <w:sz w:val="24"/>
          <w:szCs w:val="24"/>
          <w:lang w:val="en-US"/>
        </w:rPr>
        <w:t xml:space="preserve">, K. and </w:t>
      </w:r>
      <w:proofErr w:type="spellStart"/>
      <w:r w:rsidRPr="0077166A">
        <w:rPr>
          <w:rFonts w:ascii="Times New Roman" w:eastAsia="Times New Roman" w:hAnsi="Times New Roman" w:cs="Times New Roman"/>
          <w:sz w:val="24"/>
          <w:szCs w:val="24"/>
          <w:lang w:val="en-US"/>
        </w:rPr>
        <w:t>McElvaney</w:t>
      </w:r>
      <w:proofErr w:type="spellEnd"/>
      <w:r w:rsidRPr="0077166A">
        <w:rPr>
          <w:rFonts w:ascii="Times New Roman" w:eastAsia="Times New Roman" w:hAnsi="Times New Roman" w:cs="Times New Roman"/>
          <w:sz w:val="24"/>
          <w:szCs w:val="24"/>
          <w:lang w:val="en-US"/>
        </w:rPr>
        <w:t xml:space="preserve">, R., 2010. Child Sexual Abuse, Links to Later Sexual Exploitation/High-Risk Sexual Behavior, and Prevention/Treatment Programs. </w:t>
      </w:r>
      <w:r w:rsidRPr="0077166A">
        <w:rPr>
          <w:rFonts w:ascii="Times New Roman" w:eastAsia="Times New Roman" w:hAnsi="Times New Roman" w:cs="Times New Roman"/>
          <w:i/>
          <w:sz w:val="24"/>
          <w:szCs w:val="24"/>
          <w:lang w:val="en-US"/>
        </w:rPr>
        <w:t>Trauma, Violence, &amp; Abuse</w:t>
      </w:r>
      <w:r w:rsidRPr="0077166A">
        <w:rPr>
          <w:rFonts w:ascii="Times New Roman" w:eastAsia="Times New Roman" w:hAnsi="Times New Roman" w:cs="Times New Roman"/>
          <w:sz w:val="24"/>
          <w:szCs w:val="24"/>
          <w:lang w:val="en-US"/>
        </w:rPr>
        <w:t>, 11(4), pp.159-177.</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Lindon, J., 2012. </w:t>
      </w:r>
      <w:r w:rsidRPr="0077166A">
        <w:rPr>
          <w:rFonts w:ascii="Times New Roman" w:eastAsia="Times New Roman" w:hAnsi="Times New Roman" w:cs="Times New Roman"/>
          <w:i/>
          <w:sz w:val="24"/>
          <w:szCs w:val="24"/>
          <w:lang w:val="en-US"/>
        </w:rPr>
        <w:t>Safeguarding Children</w:t>
      </w:r>
      <w:r w:rsidRPr="0077166A">
        <w:rPr>
          <w:rFonts w:ascii="Times New Roman" w:eastAsia="Times New Roman" w:hAnsi="Times New Roman" w:cs="Times New Roman"/>
          <w:sz w:val="24"/>
          <w:szCs w:val="24"/>
          <w:lang w:val="en-US"/>
        </w:rPr>
        <w:t>. London: Hodder Education.</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Lindsay, R., Cooke, L. and Jackson, T., 2009. The Impact of Mobile Technology on a UK Police Force and Their Knowledge Sharing. </w:t>
      </w:r>
      <w:r w:rsidRPr="0077166A">
        <w:rPr>
          <w:rFonts w:ascii="Times New Roman" w:eastAsia="Times New Roman" w:hAnsi="Times New Roman" w:cs="Times New Roman"/>
          <w:i/>
          <w:sz w:val="24"/>
          <w:szCs w:val="24"/>
          <w:lang w:val="en-US"/>
        </w:rPr>
        <w:t>Journal of Information &amp; Knowledge Management</w:t>
      </w:r>
      <w:r w:rsidRPr="0077166A">
        <w:rPr>
          <w:rFonts w:ascii="Times New Roman" w:eastAsia="Times New Roman" w:hAnsi="Times New Roman" w:cs="Times New Roman"/>
          <w:sz w:val="24"/>
          <w:szCs w:val="24"/>
          <w:lang w:val="en-US"/>
        </w:rPr>
        <w:t>, 08(02), pp.101-112.</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lastRenderedPageBreak/>
        <w:t xml:space="preserve">Nationalcrimeagency.gov.uk. 2021. </w:t>
      </w:r>
      <w:r w:rsidRPr="0077166A">
        <w:rPr>
          <w:rFonts w:ascii="Times New Roman" w:eastAsia="Times New Roman" w:hAnsi="Times New Roman" w:cs="Times New Roman"/>
          <w:i/>
          <w:sz w:val="24"/>
          <w:szCs w:val="24"/>
          <w:lang w:val="en-US"/>
        </w:rPr>
        <w:t>County Lines</w:t>
      </w:r>
      <w:r w:rsidRPr="0077166A">
        <w:rPr>
          <w:rFonts w:ascii="Times New Roman" w:eastAsia="Times New Roman" w:hAnsi="Times New Roman" w:cs="Times New Roman"/>
          <w:sz w:val="24"/>
          <w:szCs w:val="24"/>
          <w:lang w:val="en-US"/>
        </w:rPr>
        <w:t>. [online] Available at: &lt;https://www.nationalcrimeagency.gov.uk/what-we-do/crime-threats/drug-trafficking/county-lines#:~:text=County%20Lines.%20%E2%80%98County%20Lines%E2%80%99%20is%20a%20term%20used,'deal%20lines',%20to%20take%20orders%20from%20drug%20users.&gt; [Accessed 4 December 2020].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North Yorkshire Police. 2021. </w:t>
      </w:r>
      <w:r w:rsidRPr="0077166A">
        <w:rPr>
          <w:rFonts w:ascii="Times New Roman" w:eastAsia="Times New Roman" w:hAnsi="Times New Roman" w:cs="Times New Roman"/>
          <w:i/>
          <w:sz w:val="24"/>
          <w:szCs w:val="24"/>
          <w:lang w:val="en-US"/>
        </w:rPr>
        <w:t>How We Handle Incidents - North Yorkshire Police</w:t>
      </w:r>
      <w:r w:rsidRPr="0077166A">
        <w:rPr>
          <w:rFonts w:ascii="Times New Roman" w:eastAsia="Times New Roman" w:hAnsi="Times New Roman" w:cs="Times New Roman"/>
          <w:sz w:val="24"/>
          <w:szCs w:val="24"/>
          <w:lang w:val="en-US"/>
        </w:rPr>
        <w:t>. [online] Available at: &lt;https://northyorkshire.police.uk/what-we-do/dealing-with-crime/deal-crime-report/&gt; [Accessed 4 December 2020].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Northamptonshire Police, 2015. </w:t>
      </w:r>
      <w:r w:rsidRPr="0077166A">
        <w:rPr>
          <w:rFonts w:ascii="Times New Roman" w:eastAsia="Times New Roman" w:hAnsi="Times New Roman" w:cs="Times New Roman"/>
          <w:i/>
          <w:sz w:val="24"/>
          <w:szCs w:val="24"/>
          <w:lang w:val="en-US"/>
        </w:rPr>
        <w:t>PEEL: Police Effectiveness 2015 (Vulnerability)</w:t>
      </w:r>
      <w:r w:rsidRPr="0077166A">
        <w:rPr>
          <w:rFonts w:ascii="Times New Roman" w:eastAsia="Times New Roman" w:hAnsi="Times New Roman" w:cs="Times New Roman"/>
          <w:sz w:val="24"/>
          <w:szCs w:val="24"/>
          <w:lang w:val="en-US"/>
        </w:rPr>
        <w:t xml:space="preserve">. [online] </w:t>
      </w:r>
      <w:proofErr w:type="spellStart"/>
      <w:r w:rsidRPr="0077166A">
        <w:rPr>
          <w:rFonts w:ascii="Times New Roman" w:eastAsia="Times New Roman" w:hAnsi="Times New Roman" w:cs="Times New Roman"/>
          <w:sz w:val="24"/>
          <w:szCs w:val="24"/>
          <w:lang w:val="en-US"/>
        </w:rPr>
        <w:t>Northhamptonshire</w:t>
      </w:r>
      <w:proofErr w:type="spellEnd"/>
      <w:r w:rsidRPr="0077166A">
        <w:rPr>
          <w:rFonts w:ascii="Times New Roman" w:eastAsia="Times New Roman" w:hAnsi="Times New Roman" w:cs="Times New Roman"/>
          <w:sz w:val="24"/>
          <w:szCs w:val="24"/>
          <w:lang w:val="en-US"/>
        </w:rPr>
        <w:t>. Available at: &lt;http://Northamptonshire Police&gt; [Accessed 4 December 2020].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NSPCC. 2021. </w:t>
      </w:r>
      <w:r w:rsidRPr="0077166A">
        <w:rPr>
          <w:rFonts w:ascii="Times New Roman" w:eastAsia="Times New Roman" w:hAnsi="Times New Roman" w:cs="Times New Roman"/>
          <w:i/>
          <w:sz w:val="24"/>
          <w:szCs w:val="24"/>
          <w:lang w:val="en-US"/>
        </w:rPr>
        <w:t>Child Sexual Exploitation</w:t>
      </w:r>
      <w:r w:rsidRPr="0077166A">
        <w:rPr>
          <w:rFonts w:ascii="Times New Roman" w:eastAsia="Times New Roman" w:hAnsi="Times New Roman" w:cs="Times New Roman"/>
          <w:sz w:val="24"/>
          <w:szCs w:val="24"/>
          <w:lang w:val="en-US"/>
        </w:rPr>
        <w:t>. [online] Available at: &lt;https://www.nspcc.org.uk/what-is-child-abuse/types-of-abuse/child-sexual-exploitation/&gt; [Accessed 11 December 2020].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NSPCC. 2021. </w:t>
      </w:r>
      <w:r w:rsidRPr="0077166A">
        <w:rPr>
          <w:rFonts w:ascii="Times New Roman" w:eastAsia="Times New Roman" w:hAnsi="Times New Roman" w:cs="Times New Roman"/>
          <w:i/>
          <w:sz w:val="24"/>
          <w:szCs w:val="24"/>
          <w:lang w:val="en-US"/>
        </w:rPr>
        <w:t>Child Sexual Exploitation</w:t>
      </w:r>
      <w:r w:rsidRPr="0077166A">
        <w:rPr>
          <w:rFonts w:ascii="Times New Roman" w:eastAsia="Times New Roman" w:hAnsi="Times New Roman" w:cs="Times New Roman"/>
          <w:sz w:val="24"/>
          <w:szCs w:val="24"/>
          <w:lang w:val="en-US"/>
        </w:rPr>
        <w:t>. [online] Available at: &lt;https://www.nspcc.org.uk/what-is-child-abuse/types-of-abuse/child-sexual-exploitation/#effects&gt; [Accessed 4 December 2020].</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Scott, K., 1992. Childhood sexual abuse: Impact on a community's mental health status. </w:t>
      </w:r>
      <w:r w:rsidRPr="0077166A">
        <w:rPr>
          <w:rFonts w:ascii="Times New Roman" w:eastAsia="Times New Roman" w:hAnsi="Times New Roman" w:cs="Times New Roman"/>
          <w:i/>
          <w:sz w:val="24"/>
          <w:szCs w:val="24"/>
          <w:lang w:val="en-US"/>
        </w:rPr>
        <w:t>Child Abuse &amp; Neglect</w:t>
      </w:r>
      <w:r w:rsidRPr="0077166A">
        <w:rPr>
          <w:rFonts w:ascii="Times New Roman" w:eastAsia="Times New Roman" w:hAnsi="Times New Roman" w:cs="Times New Roman"/>
          <w:sz w:val="24"/>
          <w:szCs w:val="24"/>
          <w:lang w:val="en-US"/>
        </w:rPr>
        <w:t>, 16(2), pp.285-295.</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Smith, F., 2009. </w:t>
      </w:r>
      <w:r w:rsidRPr="0077166A">
        <w:rPr>
          <w:rFonts w:ascii="Times New Roman" w:eastAsia="Times New Roman" w:hAnsi="Times New Roman" w:cs="Times New Roman"/>
          <w:i/>
          <w:sz w:val="24"/>
          <w:szCs w:val="24"/>
          <w:lang w:val="en-US"/>
        </w:rPr>
        <w:t>The Children Act 2004</w:t>
      </w:r>
      <w:r w:rsidRPr="0077166A">
        <w:rPr>
          <w:rFonts w:ascii="Times New Roman" w:eastAsia="Times New Roman" w:hAnsi="Times New Roman" w:cs="Times New Roman"/>
          <w:sz w:val="24"/>
          <w:szCs w:val="24"/>
          <w:lang w:val="en-US"/>
        </w:rPr>
        <w:t>. East Sussex: Children Act Enterprises.</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Terrill, W. and </w:t>
      </w:r>
      <w:proofErr w:type="spellStart"/>
      <w:r w:rsidRPr="0077166A">
        <w:rPr>
          <w:rFonts w:ascii="Times New Roman" w:eastAsia="Times New Roman" w:hAnsi="Times New Roman" w:cs="Times New Roman"/>
          <w:sz w:val="24"/>
          <w:szCs w:val="24"/>
          <w:lang w:val="en-US"/>
        </w:rPr>
        <w:t>Paoline</w:t>
      </w:r>
      <w:proofErr w:type="spellEnd"/>
      <w:r w:rsidRPr="0077166A">
        <w:rPr>
          <w:rFonts w:ascii="Times New Roman" w:eastAsia="Times New Roman" w:hAnsi="Times New Roman" w:cs="Times New Roman"/>
          <w:sz w:val="24"/>
          <w:szCs w:val="24"/>
          <w:lang w:val="en-US"/>
        </w:rPr>
        <w:t xml:space="preserve">, E., 2007. Nonarrest Decision Making in Police–Citizen Encounters. </w:t>
      </w:r>
      <w:r w:rsidRPr="0077166A">
        <w:rPr>
          <w:rFonts w:ascii="Times New Roman" w:eastAsia="Times New Roman" w:hAnsi="Times New Roman" w:cs="Times New Roman"/>
          <w:i/>
          <w:sz w:val="24"/>
          <w:szCs w:val="24"/>
          <w:lang w:val="en-US"/>
        </w:rPr>
        <w:t>Police Quarterly</w:t>
      </w:r>
      <w:r w:rsidRPr="0077166A">
        <w:rPr>
          <w:rFonts w:ascii="Times New Roman" w:eastAsia="Times New Roman" w:hAnsi="Times New Roman" w:cs="Times New Roman"/>
          <w:sz w:val="24"/>
          <w:szCs w:val="24"/>
          <w:lang w:val="en-US"/>
        </w:rPr>
        <w:t>, 10(3), pp.308-331.</w:t>
      </w:r>
    </w:p>
    <w:p w:rsidR="0077166A" w:rsidRPr="0077166A" w:rsidRDefault="0077166A" w:rsidP="0077166A">
      <w:pPr>
        <w:spacing w:after="336" w:line="360" w:lineRule="auto"/>
        <w:rPr>
          <w:rFonts w:eastAsia="Times New Roman" w:cs="Times New Roman"/>
          <w:lang w:val="en-US"/>
        </w:rPr>
      </w:pPr>
      <w:r w:rsidRPr="0077166A">
        <w:rPr>
          <w:rFonts w:ascii="Times New Roman" w:eastAsia="Times New Roman" w:hAnsi="Times New Roman" w:cs="Times New Roman"/>
          <w:sz w:val="24"/>
          <w:szCs w:val="24"/>
          <w:lang w:val="en-US"/>
        </w:rPr>
        <w:t xml:space="preserve">Thornton, S., 2017. Police Attempts to Predict Domestic Murder and Serious Assaults: Is Early Warning Possible Yet?. </w:t>
      </w:r>
      <w:r w:rsidRPr="0077166A">
        <w:rPr>
          <w:rFonts w:ascii="Times New Roman" w:eastAsia="Times New Roman" w:hAnsi="Times New Roman" w:cs="Times New Roman"/>
          <w:i/>
          <w:sz w:val="24"/>
          <w:szCs w:val="24"/>
          <w:lang w:val="en-US"/>
        </w:rPr>
        <w:t>Cambridge Journal of Evidence-Based Policing</w:t>
      </w:r>
      <w:r w:rsidRPr="0077166A">
        <w:rPr>
          <w:rFonts w:ascii="Times New Roman" w:eastAsia="Times New Roman" w:hAnsi="Times New Roman" w:cs="Times New Roman"/>
          <w:sz w:val="24"/>
          <w:szCs w:val="24"/>
          <w:lang w:val="en-US"/>
        </w:rPr>
        <w:t>, 1(2-3), pp.64-80.</w:t>
      </w:r>
    </w:p>
    <w:p w:rsidR="0077166A" w:rsidRPr="0077166A" w:rsidRDefault="0077166A" w:rsidP="001D14EF">
      <w:pPr>
        <w:pStyle w:val="NormalWeb"/>
        <w:spacing w:line="360" w:lineRule="auto"/>
        <w:jc w:val="both"/>
        <w:rPr>
          <w:rFonts w:ascii="Arial" w:hAnsi="Arial" w:cs="Arial"/>
          <w:sz w:val="22"/>
          <w:szCs w:val="22"/>
        </w:rPr>
      </w:pPr>
    </w:p>
    <w:sectPr w:rsidR="0077166A" w:rsidRPr="0077166A" w:rsidSect="008E58F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58FB" w:rsidRDefault="008E58FB" w:rsidP="008E58FB">
      <w:pPr>
        <w:spacing w:after="0" w:line="240" w:lineRule="auto"/>
      </w:pPr>
      <w:r>
        <w:separator/>
      </w:r>
    </w:p>
  </w:endnote>
  <w:endnote w:type="continuationSeparator" w:id="0">
    <w:p w:rsidR="008E58FB" w:rsidRDefault="008E58FB" w:rsidP="008E5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2809" w:rsidRDefault="00146852" w:rsidP="00146852">
    <w:pPr>
      <w:pStyle w:val="Footer"/>
      <w:rPr>
        <w:color w:val="000000"/>
        <w:sz w:val="17"/>
      </w:rPr>
    </w:pPr>
    <w:bookmarkStart w:id="3" w:name="TITUS1FooterEvenPages"/>
    <w:r>
      <w:rPr>
        <w:color w:val="000000"/>
        <w:sz w:val="17"/>
      </w:rPr>
      <w:t> </w:t>
    </w:r>
  </w:p>
  <w:bookmarkEnd w:id="3"/>
  <w:p w:rsidR="00862809" w:rsidRDefault="00862809" w:rsidP="00862809">
    <w:pPr>
      <w:pStyle w:val="Footer"/>
    </w:pPr>
  </w:p>
  <w:p w:rsidR="008E58FB" w:rsidRDefault="008E58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8FB" w:rsidRDefault="00146852" w:rsidP="00146852">
    <w:pPr>
      <w:pStyle w:val="Footer"/>
      <w:rPr>
        <w:color w:val="000000"/>
        <w:sz w:val="17"/>
      </w:rPr>
    </w:pPr>
    <w:bookmarkStart w:id="4" w:name="TITUS1FooterPrimary"/>
    <w:r>
      <w:rPr>
        <w:color w:val="000000"/>
        <w:sz w:val="17"/>
      </w:rPr>
      <w:t> </w:t>
    </w:r>
  </w:p>
  <w:bookmarkEnd w:id="4"/>
  <w:p w:rsidR="008E58FB" w:rsidRDefault="008E58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8FB" w:rsidRDefault="00146852" w:rsidP="00146852">
    <w:pPr>
      <w:pStyle w:val="Footer"/>
      <w:rPr>
        <w:color w:val="000000"/>
        <w:sz w:val="17"/>
      </w:rPr>
    </w:pPr>
    <w:bookmarkStart w:id="6" w:name="TITUS1FooterFirstPage"/>
    <w:r>
      <w:rPr>
        <w:color w:val="000000"/>
        <w:sz w:val="17"/>
      </w:rPr>
      <w:t> </w:t>
    </w:r>
  </w:p>
  <w:bookmarkEnd w:id="6"/>
  <w:p w:rsidR="008E58FB" w:rsidRDefault="008E5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58FB" w:rsidRDefault="008E58FB" w:rsidP="008E58FB">
      <w:pPr>
        <w:spacing w:after="0" w:line="240" w:lineRule="auto"/>
      </w:pPr>
      <w:r>
        <w:separator/>
      </w:r>
    </w:p>
  </w:footnote>
  <w:footnote w:type="continuationSeparator" w:id="0">
    <w:p w:rsidR="008E58FB" w:rsidRDefault="008E58FB" w:rsidP="008E5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2809" w:rsidRDefault="00146852" w:rsidP="00146852">
    <w:pPr>
      <w:pStyle w:val="Header"/>
      <w:rPr>
        <w:color w:val="000000"/>
        <w:sz w:val="17"/>
      </w:rPr>
    </w:pPr>
    <w:bookmarkStart w:id="1" w:name="TITUS1HeaderEvenPages"/>
    <w:r>
      <w:rPr>
        <w:color w:val="000000"/>
        <w:sz w:val="17"/>
      </w:rPr>
      <w:t> </w:t>
    </w:r>
  </w:p>
  <w:bookmarkEnd w:id="1"/>
  <w:p w:rsidR="00862809" w:rsidRDefault="00862809" w:rsidP="00862809">
    <w:pPr>
      <w:pStyle w:val="Header"/>
    </w:pPr>
  </w:p>
  <w:p w:rsidR="008E58FB" w:rsidRDefault="008E58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8FB" w:rsidRDefault="00146852" w:rsidP="00146852">
    <w:pPr>
      <w:pStyle w:val="Header"/>
      <w:rPr>
        <w:color w:val="000000"/>
        <w:sz w:val="17"/>
      </w:rPr>
    </w:pPr>
    <w:bookmarkStart w:id="2" w:name="TITUS1HeaderPrimary"/>
    <w:r>
      <w:rPr>
        <w:color w:val="000000"/>
        <w:sz w:val="17"/>
      </w:rPr>
      <w:t> </w:t>
    </w:r>
  </w:p>
  <w:bookmarkEnd w:id="2"/>
  <w:p w:rsidR="008E58FB" w:rsidRDefault="008E58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8FB" w:rsidRDefault="00146852" w:rsidP="00146852">
    <w:pPr>
      <w:pStyle w:val="Header"/>
      <w:rPr>
        <w:color w:val="000000"/>
        <w:sz w:val="17"/>
      </w:rPr>
    </w:pPr>
    <w:bookmarkStart w:id="5" w:name="TITUS1HeaderFirstPage"/>
    <w:r>
      <w:rPr>
        <w:color w:val="000000"/>
        <w:sz w:val="17"/>
      </w:rPr>
      <w:t> </w:t>
    </w:r>
  </w:p>
  <w:bookmarkEnd w:id="5"/>
  <w:p w:rsidR="008E58FB" w:rsidRDefault="008E58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231C"/>
    <w:rsid w:val="000216C3"/>
    <w:rsid w:val="00103B49"/>
    <w:rsid w:val="00146852"/>
    <w:rsid w:val="001D14EF"/>
    <w:rsid w:val="001F0BC4"/>
    <w:rsid w:val="00245BAE"/>
    <w:rsid w:val="00285081"/>
    <w:rsid w:val="003F7998"/>
    <w:rsid w:val="005E4AF9"/>
    <w:rsid w:val="0074231C"/>
    <w:rsid w:val="0077166A"/>
    <w:rsid w:val="00862809"/>
    <w:rsid w:val="008E58FB"/>
    <w:rsid w:val="00923410"/>
    <w:rsid w:val="009D674E"/>
    <w:rsid w:val="00C908F5"/>
    <w:rsid w:val="00C93980"/>
    <w:rsid w:val="00E9159D"/>
    <w:rsid w:val="00F40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707B3DF"/>
  <w15:chartTrackingRefBased/>
  <w15:docId w15:val="{45A5E746-C4AE-46F4-BEE2-4C69F14C2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216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216C3"/>
    <w:rPr>
      <w:color w:val="0000FF"/>
      <w:u w:val="single"/>
    </w:rPr>
  </w:style>
  <w:style w:type="paragraph" w:styleId="Header">
    <w:name w:val="header"/>
    <w:basedOn w:val="Normal"/>
    <w:link w:val="HeaderChar"/>
    <w:uiPriority w:val="99"/>
    <w:unhideWhenUsed/>
    <w:rsid w:val="008E5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8FB"/>
  </w:style>
  <w:style w:type="paragraph" w:styleId="Footer">
    <w:name w:val="footer"/>
    <w:basedOn w:val="Normal"/>
    <w:link w:val="FooterChar"/>
    <w:uiPriority w:val="99"/>
    <w:unhideWhenUsed/>
    <w:rsid w:val="008E5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1790120">
      <w:bodyDiv w:val="1"/>
      <w:marLeft w:val="0"/>
      <w:marRight w:val="0"/>
      <w:marTop w:val="0"/>
      <w:marBottom w:val="0"/>
      <w:divBdr>
        <w:top w:val="none" w:sz="0" w:space="0" w:color="auto"/>
        <w:left w:val="none" w:sz="0" w:space="0" w:color="auto"/>
        <w:bottom w:val="none" w:sz="0" w:space="0" w:color="auto"/>
        <w:right w:val="none" w:sz="0" w:space="0" w:color="auto"/>
      </w:divBdr>
      <w:divsChild>
        <w:div w:id="54817890">
          <w:marLeft w:val="0"/>
          <w:marRight w:val="0"/>
          <w:marTop w:val="0"/>
          <w:marBottom w:val="0"/>
          <w:divBdr>
            <w:top w:val="none" w:sz="0" w:space="0" w:color="auto"/>
            <w:left w:val="none" w:sz="0" w:space="0" w:color="auto"/>
            <w:bottom w:val="none" w:sz="0" w:space="0" w:color="auto"/>
            <w:right w:val="none" w:sz="0" w:space="0" w:color="auto"/>
          </w:divBdr>
          <w:divsChild>
            <w:div w:id="1526402843">
              <w:marLeft w:val="0"/>
              <w:marRight w:val="0"/>
              <w:marTop w:val="0"/>
              <w:marBottom w:val="0"/>
              <w:divBdr>
                <w:top w:val="none" w:sz="0" w:space="0" w:color="auto"/>
                <w:left w:val="none" w:sz="0" w:space="0" w:color="auto"/>
                <w:bottom w:val="none" w:sz="0" w:space="0" w:color="auto"/>
                <w:right w:val="none" w:sz="0" w:space="0" w:color="auto"/>
              </w:divBdr>
              <w:divsChild>
                <w:div w:id="1730182866">
                  <w:marLeft w:val="0"/>
                  <w:marRight w:val="0"/>
                  <w:marTop w:val="0"/>
                  <w:marBottom w:val="0"/>
                  <w:divBdr>
                    <w:top w:val="none" w:sz="0" w:space="0" w:color="auto"/>
                    <w:left w:val="none" w:sz="0" w:space="0" w:color="auto"/>
                    <w:bottom w:val="none" w:sz="0" w:space="0" w:color="auto"/>
                    <w:right w:val="none" w:sz="0" w:space="0" w:color="auto"/>
                  </w:divBdr>
                  <w:divsChild>
                    <w:div w:id="1735884625">
                      <w:marLeft w:val="0"/>
                      <w:marRight w:val="0"/>
                      <w:marTop w:val="0"/>
                      <w:marBottom w:val="0"/>
                      <w:divBdr>
                        <w:top w:val="none" w:sz="0" w:space="0" w:color="auto"/>
                        <w:left w:val="none" w:sz="0" w:space="0" w:color="auto"/>
                        <w:bottom w:val="none" w:sz="0" w:space="0" w:color="auto"/>
                        <w:right w:val="none" w:sz="0" w:space="0" w:color="auto"/>
                      </w:divBdr>
                      <w:divsChild>
                        <w:div w:id="257644543">
                          <w:marLeft w:val="0"/>
                          <w:marRight w:val="0"/>
                          <w:marTop w:val="0"/>
                          <w:marBottom w:val="0"/>
                          <w:divBdr>
                            <w:top w:val="none" w:sz="0" w:space="0" w:color="auto"/>
                            <w:left w:val="none" w:sz="0" w:space="0" w:color="auto"/>
                            <w:bottom w:val="none" w:sz="0" w:space="0" w:color="auto"/>
                            <w:right w:val="none" w:sz="0" w:space="0" w:color="auto"/>
                          </w:divBdr>
                          <w:divsChild>
                            <w:div w:id="596131444">
                              <w:marLeft w:val="0"/>
                              <w:marRight w:val="0"/>
                              <w:marTop w:val="0"/>
                              <w:marBottom w:val="0"/>
                              <w:divBdr>
                                <w:top w:val="none" w:sz="0" w:space="0" w:color="auto"/>
                                <w:left w:val="none" w:sz="0" w:space="0" w:color="auto"/>
                                <w:bottom w:val="none" w:sz="0" w:space="0" w:color="auto"/>
                                <w:right w:val="none" w:sz="0" w:space="0" w:color="auto"/>
                              </w:divBdr>
                              <w:divsChild>
                                <w:div w:id="1169367917">
                                  <w:marLeft w:val="0"/>
                                  <w:marRight w:val="0"/>
                                  <w:marTop w:val="0"/>
                                  <w:marBottom w:val="0"/>
                                  <w:divBdr>
                                    <w:top w:val="none" w:sz="0" w:space="0" w:color="auto"/>
                                    <w:left w:val="none" w:sz="0" w:space="0" w:color="auto"/>
                                    <w:bottom w:val="none" w:sz="0" w:space="0" w:color="auto"/>
                                    <w:right w:val="none" w:sz="0" w:space="0" w:color="auto"/>
                                  </w:divBdr>
                                  <w:divsChild>
                                    <w:div w:id="980504300">
                                      <w:marLeft w:val="0"/>
                                      <w:marRight w:val="0"/>
                                      <w:marTop w:val="0"/>
                                      <w:marBottom w:val="0"/>
                                      <w:divBdr>
                                        <w:top w:val="none" w:sz="0" w:space="0" w:color="auto"/>
                                        <w:left w:val="none" w:sz="0" w:space="0" w:color="auto"/>
                                        <w:bottom w:val="none" w:sz="0" w:space="0" w:color="auto"/>
                                        <w:right w:val="none" w:sz="0" w:space="0" w:color="auto"/>
                                      </w:divBdr>
                                      <w:divsChild>
                                        <w:div w:id="554583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nspcc.org.uk/what-is-child-abuse/types-of-abuse/grooming/"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spcc.org.uk/what-is-child-abuse/types-of-abuse/child-sexual-abuse/"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4815</Words>
  <Characters>27446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Bills,Laura swp6408</dc:creator>
  <cp:keywords/>
  <dc:description/>
  <cp:lastModifiedBy>Bills,Laura swp6408</cp:lastModifiedBy>
  <cp:revision>2</cp:revision>
  <dcterms:created xsi:type="dcterms:W3CDTF">2021-01-04T23:47:00Z</dcterms:created>
  <dcterms:modified xsi:type="dcterms:W3CDTF">2021-01-04T23:47:00Z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bf171df5-af64-4439-a942-5d2e7dccc3db</vt:lpwstr>
  </property>
  <property fmtid="{D5CDD505-2E9C-101B-9397-08002B2CF9AE}" pid="3" name="Classification">
    <vt:lpwstr>OFFICIAL</vt:lpwstr>
  </property>
  <property fmtid="{D5CDD505-2E9C-101B-9397-08002B2CF9AE}" pid="4" name="Visibility">
    <vt:lpwstr>NOT VISIBLE</vt:lpwstr>
  </property>
</Properties>
</file>