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line="360" w:lineRule="auto"/>
        <w:jc w:val="center"/>
        <w:rPr>
          <w:sz w:val="24"/>
          <w:szCs w:val="24"/>
          <w:u w:val="single"/>
        </w:rPr>
      </w:pPr>
      <w:r>
        <w:rPr>
          <w:sz w:val="24"/>
          <w:szCs w:val="24"/>
          <w:u w:val="single"/>
          <w:rtl w:val="0"/>
          <w:lang w:val="en-US"/>
        </w:rPr>
        <w:t>Discuss the importance and effectiveness of developing Assessment for Learning throughout the primary school, including critical analysis of personal implementation of ONE AfL strategy from Professional Teaching Experience.</w:t>
      </w:r>
    </w:p>
    <w:p>
      <w:pPr>
        <w:pStyle w:val="Body"/>
        <w:spacing w:line="360" w:lineRule="auto"/>
        <w:jc w:val="center"/>
        <w:rPr>
          <w:sz w:val="24"/>
          <w:szCs w:val="24"/>
          <w:u w:val="single"/>
        </w:rPr>
      </w:pPr>
    </w:p>
    <w:p>
      <w:pPr>
        <w:pStyle w:val="Body"/>
        <w:spacing w:line="360" w:lineRule="auto"/>
        <w:jc w:val="left"/>
        <w:rPr>
          <w:sz w:val="24"/>
          <w:szCs w:val="24"/>
        </w:rPr>
      </w:pPr>
      <w:r>
        <w:rPr>
          <w:sz w:val="24"/>
          <w:szCs w:val="24"/>
          <w:rtl w:val="0"/>
          <w:lang w:val="en-US"/>
        </w:rPr>
        <w:t>Assessment for Learning (AFL) is a three step process which identifies where a learner is, where they need to go and how to get them there in terms of their education. AFL works best when it is used early on in the learning process in order for a learner to know what they have to improve and to ensure they have time to make any necessary changes. According to the Assessment Reform Group (2002) there are 10 key principles that should be followed to guide classroom practice, AFL should be: Part of effective planning, focuses on how students learn, is central to classroom practice, is a key professional skill, is sensitive and constructive, fosters motivation, promotes understanding of goals and criteria, helps learners know how to improve, develops the capacity for self assessment and recognises all educational achievements. AFL is formative assessment that focuses on improving learning whereas assessment of learning is summative assessment that works on proving that learning has occurred. Formative assessment is a minute to minute process that keeps track of learning.</w:t>
      </w:r>
    </w:p>
    <w:p>
      <w:pPr>
        <w:pStyle w:val="Header &amp; Footer"/>
        <w:bidi w:val="0"/>
      </w:pPr>
    </w:p>
    <w:p>
      <w:pPr>
        <w:pStyle w:val="Header &amp; Footer"/>
        <w:spacing w:line="360" w:lineRule="auto"/>
      </w:pPr>
      <w:r>
        <w:rPr>
          <w:rtl w:val="0"/>
          <w:lang w:val="en-US"/>
        </w:rPr>
        <w:t xml:space="preserve">AFL should be used in order for learners to reflect on their work. It reduces the attainment level of all learners especially the lower achievers, raising the standard of learning across the board. According to Wiliam and Black (1998) learners need to be given quality support and feedback in order to effectively learn. Four recommendations they give in order to achieve effective learning is: give more time for the children to think and answer questions; provide constructive comments; encourage children to assess each other; involve pupils in the design of assessments and mark scheme. </w:t>
      </w:r>
    </w:p>
    <w:p>
      <w:pPr>
        <w:pStyle w:val="Header &amp; Footer"/>
        <w:spacing w:line="360" w:lineRule="auto"/>
      </w:pPr>
    </w:p>
    <w:p>
      <w:pPr>
        <w:pStyle w:val="Header &amp; Footer"/>
        <w:spacing w:line="360" w:lineRule="auto"/>
      </w:pPr>
      <w:r>
        <w:rPr>
          <w:rtl w:val="0"/>
          <w:lang w:val="en-US"/>
        </w:rPr>
        <w:t>There are four elements of AFL:</w:t>
      </w:r>
    </w:p>
    <w:p>
      <w:pPr>
        <w:pStyle w:val="Header &amp; Footer"/>
        <w:numPr>
          <w:ilvl w:val="0"/>
          <w:numId w:val="1"/>
        </w:numPr>
        <w:spacing w:line="360" w:lineRule="auto"/>
        <w:rPr>
          <w:lang w:val="en-US"/>
        </w:rPr>
      </w:pPr>
      <w:r>
        <w:rPr>
          <w:rtl w:val="0"/>
          <w:lang w:val="en-US"/>
        </w:rPr>
        <w:t>Sharing criteria with learners- leaners will know what makes their work good and where they are going next, according to the criteria.</w:t>
      </w:r>
    </w:p>
    <w:p>
      <w:pPr>
        <w:pStyle w:val="Header &amp; Footer"/>
        <w:numPr>
          <w:ilvl w:val="0"/>
          <w:numId w:val="1"/>
        </w:numPr>
        <w:spacing w:line="360" w:lineRule="auto"/>
        <w:rPr>
          <w:lang w:val="en-US"/>
        </w:rPr>
      </w:pPr>
      <w:r>
        <w:rPr>
          <w:rtl w:val="0"/>
          <w:lang w:val="en-US"/>
        </w:rPr>
        <w:t>Quality of questions/ quality of talk- all learners think of an answer to an open question and can share that answer with others and explain their ideas behind it. This will reinforce their learning and understanding.</w:t>
      </w:r>
    </w:p>
    <w:p>
      <w:pPr>
        <w:pStyle w:val="Header &amp; Footer"/>
        <w:numPr>
          <w:ilvl w:val="0"/>
          <w:numId w:val="1"/>
        </w:numPr>
        <w:spacing w:line="360" w:lineRule="auto"/>
        <w:rPr>
          <w:lang w:val="en-US"/>
        </w:rPr>
      </w:pPr>
      <w:r>
        <w:rPr>
          <w:rtl w:val="0"/>
          <w:lang w:val="en-US"/>
        </w:rPr>
        <w:t>Use and quality of feedback- feedback that is given throughout the lesson in order to enable the learner to take next steps and to keep all learning on track.</w:t>
      </w:r>
    </w:p>
    <w:p>
      <w:pPr>
        <w:pStyle w:val="Header &amp; Footer"/>
        <w:numPr>
          <w:ilvl w:val="0"/>
          <w:numId w:val="1"/>
        </w:numPr>
        <w:spacing w:line="360" w:lineRule="auto"/>
        <w:rPr>
          <w:lang w:val="en-US"/>
        </w:rPr>
      </w:pPr>
      <w:r>
        <w:rPr>
          <w:rtl w:val="0"/>
          <w:lang w:val="en-US"/>
        </w:rPr>
        <w:t xml:space="preserve">Peer and self assessment-  learners can benefit from evaluating others work and it also helps them learn to self assess and grow more independent. </w:t>
      </w:r>
    </w:p>
    <w:p>
      <w:pPr>
        <w:pStyle w:val="Header &amp; Footer"/>
        <w:spacing w:line="360" w:lineRule="auto"/>
      </w:pPr>
      <w:r>
        <w:rPr>
          <w:rtl w:val="0"/>
          <w:lang w:val="en-US"/>
        </w:rPr>
        <w:t>The AFL strategy that will be discussed is the use of lollipop sticks which falls in to the use and quality of feedback element. It could also fit in to the quality of questions/ quality of talk element.</w:t>
      </w:r>
    </w:p>
    <w:p>
      <w:pPr>
        <w:pStyle w:val="Header &amp; Footer"/>
        <w:spacing w:line="360" w:lineRule="auto"/>
      </w:pPr>
    </w:p>
    <w:p>
      <w:pPr>
        <w:pStyle w:val="Header &amp; Footer"/>
        <w:spacing w:line="360" w:lineRule="auto"/>
      </w:pPr>
      <w:r>
        <w:rPr>
          <w:rtl w:val="0"/>
          <w:lang w:val="en-US"/>
        </w:rPr>
        <w:t>Lollipop sticks can be used to really understand the pupils</w:t>
      </w:r>
      <w:r>
        <w:rPr>
          <w:rtl w:val="0"/>
          <w:lang w:val="en-US"/>
        </w:rPr>
        <w:t xml:space="preserve">’ </w:t>
      </w:r>
      <w:r>
        <w:rPr>
          <w:rtl w:val="0"/>
          <w:lang w:val="en-US"/>
        </w:rPr>
        <w:t xml:space="preserve">learning as it randomly selects a pupil to answer a question that has been asked. It is a good way to get teacher feedback of learners understanding of a topic. However, it can also make a pupil uncomfortable if they are put on the spot which goes against any humanistic approach as humanist psychologists believe that failure and rejection causes maladjustment. If this is the case then by a child being put on the spot and not knowing the answer might cause them to not take anything away from the learning experience. Abraham Maslow adopts a holistic approach to teaching looking at </w:t>
      </w:r>
      <w:r>
        <w:rPr>
          <w:rtl w:val="0"/>
          <w:lang w:val="en-US"/>
        </w:rPr>
        <w:t>physical, emotional, social, and intellectual qualities of an individual and how they impact on learning</w:t>
      </w:r>
      <w:r>
        <w:rPr>
          <w:rtl w:val="0"/>
          <w:lang w:val="en-US"/>
        </w:rPr>
        <w:t>. He created Maslow</w:t>
      </w:r>
      <w:r>
        <w:rPr>
          <w:rtl w:val="0"/>
          <w:lang w:val="en-US"/>
        </w:rPr>
        <w:t>’</w:t>
      </w:r>
      <w:r>
        <w:rPr>
          <w:rtl w:val="0"/>
          <w:lang w:val="en-US"/>
        </w:rPr>
        <w:t xml:space="preserve">s hierarchy of needs which suggests that in order for anyone to be motivated they need to achieve these steps in the hierarchy. The first two steps being the basic needs of a human being physiological needs and safety needs, the next two steps being psychological needs, belongingness and love needs and esteem needs and the final step being self- actualisation where their motivation will increase as their needs are met. In order for higher level growth to be met, all of the lower levels need to be reasonably satisfied. however, life experiences can cause someone to fluctuate between levels. He suggests that only two percent of people will reach the self-actualisation stage however he suggests that students with low self-esteem will not progress academically. He also states that if a student has not reached their basic physiological needs they will not reach their full potential. If the teacher can create a supportive environment where the learners value and respect others and themselves, only then can they progress fully academically. </w:t>
      </w:r>
    </w:p>
    <w:p>
      <w:pPr>
        <w:pStyle w:val="Header &amp; Footer"/>
        <w:spacing w:line="360" w:lineRule="auto"/>
      </w:pPr>
    </w:p>
    <w:p>
      <w:pPr>
        <w:pStyle w:val="Header &amp; Footer"/>
        <w:spacing w:line="360" w:lineRule="auto"/>
      </w:pPr>
      <w:r>
        <w:rPr>
          <w:rtl w:val="0"/>
          <w:lang w:val="en-US"/>
        </w:rPr>
        <w:t xml:space="preserve">I found lollipop sticks to be an effective AFL strategy in the classroom for Key stage 2 as when a question was asked it was usually the same hands going up time and time again and it was hard to get general feedback when only the confident learners would put their hand up to answer. It was also found that more learners knew the answer than just the ones that were putting their hands up, they just were not confident enough in themselves and their answer. After a while of implementing this strategy the learners found more confidence in themselves and prepared answers in their heads just in case they were asked the question, which enabled more learners to be engaged in the learning in the first place. This could suggest that the learners were only engaged in the learning in fear of being chosen to answer a question however, I found the learners became more engaged and enjoyed learning more when there was more chance for equal opportunities. If a classroom environment is set up for learners to know that it is ok to get the answer wrong, that could take away from the pupil being put on the spot and being embarrassed. The strategy had to be adjusted to fit the needs of the class as they were highly differentiated. Different colour codes were put on the lollipop sticks in order to differentiate in case a question was too easy or too difficult for learners. </w:t>
      </w:r>
    </w:p>
    <w:p>
      <w:pPr>
        <w:pStyle w:val="Header &amp; Footer"/>
        <w:spacing w:line="360" w:lineRule="auto"/>
      </w:pPr>
    </w:p>
    <w:p>
      <w:pPr>
        <w:pStyle w:val="Header &amp; Footer"/>
        <w:spacing w:line="360" w:lineRule="auto"/>
      </w:pPr>
      <w:r>
        <w:rPr>
          <w:rtl w:val="0"/>
          <w:lang w:val="en-US"/>
        </w:rPr>
        <w:t>In a classroom experiment for lollipop sticks they found that the pupils would become more engaged during learning as they weren</w:t>
      </w:r>
      <w:r>
        <w:rPr>
          <w:rtl w:val="0"/>
          <w:lang w:val="en-US"/>
        </w:rPr>
        <w:t>’</w:t>
      </w:r>
      <w:r>
        <w:rPr>
          <w:rtl w:val="0"/>
          <w:lang w:val="en-US"/>
        </w:rPr>
        <w:t>t sure when they were going to be called on to answer a question (Nielson, 2011). This was also counteracted by pupils taking their names out of the pot secretly to avoid answering questions and being put on the spot including a learner who constantly had her hand up to answer questions prior to the experiment to avoid embarrassment of answering questions that she did not know. This strategy could also be implemented in the foundation phase but it might not work as well. Lollipop sticks are used to create verbal feedback from the learner to the teacher but children in the foundation phase may not have built a classroom environment where they know its ok to be wrong yet and may leave them feeling upset or embarrassed if they don</w:t>
      </w:r>
      <w:r>
        <w:rPr>
          <w:rtl w:val="0"/>
          <w:lang w:val="en-US"/>
        </w:rPr>
        <w:t>’</w:t>
      </w:r>
      <w:r>
        <w:rPr>
          <w:rtl w:val="0"/>
          <w:lang w:val="en-US"/>
        </w:rPr>
        <w:t xml:space="preserve">t know the answer to a question. </w:t>
      </w:r>
      <w:r>
        <w:rPr>
          <w:rtl w:val="0"/>
        </w:rPr>
        <w:t>Sadler, D. R. (2013)</w:t>
      </w:r>
      <w:r>
        <w:rPr>
          <w:rtl w:val="0"/>
          <w:lang w:val="en-US"/>
        </w:rPr>
        <w:t xml:space="preserve"> states '</w:t>
      </w:r>
      <w:r>
        <w:rPr>
          <w:rtl w:val="0"/>
          <w:lang w:val="en-US"/>
        </w:rPr>
        <w:t>feedback can be effective as learners become more discerning, more intuitive, more analytical, and generally more able to create, independently, productions of high quality on demand</w:t>
      </w:r>
      <w:r>
        <w:rPr>
          <w:rtl w:val="0"/>
          <w:lang w:val="en-US"/>
        </w:rPr>
        <w:t>.</w:t>
      </w:r>
      <w:r>
        <w:rPr>
          <w:rtl w:val="0"/>
          <w:lang w:val="en-US"/>
        </w:rPr>
        <w:t xml:space="preserve">’ </w:t>
      </w:r>
      <w:r>
        <w:rPr>
          <w:rtl w:val="0"/>
          <w:lang w:val="en-US"/>
        </w:rPr>
        <w:t>If the correct classroom atmosphere has been implemented, then there is no reason why it could not work in the foundation phase.</w:t>
      </w:r>
    </w:p>
    <w:p>
      <w:pPr>
        <w:pStyle w:val="Header &amp; Footer"/>
        <w:spacing w:line="360" w:lineRule="auto"/>
      </w:pPr>
    </w:p>
    <w:p>
      <w:pPr>
        <w:pStyle w:val="Header &amp; Footer"/>
        <w:spacing w:line="360" w:lineRule="auto"/>
      </w:pPr>
      <w:r>
        <w:rPr>
          <w:rtl w:val="0"/>
          <w:lang w:val="en-US"/>
        </w:rPr>
        <w:t>Lollipop sticks are cost efficient and no staff training is necessary. However, good questioning strategies should be used in order to implement this strategy effectively. Open questions work best with this strategy as learners will be more aware that there is no wrong answer and will be more confident giving an answer. It could also be adapted slightly for closed questions in order for a learner not to feel uncomfortable if they do not know the answer, they could phone a friend by simply asking another learner in the classroom what they believe the answer could be. Also according to Skinner</w:t>
      </w:r>
      <w:r>
        <w:rPr>
          <w:rtl w:val="0"/>
          <w:lang w:val="en-US"/>
        </w:rPr>
        <w:t>’</w:t>
      </w:r>
      <w:r>
        <w:rPr>
          <w:rtl w:val="0"/>
          <w:lang w:val="en-US"/>
        </w:rPr>
        <w:t>s Radical behaviourism if the learner gets the question right and they are rewarded they are more likely to want to get more correct as the feeling they got from being right was a positive one. However, if this is the case then we would not need to implement lollipop sticks at all as all the children who knew the answer in the classroom experiment would have put their hands up originally to gain that positive feeling. By rewarding the learners who get the answers right will only go on to make the learners who get the answer wrong have more of a negative experience and this will take away from the safe classroom space that should have been created where learners are aware that they can get the answer wrong. On the other hand, by rewarding the learners who get the answer right may motivate the other learners to get the reward also.</w:t>
      </w:r>
    </w:p>
    <w:p>
      <w:pPr>
        <w:pStyle w:val="Header &amp; Footer"/>
        <w:spacing w:line="360" w:lineRule="auto"/>
      </w:pPr>
    </w:p>
    <w:p>
      <w:pPr>
        <w:pStyle w:val="Header &amp; Footer"/>
        <w:spacing w:line="360" w:lineRule="auto"/>
      </w:pPr>
      <w:r>
        <w:rPr>
          <w:rtl w:val="0"/>
          <w:lang w:val="en-US"/>
        </w:rPr>
        <w:t>To conclude, Fautley and Savage (2008) say that assessment is done within teaching and learning and not separately, regardless of what the old style assessment states. Within assessment they state that work is adjusted accordingly depending on where the learners are after they have been assessed by the teacher, the teacher will give personal advice after assessing individuals progress, work is assessed by peers and they recommend ways to improve, learners decide how they can improve themselves after assessing where they are and learners decide themselves how their learning has improved over the course of the lesson.</w:t>
      </w:r>
    </w:p>
    <w:p>
      <w:pPr>
        <w:pStyle w:val="Header &amp; Footer"/>
        <w:spacing w:line="360" w:lineRule="auto"/>
      </w:pPr>
    </w:p>
    <w:p>
      <w:pPr>
        <w:pStyle w:val="Default"/>
        <w:bidi w:val="0"/>
        <w:spacing w:line="360" w:lineRule="auto"/>
        <w:ind w:left="0" w:right="0" w:firstLine="0"/>
        <w:jc w:val="left"/>
        <w:rPr>
          <w:sz w:val="24"/>
          <w:szCs w:val="24"/>
          <w:shd w:val="clear" w:color="auto" w:fill="fcfcfc"/>
          <w:rtl w:val="0"/>
        </w:rPr>
      </w:pPr>
      <w:r>
        <w:rPr>
          <w:sz w:val="24"/>
          <w:szCs w:val="24"/>
          <w:shd w:val="clear" w:color="auto" w:fill="fcfcfc"/>
          <w:rtl w:val="0"/>
          <w:lang w:val="en-US"/>
        </w:rPr>
        <w:t>Sadler, D. R. says that in order for a learner to improve they need to know what the quality of their work is like while they are in the production of making their work. This means that learners must know what high quality work looks like in order to achieve that same level by comparing and modifying their own work.</w:t>
      </w: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r>
        <w:rPr>
          <w:sz w:val="24"/>
          <w:szCs w:val="24"/>
          <w:shd w:val="clear" w:color="auto" w:fill="fcfcfc"/>
          <w:rtl w:val="0"/>
          <w:lang w:val="en-US"/>
        </w:rPr>
        <w:t xml:space="preserve">There is a lot of evidence and studies to support Assessment for Learning. Wiliam, D (2009) has even suggested that eight months of extra learning is done by students within a school year when AFL is implemented in to the classroom. Learners who feel they are not capable of doing the work set are more likely to become disruptive pupils and likely to go on to be alienated from society and become </w:t>
      </w:r>
      <w:r>
        <w:rPr>
          <w:sz w:val="24"/>
          <w:szCs w:val="24"/>
          <w:shd w:val="clear" w:color="auto" w:fill="fcfcfc"/>
          <w:rtl w:val="0"/>
          <w:lang w:val="en-US"/>
        </w:rPr>
        <w:t>‘</w:t>
      </w:r>
      <w:r>
        <w:rPr>
          <w:sz w:val="24"/>
          <w:szCs w:val="24"/>
          <w:shd w:val="clear" w:color="auto" w:fill="fcfcfc"/>
          <w:rtl w:val="0"/>
          <w:lang w:val="en-US"/>
        </w:rPr>
        <w:t>victims of serious social problems</w:t>
      </w:r>
      <w:r>
        <w:rPr>
          <w:sz w:val="24"/>
          <w:szCs w:val="24"/>
          <w:shd w:val="clear" w:color="auto" w:fill="fcfcfc"/>
          <w:rtl w:val="0"/>
          <w:lang w:val="en-US"/>
        </w:rPr>
        <w:t xml:space="preserve">’ </w:t>
      </w:r>
      <w:r>
        <w:rPr>
          <w:sz w:val="24"/>
          <w:szCs w:val="24"/>
          <w:shd w:val="clear" w:color="auto" w:fill="fcfcfc"/>
          <w:rtl w:val="0"/>
          <w:lang w:val="en-US"/>
        </w:rPr>
        <w:t>(Wiliam and Black, 1998). AFL bridges the gap between lower and higher attainment levels and ensures learners are getting feedback on their work while it is in progress to enable understanding and the best level of work possible.</w:t>
      </w: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p>
    <w:p>
      <w:pPr>
        <w:pStyle w:val="Default"/>
        <w:bidi w:val="0"/>
        <w:spacing w:line="360" w:lineRule="auto"/>
        <w:ind w:left="0" w:right="0" w:firstLine="0"/>
        <w:jc w:val="left"/>
        <w:rPr>
          <w:sz w:val="24"/>
          <w:szCs w:val="24"/>
          <w:shd w:val="clear" w:color="auto" w:fill="fcfcfc"/>
          <w:rtl w:val="0"/>
        </w:rPr>
      </w:pPr>
      <w:r>
        <w:rPr>
          <w:sz w:val="24"/>
          <w:szCs w:val="24"/>
          <w:shd w:val="clear" w:color="auto" w:fill="fcfcfc"/>
          <w:rtl w:val="0"/>
          <w:lang w:val="en-US"/>
        </w:rPr>
        <w:t>References</w:t>
      </w:r>
    </w:p>
    <w:p>
      <w:pPr>
        <w:pStyle w:val="Header &amp; Footer"/>
        <w:rPr>
          <w:u w:val="single"/>
        </w:rPr>
      </w:pPr>
    </w:p>
    <w:p>
      <w:pPr>
        <w:pStyle w:val="Header &amp; Footer"/>
        <w:bidi w:val="0"/>
      </w:pPr>
      <w:r>
        <w:rPr>
          <w:rtl w:val="0"/>
        </w:rPr>
        <w:t xml:space="preserve">Assessment Reform Group (2002) </w:t>
      </w:r>
      <w:r>
        <w:rPr>
          <w:i w:val="1"/>
          <w:iCs w:val="1"/>
          <w:rtl w:val="0"/>
          <w:lang w:val="en-US"/>
        </w:rPr>
        <w:t xml:space="preserve">Assessment for learning: 10 principles </w:t>
      </w:r>
      <w:r>
        <w:rPr>
          <w:rtl w:val="0"/>
        </w:rPr>
        <w:t xml:space="preserve">Available at: </w:t>
      </w:r>
      <w:r>
        <w:rPr>
          <w:rStyle w:val="Hyperlink.0"/>
        </w:rPr>
        <w:fldChar w:fldCharType="begin" w:fldLock="0"/>
      </w:r>
      <w:r>
        <w:rPr>
          <w:rStyle w:val="Hyperlink.0"/>
        </w:rPr>
        <w:instrText xml:space="preserve"> HYPERLINK "http://www.aaia.org.uk/content/uploads/2010/06/Assessment-for-Learning-10-principles.pdf?v=79cba1185463"</w:instrText>
      </w:r>
      <w:r>
        <w:rPr>
          <w:rStyle w:val="Hyperlink.0"/>
        </w:rPr>
        <w:fldChar w:fldCharType="separate" w:fldLock="0"/>
      </w:r>
      <w:r>
        <w:rPr>
          <w:rStyle w:val="Hyperlink.0"/>
          <w:rtl w:val="0"/>
        </w:rPr>
        <w:t>http://www.aaia.org.uk/content/uploads/2010/06/Assessment-for-Learning-10-principles.pdf?v=79cba1185463</w:t>
      </w:r>
      <w:r>
        <w:rPr/>
        <w:fldChar w:fldCharType="end" w:fldLock="0"/>
      </w:r>
      <w:r>
        <w:rPr>
          <w:rtl w:val="0"/>
        </w:rPr>
        <w:t xml:space="preserve"> (accessed: 8/12/18)</w:t>
      </w:r>
    </w:p>
    <w:p>
      <w:pPr>
        <w:pStyle w:val="Header &amp; Footer"/>
        <w:bidi w:val="0"/>
      </w:pPr>
    </w:p>
    <w:p>
      <w:pPr>
        <w:pStyle w:val="Header &amp; Footer"/>
        <w:bidi w:val="0"/>
      </w:pPr>
      <w:r>
        <w:rPr>
          <w:rtl w:val="0"/>
        </w:rPr>
        <w:t xml:space="preserve">Black, P. and Wiliam, D. (1998) </w:t>
      </w:r>
      <w:r>
        <w:rPr>
          <w:i w:val="1"/>
          <w:iCs w:val="1"/>
          <w:rtl w:val="0"/>
          <w:lang w:val="en-US"/>
        </w:rPr>
        <w:t xml:space="preserve">inside the black box: raising standards through classroom assessments </w:t>
      </w:r>
      <w:r>
        <w:rPr>
          <w:rtl w:val="0"/>
        </w:rPr>
        <w:t xml:space="preserve">Available at: </w:t>
      </w:r>
      <w:r>
        <w:rPr>
          <w:rStyle w:val="Hyperlink.0"/>
        </w:rPr>
        <w:fldChar w:fldCharType="begin" w:fldLock="0"/>
      </w:r>
      <w:r>
        <w:rPr>
          <w:rStyle w:val="Hyperlink.0"/>
        </w:rPr>
        <w:instrText xml:space="preserve"> HYPERLINK "https://www.rdc.udel.edu/wp-content/uploads/2015/04/InsideBlackBox.pdf"</w:instrText>
      </w:r>
      <w:r>
        <w:rPr>
          <w:rStyle w:val="Hyperlink.0"/>
        </w:rPr>
        <w:fldChar w:fldCharType="separate" w:fldLock="0"/>
      </w:r>
      <w:r>
        <w:rPr>
          <w:rStyle w:val="Hyperlink.0"/>
          <w:rtl w:val="0"/>
        </w:rPr>
        <w:t>https://www.rdc.udel.edu/wp-content/uploads/2015/04/InsideBlackBox.pdf</w:t>
      </w:r>
      <w:r>
        <w:rPr/>
        <w:fldChar w:fldCharType="end" w:fldLock="0"/>
      </w:r>
      <w:r>
        <w:rPr>
          <w:rtl w:val="0"/>
        </w:rPr>
        <w:t xml:space="preserve"> (accessed: 8/12/18)</w:t>
      </w:r>
    </w:p>
    <w:p>
      <w:pPr>
        <w:pStyle w:val="Header &amp; Footer"/>
        <w:bidi w:val="0"/>
      </w:pPr>
    </w:p>
    <w:p>
      <w:pPr>
        <w:pStyle w:val="Header &amp; Footer"/>
        <w:bidi w:val="0"/>
      </w:pPr>
      <w:r>
        <w:rPr>
          <w:rtl w:val="0"/>
        </w:rPr>
        <w:t xml:space="preserve">Fautley, M. and Savage, J. (2008) </w:t>
      </w:r>
      <w:r>
        <w:rPr>
          <w:i w:val="1"/>
          <w:iCs w:val="1"/>
          <w:rtl w:val="0"/>
          <w:lang w:val="en-US"/>
        </w:rPr>
        <w:t xml:space="preserve">Assessment for learning and teaching </w:t>
      </w:r>
      <w:r>
        <w:rPr>
          <w:rtl w:val="0"/>
        </w:rPr>
        <w:t>Exeter: learning matters</w:t>
      </w:r>
    </w:p>
    <w:p>
      <w:pPr>
        <w:pStyle w:val="Header &amp; Footer"/>
        <w:bidi w:val="0"/>
      </w:pPr>
    </w:p>
    <w:p>
      <w:pPr>
        <w:pStyle w:val="Header &amp; Footer"/>
        <w:bidi w:val="0"/>
      </w:pPr>
      <w:r>
        <w:rPr>
          <w:rtl w:val="0"/>
        </w:rPr>
        <w:t xml:space="preserve">McLendon, K. (2011) </w:t>
      </w:r>
      <w:r>
        <w:rPr>
          <w:rtl w:val="0"/>
        </w:rPr>
        <w:t>‘</w:t>
      </w:r>
      <w:r>
        <w:rPr>
          <w:rtl w:val="0"/>
        </w:rPr>
        <w:t>Skinner</w:t>
      </w:r>
      <w:r>
        <w:rPr>
          <w:rtl w:val="0"/>
        </w:rPr>
        <w:t>’</w:t>
      </w:r>
      <w:r>
        <w:rPr>
          <w:rtl w:val="0"/>
        </w:rPr>
        <w:t>s Radical Behaviourism</w:t>
      </w:r>
      <w:r>
        <w:rPr>
          <w:rtl w:val="0"/>
        </w:rPr>
        <w:t xml:space="preserve">’ </w:t>
      </w:r>
      <w:r>
        <w:rPr>
          <w:i w:val="1"/>
          <w:iCs w:val="1"/>
          <w:rtl w:val="0"/>
          <w:lang w:val="en-US"/>
        </w:rPr>
        <w:t xml:space="preserve">Funderstanding. </w:t>
      </w:r>
      <w:r>
        <w:rPr>
          <w:rtl w:val="0"/>
        </w:rPr>
        <w:t xml:space="preserve">Available at: </w:t>
      </w:r>
      <w:r>
        <w:rPr>
          <w:rStyle w:val="Hyperlink.0"/>
        </w:rPr>
        <w:fldChar w:fldCharType="begin" w:fldLock="0"/>
      </w:r>
      <w:r>
        <w:rPr>
          <w:rStyle w:val="Hyperlink.0"/>
        </w:rPr>
        <w:instrText xml:space="preserve"> HYPERLINK "https://www.funderstanding.com/educators/skinners-radical-behaviorism/"</w:instrText>
      </w:r>
      <w:r>
        <w:rPr>
          <w:rStyle w:val="Hyperlink.0"/>
        </w:rPr>
        <w:fldChar w:fldCharType="separate" w:fldLock="0"/>
      </w:r>
      <w:r>
        <w:rPr>
          <w:rStyle w:val="Hyperlink.0"/>
          <w:rtl w:val="0"/>
        </w:rPr>
        <w:t>https://www.funderstanding.com/educators/skinners-radical-behaviorism/</w:t>
      </w:r>
      <w:r>
        <w:rPr/>
        <w:fldChar w:fldCharType="end" w:fldLock="0"/>
      </w:r>
      <w:r>
        <w:rPr>
          <w:rtl w:val="0"/>
        </w:rPr>
        <w:t xml:space="preserve"> (Accessed: 8/12/18)</w:t>
      </w:r>
    </w:p>
    <w:p>
      <w:pPr>
        <w:pStyle w:val="Header &amp; Footer"/>
        <w:bidi w:val="0"/>
      </w:pPr>
    </w:p>
    <w:p>
      <w:pPr>
        <w:pStyle w:val="Header &amp; Footer"/>
        <w:bidi w:val="0"/>
      </w:pPr>
      <w:r>
        <w:rPr>
          <w:rtl w:val="0"/>
        </w:rPr>
        <w:t xml:space="preserve">McLeod, S. (2018) </w:t>
      </w:r>
      <w:r>
        <w:rPr>
          <w:rtl w:val="0"/>
        </w:rPr>
        <w:t>‘</w:t>
      </w:r>
      <w:r>
        <w:rPr>
          <w:rtl w:val="0"/>
        </w:rPr>
        <w:t>Maslow</w:t>
      </w:r>
      <w:r>
        <w:rPr>
          <w:rtl w:val="0"/>
        </w:rPr>
        <w:t>’</w:t>
      </w:r>
      <w:r>
        <w:rPr>
          <w:rtl w:val="0"/>
        </w:rPr>
        <w:t>s hierarchy of needs</w:t>
      </w:r>
      <w:r>
        <w:rPr>
          <w:rtl w:val="0"/>
        </w:rPr>
        <w:t>’</w:t>
      </w:r>
      <w:r>
        <w:rPr>
          <w:rtl w:val="0"/>
        </w:rPr>
        <w:t xml:space="preserve">, </w:t>
      </w:r>
      <w:r>
        <w:rPr>
          <w:i w:val="1"/>
          <w:iCs w:val="1"/>
          <w:rtl w:val="0"/>
          <w:lang w:val="en-US"/>
        </w:rPr>
        <w:t xml:space="preserve">SimplyPsychology. Available at: </w:t>
      </w:r>
      <w:r>
        <w:rPr>
          <w:rStyle w:val="Hyperlink.0"/>
        </w:rPr>
        <w:fldChar w:fldCharType="begin" w:fldLock="0"/>
      </w:r>
      <w:r>
        <w:rPr>
          <w:rStyle w:val="Hyperlink.0"/>
        </w:rPr>
        <w:instrText xml:space="preserve"> HYPERLINK "https://www.simplypsychology.org/maslow.html"</w:instrText>
      </w:r>
      <w:r>
        <w:rPr>
          <w:rStyle w:val="Hyperlink.0"/>
        </w:rPr>
        <w:fldChar w:fldCharType="separate" w:fldLock="0"/>
      </w:r>
      <w:r>
        <w:rPr>
          <w:rStyle w:val="Hyperlink.0"/>
          <w:rtl w:val="0"/>
        </w:rPr>
        <w:t>https://www.simplypsychology.org/maslow.html</w:t>
      </w:r>
      <w:r>
        <w:rPr/>
        <w:fldChar w:fldCharType="end" w:fldLock="0"/>
      </w:r>
      <w:r>
        <w:rPr>
          <w:i w:val="1"/>
          <w:iCs w:val="1"/>
          <w:rtl w:val="0"/>
          <w:lang w:val="en-US"/>
        </w:rPr>
        <w:t xml:space="preserve"> (Accessed: 8/12/18)</w:t>
      </w:r>
    </w:p>
    <w:p>
      <w:pPr>
        <w:pStyle w:val="Header &amp; Footer"/>
        <w:bidi w:val="0"/>
      </w:pPr>
    </w:p>
    <w:p>
      <w:pPr>
        <w:pStyle w:val="Header &amp; Footer"/>
        <w:bidi w:val="0"/>
      </w:pPr>
      <w:r>
        <w:rPr>
          <w:rtl w:val="0"/>
        </w:rPr>
        <w:t xml:space="preserve">Nielson, J. (2011) </w:t>
      </w:r>
      <w:r>
        <w:rPr>
          <w:i w:val="1"/>
          <w:iCs w:val="1"/>
          <w:rtl w:val="0"/>
          <w:lang w:val="en-US"/>
        </w:rPr>
        <w:t>The Classroom Experiment lollipop sticks</w:t>
      </w:r>
      <w:r>
        <w:rPr>
          <w:i w:val="1"/>
          <w:iCs w:val="1"/>
          <w:rtl w:val="0"/>
          <w:lang w:val="en-US"/>
        </w:rPr>
        <w:t xml:space="preserve"> </w:t>
      </w:r>
      <w:r>
        <w:rPr>
          <w:rtl w:val="0"/>
        </w:rPr>
        <w:t xml:space="preserve">[video] Available at: </w:t>
      </w:r>
      <w:r>
        <w:rPr>
          <w:rStyle w:val="Hyperlink.0"/>
        </w:rPr>
        <w:fldChar w:fldCharType="begin" w:fldLock="0"/>
      </w:r>
      <w:r>
        <w:rPr>
          <w:rStyle w:val="Hyperlink.0"/>
        </w:rPr>
        <w:instrText xml:space="preserve"> HYPERLINK "https://www.youtube.com/watch?v=PtZ1pmY0VzI"</w:instrText>
      </w:r>
      <w:r>
        <w:rPr>
          <w:rStyle w:val="Hyperlink.0"/>
        </w:rPr>
        <w:fldChar w:fldCharType="separate" w:fldLock="0"/>
      </w:r>
      <w:r>
        <w:rPr>
          <w:rStyle w:val="Hyperlink.0"/>
          <w:rtl w:val="0"/>
        </w:rPr>
        <w:t>https://www.youtube.com/watch?v=PtZ1pmY0VzI</w:t>
      </w:r>
      <w:r>
        <w:rPr/>
        <w:fldChar w:fldCharType="end" w:fldLock="0"/>
      </w:r>
      <w:r>
        <w:rPr>
          <w:rtl w:val="0"/>
        </w:rPr>
        <w:t xml:space="preserve"> (accessed: 8/12/18)</w:t>
      </w:r>
    </w:p>
    <w:p>
      <w:pPr>
        <w:pStyle w:val="Header &amp; Footer"/>
        <w:bidi w:val="0"/>
      </w:pPr>
    </w:p>
    <w:p>
      <w:pPr>
        <w:pStyle w:val="Header &amp; Footer"/>
        <w:bidi w:val="0"/>
      </w:pPr>
      <w:r>
        <w:rPr>
          <w:rtl w:val="0"/>
        </w:rPr>
        <w:t>Sadler, D. R. (2013) 'Opening up feedback: Teaching learners to see'. In Merry, S., Price, M., Carless, D., &amp; Taras, M. (Eds.) Reconceptualising Feedback in Higher Education: developing dialogue with students. (Ch. 5, 54-63). London: Routledge.</w:t>
      </w:r>
    </w:p>
    <w:p>
      <w:pPr>
        <w:pStyle w:val="Header &amp; Footer"/>
        <w:bidi w:val="0"/>
      </w:pPr>
    </w:p>
    <w:p>
      <w:pPr>
        <w:pStyle w:val="Default"/>
        <w:bidi w:val="0"/>
        <w:ind w:left="0" w:right="0" w:firstLine="0"/>
        <w:jc w:val="left"/>
        <w:rPr>
          <w:sz w:val="24"/>
          <w:szCs w:val="24"/>
          <w:shd w:val="clear" w:color="auto" w:fill="fcfcfc"/>
          <w:rtl w:val="0"/>
        </w:rPr>
      </w:pPr>
      <w:r>
        <w:rPr>
          <w:sz w:val="24"/>
          <w:szCs w:val="24"/>
          <w:shd w:val="clear" w:color="auto" w:fill="fcfcfc"/>
          <w:rtl w:val="0"/>
          <w:lang w:val="da-DK"/>
        </w:rPr>
        <w:t>Sadler, D.R.</w:t>
      </w:r>
      <w:r>
        <w:rPr>
          <w:sz w:val="24"/>
          <w:szCs w:val="24"/>
          <w:shd w:val="clear" w:color="auto" w:fill="fcfcfc"/>
          <w:rtl w:val="0"/>
          <w:lang w:val="en-US"/>
        </w:rPr>
        <w:t xml:space="preserve"> (1989) </w:t>
      </w:r>
      <w:r>
        <w:rPr>
          <w:sz w:val="24"/>
          <w:szCs w:val="24"/>
          <w:shd w:val="clear" w:color="auto" w:fill="fcfcfc"/>
          <w:rtl w:val="0"/>
          <w:lang w:val="en-US"/>
        </w:rPr>
        <w:t>‘</w:t>
      </w:r>
      <w:r>
        <w:rPr>
          <w:sz w:val="24"/>
          <w:szCs w:val="24"/>
          <w:shd w:val="clear" w:color="auto" w:fill="fcfcfc"/>
          <w:rtl w:val="0"/>
          <w:lang w:val="en-US"/>
        </w:rPr>
        <w:t>Instructional science</w:t>
      </w:r>
      <w:r>
        <w:rPr>
          <w:sz w:val="24"/>
          <w:szCs w:val="24"/>
          <w:shd w:val="clear" w:color="auto" w:fill="fcfcfc"/>
          <w:rtl w:val="0"/>
          <w:lang w:val="en-US"/>
        </w:rPr>
        <w:t>’</w:t>
      </w:r>
      <w:r>
        <w:rPr>
          <w:sz w:val="24"/>
          <w:szCs w:val="24"/>
          <w:shd w:val="clear" w:color="auto" w:fill="fcfcfc"/>
          <w:rtl w:val="0"/>
          <w:lang w:val="en-US"/>
        </w:rPr>
        <w:t xml:space="preserve">, </w:t>
      </w:r>
      <w:r>
        <w:rPr>
          <w:i w:val="1"/>
          <w:iCs w:val="1"/>
          <w:sz w:val="24"/>
          <w:szCs w:val="24"/>
          <w:shd w:val="clear" w:color="auto" w:fill="fcfcfc"/>
          <w:rtl w:val="0"/>
          <w:lang w:val="en-US"/>
        </w:rPr>
        <w:t xml:space="preserve">Springer Link, </w:t>
      </w:r>
      <w:r>
        <w:rPr>
          <w:sz w:val="24"/>
          <w:szCs w:val="24"/>
          <w:shd w:val="clear" w:color="auto" w:fill="fcfcfc"/>
          <w:rtl w:val="0"/>
          <w:lang w:val="en-US"/>
        </w:rPr>
        <w:t xml:space="preserve">issue 2, p119-144. Available at: </w:t>
      </w:r>
      <w:r>
        <w:rPr>
          <w:rStyle w:val="Hyperlink.0"/>
          <w:sz w:val="24"/>
          <w:szCs w:val="24"/>
          <w:shd w:val="clear" w:color="auto" w:fill="fcfcfc"/>
          <w:rtl w:val="0"/>
        </w:rPr>
        <w:fldChar w:fldCharType="begin" w:fldLock="0"/>
      </w:r>
      <w:r>
        <w:rPr>
          <w:rStyle w:val="Hyperlink.0"/>
          <w:sz w:val="24"/>
          <w:szCs w:val="24"/>
          <w:shd w:val="clear" w:color="auto" w:fill="fcfcfc"/>
          <w:rtl w:val="0"/>
        </w:rPr>
        <w:instrText xml:space="preserve"> HYPERLINK "https://link.springer.com/article/10.1007/BF00117714#citeas"</w:instrText>
      </w:r>
      <w:r>
        <w:rPr>
          <w:rStyle w:val="Hyperlink.0"/>
          <w:sz w:val="24"/>
          <w:szCs w:val="24"/>
          <w:shd w:val="clear" w:color="auto" w:fill="fcfcfc"/>
          <w:rtl w:val="0"/>
        </w:rPr>
        <w:fldChar w:fldCharType="separate" w:fldLock="0"/>
      </w:r>
      <w:r>
        <w:rPr>
          <w:rStyle w:val="Hyperlink.0"/>
          <w:sz w:val="24"/>
          <w:szCs w:val="24"/>
          <w:shd w:val="clear" w:color="auto" w:fill="fcfcfc"/>
          <w:rtl w:val="0"/>
        </w:rPr>
        <w:t>https://link.springer.com/article/10.1007/BF00117714#citeas</w:t>
      </w:r>
      <w:r>
        <w:rPr>
          <w:sz w:val="24"/>
          <w:szCs w:val="24"/>
          <w:shd w:val="clear" w:color="auto" w:fill="fcfcfc"/>
          <w:rtl w:val="0"/>
        </w:rPr>
        <w:fldChar w:fldCharType="end" w:fldLock="0"/>
      </w:r>
      <w:r>
        <w:rPr>
          <w:sz w:val="24"/>
          <w:szCs w:val="24"/>
          <w:shd w:val="clear" w:color="auto" w:fill="fcfcfc"/>
          <w:rtl w:val="0"/>
          <w:lang w:val="en-US"/>
        </w:rPr>
        <w:t xml:space="preserve"> (accessed: 8/12/18)</w:t>
      </w:r>
    </w:p>
    <w:p>
      <w:pPr>
        <w:pStyle w:val="Default"/>
        <w:bidi w:val="0"/>
        <w:ind w:left="0" w:right="0" w:firstLine="0"/>
        <w:jc w:val="left"/>
        <w:rPr>
          <w:sz w:val="24"/>
          <w:szCs w:val="24"/>
          <w:shd w:val="clear" w:color="auto" w:fill="fcfcfc"/>
          <w:rtl w:val="0"/>
        </w:rPr>
      </w:pPr>
    </w:p>
    <w:p>
      <w:pPr>
        <w:pStyle w:val="Default"/>
        <w:bidi w:val="0"/>
        <w:ind w:left="0" w:right="0" w:firstLine="0"/>
        <w:jc w:val="left"/>
        <w:rPr>
          <w:sz w:val="24"/>
          <w:szCs w:val="24"/>
          <w:shd w:val="clear" w:color="auto" w:fill="fcfcfc"/>
          <w:rtl w:val="0"/>
        </w:rPr>
      </w:pPr>
      <w:r>
        <w:rPr>
          <w:sz w:val="24"/>
          <w:szCs w:val="24"/>
          <w:shd w:val="clear" w:color="auto" w:fill="fcfcfc"/>
          <w:rtl w:val="0"/>
          <w:lang w:val="en-US"/>
        </w:rPr>
        <w:t xml:space="preserve">Welsh Assembly Government (2010) </w:t>
      </w:r>
      <w:r>
        <w:rPr>
          <w:i w:val="1"/>
          <w:iCs w:val="1"/>
          <w:sz w:val="24"/>
          <w:szCs w:val="24"/>
          <w:shd w:val="clear" w:color="auto" w:fill="fcfcfc"/>
          <w:rtl w:val="0"/>
          <w:lang w:val="en-US"/>
        </w:rPr>
        <w:t xml:space="preserve">How to develop thinking and assessment for learning in the classroom </w:t>
      </w:r>
      <w:r>
        <w:rPr>
          <w:sz w:val="24"/>
          <w:szCs w:val="24"/>
          <w:shd w:val="clear" w:color="auto" w:fill="fcfcfc"/>
          <w:rtl w:val="0"/>
          <w:lang w:val="en-US"/>
        </w:rPr>
        <w:t xml:space="preserve">Available at: </w:t>
      </w:r>
      <w:r>
        <w:rPr>
          <w:rStyle w:val="Hyperlink.0"/>
          <w:sz w:val="24"/>
          <w:szCs w:val="24"/>
          <w:shd w:val="clear" w:color="auto" w:fill="fcfcfc"/>
          <w:rtl w:val="0"/>
        </w:rPr>
        <w:fldChar w:fldCharType="begin" w:fldLock="0"/>
      </w:r>
      <w:r>
        <w:rPr>
          <w:rStyle w:val="Hyperlink.0"/>
          <w:sz w:val="24"/>
          <w:szCs w:val="24"/>
          <w:shd w:val="clear" w:color="auto" w:fill="fcfcfc"/>
          <w:rtl w:val="0"/>
        </w:rPr>
        <w:instrText xml:space="preserve"> HYPERLINK "http://learning.gov.wales/docs/learningwales/publications/130429how-to-develop-thinking-en.pdf"</w:instrText>
      </w:r>
      <w:r>
        <w:rPr>
          <w:rStyle w:val="Hyperlink.0"/>
          <w:sz w:val="24"/>
          <w:szCs w:val="24"/>
          <w:shd w:val="clear" w:color="auto" w:fill="fcfcfc"/>
          <w:rtl w:val="0"/>
        </w:rPr>
        <w:fldChar w:fldCharType="separate" w:fldLock="0"/>
      </w:r>
      <w:r>
        <w:rPr>
          <w:rStyle w:val="Hyperlink.0"/>
          <w:sz w:val="24"/>
          <w:szCs w:val="24"/>
          <w:shd w:val="clear" w:color="auto" w:fill="fcfcfc"/>
          <w:rtl w:val="0"/>
          <w:lang w:val="en-US"/>
        </w:rPr>
        <w:t>http://learning.gov.wales/docs/learningwales/publications/130429how-to-develop-thinking-en.pdf</w:t>
      </w:r>
      <w:r>
        <w:rPr>
          <w:sz w:val="24"/>
          <w:szCs w:val="24"/>
          <w:shd w:val="clear" w:color="auto" w:fill="fcfcfc"/>
          <w:rtl w:val="0"/>
        </w:rPr>
        <w:fldChar w:fldCharType="end" w:fldLock="0"/>
      </w:r>
      <w:r>
        <w:rPr>
          <w:sz w:val="24"/>
          <w:szCs w:val="24"/>
          <w:shd w:val="clear" w:color="auto" w:fill="fcfcfc"/>
          <w:rtl w:val="0"/>
          <w:lang w:val="en-US"/>
        </w:rPr>
        <w:t xml:space="preserve"> (Accessed: 8/12/18)</w:t>
      </w:r>
    </w:p>
    <w:p>
      <w:pPr>
        <w:pStyle w:val="Default"/>
        <w:bidi w:val="0"/>
        <w:ind w:left="0" w:right="0" w:firstLine="0"/>
        <w:jc w:val="left"/>
        <w:rPr>
          <w:sz w:val="24"/>
          <w:szCs w:val="24"/>
          <w:shd w:val="clear" w:color="auto" w:fill="fcfcfc"/>
          <w:rtl w:val="0"/>
        </w:rPr>
      </w:pPr>
    </w:p>
    <w:p>
      <w:pPr>
        <w:pStyle w:val="Default"/>
        <w:bidi w:val="0"/>
        <w:ind w:left="0" w:right="0" w:firstLine="0"/>
        <w:jc w:val="left"/>
        <w:rPr>
          <w:rtl w:val="0"/>
        </w:rPr>
      </w:pPr>
      <w:r>
        <w:rPr>
          <w:sz w:val="24"/>
          <w:szCs w:val="24"/>
          <w:shd w:val="clear" w:color="auto" w:fill="fcfcfc"/>
          <w:rtl w:val="0"/>
          <w:lang w:val="en-US"/>
        </w:rPr>
        <w:t xml:space="preserve">Wiliam, D. (2009) </w:t>
      </w:r>
      <w:r>
        <w:rPr>
          <w:i w:val="1"/>
          <w:iCs w:val="1"/>
          <w:sz w:val="24"/>
          <w:szCs w:val="24"/>
          <w:shd w:val="clear" w:color="auto" w:fill="fcfcfc"/>
          <w:rtl w:val="0"/>
          <w:lang w:val="en-US"/>
        </w:rPr>
        <w:t xml:space="preserve">Assessment for learning: why, what and how? </w:t>
      </w:r>
      <w:r>
        <w:rPr>
          <w:sz w:val="24"/>
          <w:szCs w:val="24"/>
          <w:shd w:val="clear" w:color="auto" w:fill="fcfcfc"/>
          <w:rtl w:val="0"/>
          <w:lang w:val="en-US"/>
        </w:rPr>
        <w:t>London: Institute of Education.</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1700864</w:t>
    </w:r>
    <w:r>
      <w:tab/>
      <w:tab/>
    </w:r>
    <w:r>
      <w:rPr>
        <w:rFonts w:ascii="Arial" w:cs="Arial Unicode MS" w:hAnsi="Arial" w:eastAsia="Arial Unicode MS"/>
        <w:b w:val="0"/>
        <w:bCs w:val="0"/>
        <w:i w:val="0"/>
        <w:iCs w:val="0"/>
        <w:sz w:val="21"/>
        <w:szCs w:val="21"/>
        <w:rtl w:val="0"/>
      </w:rPr>
      <w:t>ECAD5001</w:t>
    </w:r>
    <w:r>
      <w:rPr>
        <w:rFonts w:ascii="Arial Unicode MS" w:cs="Arial Unicode MS" w:hAnsi="Arial Unicode MS" w:eastAsia="Arial Unicode MS"/>
        <w:b w:val="0"/>
        <w:bCs w:val="0"/>
        <w:i w:val="0"/>
        <w:iCs w:val="0"/>
        <w:sz w:val="37"/>
        <w:szCs w:val="37"/>
        <w:rtl w:val="0"/>
      </w:rPr>
      <w:br w:type="textWrapping"/>
    </w: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Header &amp; Footer"/>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