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9E72D" w14:textId="77777777" w:rsidR="00BC2302" w:rsidRDefault="00BC2302" w:rsidP="00BC2302">
      <w:pPr>
        <w:jc w:val="center"/>
        <w:rPr>
          <w:rFonts w:ascii="Times New Roman" w:hAnsi="Times New Roman" w:cs="Times New Roman"/>
        </w:rPr>
      </w:pPr>
    </w:p>
    <w:p w14:paraId="51614559" w14:textId="77777777" w:rsidR="00BC2302" w:rsidRDefault="00BC2302" w:rsidP="00BC2302">
      <w:pPr>
        <w:jc w:val="center"/>
        <w:rPr>
          <w:rFonts w:ascii="Times New Roman" w:hAnsi="Times New Roman" w:cs="Times New Roman"/>
        </w:rPr>
      </w:pPr>
    </w:p>
    <w:p w14:paraId="05521A51" w14:textId="77777777" w:rsidR="00BC2302" w:rsidRDefault="00BC2302" w:rsidP="00BC2302">
      <w:pPr>
        <w:jc w:val="center"/>
        <w:rPr>
          <w:rFonts w:ascii="Times New Roman" w:hAnsi="Times New Roman" w:cs="Times New Roman"/>
        </w:rPr>
      </w:pPr>
    </w:p>
    <w:p w14:paraId="557342A3" w14:textId="77777777" w:rsidR="00BC2302" w:rsidRDefault="00BC2302" w:rsidP="00BC2302">
      <w:pPr>
        <w:jc w:val="center"/>
        <w:rPr>
          <w:rFonts w:ascii="Times New Roman" w:hAnsi="Times New Roman" w:cs="Times New Roman"/>
        </w:rPr>
      </w:pPr>
    </w:p>
    <w:p w14:paraId="5457BA28" w14:textId="77777777" w:rsidR="002C1F28" w:rsidRDefault="002C1F28" w:rsidP="002C1F28">
      <w:pPr>
        <w:jc w:val="center"/>
        <w:rPr>
          <w:rFonts w:ascii="Times New Roman" w:hAnsi="Times New Roman" w:cs="Times New Roman"/>
        </w:rPr>
      </w:pPr>
    </w:p>
    <w:p w14:paraId="448D63BD" w14:textId="77777777" w:rsidR="002C1F28" w:rsidRDefault="002C1F28" w:rsidP="002C1F28">
      <w:pPr>
        <w:jc w:val="center"/>
        <w:rPr>
          <w:rFonts w:ascii="Times New Roman" w:hAnsi="Times New Roman" w:cs="Times New Roman"/>
        </w:rPr>
      </w:pPr>
    </w:p>
    <w:p w14:paraId="7F382BAA" w14:textId="77777777" w:rsidR="002C1F28" w:rsidRDefault="002C1F28" w:rsidP="002C1F28">
      <w:pPr>
        <w:spacing w:line="360" w:lineRule="auto"/>
      </w:pPr>
      <w:r>
        <w:rPr>
          <w:noProof/>
        </w:rPr>
        <w:drawing>
          <wp:inline distT="0" distB="0" distL="0" distR="0" wp14:anchorId="5AF41EDD" wp14:editId="6250E2C5">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28F00914" w14:textId="77777777" w:rsidR="002C1F28" w:rsidRDefault="002C1F28" w:rsidP="002C1F28">
      <w:pPr>
        <w:spacing w:line="360" w:lineRule="auto"/>
        <w:rPr>
          <w:rStyle w:val="Strong"/>
          <w:rFonts w:ascii="Segoe UI" w:hAnsi="Segoe UI" w:cs="Segoe UI"/>
          <w:color w:val="1D2125"/>
        </w:rPr>
      </w:pPr>
    </w:p>
    <w:p w14:paraId="1B990289" w14:textId="77777777" w:rsidR="002C1F28" w:rsidRDefault="002C1F28" w:rsidP="002C1F28">
      <w:pPr>
        <w:spacing w:line="360" w:lineRule="auto"/>
        <w:rPr>
          <w:rStyle w:val="Strong"/>
          <w:rFonts w:ascii="Arial" w:hAnsi="Arial" w:cs="Arial"/>
          <w:color w:val="1D2125"/>
          <w:sz w:val="36"/>
          <w:szCs w:val="36"/>
        </w:rPr>
      </w:pPr>
    </w:p>
    <w:p w14:paraId="5802F312" w14:textId="77777777" w:rsidR="002C1F28" w:rsidRDefault="002C1F28" w:rsidP="002C1F28">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0433E750" w14:textId="77777777" w:rsidR="002C1F28" w:rsidRDefault="002C1F28" w:rsidP="002C1F28">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563D9F82" w14:textId="77777777" w:rsidR="002C1F28" w:rsidRDefault="002C1F28" w:rsidP="002C1F28">
      <w:pPr>
        <w:spacing w:line="360" w:lineRule="auto"/>
        <w:jc w:val="center"/>
        <w:rPr>
          <w:rStyle w:val="Strong"/>
          <w:rFonts w:ascii="Arial" w:hAnsi="Arial" w:cs="Arial"/>
          <w:color w:val="1D2125"/>
          <w:sz w:val="36"/>
          <w:szCs w:val="36"/>
        </w:rPr>
      </w:pPr>
    </w:p>
    <w:p w14:paraId="151D27F4" w14:textId="77777777" w:rsidR="002C1F28" w:rsidRDefault="002C1F28" w:rsidP="002C1F28">
      <w:pPr>
        <w:spacing w:line="360" w:lineRule="auto"/>
        <w:jc w:val="center"/>
        <w:rPr>
          <w:rStyle w:val="Strong"/>
          <w:rFonts w:ascii="Arial" w:hAnsi="Arial" w:cs="Arial"/>
          <w:color w:val="1D2125"/>
          <w:sz w:val="36"/>
          <w:szCs w:val="36"/>
        </w:rPr>
      </w:pPr>
    </w:p>
    <w:p w14:paraId="1A927A6F" w14:textId="536BC02A" w:rsidR="002C1F28" w:rsidRDefault="002C1F28" w:rsidP="002C1F28">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Pr>
          <w:rFonts w:ascii="Arial" w:hAnsi="Arial" w:cs="Arial"/>
          <w:b/>
          <w:bCs/>
          <w:color w:val="000000"/>
          <w:sz w:val="32"/>
          <w:szCs w:val="32"/>
        </w:rPr>
        <w:t>P</w:t>
      </w:r>
      <w:r w:rsidRPr="00871C29">
        <w:rPr>
          <w:rFonts w:ascii="Arial" w:hAnsi="Arial" w:cs="Arial"/>
          <w:b/>
          <w:bCs/>
          <w:color w:val="000000"/>
          <w:sz w:val="32"/>
          <w:szCs w:val="32"/>
        </w:rPr>
        <w:t>ortfolio of set exercises</w:t>
      </w:r>
    </w:p>
    <w:p w14:paraId="006FB00C" w14:textId="77777777" w:rsidR="002C1F28" w:rsidRDefault="002C1F28" w:rsidP="002C1F28">
      <w:pPr>
        <w:spacing w:line="360" w:lineRule="auto"/>
        <w:rPr>
          <w:rStyle w:val="Strong"/>
          <w:rFonts w:ascii="Arial" w:hAnsi="Arial" w:cs="Arial"/>
          <w:color w:val="1D2125"/>
          <w:sz w:val="32"/>
          <w:szCs w:val="32"/>
        </w:rPr>
      </w:pPr>
    </w:p>
    <w:p w14:paraId="57C166EB" w14:textId="77777777" w:rsidR="002C1F28" w:rsidRDefault="002C1F28" w:rsidP="002C1F28">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 Marcelina Musteata</w:t>
      </w:r>
    </w:p>
    <w:p w14:paraId="319625CE" w14:textId="77777777" w:rsidR="002C1F28" w:rsidRDefault="002C1F28" w:rsidP="002C1F28">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 2415793</w:t>
      </w:r>
    </w:p>
    <w:p w14:paraId="68352C5F" w14:textId="77777777" w:rsidR="002C1F28" w:rsidRDefault="002C1F28" w:rsidP="002C1F28">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 Laila Surani</w:t>
      </w:r>
    </w:p>
    <w:p w14:paraId="2C30DE4B" w14:textId="77777777" w:rsidR="00BC2302" w:rsidRDefault="00BC2302" w:rsidP="00BC2302">
      <w:pPr>
        <w:jc w:val="center"/>
        <w:rPr>
          <w:rFonts w:ascii="Times New Roman" w:hAnsi="Times New Roman" w:cs="Times New Roman"/>
          <w:sz w:val="32"/>
          <w:szCs w:val="32"/>
        </w:rPr>
      </w:pPr>
    </w:p>
    <w:p w14:paraId="6D8791C9" w14:textId="77777777" w:rsidR="00BC2302" w:rsidRDefault="00BC2302" w:rsidP="00BC2302">
      <w:pPr>
        <w:jc w:val="center"/>
        <w:rPr>
          <w:rFonts w:ascii="Times New Roman" w:hAnsi="Times New Roman" w:cs="Times New Roman"/>
          <w:sz w:val="32"/>
          <w:szCs w:val="32"/>
        </w:rPr>
      </w:pPr>
    </w:p>
    <w:p w14:paraId="61A31A4F" w14:textId="77777777" w:rsidR="00BC2302" w:rsidRDefault="00BC2302" w:rsidP="00BC2302">
      <w:pPr>
        <w:jc w:val="center"/>
        <w:rPr>
          <w:rFonts w:ascii="Times New Roman" w:hAnsi="Times New Roman" w:cs="Times New Roman"/>
          <w:sz w:val="32"/>
          <w:szCs w:val="32"/>
        </w:rPr>
      </w:pPr>
    </w:p>
    <w:p w14:paraId="26CD02A9" w14:textId="77777777" w:rsidR="004E752D" w:rsidRDefault="004E752D" w:rsidP="00BC2302">
      <w:pPr>
        <w:jc w:val="center"/>
        <w:rPr>
          <w:rFonts w:ascii="Times New Roman" w:hAnsi="Times New Roman" w:cs="Times New Roman"/>
          <w:sz w:val="32"/>
          <w:szCs w:val="32"/>
        </w:rPr>
      </w:pPr>
    </w:p>
    <w:p w14:paraId="715DA29D" w14:textId="77777777" w:rsidR="004E752D" w:rsidRDefault="004E752D" w:rsidP="00BC2302">
      <w:pPr>
        <w:jc w:val="center"/>
        <w:rPr>
          <w:rFonts w:ascii="Times New Roman" w:hAnsi="Times New Roman" w:cs="Times New Roman"/>
          <w:sz w:val="32"/>
          <w:szCs w:val="32"/>
        </w:rPr>
      </w:pPr>
    </w:p>
    <w:p w14:paraId="77F13231" w14:textId="77777777" w:rsidR="002C1F28" w:rsidRDefault="002C1F28" w:rsidP="002C1F28">
      <w:pPr>
        <w:jc w:val="center"/>
        <w:rPr>
          <w:rFonts w:ascii="Times New Roman" w:hAnsi="Times New Roman" w:cs="Times New Roman"/>
          <w:sz w:val="32"/>
          <w:szCs w:val="32"/>
        </w:rPr>
      </w:pPr>
    </w:p>
    <w:p w14:paraId="64D22164" w14:textId="77777777" w:rsidR="002C1F28" w:rsidRDefault="002C1F28" w:rsidP="002C1F28">
      <w:pPr>
        <w:jc w:val="center"/>
        <w:rPr>
          <w:rFonts w:ascii="Times New Roman" w:hAnsi="Times New Roman" w:cs="Times New Roman"/>
          <w:sz w:val="32"/>
          <w:szCs w:val="32"/>
        </w:rPr>
      </w:pPr>
    </w:p>
    <w:p w14:paraId="6C57DF4E" w14:textId="77777777" w:rsidR="002C1F28" w:rsidRDefault="002C1F28" w:rsidP="002C1F28">
      <w:pPr>
        <w:jc w:val="center"/>
        <w:rPr>
          <w:rFonts w:ascii="Times New Roman" w:hAnsi="Times New Roman" w:cs="Times New Roman"/>
          <w:sz w:val="32"/>
          <w:szCs w:val="32"/>
        </w:rPr>
      </w:pPr>
    </w:p>
    <w:p w14:paraId="021E9559" w14:textId="77777777" w:rsidR="002C1F28" w:rsidRDefault="002C1F28" w:rsidP="002C1F28">
      <w:pPr>
        <w:jc w:val="center"/>
        <w:rPr>
          <w:rFonts w:ascii="Times New Roman" w:hAnsi="Times New Roman" w:cs="Times New Roman"/>
          <w:sz w:val="32"/>
          <w:szCs w:val="32"/>
        </w:rPr>
      </w:pPr>
    </w:p>
    <w:p w14:paraId="6A541AEC" w14:textId="77777777" w:rsidR="002C1F28" w:rsidRDefault="002C1F28" w:rsidP="002C1F28">
      <w:pPr>
        <w:jc w:val="center"/>
        <w:rPr>
          <w:rFonts w:ascii="Times New Roman" w:hAnsi="Times New Roman" w:cs="Times New Roman"/>
          <w:sz w:val="32"/>
          <w:szCs w:val="32"/>
        </w:rPr>
      </w:pPr>
    </w:p>
    <w:sdt>
      <w:sdtPr>
        <w:rPr>
          <w:rFonts w:asciiTheme="minorHAnsi" w:eastAsiaTheme="minorHAnsi" w:hAnsiTheme="minorHAnsi" w:cstheme="minorBidi"/>
          <w:b w:val="0"/>
          <w:bCs w:val="0"/>
          <w:color w:val="auto"/>
          <w:kern w:val="2"/>
          <w:sz w:val="24"/>
          <w:szCs w:val="24"/>
          <w:lang w:val="en-GB"/>
          <w14:ligatures w14:val="standardContextual"/>
        </w:rPr>
        <w:id w:val="-1549835245"/>
        <w:docPartObj>
          <w:docPartGallery w:val="Table of Contents"/>
          <w:docPartUnique/>
        </w:docPartObj>
      </w:sdtPr>
      <w:sdtEndPr>
        <w:rPr>
          <w:noProof/>
        </w:rPr>
      </w:sdtEndPr>
      <w:sdtContent>
        <w:p w14:paraId="3799B44B" w14:textId="77777777" w:rsidR="002C1F28" w:rsidRDefault="002C1F28" w:rsidP="002C1F28">
          <w:pPr>
            <w:pStyle w:val="TOCHeading"/>
          </w:pPr>
          <w:r>
            <w:t>Table of Contents</w:t>
          </w:r>
        </w:p>
        <w:p w14:paraId="1EA66296" w14:textId="77777777" w:rsidR="002C1F28" w:rsidRDefault="002C1F28" w:rsidP="002C1F28">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7001292" w:history="1">
            <w:r w:rsidRPr="006F11DB">
              <w:rPr>
                <w:rStyle w:val="Hyperlink"/>
                <w:noProof/>
              </w:rPr>
              <w:t>Task 1: Defining Key Concepts in Practice</w:t>
            </w:r>
            <w:r>
              <w:rPr>
                <w:noProof/>
                <w:webHidden/>
              </w:rPr>
              <w:tab/>
            </w:r>
            <w:r>
              <w:rPr>
                <w:noProof/>
                <w:webHidden/>
              </w:rPr>
              <w:fldChar w:fldCharType="begin"/>
            </w:r>
            <w:r>
              <w:rPr>
                <w:noProof/>
                <w:webHidden/>
              </w:rPr>
              <w:instrText xml:space="preserve"> PAGEREF _Toc227001292 \h </w:instrText>
            </w:r>
            <w:r>
              <w:rPr>
                <w:noProof/>
                <w:webHidden/>
              </w:rPr>
            </w:r>
            <w:r>
              <w:rPr>
                <w:noProof/>
                <w:webHidden/>
              </w:rPr>
              <w:fldChar w:fldCharType="separate"/>
            </w:r>
            <w:r>
              <w:rPr>
                <w:noProof/>
                <w:webHidden/>
              </w:rPr>
              <w:t>2</w:t>
            </w:r>
            <w:r>
              <w:rPr>
                <w:noProof/>
                <w:webHidden/>
              </w:rPr>
              <w:fldChar w:fldCharType="end"/>
            </w:r>
          </w:hyperlink>
        </w:p>
        <w:p w14:paraId="7020D6F3" w14:textId="77777777" w:rsidR="002C1F28" w:rsidRDefault="002C1F28" w:rsidP="002C1F28">
          <w:pPr>
            <w:pStyle w:val="TOC1"/>
            <w:tabs>
              <w:tab w:val="right" w:leader="dot" w:pos="9016"/>
            </w:tabs>
            <w:rPr>
              <w:rFonts w:eastAsiaTheme="minorEastAsia"/>
              <w:b w:val="0"/>
              <w:bCs w:val="0"/>
              <w:i w:val="0"/>
              <w:iCs w:val="0"/>
              <w:noProof/>
              <w:lang w:eastAsia="en-GB"/>
            </w:rPr>
          </w:pPr>
          <w:hyperlink w:anchor="_Toc227001293" w:history="1">
            <w:r w:rsidRPr="006F11DB">
              <w:rPr>
                <w:rStyle w:val="Hyperlink"/>
                <w:noProof/>
              </w:rPr>
              <w:t>Task 2: Mind Map</w:t>
            </w:r>
            <w:r>
              <w:rPr>
                <w:noProof/>
                <w:webHidden/>
              </w:rPr>
              <w:tab/>
            </w:r>
            <w:r>
              <w:rPr>
                <w:noProof/>
                <w:webHidden/>
              </w:rPr>
              <w:fldChar w:fldCharType="begin"/>
            </w:r>
            <w:r>
              <w:rPr>
                <w:noProof/>
                <w:webHidden/>
              </w:rPr>
              <w:instrText xml:space="preserve"> PAGEREF _Toc227001293 \h </w:instrText>
            </w:r>
            <w:r>
              <w:rPr>
                <w:noProof/>
                <w:webHidden/>
              </w:rPr>
            </w:r>
            <w:r>
              <w:rPr>
                <w:noProof/>
                <w:webHidden/>
              </w:rPr>
              <w:fldChar w:fldCharType="separate"/>
            </w:r>
            <w:r>
              <w:rPr>
                <w:noProof/>
                <w:webHidden/>
              </w:rPr>
              <w:t>3</w:t>
            </w:r>
            <w:r>
              <w:rPr>
                <w:noProof/>
                <w:webHidden/>
              </w:rPr>
              <w:fldChar w:fldCharType="end"/>
            </w:r>
          </w:hyperlink>
        </w:p>
        <w:p w14:paraId="36E32CE7" w14:textId="77777777" w:rsidR="002C1F28" w:rsidRDefault="002C1F28" w:rsidP="002C1F28">
          <w:pPr>
            <w:pStyle w:val="TOC1"/>
            <w:tabs>
              <w:tab w:val="right" w:leader="dot" w:pos="9016"/>
            </w:tabs>
            <w:rPr>
              <w:rFonts w:eastAsiaTheme="minorEastAsia"/>
              <w:b w:val="0"/>
              <w:bCs w:val="0"/>
              <w:i w:val="0"/>
              <w:iCs w:val="0"/>
              <w:noProof/>
              <w:lang w:eastAsia="en-GB"/>
            </w:rPr>
          </w:pPr>
          <w:hyperlink w:anchor="_Toc227001294" w:history="1">
            <w:r w:rsidRPr="006F11DB">
              <w:rPr>
                <w:rStyle w:val="Hyperlink"/>
                <w:noProof/>
              </w:rPr>
              <w:t>Task 3: Self-Reflection of Group Activity</w:t>
            </w:r>
            <w:r>
              <w:rPr>
                <w:noProof/>
                <w:webHidden/>
              </w:rPr>
              <w:tab/>
            </w:r>
            <w:r>
              <w:rPr>
                <w:noProof/>
                <w:webHidden/>
              </w:rPr>
              <w:fldChar w:fldCharType="begin"/>
            </w:r>
            <w:r>
              <w:rPr>
                <w:noProof/>
                <w:webHidden/>
              </w:rPr>
              <w:instrText xml:space="preserve"> PAGEREF _Toc227001294 \h </w:instrText>
            </w:r>
            <w:r>
              <w:rPr>
                <w:noProof/>
                <w:webHidden/>
              </w:rPr>
            </w:r>
            <w:r>
              <w:rPr>
                <w:noProof/>
                <w:webHidden/>
              </w:rPr>
              <w:fldChar w:fldCharType="separate"/>
            </w:r>
            <w:r>
              <w:rPr>
                <w:noProof/>
                <w:webHidden/>
              </w:rPr>
              <w:t>4</w:t>
            </w:r>
            <w:r>
              <w:rPr>
                <w:noProof/>
                <w:webHidden/>
              </w:rPr>
              <w:fldChar w:fldCharType="end"/>
            </w:r>
          </w:hyperlink>
        </w:p>
        <w:p w14:paraId="443E60BA" w14:textId="77777777" w:rsidR="002C1F28" w:rsidRDefault="002C1F28" w:rsidP="002C1F28">
          <w:pPr>
            <w:pStyle w:val="TOC1"/>
            <w:tabs>
              <w:tab w:val="right" w:leader="dot" w:pos="9016"/>
            </w:tabs>
            <w:rPr>
              <w:rFonts w:eastAsiaTheme="minorEastAsia"/>
              <w:b w:val="0"/>
              <w:bCs w:val="0"/>
              <w:i w:val="0"/>
              <w:iCs w:val="0"/>
              <w:noProof/>
              <w:lang w:eastAsia="en-GB"/>
            </w:rPr>
          </w:pPr>
          <w:hyperlink w:anchor="_Toc227001295" w:history="1">
            <w:r w:rsidRPr="006F11DB">
              <w:rPr>
                <w:rStyle w:val="Hyperlink"/>
                <w:noProof/>
              </w:rPr>
              <w:t>Task 4: Case Study Analysis of a UK Innovation</w:t>
            </w:r>
            <w:r>
              <w:rPr>
                <w:noProof/>
                <w:webHidden/>
              </w:rPr>
              <w:tab/>
            </w:r>
            <w:r>
              <w:rPr>
                <w:noProof/>
                <w:webHidden/>
              </w:rPr>
              <w:fldChar w:fldCharType="begin"/>
            </w:r>
            <w:r>
              <w:rPr>
                <w:noProof/>
                <w:webHidden/>
              </w:rPr>
              <w:instrText xml:space="preserve"> PAGEREF _Toc227001295 \h </w:instrText>
            </w:r>
            <w:r>
              <w:rPr>
                <w:noProof/>
                <w:webHidden/>
              </w:rPr>
            </w:r>
            <w:r>
              <w:rPr>
                <w:noProof/>
                <w:webHidden/>
              </w:rPr>
              <w:fldChar w:fldCharType="separate"/>
            </w:r>
            <w:r>
              <w:rPr>
                <w:noProof/>
                <w:webHidden/>
              </w:rPr>
              <w:t>5</w:t>
            </w:r>
            <w:r>
              <w:rPr>
                <w:noProof/>
                <w:webHidden/>
              </w:rPr>
              <w:fldChar w:fldCharType="end"/>
            </w:r>
          </w:hyperlink>
        </w:p>
        <w:p w14:paraId="28118C00" w14:textId="77777777" w:rsidR="002C1F28" w:rsidRDefault="002C1F28" w:rsidP="002C1F28">
          <w:pPr>
            <w:pStyle w:val="TOC1"/>
            <w:tabs>
              <w:tab w:val="right" w:leader="dot" w:pos="9016"/>
            </w:tabs>
            <w:rPr>
              <w:rFonts w:eastAsiaTheme="minorEastAsia"/>
              <w:b w:val="0"/>
              <w:bCs w:val="0"/>
              <w:i w:val="0"/>
              <w:iCs w:val="0"/>
              <w:noProof/>
              <w:lang w:eastAsia="en-GB"/>
            </w:rPr>
          </w:pPr>
          <w:hyperlink w:anchor="_Toc227001296" w:history="1">
            <w:r w:rsidRPr="006F11DB">
              <w:rPr>
                <w:rStyle w:val="Hyperlink"/>
                <w:noProof/>
              </w:rPr>
              <w:t>Task 5: Research Task</w:t>
            </w:r>
            <w:r>
              <w:rPr>
                <w:noProof/>
                <w:webHidden/>
              </w:rPr>
              <w:tab/>
            </w:r>
            <w:r>
              <w:rPr>
                <w:noProof/>
                <w:webHidden/>
              </w:rPr>
              <w:fldChar w:fldCharType="begin"/>
            </w:r>
            <w:r>
              <w:rPr>
                <w:noProof/>
                <w:webHidden/>
              </w:rPr>
              <w:instrText xml:space="preserve"> PAGEREF _Toc227001296 \h </w:instrText>
            </w:r>
            <w:r>
              <w:rPr>
                <w:noProof/>
                <w:webHidden/>
              </w:rPr>
            </w:r>
            <w:r>
              <w:rPr>
                <w:noProof/>
                <w:webHidden/>
              </w:rPr>
              <w:fldChar w:fldCharType="separate"/>
            </w:r>
            <w:r>
              <w:rPr>
                <w:noProof/>
                <w:webHidden/>
              </w:rPr>
              <w:t>5</w:t>
            </w:r>
            <w:r>
              <w:rPr>
                <w:noProof/>
                <w:webHidden/>
              </w:rPr>
              <w:fldChar w:fldCharType="end"/>
            </w:r>
          </w:hyperlink>
        </w:p>
        <w:p w14:paraId="443499F7" w14:textId="77777777" w:rsidR="002C1F28" w:rsidRDefault="002C1F28" w:rsidP="002C1F28">
          <w:pPr>
            <w:pStyle w:val="TOC1"/>
            <w:tabs>
              <w:tab w:val="right" w:leader="dot" w:pos="9016"/>
            </w:tabs>
            <w:rPr>
              <w:rFonts w:eastAsiaTheme="minorEastAsia"/>
              <w:b w:val="0"/>
              <w:bCs w:val="0"/>
              <w:i w:val="0"/>
              <w:iCs w:val="0"/>
              <w:noProof/>
              <w:lang w:eastAsia="en-GB"/>
            </w:rPr>
          </w:pPr>
          <w:hyperlink w:anchor="_Toc227001297" w:history="1">
            <w:r w:rsidRPr="006F11DB">
              <w:rPr>
                <w:rStyle w:val="Hyperlink"/>
                <w:noProof/>
              </w:rPr>
              <w:t>Task 6: Digital Innovation in Health and Social Care</w:t>
            </w:r>
            <w:r>
              <w:rPr>
                <w:noProof/>
                <w:webHidden/>
              </w:rPr>
              <w:tab/>
            </w:r>
            <w:r>
              <w:rPr>
                <w:noProof/>
                <w:webHidden/>
              </w:rPr>
              <w:fldChar w:fldCharType="begin"/>
            </w:r>
            <w:r>
              <w:rPr>
                <w:noProof/>
                <w:webHidden/>
              </w:rPr>
              <w:instrText xml:space="preserve"> PAGEREF _Toc227001297 \h </w:instrText>
            </w:r>
            <w:r>
              <w:rPr>
                <w:noProof/>
                <w:webHidden/>
              </w:rPr>
            </w:r>
            <w:r>
              <w:rPr>
                <w:noProof/>
                <w:webHidden/>
              </w:rPr>
              <w:fldChar w:fldCharType="separate"/>
            </w:r>
            <w:r>
              <w:rPr>
                <w:noProof/>
                <w:webHidden/>
              </w:rPr>
              <w:t>6</w:t>
            </w:r>
            <w:r>
              <w:rPr>
                <w:noProof/>
                <w:webHidden/>
              </w:rPr>
              <w:fldChar w:fldCharType="end"/>
            </w:r>
          </w:hyperlink>
        </w:p>
        <w:p w14:paraId="31037AE3" w14:textId="77777777" w:rsidR="002C1F28" w:rsidRDefault="002C1F28" w:rsidP="002C1F28">
          <w:pPr>
            <w:pStyle w:val="TOC2"/>
            <w:tabs>
              <w:tab w:val="right" w:leader="dot" w:pos="9016"/>
            </w:tabs>
            <w:rPr>
              <w:rFonts w:eastAsiaTheme="minorEastAsia"/>
              <w:b w:val="0"/>
              <w:bCs w:val="0"/>
              <w:noProof/>
              <w:sz w:val="24"/>
              <w:szCs w:val="24"/>
              <w:lang w:eastAsia="en-GB"/>
            </w:rPr>
          </w:pPr>
          <w:hyperlink w:anchor="_Toc227001298" w:history="1">
            <w:r w:rsidRPr="006F11DB">
              <w:rPr>
                <w:rStyle w:val="Hyperlink"/>
                <w:noProof/>
              </w:rPr>
              <w:t>Benefit of Wearable Health Technologies</w:t>
            </w:r>
            <w:r>
              <w:rPr>
                <w:noProof/>
                <w:webHidden/>
              </w:rPr>
              <w:tab/>
            </w:r>
            <w:r>
              <w:rPr>
                <w:noProof/>
                <w:webHidden/>
              </w:rPr>
              <w:fldChar w:fldCharType="begin"/>
            </w:r>
            <w:r>
              <w:rPr>
                <w:noProof/>
                <w:webHidden/>
              </w:rPr>
              <w:instrText xml:space="preserve"> PAGEREF _Toc227001298 \h </w:instrText>
            </w:r>
            <w:r>
              <w:rPr>
                <w:noProof/>
                <w:webHidden/>
              </w:rPr>
            </w:r>
            <w:r>
              <w:rPr>
                <w:noProof/>
                <w:webHidden/>
              </w:rPr>
              <w:fldChar w:fldCharType="separate"/>
            </w:r>
            <w:r>
              <w:rPr>
                <w:noProof/>
                <w:webHidden/>
              </w:rPr>
              <w:t>6</w:t>
            </w:r>
            <w:r>
              <w:rPr>
                <w:noProof/>
                <w:webHidden/>
              </w:rPr>
              <w:fldChar w:fldCharType="end"/>
            </w:r>
          </w:hyperlink>
        </w:p>
        <w:p w14:paraId="6D8E2E5A" w14:textId="77777777" w:rsidR="002C1F28" w:rsidRDefault="002C1F28" w:rsidP="002C1F28">
          <w:pPr>
            <w:pStyle w:val="TOC2"/>
            <w:tabs>
              <w:tab w:val="right" w:leader="dot" w:pos="9016"/>
            </w:tabs>
            <w:rPr>
              <w:rFonts w:eastAsiaTheme="minorEastAsia"/>
              <w:b w:val="0"/>
              <w:bCs w:val="0"/>
              <w:noProof/>
              <w:sz w:val="24"/>
              <w:szCs w:val="24"/>
              <w:lang w:eastAsia="en-GB"/>
            </w:rPr>
          </w:pPr>
          <w:hyperlink w:anchor="_Toc227001299" w:history="1">
            <w:r w:rsidRPr="006F11DB">
              <w:rPr>
                <w:rStyle w:val="Hyperlink"/>
                <w:noProof/>
              </w:rPr>
              <w:t>Electronic Health Records (EHRs) and Communication</w:t>
            </w:r>
            <w:r>
              <w:rPr>
                <w:noProof/>
                <w:webHidden/>
              </w:rPr>
              <w:tab/>
            </w:r>
            <w:r>
              <w:rPr>
                <w:noProof/>
                <w:webHidden/>
              </w:rPr>
              <w:fldChar w:fldCharType="begin"/>
            </w:r>
            <w:r>
              <w:rPr>
                <w:noProof/>
                <w:webHidden/>
              </w:rPr>
              <w:instrText xml:space="preserve"> PAGEREF _Toc227001299 \h </w:instrText>
            </w:r>
            <w:r>
              <w:rPr>
                <w:noProof/>
                <w:webHidden/>
              </w:rPr>
            </w:r>
            <w:r>
              <w:rPr>
                <w:noProof/>
                <w:webHidden/>
              </w:rPr>
              <w:fldChar w:fldCharType="separate"/>
            </w:r>
            <w:r>
              <w:rPr>
                <w:noProof/>
                <w:webHidden/>
              </w:rPr>
              <w:t>7</w:t>
            </w:r>
            <w:r>
              <w:rPr>
                <w:noProof/>
                <w:webHidden/>
              </w:rPr>
              <w:fldChar w:fldCharType="end"/>
            </w:r>
          </w:hyperlink>
        </w:p>
        <w:p w14:paraId="02953560" w14:textId="77777777" w:rsidR="002C1F28" w:rsidRDefault="002C1F28" w:rsidP="002C1F28">
          <w:pPr>
            <w:pStyle w:val="TOC2"/>
            <w:tabs>
              <w:tab w:val="right" w:leader="dot" w:pos="9016"/>
            </w:tabs>
            <w:rPr>
              <w:rFonts w:eastAsiaTheme="minorEastAsia"/>
              <w:b w:val="0"/>
              <w:bCs w:val="0"/>
              <w:noProof/>
              <w:sz w:val="24"/>
              <w:szCs w:val="24"/>
              <w:lang w:eastAsia="en-GB"/>
            </w:rPr>
          </w:pPr>
          <w:hyperlink w:anchor="_Toc227001300" w:history="1">
            <w:r w:rsidRPr="006F11DB">
              <w:rPr>
                <w:rStyle w:val="Hyperlink"/>
                <w:noProof/>
              </w:rPr>
              <w:t>Digital Technology Supporting Preventative Care</w:t>
            </w:r>
            <w:r>
              <w:rPr>
                <w:noProof/>
                <w:webHidden/>
              </w:rPr>
              <w:tab/>
            </w:r>
            <w:r>
              <w:rPr>
                <w:noProof/>
                <w:webHidden/>
              </w:rPr>
              <w:fldChar w:fldCharType="begin"/>
            </w:r>
            <w:r>
              <w:rPr>
                <w:noProof/>
                <w:webHidden/>
              </w:rPr>
              <w:instrText xml:space="preserve"> PAGEREF _Toc227001300 \h </w:instrText>
            </w:r>
            <w:r>
              <w:rPr>
                <w:noProof/>
                <w:webHidden/>
              </w:rPr>
            </w:r>
            <w:r>
              <w:rPr>
                <w:noProof/>
                <w:webHidden/>
              </w:rPr>
              <w:fldChar w:fldCharType="separate"/>
            </w:r>
            <w:r>
              <w:rPr>
                <w:noProof/>
                <w:webHidden/>
              </w:rPr>
              <w:t>7</w:t>
            </w:r>
            <w:r>
              <w:rPr>
                <w:noProof/>
                <w:webHidden/>
              </w:rPr>
              <w:fldChar w:fldCharType="end"/>
            </w:r>
          </w:hyperlink>
        </w:p>
        <w:p w14:paraId="312D4EF6" w14:textId="77777777" w:rsidR="002C1F28" w:rsidRDefault="002C1F28" w:rsidP="002C1F28">
          <w:pPr>
            <w:pStyle w:val="TOC1"/>
            <w:tabs>
              <w:tab w:val="right" w:leader="dot" w:pos="9016"/>
            </w:tabs>
            <w:rPr>
              <w:rFonts w:eastAsiaTheme="minorEastAsia"/>
              <w:b w:val="0"/>
              <w:bCs w:val="0"/>
              <w:i w:val="0"/>
              <w:iCs w:val="0"/>
              <w:noProof/>
              <w:lang w:eastAsia="en-GB"/>
            </w:rPr>
          </w:pPr>
          <w:hyperlink w:anchor="_Toc227001301" w:history="1">
            <w:r w:rsidRPr="006F11DB">
              <w:rPr>
                <w:rStyle w:val="Hyperlink"/>
                <w:noProof/>
              </w:rPr>
              <w:t>Task 7: Understanding the NHS Leadership Framework</w:t>
            </w:r>
            <w:r>
              <w:rPr>
                <w:noProof/>
                <w:webHidden/>
              </w:rPr>
              <w:tab/>
            </w:r>
            <w:r>
              <w:rPr>
                <w:noProof/>
                <w:webHidden/>
              </w:rPr>
              <w:fldChar w:fldCharType="begin"/>
            </w:r>
            <w:r>
              <w:rPr>
                <w:noProof/>
                <w:webHidden/>
              </w:rPr>
              <w:instrText xml:space="preserve"> PAGEREF _Toc227001301 \h </w:instrText>
            </w:r>
            <w:r>
              <w:rPr>
                <w:noProof/>
                <w:webHidden/>
              </w:rPr>
            </w:r>
            <w:r>
              <w:rPr>
                <w:noProof/>
                <w:webHidden/>
              </w:rPr>
              <w:fldChar w:fldCharType="separate"/>
            </w:r>
            <w:r>
              <w:rPr>
                <w:noProof/>
                <w:webHidden/>
              </w:rPr>
              <w:t>8</w:t>
            </w:r>
            <w:r>
              <w:rPr>
                <w:noProof/>
                <w:webHidden/>
              </w:rPr>
              <w:fldChar w:fldCharType="end"/>
            </w:r>
          </w:hyperlink>
        </w:p>
        <w:p w14:paraId="323AF7DB" w14:textId="77777777" w:rsidR="002C1F28" w:rsidRDefault="002C1F28" w:rsidP="002C1F28">
          <w:pPr>
            <w:pStyle w:val="TOC2"/>
            <w:tabs>
              <w:tab w:val="right" w:leader="dot" w:pos="9016"/>
            </w:tabs>
            <w:rPr>
              <w:rFonts w:eastAsiaTheme="minorEastAsia"/>
              <w:b w:val="0"/>
              <w:bCs w:val="0"/>
              <w:noProof/>
              <w:sz w:val="24"/>
              <w:szCs w:val="24"/>
              <w:lang w:eastAsia="en-GB"/>
            </w:rPr>
          </w:pPr>
          <w:hyperlink w:anchor="_Toc227001302" w:history="1">
            <w:r w:rsidRPr="006F11DB">
              <w:rPr>
                <w:rStyle w:val="Hyperlink"/>
                <w:noProof/>
              </w:rPr>
              <w:t>Summary of the NHS Leadership Framework</w:t>
            </w:r>
            <w:r>
              <w:rPr>
                <w:noProof/>
                <w:webHidden/>
              </w:rPr>
              <w:tab/>
            </w:r>
            <w:r>
              <w:rPr>
                <w:noProof/>
                <w:webHidden/>
              </w:rPr>
              <w:fldChar w:fldCharType="begin"/>
            </w:r>
            <w:r>
              <w:rPr>
                <w:noProof/>
                <w:webHidden/>
              </w:rPr>
              <w:instrText xml:space="preserve"> PAGEREF _Toc227001302 \h </w:instrText>
            </w:r>
            <w:r>
              <w:rPr>
                <w:noProof/>
                <w:webHidden/>
              </w:rPr>
            </w:r>
            <w:r>
              <w:rPr>
                <w:noProof/>
                <w:webHidden/>
              </w:rPr>
              <w:fldChar w:fldCharType="separate"/>
            </w:r>
            <w:r>
              <w:rPr>
                <w:noProof/>
                <w:webHidden/>
              </w:rPr>
              <w:t>8</w:t>
            </w:r>
            <w:r>
              <w:rPr>
                <w:noProof/>
                <w:webHidden/>
              </w:rPr>
              <w:fldChar w:fldCharType="end"/>
            </w:r>
          </w:hyperlink>
        </w:p>
        <w:p w14:paraId="1B4357CA" w14:textId="77777777" w:rsidR="002C1F28" w:rsidRDefault="002C1F28" w:rsidP="002C1F28">
          <w:pPr>
            <w:pStyle w:val="TOC2"/>
            <w:tabs>
              <w:tab w:val="right" w:leader="dot" w:pos="9016"/>
            </w:tabs>
            <w:rPr>
              <w:rFonts w:eastAsiaTheme="minorEastAsia"/>
              <w:b w:val="0"/>
              <w:bCs w:val="0"/>
              <w:noProof/>
              <w:sz w:val="24"/>
              <w:szCs w:val="24"/>
              <w:lang w:eastAsia="en-GB"/>
            </w:rPr>
          </w:pPr>
          <w:hyperlink w:anchor="_Toc227001303" w:history="1">
            <w:r w:rsidRPr="006F11DB">
              <w:rPr>
                <w:rStyle w:val="Hyperlink"/>
                <w:noProof/>
              </w:rPr>
              <w:t>Inspiring Shared Purpose</w:t>
            </w:r>
            <w:r>
              <w:rPr>
                <w:noProof/>
                <w:webHidden/>
              </w:rPr>
              <w:tab/>
            </w:r>
            <w:r>
              <w:rPr>
                <w:noProof/>
                <w:webHidden/>
              </w:rPr>
              <w:fldChar w:fldCharType="begin"/>
            </w:r>
            <w:r>
              <w:rPr>
                <w:noProof/>
                <w:webHidden/>
              </w:rPr>
              <w:instrText xml:space="preserve"> PAGEREF _Toc227001303 \h </w:instrText>
            </w:r>
            <w:r>
              <w:rPr>
                <w:noProof/>
                <w:webHidden/>
              </w:rPr>
            </w:r>
            <w:r>
              <w:rPr>
                <w:noProof/>
                <w:webHidden/>
              </w:rPr>
              <w:fldChar w:fldCharType="separate"/>
            </w:r>
            <w:r>
              <w:rPr>
                <w:noProof/>
                <w:webHidden/>
              </w:rPr>
              <w:t>8</w:t>
            </w:r>
            <w:r>
              <w:rPr>
                <w:noProof/>
                <w:webHidden/>
              </w:rPr>
              <w:fldChar w:fldCharType="end"/>
            </w:r>
          </w:hyperlink>
        </w:p>
        <w:p w14:paraId="018BA1F3" w14:textId="77777777" w:rsidR="002C1F28" w:rsidRDefault="002C1F28" w:rsidP="002C1F28">
          <w:pPr>
            <w:pStyle w:val="TOC1"/>
            <w:tabs>
              <w:tab w:val="right" w:leader="dot" w:pos="9016"/>
            </w:tabs>
            <w:rPr>
              <w:rFonts w:eastAsiaTheme="minorEastAsia"/>
              <w:b w:val="0"/>
              <w:bCs w:val="0"/>
              <w:i w:val="0"/>
              <w:iCs w:val="0"/>
              <w:noProof/>
              <w:lang w:eastAsia="en-GB"/>
            </w:rPr>
          </w:pPr>
          <w:hyperlink w:anchor="_Toc227001304" w:history="1">
            <w:r w:rsidRPr="006F11DB">
              <w:rPr>
                <w:rStyle w:val="Hyperlink"/>
                <w:noProof/>
              </w:rPr>
              <w:t>Task 8: Self-Reflective Journal Entry</w:t>
            </w:r>
            <w:r>
              <w:rPr>
                <w:noProof/>
                <w:webHidden/>
              </w:rPr>
              <w:tab/>
            </w:r>
            <w:r>
              <w:rPr>
                <w:noProof/>
                <w:webHidden/>
              </w:rPr>
              <w:fldChar w:fldCharType="begin"/>
            </w:r>
            <w:r>
              <w:rPr>
                <w:noProof/>
                <w:webHidden/>
              </w:rPr>
              <w:instrText xml:space="preserve"> PAGEREF _Toc227001304 \h </w:instrText>
            </w:r>
            <w:r>
              <w:rPr>
                <w:noProof/>
                <w:webHidden/>
              </w:rPr>
            </w:r>
            <w:r>
              <w:rPr>
                <w:noProof/>
                <w:webHidden/>
              </w:rPr>
              <w:fldChar w:fldCharType="separate"/>
            </w:r>
            <w:r>
              <w:rPr>
                <w:noProof/>
                <w:webHidden/>
              </w:rPr>
              <w:t>8</w:t>
            </w:r>
            <w:r>
              <w:rPr>
                <w:noProof/>
                <w:webHidden/>
              </w:rPr>
              <w:fldChar w:fldCharType="end"/>
            </w:r>
          </w:hyperlink>
        </w:p>
        <w:p w14:paraId="64D09847" w14:textId="77777777" w:rsidR="002C1F28" w:rsidRDefault="002C1F28" w:rsidP="002C1F28">
          <w:pPr>
            <w:pStyle w:val="TOC1"/>
            <w:tabs>
              <w:tab w:val="right" w:leader="dot" w:pos="9016"/>
            </w:tabs>
            <w:rPr>
              <w:rFonts w:eastAsiaTheme="minorEastAsia"/>
              <w:b w:val="0"/>
              <w:bCs w:val="0"/>
              <w:i w:val="0"/>
              <w:iCs w:val="0"/>
              <w:noProof/>
              <w:lang w:eastAsia="en-GB"/>
            </w:rPr>
          </w:pPr>
          <w:hyperlink w:anchor="_Toc227001305" w:history="1">
            <w:r w:rsidRPr="006F11DB">
              <w:rPr>
                <w:rStyle w:val="Hyperlink"/>
                <w:noProof/>
              </w:rPr>
              <w:t>Evidence</w:t>
            </w:r>
            <w:r>
              <w:rPr>
                <w:noProof/>
                <w:webHidden/>
              </w:rPr>
              <w:tab/>
            </w:r>
            <w:r>
              <w:rPr>
                <w:noProof/>
                <w:webHidden/>
              </w:rPr>
              <w:fldChar w:fldCharType="begin"/>
            </w:r>
            <w:r>
              <w:rPr>
                <w:noProof/>
                <w:webHidden/>
              </w:rPr>
              <w:instrText xml:space="preserve"> PAGEREF _Toc227001305 \h </w:instrText>
            </w:r>
            <w:r>
              <w:rPr>
                <w:noProof/>
                <w:webHidden/>
              </w:rPr>
            </w:r>
            <w:r>
              <w:rPr>
                <w:noProof/>
                <w:webHidden/>
              </w:rPr>
              <w:fldChar w:fldCharType="separate"/>
            </w:r>
            <w:r>
              <w:rPr>
                <w:noProof/>
                <w:webHidden/>
              </w:rPr>
              <w:t>9</w:t>
            </w:r>
            <w:r>
              <w:rPr>
                <w:noProof/>
                <w:webHidden/>
              </w:rPr>
              <w:fldChar w:fldCharType="end"/>
            </w:r>
          </w:hyperlink>
        </w:p>
        <w:p w14:paraId="316ED40E" w14:textId="77777777" w:rsidR="002C1F28" w:rsidRDefault="002C1F28" w:rsidP="002C1F28">
          <w:pPr>
            <w:pStyle w:val="TOC1"/>
            <w:tabs>
              <w:tab w:val="right" w:leader="dot" w:pos="9016"/>
            </w:tabs>
            <w:rPr>
              <w:rFonts w:eastAsiaTheme="minorEastAsia"/>
              <w:b w:val="0"/>
              <w:bCs w:val="0"/>
              <w:i w:val="0"/>
              <w:iCs w:val="0"/>
              <w:noProof/>
              <w:lang w:eastAsia="en-GB"/>
            </w:rPr>
          </w:pPr>
          <w:hyperlink w:anchor="_Toc227001306" w:history="1">
            <w:r w:rsidRPr="006F11DB">
              <w:rPr>
                <w:rStyle w:val="Hyperlink"/>
                <w:noProof/>
              </w:rPr>
              <w:t>References</w:t>
            </w:r>
            <w:r>
              <w:rPr>
                <w:noProof/>
                <w:webHidden/>
              </w:rPr>
              <w:tab/>
            </w:r>
            <w:r>
              <w:rPr>
                <w:noProof/>
                <w:webHidden/>
              </w:rPr>
              <w:fldChar w:fldCharType="begin"/>
            </w:r>
            <w:r>
              <w:rPr>
                <w:noProof/>
                <w:webHidden/>
              </w:rPr>
              <w:instrText xml:space="preserve"> PAGEREF _Toc227001306 \h </w:instrText>
            </w:r>
            <w:r>
              <w:rPr>
                <w:noProof/>
                <w:webHidden/>
              </w:rPr>
            </w:r>
            <w:r>
              <w:rPr>
                <w:noProof/>
                <w:webHidden/>
              </w:rPr>
              <w:fldChar w:fldCharType="separate"/>
            </w:r>
            <w:r>
              <w:rPr>
                <w:noProof/>
                <w:webHidden/>
              </w:rPr>
              <w:t>12</w:t>
            </w:r>
            <w:r>
              <w:rPr>
                <w:noProof/>
                <w:webHidden/>
              </w:rPr>
              <w:fldChar w:fldCharType="end"/>
            </w:r>
          </w:hyperlink>
        </w:p>
        <w:p w14:paraId="7B1F80CD" w14:textId="03C9F07C" w:rsidR="002C1F28" w:rsidRDefault="002C1F28" w:rsidP="002C1F28">
          <w:pPr>
            <w:jc w:val="center"/>
            <w:rPr>
              <w:rFonts w:ascii="Times New Roman" w:hAnsi="Times New Roman" w:cs="Times New Roman"/>
              <w:sz w:val="32"/>
              <w:szCs w:val="32"/>
            </w:rPr>
          </w:pPr>
          <w:r>
            <w:rPr>
              <w:b/>
              <w:bCs/>
              <w:noProof/>
            </w:rPr>
            <w:fldChar w:fldCharType="end"/>
          </w:r>
        </w:p>
      </w:sdtContent>
    </w:sdt>
    <w:p w14:paraId="631BE2FF" w14:textId="3BE53FEC" w:rsidR="004E752D" w:rsidRDefault="004E752D" w:rsidP="002C1F28">
      <w:pPr>
        <w:jc w:val="center"/>
        <w:rPr>
          <w:rFonts w:ascii="Times New Roman" w:hAnsi="Times New Roman" w:cs="Times New Roman"/>
          <w:sz w:val="32"/>
          <w:szCs w:val="32"/>
        </w:rPr>
      </w:pPr>
    </w:p>
    <w:p w14:paraId="2AA4427B" w14:textId="5ECE6F1A" w:rsidR="00826090" w:rsidRDefault="00826090" w:rsidP="00826090">
      <w:pPr>
        <w:pStyle w:val="Heading1"/>
        <w:spacing w:line="360" w:lineRule="auto"/>
      </w:pPr>
      <w:bookmarkStart w:id="0" w:name="_Toc227001292"/>
      <w:r>
        <w:lastRenderedPageBreak/>
        <w:t>Task 1: Defining Key Concepts in Practice</w:t>
      </w:r>
      <w:bookmarkEnd w:id="0"/>
    </w:p>
    <w:p w14:paraId="7A97327C" w14:textId="77777777" w:rsidR="00826090" w:rsidRDefault="00826090" w:rsidP="00826090">
      <w:pPr>
        <w:spacing w:line="360" w:lineRule="auto"/>
        <w:rPr>
          <w:rFonts w:ascii="Arial" w:hAnsi="Arial" w:cs="Arial"/>
        </w:rPr>
      </w:pPr>
      <w:r w:rsidRPr="00AC14B2">
        <w:rPr>
          <w:rFonts w:ascii="Arial" w:hAnsi="Arial" w:cs="Arial"/>
        </w:rPr>
        <w:t xml:space="preserve">Innovation refers to the presentation of new ideas, processes or technologies that enhance services and outcomes. Innovation in healthcare improves patient care, treatment, and digital technology to assist patients. The Diffusion of Innovation </w:t>
      </w:r>
      <w:r>
        <w:rPr>
          <w:rFonts w:ascii="Arial" w:hAnsi="Arial" w:cs="Arial"/>
        </w:rPr>
        <w:t>Theory,</w:t>
      </w:r>
      <w:r w:rsidRPr="00AC14B2">
        <w:rPr>
          <w:rFonts w:ascii="Arial" w:hAnsi="Arial" w:cs="Arial"/>
        </w:rPr>
        <w:t xml:space="preserve"> proposed by Rogers </w:t>
      </w:r>
      <w:r>
        <w:rPr>
          <w:rFonts w:ascii="Arial" w:hAnsi="Arial" w:cs="Arial"/>
        </w:rPr>
        <w:t>(2003),</w:t>
      </w:r>
      <w:r w:rsidRPr="00AC14B2">
        <w:rPr>
          <w:rFonts w:ascii="Arial" w:hAnsi="Arial" w:cs="Arial"/>
        </w:rPr>
        <w:t xml:space="preserve"> describes the process of the spread of innovation when people accept new ideas over time depending on their usefulness and convenience. The reason why innovation is essential in health and social care is that it leads to increased efficiency, addressing evolving patient needs and the quality of care. As an illustration, electronic health records have enhanced practitioner-practitioner communication and minimised medication errors, enhancing safer and patient-centred care (</w:t>
      </w:r>
      <w:proofErr w:type="spellStart"/>
      <w:r w:rsidRPr="00AC14B2">
        <w:rPr>
          <w:rFonts w:ascii="Arial" w:hAnsi="Arial" w:cs="Arial"/>
        </w:rPr>
        <w:t>Flessa</w:t>
      </w:r>
      <w:proofErr w:type="spellEnd"/>
      <w:r w:rsidRPr="00AC14B2">
        <w:rPr>
          <w:rFonts w:ascii="Arial" w:hAnsi="Arial" w:cs="Arial"/>
        </w:rPr>
        <w:t xml:space="preserve"> and Huebner, 2021).</w:t>
      </w:r>
    </w:p>
    <w:p w14:paraId="1578BC08" w14:textId="77777777" w:rsidR="00826090" w:rsidRDefault="00826090" w:rsidP="00826090">
      <w:pPr>
        <w:spacing w:line="360" w:lineRule="auto"/>
        <w:rPr>
          <w:rFonts w:ascii="Arial" w:hAnsi="Arial" w:cs="Arial"/>
        </w:rPr>
      </w:pPr>
      <w:r w:rsidRPr="00AC14B2">
        <w:rPr>
          <w:rFonts w:ascii="Arial" w:hAnsi="Arial" w:cs="Arial"/>
        </w:rPr>
        <w:t xml:space="preserve">Creativity is </w:t>
      </w:r>
      <w:r>
        <w:rPr>
          <w:rFonts w:ascii="Arial" w:hAnsi="Arial" w:cs="Arial"/>
        </w:rPr>
        <w:t>the capability</w:t>
      </w:r>
      <w:r w:rsidRPr="00AC14B2">
        <w:rPr>
          <w:rFonts w:ascii="Arial" w:hAnsi="Arial" w:cs="Arial"/>
        </w:rPr>
        <w:t xml:space="preserve"> to generate original and useful ideas to solve problems or enhance practice. According to the Componential Theory of Creativity developed by Amabile (1996), creativity relies on expertise, skills of thinking and motivation. Health and social care </w:t>
      </w:r>
      <w:r>
        <w:rPr>
          <w:rFonts w:ascii="Arial" w:hAnsi="Arial" w:cs="Arial"/>
        </w:rPr>
        <w:t>need</w:t>
      </w:r>
      <w:r w:rsidRPr="00AC14B2">
        <w:rPr>
          <w:rFonts w:ascii="Arial" w:hAnsi="Arial" w:cs="Arial"/>
        </w:rPr>
        <w:t xml:space="preserve"> creativity due to the complexity and unpredictability of </w:t>
      </w:r>
      <w:r>
        <w:rPr>
          <w:rFonts w:ascii="Arial" w:hAnsi="Arial" w:cs="Arial"/>
        </w:rPr>
        <w:t>situations</w:t>
      </w:r>
      <w:r w:rsidRPr="00AC14B2">
        <w:rPr>
          <w:rFonts w:ascii="Arial" w:hAnsi="Arial" w:cs="Arial"/>
        </w:rPr>
        <w:t xml:space="preserve"> professionals may have to deal with</w:t>
      </w:r>
      <w:r>
        <w:rPr>
          <w:rFonts w:ascii="Arial" w:hAnsi="Arial" w:cs="Arial"/>
        </w:rPr>
        <w:t>,</w:t>
      </w:r>
      <w:r w:rsidRPr="00AC14B2">
        <w:rPr>
          <w:rFonts w:ascii="Arial" w:hAnsi="Arial" w:cs="Arial"/>
        </w:rPr>
        <w:t xml:space="preserve"> which demand flexible thinking as solutions. As an example, occupational therapists can create customised treatment exercises to enhance patient recollection and interest. Creativity facilitates personalised interventions that enhance </w:t>
      </w:r>
      <w:r>
        <w:rPr>
          <w:rFonts w:ascii="Arial" w:hAnsi="Arial" w:cs="Arial"/>
        </w:rPr>
        <w:t>the wellbeing</w:t>
      </w:r>
      <w:r w:rsidRPr="00AC14B2">
        <w:rPr>
          <w:rFonts w:ascii="Arial" w:hAnsi="Arial" w:cs="Arial"/>
        </w:rPr>
        <w:t xml:space="preserve"> of </w:t>
      </w:r>
      <w:r>
        <w:rPr>
          <w:rFonts w:ascii="Arial" w:hAnsi="Arial" w:cs="Arial"/>
        </w:rPr>
        <w:t>service users</w:t>
      </w:r>
      <w:r w:rsidRPr="00AC14B2">
        <w:rPr>
          <w:rFonts w:ascii="Arial" w:hAnsi="Arial" w:cs="Arial"/>
        </w:rPr>
        <w:t xml:space="preserve"> (Paul and Phil, 2024).</w:t>
      </w:r>
    </w:p>
    <w:p w14:paraId="53D2317B" w14:textId="77777777" w:rsidR="00826090" w:rsidRDefault="00826090" w:rsidP="00826090">
      <w:pPr>
        <w:spacing w:line="360" w:lineRule="auto"/>
        <w:rPr>
          <w:rFonts w:ascii="Arial" w:hAnsi="Arial" w:cs="Arial"/>
        </w:rPr>
      </w:pPr>
      <w:r w:rsidRPr="00AC14B2">
        <w:rPr>
          <w:rFonts w:ascii="Arial" w:hAnsi="Arial" w:cs="Arial"/>
        </w:rPr>
        <w:t xml:space="preserve">Value creation entails delivering good patient outcomes and efficiently </w:t>
      </w:r>
      <w:r>
        <w:rPr>
          <w:rFonts w:ascii="Arial" w:hAnsi="Arial" w:cs="Arial"/>
        </w:rPr>
        <w:t>utilising</w:t>
      </w:r>
      <w:r w:rsidRPr="00AC14B2">
        <w:rPr>
          <w:rFonts w:ascii="Arial" w:hAnsi="Arial" w:cs="Arial"/>
        </w:rPr>
        <w:t xml:space="preserve"> resources. According to Porter (2010), there is the creation of healthcare value when there is an improvement in outcomes in relation to costs. This is significant in the context of health and social care since organisations are required to provide effective care in the face of financial strains. Preventive care programmes Preventive care programmes like vaccinations generate value in the form of better population health and lowering the cost of future treatment. This will make healthcare </w:t>
      </w:r>
      <w:r>
        <w:rPr>
          <w:rFonts w:ascii="Arial" w:hAnsi="Arial" w:cs="Arial"/>
        </w:rPr>
        <w:t>sustainable and</w:t>
      </w:r>
      <w:r w:rsidRPr="00AC14B2">
        <w:rPr>
          <w:rFonts w:ascii="Arial" w:hAnsi="Arial" w:cs="Arial"/>
        </w:rPr>
        <w:t xml:space="preserve"> </w:t>
      </w:r>
      <w:proofErr w:type="gramStart"/>
      <w:r>
        <w:rPr>
          <w:rFonts w:ascii="Arial" w:hAnsi="Arial" w:cs="Arial"/>
        </w:rPr>
        <w:t>patient-centred</w:t>
      </w:r>
      <w:proofErr w:type="gramEnd"/>
      <w:r>
        <w:rPr>
          <w:rFonts w:ascii="Arial" w:hAnsi="Arial" w:cs="Arial"/>
        </w:rPr>
        <w:t>.</w:t>
      </w:r>
    </w:p>
    <w:p w14:paraId="41C12CD3" w14:textId="77777777" w:rsidR="00826090" w:rsidRDefault="00826090" w:rsidP="00826090">
      <w:pPr>
        <w:spacing w:line="360" w:lineRule="auto"/>
        <w:rPr>
          <w:rFonts w:ascii="Arial" w:hAnsi="Arial" w:cs="Arial"/>
        </w:rPr>
      </w:pPr>
      <w:r w:rsidRPr="00AC14B2">
        <w:rPr>
          <w:rFonts w:ascii="Arial" w:hAnsi="Arial" w:cs="Arial"/>
        </w:rPr>
        <w:t xml:space="preserve">Change is the process of shifting the present practices to better practices in reaction to an internal or external force. The Change Management Model created by Lewin involves three steps: unfreezing, change implementation, and refreezing new </w:t>
      </w:r>
      <w:r>
        <w:rPr>
          <w:rFonts w:ascii="Arial" w:hAnsi="Arial" w:cs="Arial"/>
        </w:rPr>
        <w:lastRenderedPageBreak/>
        <w:t>behaviours</w:t>
      </w:r>
      <w:r w:rsidRPr="00AC14B2">
        <w:rPr>
          <w:rFonts w:ascii="Arial" w:hAnsi="Arial" w:cs="Arial"/>
        </w:rPr>
        <w:t xml:space="preserve"> (Burnes, 2007). Change is crucial in health and social care because organisations need to adjust to policy, technology, and demographic changes of patients. </w:t>
      </w:r>
      <w:r>
        <w:rPr>
          <w:rFonts w:ascii="Arial" w:hAnsi="Arial" w:cs="Arial"/>
        </w:rPr>
        <w:t>I</w:t>
      </w:r>
      <w:r w:rsidRPr="00AC14B2">
        <w:rPr>
          <w:rFonts w:ascii="Arial" w:hAnsi="Arial" w:cs="Arial"/>
        </w:rPr>
        <w:t xml:space="preserve">n the case of COVID-19, telehealth and remote consultations were quickly implemented as part of services, and they supported organisations to be more responsive, safe, and efficient (Barrow and </w:t>
      </w:r>
      <w:proofErr w:type="spellStart"/>
      <w:r w:rsidRPr="00AC14B2">
        <w:rPr>
          <w:rFonts w:ascii="Arial" w:hAnsi="Arial" w:cs="Arial"/>
        </w:rPr>
        <w:t>Annamaraju</w:t>
      </w:r>
      <w:proofErr w:type="spellEnd"/>
      <w:r w:rsidRPr="00AC14B2">
        <w:rPr>
          <w:rFonts w:ascii="Arial" w:hAnsi="Arial" w:cs="Arial"/>
        </w:rPr>
        <w:t>, 2022).</w:t>
      </w:r>
    </w:p>
    <w:p w14:paraId="2AE17F22" w14:textId="77777777" w:rsidR="00826090" w:rsidRDefault="00826090" w:rsidP="00826090">
      <w:pPr>
        <w:spacing w:line="360" w:lineRule="auto"/>
        <w:rPr>
          <w:rFonts w:ascii="Arial" w:hAnsi="Arial" w:cs="Arial"/>
        </w:rPr>
      </w:pPr>
    </w:p>
    <w:p w14:paraId="27D70515" w14:textId="77777777" w:rsidR="00826090" w:rsidRDefault="00826090" w:rsidP="00826090">
      <w:pPr>
        <w:pStyle w:val="Heading1"/>
        <w:spacing w:line="360" w:lineRule="auto"/>
      </w:pPr>
      <w:bookmarkStart w:id="1" w:name="_Toc227001293"/>
      <w:r>
        <w:t>Task 2: Mind Map</w:t>
      </w:r>
      <w:bookmarkEnd w:id="1"/>
    </w:p>
    <w:p w14:paraId="7EEAC646" w14:textId="77777777" w:rsidR="00826090" w:rsidRDefault="00826090" w:rsidP="00826090">
      <w:pPr>
        <w:spacing w:line="360" w:lineRule="auto"/>
        <w:rPr>
          <w:rFonts w:ascii="Arial" w:hAnsi="Arial" w:cs="Arial"/>
        </w:rPr>
      </w:pPr>
      <w:r w:rsidRPr="00E52705">
        <w:rPr>
          <w:rFonts w:ascii="Arial" w:hAnsi="Arial" w:cs="Arial"/>
        </w:rPr>
        <w:t xml:space="preserve">Prolonged waiting is a significant challenge in health and social care as it leads to delays in treatment, aggravated patient outcomes, and diminished satisfaction with services. It has been found that long waiting </w:t>
      </w:r>
      <w:r>
        <w:rPr>
          <w:rFonts w:ascii="Arial" w:hAnsi="Arial" w:cs="Arial"/>
        </w:rPr>
        <w:t>times result</w:t>
      </w:r>
      <w:r w:rsidRPr="00E52705">
        <w:rPr>
          <w:rFonts w:ascii="Arial" w:hAnsi="Arial" w:cs="Arial"/>
        </w:rPr>
        <w:t xml:space="preserve"> in worse clinical outcomes and more patient dissatisfaction</w:t>
      </w:r>
      <w:r>
        <w:rPr>
          <w:rFonts w:ascii="Arial" w:hAnsi="Arial" w:cs="Arial"/>
        </w:rPr>
        <w:t xml:space="preserve"> (McIntyre and Chow, 2020)</w:t>
      </w:r>
      <w:r w:rsidRPr="00E52705">
        <w:rPr>
          <w:rFonts w:ascii="Arial" w:hAnsi="Arial" w:cs="Arial"/>
        </w:rPr>
        <w:t xml:space="preserve">. The causes of long waiting periods as depicted in </w:t>
      </w:r>
      <w:r>
        <w:rPr>
          <w:rFonts w:ascii="Arial" w:hAnsi="Arial" w:cs="Arial"/>
        </w:rPr>
        <w:t>the attached</w:t>
      </w:r>
      <w:r w:rsidRPr="00E52705">
        <w:rPr>
          <w:rFonts w:ascii="Arial" w:hAnsi="Arial" w:cs="Arial"/>
        </w:rPr>
        <w:t xml:space="preserve"> mind map are </w:t>
      </w:r>
      <w:r>
        <w:rPr>
          <w:rFonts w:ascii="Arial" w:hAnsi="Arial" w:cs="Arial"/>
        </w:rPr>
        <w:t>interrelated,</w:t>
      </w:r>
      <w:r w:rsidRPr="00E52705">
        <w:rPr>
          <w:rFonts w:ascii="Arial" w:hAnsi="Arial" w:cs="Arial"/>
        </w:rPr>
        <w:t xml:space="preserve"> and some of them are staff shortages, underfunding, increasing patient demand and </w:t>
      </w:r>
      <w:r>
        <w:rPr>
          <w:rFonts w:ascii="Arial" w:hAnsi="Arial" w:cs="Arial"/>
        </w:rPr>
        <w:t>delays in</w:t>
      </w:r>
      <w:r w:rsidRPr="00E52705">
        <w:rPr>
          <w:rFonts w:ascii="Arial" w:hAnsi="Arial" w:cs="Arial"/>
        </w:rPr>
        <w:t xml:space="preserve"> discharge processes. Such pressures have the potential to raise burnout among staff, potentially impacting patient safety and quality of care</w:t>
      </w:r>
      <w:r>
        <w:rPr>
          <w:rFonts w:ascii="Arial" w:hAnsi="Arial" w:cs="Arial"/>
        </w:rPr>
        <w:t xml:space="preserve"> (Hall et al., 2016)</w:t>
      </w:r>
      <w:r w:rsidRPr="00E52705">
        <w:rPr>
          <w:rFonts w:ascii="Arial" w:hAnsi="Arial" w:cs="Arial"/>
        </w:rPr>
        <w:t>. Applying a systems thinking method, Meadows (2008) states that healthcare issues are caused by interconnected pressures throughout the entire system and not by a single factor. Otherwise, waiting times can keep on hurting vulnerable patients and overloading the services.</w:t>
      </w:r>
    </w:p>
    <w:p w14:paraId="0FC56EDB" w14:textId="77777777" w:rsidR="00826090" w:rsidRDefault="00826090" w:rsidP="00826090">
      <w:pPr>
        <w:spacing w:line="360" w:lineRule="auto"/>
        <w:rPr>
          <w:rFonts w:ascii="Arial" w:hAnsi="Arial" w:cs="Arial"/>
        </w:rPr>
      </w:pPr>
      <w:r>
        <w:rPr>
          <w:rFonts w:ascii="Arial" w:hAnsi="Arial" w:cs="Arial"/>
          <w:noProof/>
        </w:rPr>
        <w:drawing>
          <wp:inline distT="0" distB="0" distL="0" distR="0" wp14:anchorId="2AA55EFE" wp14:editId="67B7F67A">
            <wp:extent cx="5614129" cy="3157870"/>
            <wp:effectExtent l="0" t="0" r="0" b="4445"/>
            <wp:docPr id="1125403734" name="Picture 1" descr="A diagram of a health c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403734" name="Picture 1" descr="A diagram of a health care system&#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15697" cy="3158752"/>
                    </a:xfrm>
                    <a:prstGeom prst="rect">
                      <a:avLst/>
                    </a:prstGeom>
                  </pic:spPr>
                </pic:pic>
              </a:graphicData>
            </a:graphic>
          </wp:inline>
        </w:drawing>
      </w:r>
    </w:p>
    <w:p w14:paraId="243A91F7" w14:textId="77777777" w:rsidR="00826090" w:rsidRDefault="00826090" w:rsidP="00826090">
      <w:pPr>
        <w:pStyle w:val="Heading1"/>
        <w:spacing w:line="360" w:lineRule="auto"/>
      </w:pPr>
      <w:bookmarkStart w:id="2" w:name="_Toc227001294"/>
      <w:r>
        <w:lastRenderedPageBreak/>
        <w:t>Task 3: Self-Reflection of Group Activity</w:t>
      </w:r>
      <w:bookmarkEnd w:id="2"/>
      <w:r>
        <w:t xml:space="preserve"> </w:t>
      </w:r>
    </w:p>
    <w:p w14:paraId="75FE725D" w14:textId="77777777" w:rsidR="00826090" w:rsidRDefault="00826090" w:rsidP="00826090">
      <w:pPr>
        <w:spacing w:line="360" w:lineRule="auto"/>
        <w:rPr>
          <w:rFonts w:ascii="Arial" w:hAnsi="Arial" w:cs="Arial"/>
        </w:rPr>
      </w:pPr>
      <w:r w:rsidRPr="00FC4F9E">
        <w:rPr>
          <w:rFonts w:ascii="Arial" w:hAnsi="Arial" w:cs="Arial"/>
        </w:rPr>
        <w:t xml:space="preserve">I applied </w:t>
      </w:r>
      <w:r>
        <w:rPr>
          <w:rFonts w:ascii="Arial" w:hAnsi="Arial" w:cs="Arial"/>
        </w:rPr>
        <w:t>the Gibbs</w:t>
      </w:r>
      <w:r w:rsidRPr="00FC4F9E">
        <w:rPr>
          <w:rFonts w:ascii="Arial" w:hAnsi="Arial" w:cs="Arial"/>
        </w:rPr>
        <w:t xml:space="preserve"> Reflective Cycle (1988) to my experience in my </w:t>
      </w:r>
      <w:r>
        <w:rPr>
          <w:rFonts w:ascii="Arial" w:hAnsi="Arial" w:cs="Arial"/>
        </w:rPr>
        <w:t>convergent</w:t>
      </w:r>
      <w:r w:rsidRPr="00FC4F9E">
        <w:rPr>
          <w:rFonts w:ascii="Arial" w:hAnsi="Arial" w:cs="Arial"/>
        </w:rPr>
        <w:t xml:space="preserve"> and </w:t>
      </w:r>
      <w:r>
        <w:rPr>
          <w:rFonts w:ascii="Arial" w:hAnsi="Arial" w:cs="Arial"/>
        </w:rPr>
        <w:t>divergent</w:t>
      </w:r>
      <w:r w:rsidRPr="00FC4F9E">
        <w:rPr>
          <w:rFonts w:ascii="Arial" w:hAnsi="Arial" w:cs="Arial"/>
        </w:rPr>
        <w:t xml:space="preserve"> </w:t>
      </w:r>
      <w:r>
        <w:rPr>
          <w:rFonts w:ascii="Arial" w:hAnsi="Arial" w:cs="Arial"/>
        </w:rPr>
        <w:t>t</w:t>
      </w:r>
      <w:r w:rsidRPr="00FC4F9E">
        <w:rPr>
          <w:rFonts w:ascii="Arial" w:hAnsi="Arial" w:cs="Arial"/>
        </w:rPr>
        <w:t xml:space="preserve">hinking group activity. Divergent thinking entails the ability to come up with various creative thoughts and </w:t>
      </w:r>
      <w:r>
        <w:rPr>
          <w:rFonts w:ascii="Arial" w:hAnsi="Arial" w:cs="Arial"/>
        </w:rPr>
        <w:t>seek</w:t>
      </w:r>
      <w:r w:rsidRPr="00FC4F9E">
        <w:rPr>
          <w:rFonts w:ascii="Arial" w:hAnsi="Arial" w:cs="Arial"/>
        </w:rPr>
        <w:t xml:space="preserve"> alternative possibilities, but convergent thinking is </w:t>
      </w:r>
      <w:r>
        <w:rPr>
          <w:rFonts w:ascii="Arial" w:hAnsi="Arial" w:cs="Arial"/>
        </w:rPr>
        <w:t>characterised</w:t>
      </w:r>
      <w:r w:rsidRPr="00FC4F9E">
        <w:rPr>
          <w:rFonts w:ascii="Arial" w:hAnsi="Arial" w:cs="Arial"/>
        </w:rPr>
        <w:t xml:space="preserve"> by the reduction of ideas to the best solution (</w:t>
      </w:r>
      <w:r>
        <w:rPr>
          <w:rFonts w:ascii="Arial" w:hAnsi="Arial" w:cs="Arial"/>
        </w:rPr>
        <w:t>Rawlings et al., 2024</w:t>
      </w:r>
      <w:r w:rsidRPr="00FC4F9E">
        <w:rPr>
          <w:rFonts w:ascii="Arial" w:hAnsi="Arial" w:cs="Arial"/>
        </w:rPr>
        <w:t xml:space="preserve">). In the activity, my group initially employed divergent </w:t>
      </w:r>
      <w:r>
        <w:rPr>
          <w:rFonts w:ascii="Arial" w:hAnsi="Arial" w:cs="Arial"/>
        </w:rPr>
        <w:t>thinking,</w:t>
      </w:r>
      <w:r w:rsidRPr="00FC4F9E">
        <w:rPr>
          <w:rFonts w:ascii="Arial" w:hAnsi="Arial" w:cs="Arial"/>
        </w:rPr>
        <w:t xml:space="preserve"> which involved brainstorming on a few solutions to the case study </w:t>
      </w:r>
      <w:r>
        <w:rPr>
          <w:rFonts w:ascii="Arial" w:hAnsi="Arial" w:cs="Arial"/>
        </w:rPr>
        <w:t>problem,</w:t>
      </w:r>
      <w:r w:rsidRPr="00FC4F9E">
        <w:rPr>
          <w:rFonts w:ascii="Arial" w:hAnsi="Arial" w:cs="Arial"/>
        </w:rPr>
        <w:t xml:space="preserve"> and then convergent thinking was employed to select the most feasible solution.</w:t>
      </w:r>
    </w:p>
    <w:p w14:paraId="3D765E7C" w14:textId="77777777" w:rsidR="00826090" w:rsidRDefault="00826090" w:rsidP="00826090">
      <w:pPr>
        <w:spacing w:line="360" w:lineRule="auto"/>
        <w:rPr>
          <w:rFonts w:ascii="Arial" w:hAnsi="Arial" w:cs="Arial"/>
        </w:rPr>
      </w:pPr>
      <w:r w:rsidRPr="00FC4F9E">
        <w:rPr>
          <w:rFonts w:ascii="Arial" w:hAnsi="Arial" w:cs="Arial"/>
        </w:rPr>
        <w:t xml:space="preserve">I was comfortable </w:t>
      </w:r>
      <w:r>
        <w:rPr>
          <w:rFonts w:ascii="Arial" w:hAnsi="Arial" w:cs="Arial"/>
        </w:rPr>
        <w:t>with</w:t>
      </w:r>
      <w:r w:rsidRPr="00FC4F9E">
        <w:rPr>
          <w:rFonts w:ascii="Arial" w:hAnsi="Arial" w:cs="Arial"/>
        </w:rPr>
        <w:t xml:space="preserve"> the idea</w:t>
      </w:r>
      <w:r>
        <w:rPr>
          <w:rFonts w:ascii="Arial" w:hAnsi="Arial" w:cs="Arial"/>
        </w:rPr>
        <w:t>-sharing</w:t>
      </w:r>
      <w:r w:rsidRPr="00FC4F9E">
        <w:rPr>
          <w:rFonts w:ascii="Arial" w:hAnsi="Arial" w:cs="Arial"/>
        </w:rPr>
        <w:t xml:space="preserve"> process of brainstorming since divergent thinking </w:t>
      </w:r>
      <w:r>
        <w:rPr>
          <w:rFonts w:ascii="Arial" w:hAnsi="Arial" w:cs="Arial"/>
        </w:rPr>
        <w:t>is</w:t>
      </w:r>
      <w:r w:rsidRPr="00FC4F9E">
        <w:rPr>
          <w:rFonts w:ascii="Arial" w:hAnsi="Arial" w:cs="Arial"/>
        </w:rPr>
        <w:t xml:space="preserve"> more comfortable to </w:t>
      </w:r>
      <w:r>
        <w:rPr>
          <w:rFonts w:ascii="Arial" w:hAnsi="Arial" w:cs="Arial"/>
        </w:rPr>
        <w:t>me since</w:t>
      </w:r>
      <w:r w:rsidRPr="00FC4F9E">
        <w:rPr>
          <w:rFonts w:ascii="Arial" w:hAnsi="Arial" w:cs="Arial"/>
        </w:rPr>
        <w:t xml:space="preserve"> I like to explore the possibilities. But in the case where the group could not reach a final idea, I proposed that they make a list of pros and cons to contrast each idea. This assisted the group to arrange the ideas in a logical manner and decide in an efficient way. It is out of this experience that I came to learn that despite being at ease in being creative, my problem-solving capabilities are also good in aiding people to critique ideas.</w:t>
      </w:r>
    </w:p>
    <w:p w14:paraId="011388E7" w14:textId="77777777" w:rsidR="00826090" w:rsidRDefault="00826090" w:rsidP="00826090">
      <w:pPr>
        <w:spacing w:line="360" w:lineRule="auto"/>
        <w:rPr>
          <w:rFonts w:ascii="Arial" w:hAnsi="Arial" w:cs="Arial"/>
        </w:rPr>
      </w:pPr>
      <w:r w:rsidRPr="00FC4F9E">
        <w:rPr>
          <w:rFonts w:ascii="Arial" w:hAnsi="Arial" w:cs="Arial"/>
        </w:rPr>
        <w:t xml:space="preserve">The exercise helped me develop </w:t>
      </w:r>
      <w:r>
        <w:rPr>
          <w:rFonts w:ascii="Arial" w:hAnsi="Arial" w:cs="Arial"/>
        </w:rPr>
        <w:t>enhanced</w:t>
      </w:r>
      <w:r w:rsidRPr="00FC4F9E">
        <w:rPr>
          <w:rFonts w:ascii="Arial" w:hAnsi="Arial" w:cs="Arial"/>
        </w:rPr>
        <w:t xml:space="preserve"> communication and teamwork skills since I </w:t>
      </w:r>
      <w:r>
        <w:rPr>
          <w:rFonts w:ascii="Arial" w:hAnsi="Arial" w:cs="Arial"/>
        </w:rPr>
        <w:t>learnt</w:t>
      </w:r>
      <w:r w:rsidRPr="00FC4F9E">
        <w:rPr>
          <w:rFonts w:ascii="Arial" w:hAnsi="Arial" w:cs="Arial"/>
        </w:rPr>
        <w:t xml:space="preserve"> the need to listen to the views of others before making decisions. The importance of reflective practice is that it promotes </w:t>
      </w:r>
      <w:r>
        <w:rPr>
          <w:rFonts w:ascii="Arial" w:hAnsi="Arial" w:cs="Arial"/>
        </w:rPr>
        <w:t>lifelong</w:t>
      </w:r>
      <w:r w:rsidRPr="00FC4F9E">
        <w:rPr>
          <w:rFonts w:ascii="Arial" w:hAnsi="Arial" w:cs="Arial"/>
        </w:rPr>
        <w:t xml:space="preserve"> learning through experience (Gibbs, 1988). In the future, I would be more assertive when bringing up my point at an earlier stage in the discussion and would urge the weaker group members to express their views to enhance </w:t>
      </w:r>
      <w:r>
        <w:rPr>
          <w:rFonts w:ascii="Arial" w:hAnsi="Arial" w:cs="Arial"/>
        </w:rPr>
        <w:t>teamwork</w:t>
      </w:r>
      <w:r w:rsidRPr="00FC4F9E">
        <w:rPr>
          <w:rFonts w:ascii="Arial" w:hAnsi="Arial" w:cs="Arial"/>
        </w:rPr>
        <w:t xml:space="preserve"> even more.</w:t>
      </w:r>
    </w:p>
    <w:p w14:paraId="6577AED4" w14:textId="77777777" w:rsidR="00826090" w:rsidRDefault="00826090" w:rsidP="00826090">
      <w:pPr>
        <w:spacing w:line="360" w:lineRule="auto"/>
        <w:rPr>
          <w:rFonts w:ascii="Arial" w:hAnsi="Arial" w:cs="Arial"/>
        </w:rPr>
      </w:pPr>
    </w:p>
    <w:p w14:paraId="3B7ADB9A" w14:textId="77777777" w:rsidR="00826090" w:rsidRDefault="00826090" w:rsidP="00826090">
      <w:pPr>
        <w:pStyle w:val="Heading1"/>
        <w:spacing w:line="360" w:lineRule="auto"/>
      </w:pPr>
      <w:bookmarkStart w:id="3" w:name="_Toc227001295"/>
      <w:r>
        <w:t>Task 4: Case Study Analysis of a UK Innovation</w:t>
      </w:r>
      <w:bookmarkEnd w:id="3"/>
    </w:p>
    <w:p w14:paraId="7347670D" w14:textId="77777777" w:rsidR="00826090" w:rsidRDefault="00826090" w:rsidP="00826090">
      <w:pPr>
        <w:spacing w:line="360" w:lineRule="auto"/>
        <w:rPr>
          <w:rFonts w:ascii="Arial" w:hAnsi="Arial" w:cs="Arial"/>
        </w:rPr>
      </w:pPr>
      <w:r w:rsidRPr="006F52BA">
        <w:rPr>
          <w:rFonts w:ascii="Arial" w:hAnsi="Arial" w:cs="Arial"/>
        </w:rPr>
        <w:t>One of the innovations that are being applied to the NHS to assist patients to get the best service is care navigation that will enable them to get the best service in the shortest time instead of automatically making a GP appointment. It was implemented due to the increasing strain on general practice, increased patient demand and excessive waiting times. According to NHS England</w:t>
      </w:r>
      <w:r>
        <w:rPr>
          <w:rFonts w:ascii="Arial" w:hAnsi="Arial" w:cs="Arial"/>
        </w:rPr>
        <w:t xml:space="preserve"> (2025)</w:t>
      </w:r>
      <w:r w:rsidRPr="006F52BA">
        <w:rPr>
          <w:rFonts w:ascii="Arial" w:hAnsi="Arial" w:cs="Arial"/>
        </w:rPr>
        <w:t xml:space="preserve">, care navigation assists in ensuring that patients obtain the proper </w:t>
      </w:r>
      <w:r>
        <w:rPr>
          <w:rFonts w:ascii="Arial" w:hAnsi="Arial" w:cs="Arial"/>
        </w:rPr>
        <w:t>care initially,</w:t>
      </w:r>
      <w:r w:rsidRPr="006F52BA">
        <w:rPr>
          <w:rFonts w:ascii="Arial" w:hAnsi="Arial" w:cs="Arial"/>
        </w:rPr>
        <w:t xml:space="preserve"> enhancing efficiency in practices. This innovation was facilitated by creativity which involved a redesign of </w:t>
      </w:r>
      <w:r w:rsidRPr="006F52BA">
        <w:rPr>
          <w:rFonts w:ascii="Arial" w:hAnsi="Arial" w:cs="Arial"/>
        </w:rPr>
        <w:lastRenderedPageBreak/>
        <w:t>the traditional receptionist role into a more active system where the trained personnel evaluate the needs of patients and refer them to appropriate services like pharmacists, mental health teams or social prescribers.</w:t>
      </w:r>
    </w:p>
    <w:p w14:paraId="15496233" w14:textId="77777777" w:rsidR="00826090" w:rsidRDefault="00826090" w:rsidP="00826090">
      <w:pPr>
        <w:spacing w:line="360" w:lineRule="auto"/>
        <w:rPr>
          <w:rFonts w:ascii="Arial" w:hAnsi="Arial" w:cs="Arial"/>
        </w:rPr>
      </w:pPr>
      <w:r w:rsidRPr="008528B3">
        <w:rPr>
          <w:rFonts w:ascii="Arial" w:hAnsi="Arial" w:cs="Arial"/>
        </w:rPr>
        <w:t xml:space="preserve">The generated </w:t>
      </w:r>
      <w:r>
        <w:rPr>
          <w:rFonts w:ascii="Arial" w:hAnsi="Arial" w:cs="Arial"/>
        </w:rPr>
        <w:t xml:space="preserve">value </w:t>
      </w:r>
      <w:r w:rsidRPr="008528B3">
        <w:rPr>
          <w:rFonts w:ascii="Arial" w:hAnsi="Arial" w:cs="Arial"/>
        </w:rPr>
        <w:t>consists of less GP workload, quicker access to care, and enhanced patient pathways. The advantages to many patients include being assisted by the most appropriate professional without undue delays. Tierney et al. discovered that care navigation has now become a common practice in primary care in England</w:t>
      </w:r>
      <w:r>
        <w:rPr>
          <w:rFonts w:ascii="Arial" w:hAnsi="Arial" w:cs="Arial"/>
        </w:rPr>
        <w:t xml:space="preserve"> (Tierney et al., 2019)</w:t>
      </w:r>
      <w:r w:rsidRPr="008528B3">
        <w:rPr>
          <w:rFonts w:ascii="Arial" w:hAnsi="Arial" w:cs="Arial"/>
        </w:rPr>
        <w:t xml:space="preserve">. This is the case with </w:t>
      </w:r>
      <w:r>
        <w:rPr>
          <w:rFonts w:ascii="Arial" w:hAnsi="Arial" w:cs="Arial"/>
        </w:rPr>
        <w:t>Rogers'</w:t>
      </w:r>
      <w:r w:rsidRPr="008528B3">
        <w:rPr>
          <w:rFonts w:ascii="Arial" w:hAnsi="Arial" w:cs="Arial"/>
        </w:rPr>
        <w:t xml:space="preserve"> </w:t>
      </w:r>
      <w:r>
        <w:rPr>
          <w:rFonts w:ascii="Arial" w:hAnsi="Arial" w:cs="Arial"/>
        </w:rPr>
        <w:t xml:space="preserve">(2003) </w:t>
      </w:r>
      <w:r w:rsidRPr="008528B3">
        <w:rPr>
          <w:rFonts w:ascii="Arial" w:hAnsi="Arial" w:cs="Arial"/>
        </w:rPr>
        <w:t>Diffusion of Innovation Theory</w:t>
      </w:r>
      <w:r>
        <w:rPr>
          <w:rFonts w:ascii="Arial" w:hAnsi="Arial" w:cs="Arial"/>
        </w:rPr>
        <w:t>, which</w:t>
      </w:r>
      <w:r w:rsidRPr="008528B3">
        <w:rPr>
          <w:rFonts w:ascii="Arial" w:hAnsi="Arial" w:cs="Arial"/>
        </w:rPr>
        <w:t xml:space="preserve"> argues that healthcare innovations are disseminated when they are seen to be useful and beneficial to the users</w:t>
      </w:r>
      <w:r>
        <w:rPr>
          <w:rFonts w:ascii="Arial" w:hAnsi="Arial" w:cs="Arial"/>
        </w:rPr>
        <w:t xml:space="preserve">. </w:t>
      </w:r>
    </w:p>
    <w:p w14:paraId="3B48F766" w14:textId="77777777" w:rsidR="00826090" w:rsidRDefault="00826090" w:rsidP="00826090">
      <w:pPr>
        <w:spacing w:line="360" w:lineRule="auto"/>
        <w:rPr>
          <w:rFonts w:ascii="Arial" w:hAnsi="Arial" w:cs="Arial"/>
        </w:rPr>
      </w:pPr>
    </w:p>
    <w:p w14:paraId="7947D8B8" w14:textId="77777777" w:rsidR="00826090" w:rsidRDefault="00826090" w:rsidP="00826090">
      <w:pPr>
        <w:pStyle w:val="Heading1"/>
        <w:spacing w:line="360" w:lineRule="auto"/>
      </w:pPr>
      <w:bookmarkStart w:id="4" w:name="_Toc227001296"/>
      <w:r>
        <w:t>Task 5: Research Task</w:t>
      </w:r>
      <w:bookmarkEnd w:id="4"/>
    </w:p>
    <w:p w14:paraId="545214C9" w14:textId="77777777" w:rsidR="00826090" w:rsidRDefault="00826090" w:rsidP="00826090">
      <w:pPr>
        <w:spacing w:line="360" w:lineRule="auto"/>
        <w:rPr>
          <w:rFonts w:ascii="Arial" w:hAnsi="Arial" w:cs="Arial"/>
        </w:rPr>
      </w:pPr>
      <w:r w:rsidRPr="008528B3">
        <w:rPr>
          <w:rFonts w:ascii="Arial" w:hAnsi="Arial" w:cs="Arial"/>
        </w:rPr>
        <w:t xml:space="preserve">Staff stress is an important health and social care problem, which impacts wellbeing, performance, and patient safety. In the study by </w:t>
      </w:r>
      <w:proofErr w:type="spellStart"/>
      <w:r w:rsidRPr="008528B3">
        <w:rPr>
          <w:rFonts w:ascii="Arial" w:hAnsi="Arial" w:cs="Arial"/>
        </w:rPr>
        <w:t>Dall’Ora</w:t>
      </w:r>
      <w:proofErr w:type="spellEnd"/>
      <w:r w:rsidRPr="008528B3">
        <w:rPr>
          <w:rFonts w:ascii="Arial" w:hAnsi="Arial" w:cs="Arial"/>
        </w:rPr>
        <w:t xml:space="preserve"> et al. (2020), it was observed that </w:t>
      </w:r>
      <w:r>
        <w:rPr>
          <w:rFonts w:ascii="Arial" w:hAnsi="Arial" w:cs="Arial"/>
        </w:rPr>
        <w:t>an intense</w:t>
      </w:r>
      <w:r w:rsidRPr="008528B3">
        <w:rPr>
          <w:rFonts w:ascii="Arial" w:hAnsi="Arial" w:cs="Arial"/>
        </w:rPr>
        <w:t xml:space="preserve"> workload and insufficient staffing </w:t>
      </w:r>
      <w:r>
        <w:rPr>
          <w:rFonts w:ascii="Arial" w:hAnsi="Arial" w:cs="Arial"/>
        </w:rPr>
        <w:t>are two</w:t>
      </w:r>
      <w:r w:rsidRPr="008528B3">
        <w:rPr>
          <w:rFonts w:ascii="Arial" w:hAnsi="Arial" w:cs="Arial"/>
        </w:rPr>
        <w:t xml:space="preserve"> of the primary triggers of staff stress, which is why professionals who work long hours with pressure tend to experience emotional exhaustion and burnout. This assists in showing how staff shortages in hospitals and care homes may put additional strain on the few remaining staff, leading to a decrease in the quality of care provided.</w:t>
      </w:r>
    </w:p>
    <w:p w14:paraId="6BF44C4B" w14:textId="77777777" w:rsidR="00826090" w:rsidRDefault="00826090" w:rsidP="00826090">
      <w:pPr>
        <w:spacing w:line="360" w:lineRule="auto"/>
        <w:rPr>
          <w:rFonts w:ascii="Arial" w:hAnsi="Arial" w:cs="Arial"/>
        </w:rPr>
      </w:pPr>
      <w:r w:rsidRPr="008528B3">
        <w:rPr>
          <w:rFonts w:ascii="Arial" w:hAnsi="Arial" w:cs="Arial"/>
        </w:rPr>
        <w:t>On the same note, Johnson et al. (2018) found that poor leadership, insufficient organisational support, and inadequate professional growth were the major stress factors among healthcare personnel. This brings to the fore the fact that workload is not the only cause of stress but also workplace culture and management practices.</w:t>
      </w:r>
    </w:p>
    <w:p w14:paraId="161FBAF5" w14:textId="77777777" w:rsidR="00826090" w:rsidRDefault="00826090" w:rsidP="00826090">
      <w:pPr>
        <w:spacing w:line="360" w:lineRule="auto"/>
        <w:rPr>
          <w:rFonts w:ascii="Arial" w:hAnsi="Arial" w:cs="Arial"/>
        </w:rPr>
      </w:pPr>
      <w:r w:rsidRPr="008528B3">
        <w:rPr>
          <w:rFonts w:ascii="Arial" w:hAnsi="Arial" w:cs="Arial"/>
        </w:rPr>
        <w:t xml:space="preserve">The two studies agree that organisational pressures are factors that cause staff </w:t>
      </w:r>
      <w:r>
        <w:rPr>
          <w:rFonts w:ascii="Arial" w:hAnsi="Arial" w:cs="Arial"/>
        </w:rPr>
        <w:t>stress,</w:t>
      </w:r>
      <w:r w:rsidRPr="008528B3">
        <w:rPr>
          <w:rFonts w:ascii="Arial" w:hAnsi="Arial" w:cs="Arial"/>
        </w:rPr>
        <w:t xml:space="preserve"> but </w:t>
      </w:r>
      <w:proofErr w:type="spellStart"/>
      <w:r w:rsidRPr="008528B3">
        <w:rPr>
          <w:rFonts w:ascii="Arial" w:hAnsi="Arial" w:cs="Arial"/>
        </w:rPr>
        <w:t>Dall’Ora</w:t>
      </w:r>
      <w:proofErr w:type="spellEnd"/>
      <w:r w:rsidRPr="008528B3">
        <w:rPr>
          <w:rFonts w:ascii="Arial" w:hAnsi="Arial" w:cs="Arial"/>
        </w:rPr>
        <w:t xml:space="preserve"> et al. </w:t>
      </w:r>
      <w:r>
        <w:rPr>
          <w:rFonts w:ascii="Arial" w:hAnsi="Arial" w:cs="Arial"/>
        </w:rPr>
        <w:t xml:space="preserve">(2020) </w:t>
      </w:r>
      <w:r w:rsidRPr="008528B3">
        <w:rPr>
          <w:rFonts w:ascii="Arial" w:hAnsi="Arial" w:cs="Arial"/>
        </w:rPr>
        <w:t xml:space="preserve">dwell more on </w:t>
      </w:r>
      <w:r>
        <w:rPr>
          <w:rFonts w:ascii="Arial" w:hAnsi="Arial" w:cs="Arial"/>
        </w:rPr>
        <w:t>workload,</w:t>
      </w:r>
      <w:r w:rsidRPr="008528B3">
        <w:rPr>
          <w:rFonts w:ascii="Arial" w:hAnsi="Arial" w:cs="Arial"/>
        </w:rPr>
        <w:t xml:space="preserve"> and Johnson et al. </w:t>
      </w:r>
      <w:r>
        <w:rPr>
          <w:rFonts w:ascii="Arial" w:hAnsi="Arial" w:cs="Arial"/>
        </w:rPr>
        <w:t>(2018) focus</w:t>
      </w:r>
      <w:r w:rsidRPr="008528B3">
        <w:rPr>
          <w:rFonts w:ascii="Arial" w:hAnsi="Arial" w:cs="Arial"/>
        </w:rPr>
        <w:t xml:space="preserve"> on management systems and support systems. These results are consistent with Maslach Burnout Theory, which postulates the occurrence of burnout due to emotional exhaustion, depersonalisation and diminished personal accomplishment when work stress is chronic.</w:t>
      </w:r>
    </w:p>
    <w:p w14:paraId="5A53F715" w14:textId="77777777" w:rsidR="00826090" w:rsidRDefault="00826090" w:rsidP="00826090">
      <w:pPr>
        <w:spacing w:line="360" w:lineRule="auto"/>
        <w:rPr>
          <w:rFonts w:ascii="Arial" w:hAnsi="Arial" w:cs="Arial"/>
        </w:rPr>
      </w:pPr>
    </w:p>
    <w:p w14:paraId="623AD5AA" w14:textId="77777777" w:rsidR="00826090" w:rsidRDefault="00826090" w:rsidP="00826090">
      <w:pPr>
        <w:pStyle w:val="Heading1"/>
        <w:spacing w:line="360" w:lineRule="auto"/>
      </w:pPr>
      <w:bookmarkStart w:id="5" w:name="_Toc227001297"/>
      <w:r>
        <w:lastRenderedPageBreak/>
        <w:t>Task 6: Digital Innovation in Health and Social Care</w:t>
      </w:r>
      <w:bookmarkEnd w:id="5"/>
    </w:p>
    <w:p w14:paraId="0623D053" w14:textId="77777777" w:rsidR="00826090" w:rsidRDefault="00826090" w:rsidP="00826090">
      <w:pPr>
        <w:pStyle w:val="Heading2"/>
        <w:spacing w:line="360" w:lineRule="auto"/>
      </w:pPr>
      <w:bookmarkStart w:id="6" w:name="_Toc227001298"/>
      <w:r>
        <w:t>Benefit of Wearable Health Technologies</w:t>
      </w:r>
      <w:bookmarkEnd w:id="6"/>
    </w:p>
    <w:p w14:paraId="26FBB368" w14:textId="77777777" w:rsidR="00826090" w:rsidRPr="004949AF" w:rsidRDefault="00826090" w:rsidP="00826090">
      <w:pPr>
        <w:spacing w:line="360" w:lineRule="auto"/>
        <w:rPr>
          <w:rFonts w:ascii="Arial" w:hAnsi="Arial" w:cs="Arial"/>
        </w:rPr>
      </w:pPr>
      <w:r w:rsidRPr="004949AF">
        <w:rPr>
          <w:rFonts w:ascii="Arial" w:hAnsi="Arial" w:cs="Arial"/>
        </w:rPr>
        <w:t>The key advantage of wearable health technologies, including smartwatches, is that they promote real-time monitoring of chronic health conditions. The wearable devices can monitor the heart rate, oxygenation, physical activity, and sleep patterns to enable the patient and healthcare providers to closely observe the symptoms and identify the changes in the early period. Studies indicate that wearable health devices enhance the management of chronic diseases through the provision of personalised monitoring and timely intervention in case the health status gets worse</w:t>
      </w:r>
      <w:r>
        <w:rPr>
          <w:rFonts w:ascii="Arial" w:hAnsi="Arial" w:cs="Arial"/>
        </w:rPr>
        <w:t xml:space="preserve"> (</w:t>
      </w:r>
      <w:proofErr w:type="spellStart"/>
      <w:r>
        <w:rPr>
          <w:rFonts w:ascii="Arial" w:hAnsi="Arial" w:cs="Arial"/>
        </w:rPr>
        <w:t>Jafleh</w:t>
      </w:r>
      <w:proofErr w:type="spellEnd"/>
      <w:r>
        <w:rPr>
          <w:rFonts w:ascii="Arial" w:hAnsi="Arial" w:cs="Arial"/>
        </w:rPr>
        <w:t>, E. A., et al., 2024)</w:t>
      </w:r>
      <w:r w:rsidRPr="004949AF">
        <w:rPr>
          <w:rFonts w:ascii="Arial" w:hAnsi="Arial" w:cs="Arial"/>
        </w:rPr>
        <w:t xml:space="preserve">. As an illustration, a heart disease patient can wear a smartwatch to measure irregular heartbeats and transmit the data to a doctor. This can </w:t>
      </w:r>
      <w:r>
        <w:rPr>
          <w:rFonts w:ascii="Arial" w:hAnsi="Arial" w:cs="Arial"/>
        </w:rPr>
        <w:t>minimise</w:t>
      </w:r>
      <w:r w:rsidRPr="004949AF">
        <w:rPr>
          <w:rFonts w:ascii="Arial" w:hAnsi="Arial" w:cs="Arial"/>
        </w:rPr>
        <w:t xml:space="preserve"> hospital admissions and facilitate self-management. According to the Technology Acceptance Model, individuals tend to embrace wearable health technology more when they believe it can be useful and convenient (Davis, 1989), which can be used to explain their increasing popularity in the medical field.</w:t>
      </w:r>
    </w:p>
    <w:p w14:paraId="211E598D" w14:textId="77777777" w:rsidR="00826090" w:rsidRDefault="00826090" w:rsidP="00826090">
      <w:pPr>
        <w:spacing w:line="360" w:lineRule="auto"/>
        <w:rPr>
          <w:rFonts w:ascii="Arial" w:hAnsi="Arial" w:cs="Arial"/>
        </w:rPr>
      </w:pPr>
    </w:p>
    <w:p w14:paraId="245E359D" w14:textId="77777777" w:rsidR="00826090" w:rsidRDefault="00826090" w:rsidP="00826090">
      <w:pPr>
        <w:pStyle w:val="Heading2"/>
        <w:spacing w:line="360" w:lineRule="auto"/>
      </w:pPr>
      <w:bookmarkStart w:id="7" w:name="_Toc227001299"/>
      <w:r>
        <w:t>Electronic Health Records (EHRs) and Communication</w:t>
      </w:r>
      <w:bookmarkEnd w:id="7"/>
    </w:p>
    <w:p w14:paraId="4D3B9523" w14:textId="77777777" w:rsidR="00826090" w:rsidRDefault="00826090" w:rsidP="00826090">
      <w:pPr>
        <w:spacing w:line="360" w:lineRule="auto"/>
        <w:rPr>
          <w:rFonts w:ascii="Arial" w:hAnsi="Arial" w:cs="Arial"/>
        </w:rPr>
      </w:pPr>
      <w:r w:rsidRPr="004949AF">
        <w:rPr>
          <w:rFonts w:ascii="Arial" w:hAnsi="Arial" w:cs="Arial"/>
        </w:rPr>
        <w:t>Electronic Health Records (EHRs) enhance interdisciplinary teamwork and communication among healthcare workers by enabling the sharing of patient data in real-time across multidisciplinary teams. EHRs contain electronic documentation such as medical history, drugs, test findings, and treatment plans that may be accessed online by qualified professionals. Studies show that EHR systems can improve interprofessional communication and enhance coordination amongst patient-care staff</w:t>
      </w:r>
      <w:r>
        <w:rPr>
          <w:rFonts w:ascii="Arial" w:hAnsi="Arial" w:cs="Arial"/>
        </w:rPr>
        <w:t xml:space="preserve"> (Robertson et al., 2022)</w:t>
      </w:r>
      <w:r w:rsidRPr="004949AF">
        <w:rPr>
          <w:rFonts w:ascii="Arial" w:hAnsi="Arial" w:cs="Arial"/>
        </w:rPr>
        <w:t xml:space="preserve">. To give an example, once a patient has been moved out of the accident and emergency to a hospital ward, the nurses, the doctors and the pharmacists will all be able to access the same up-to-date </w:t>
      </w:r>
      <w:r>
        <w:rPr>
          <w:rFonts w:ascii="Arial" w:hAnsi="Arial" w:cs="Arial"/>
        </w:rPr>
        <w:t>information,</w:t>
      </w:r>
      <w:r w:rsidRPr="004949AF">
        <w:rPr>
          <w:rFonts w:ascii="Arial" w:hAnsi="Arial" w:cs="Arial"/>
        </w:rPr>
        <w:t xml:space="preserve"> thereby preventing duplication and medication errors. This enhances continuity of care and decision</w:t>
      </w:r>
      <w:r>
        <w:rPr>
          <w:rFonts w:ascii="Arial" w:hAnsi="Arial" w:cs="Arial"/>
        </w:rPr>
        <w:t>-making.</w:t>
      </w:r>
      <w:r w:rsidRPr="004949AF">
        <w:rPr>
          <w:rFonts w:ascii="Arial" w:hAnsi="Arial" w:cs="Arial"/>
        </w:rPr>
        <w:t xml:space="preserve"> The Technology Acceptance Model argues that healthcare personnel will be more inclined to </w:t>
      </w:r>
      <w:r>
        <w:rPr>
          <w:rFonts w:ascii="Arial" w:hAnsi="Arial" w:cs="Arial"/>
        </w:rPr>
        <w:t>utilise</w:t>
      </w:r>
      <w:r w:rsidRPr="004949AF">
        <w:rPr>
          <w:rFonts w:ascii="Arial" w:hAnsi="Arial" w:cs="Arial"/>
        </w:rPr>
        <w:t xml:space="preserve"> EHR systems efficiently when they consider them helpful and easy to use (Davis, 1989).</w:t>
      </w:r>
    </w:p>
    <w:p w14:paraId="01D53609" w14:textId="77777777" w:rsidR="00826090" w:rsidRDefault="00826090" w:rsidP="00826090">
      <w:pPr>
        <w:spacing w:line="360" w:lineRule="auto"/>
        <w:rPr>
          <w:rFonts w:ascii="Arial" w:hAnsi="Arial" w:cs="Arial"/>
        </w:rPr>
      </w:pPr>
    </w:p>
    <w:p w14:paraId="6B86B455" w14:textId="77777777" w:rsidR="00826090" w:rsidRDefault="00826090" w:rsidP="00826090">
      <w:pPr>
        <w:pStyle w:val="Heading2"/>
        <w:spacing w:line="360" w:lineRule="auto"/>
      </w:pPr>
      <w:bookmarkStart w:id="8" w:name="_Toc227001300"/>
      <w:r>
        <w:t>Digital Technology Supporting Preventative Care</w:t>
      </w:r>
      <w:bookmarkEnd w:id="8"/>
    </w:p>
    <w:p w14:paraId="29C12282" w14:textId="77777777" w:rsidR="00826090" w:rsidRDefault="00826090" w:rsidP="00826090">
      <w:pPr>
        <w:spacing w:line="360" w:lineRule="auto"/>
        <w:rPr>
          <w:rFonts w:ascii="Arial" w:hAnsi="Arial" w:cs="Arial"/>
        </w:rPr>
      </w:pPr>
      <w:r w:rsidRPr="004949AF">
        <w:rPr>
          <w:rFonts w:ascii="Arial" w:hAnsi="Arial" w:cs="Arial"/>
        </w:rPr>
        <w:t xml:space="preserve">Digital technology aids in preventative care and health promotion because it assists people </w:t>
      </w:r>
      <w:r>
        <w:rPr>
          <w:rFonts w:ascii="Arial" w:hAnsi="Arial" w:cs="Arial"/>
        </w:rPr>
        <w:t>in keeping</w:t>
      </w:r>
      <w:r w:rsidRPr="004949AF">
        <w:rPr>
          <w:rFonts w:ascii="Arial" w:hAnsi="Arial" w:cs="Arial"/>
        </w:rPr>
        <w:t xml:space="preserve"> track of health risks and </w:t>
      </w:r>
      <w:r>
        <w:rPr>
          <w:rFonts w:ascii="Arial" w:hAnsi="Arial" w:cs="Arial"/>
        </w:rPr>
        <w:t>making</w:t>
      </w:r>
      <w:r w:rsidRPr="004949AF">
        <w:rPr>
          <w:rFonts w:ascii="Arial" w:hAnsi="Arial" w:cs="Arial"/>
        </w:rPr>
        <w:t xml:space="preserve"> healthier lifestyle decisions before becoming sick. Exercise, healthy diet, medicine reminders, and frequent health checkups can be motivated with the help of mobile health applications, wearable devices, and web resources. Studies indicate that digital technologies have the potential to enhance disease prevention and healthier behaviour among populations</w:t>
      </w:r>
      <w:r>
        <w:rPr>
          <w:rFonts w:ascii="Arial" w:hAnsi="Arial" w:cs="Arial"/>
        </w:rPr>
        <w:t xml:space="preserve"> (De Santis et al., 2022)</w:t>
      </w:r>
      <w:r w:rsidRPr="004949AF">
        <w:rPr>
          <w:rFonts w:ascii="Arial" w:hAnsi="Arial" w:cs="Arial"/>
        </w:rPr>
        <w:t xml:space="preserve">. To illustrate, a mobile app can remind people to exercise daily, to keep track of calories, </w:t>
      </w:r>
      <w:r>
        <w:rPr>
          <w:rFonts w:ascii="Arial" w:hAnsi="Arial" w:cs="Arial"/>
        </w:rPr>
        <w:t>and to</w:t>
      </w:r>
      <w:r w:rsidRPr="004949AF">
        <w:rPr>
          <w:rFonts w:ascii="Arial" w:hAnsi="Arial" w:cs="Arial"/>
        </w:rPr>
        <w:t xml:space="preserve"> monitor blood </w:t>
      </w:r>
      <w:r>
        <w:rPr>
          <w:rFonts w:ascii="Arial" w:hAnsi="Arial" w:cs="Arial"/>
        </w:rPr>
        <w:t>pressure,</w:t>
      </w:r>
      <w:r w:rsidRPr="004949AF">
        <w:rPr>
          <w:rFonts w:ascii="Arial" w:hAnsi="Arial" w:cs="Arial"/>
        </w:rPr>
        <w:t xml:space="preserve"> thereby </w:t>
      </w:r>
      <w:r>
        <w:rPr>
          <w:rFonts w:ascii="Arial" w:hAnsi="Arial" w:cs="Arial"/>
        </w:rPr>
        <w:t>minimising</w:t>
      </w:r>
      <w:r w:rsidRPr="004949AF">
        <w:rPr>
          <w:rFonts w:ascii="Arial" w:hAnsi="Arial" w:cs="Arial"/>
        </w:rPr>
        <w:t xml:space="preserve"> the chances of obesity or heart disease. Practically, GP surgeries can prescribe digital apps to patients who are at risk of diabetes to help with weight control. The Technology Acceptance Model states that patients will be more willing to adopt preventative digital </w:t>
      </w:r>
      <w:r>
        <w:rPr>
          <w:rFonts w:ascii="Arial" w:hAnsi="Arial" w:cs="Arial"/>
        </w:rPr>
        <w:t>tools when</w:t>
      </w:r>
      <w:r w:rsidRPr="004949AF">
        <w:rPr>
          <w:rFonts w:ascii="Arial" w:hAnsi="Arial" w:cs="Arial"/>
        </w:rPr>
        <w:t xml:space="preserve"> they perceive them as easy, useful, and applicable to their needs (Davis, 1989).</w:t>
      </w:r>
    </w:p>
    <w:p w14:paraId="7155A8C5" w14:textId="77777777" w:rsidR="00826090" w:rsidRDefault="00826090" w:rsidP="00826090">
      <w:pPr>
        <w:spacing w:line="360" w:lineRule="auto"/>
        <w:rPr>
          <w:rFonts w:ascii="Arial" w:hAnsi="Arial" w:cs="Arial"/>
        </w:rPr>
      </w:pPr>
    </w:p>
    <w:p w14:paraId="7E387BB5" w14:textId="77777777" w:rsidR="00826090" w:rsidRDefault="00826090" w:rsidP="00826090">
      <w:pPr>
        <w:pStyle w:val="Heading1"/>
        <w:spacing w:line="360" w:lineRule="auto"/>
      </w:pPr>
      <w:bookmarkStart w:id="9" w:name="_Toc227001301"/>
      <w:r>
        <w:t>Task 7: Understanding the NHS Leadership Framework</w:t>
      </w:r>
      <w:bookmarkEnd w:id="9"/>
    </w:p>
    <w:p w14:paraId="57EECF68" w14:textId="77777777" w:rsidR="00826090" w:rsidRDefault="00826090" w:rsidP="00826090">
      <w:pPr>
        <w:pStyle w:val="Heading2"/>
        <w:spacing w:line="360" w:lineRule="auto"/>
      </w:pPr>
      <w:bookmarkStart w:id="10" w:name="_Toc227001302"/>
      <w:r>
        <w:t>Summary of the NHS Leadership Framework</w:t>
      </w:r>
      <w:bookmarkEnd w:id="10"/>
    </w:p>
    <w:p w14:paraId="7F979DF9" w14:textId="77777777" w:rsidR="00826090" w:rsidRDefault="00826090" w:rsidP="00826090">
      <w:pPr>
        <w:spacing w:line="360" w:lineRule="auto"/>
        <w:rPr>
          <w:rFonts w:ascii="Arial" w:hAnsi="Arial" w:cs="Arial"/>
        </w:rPr>
      </w:pPr>
      <w:r>
        <w:rPr>
          <w:rFonts w:ascii="Arial" w:hAnsi="Arial" w:cs="Arial"/>
        </w:rPr>
        <w:t>The NHS</w:t>
      </w:r>
      <w:r w:rsidRPr="00C971FA">
        <w:rPr>
          <w:rFonts w:ascii="Arial" w:hAnsi="Arial" w:cs="Arial"/>
        </w:rPr>
        <w:t xml:space="preserve"> </w:t>
      </w:r>
      <w:r>
        <w:rPr>
          <w:rFonts w:ascii="Arial" w:hAnsi="Arial" w:cs="Arial"/>
        </w:rPr>
        <w:t>Leadership Framework</w:t>
      </w:r>
      <w:r w:rsidRPr="00C971FA">
        <w:rPr>
          <w:rFonts w:ascii="Arial" w:hAnsi="Arial" w:cs="Arial"/>
        </w:rPr>
        <w:t xml:space="preserve"> provides an overview of the most important behaviours that effective leadership in </w:t>
      </w:r>
      <w:r>
        <w:rPr>
          <w:rFonts w:ascii="Arial" w:hAnsi="Arial" w:cs="Arial"/>
        </w:rPr>
        <w:t>a health</w:t>
      </w:r>
      <w:r w:rsidRPr="00C971FA">
        <w:rPr>
          <w:rFonts w:ascii="Arial" w:hAnsi="Arial" w:cs="Arial"/>
        </w:rPr>
        <w:t xml:space="preserve"> and social care environment must possess. It consists of nine dimensions that are inspiring shared </w:t>
      </w:r>
      <w:r>
        <w:rPr>
          <w:rFonts w:ascii="Arial" w:hAnsi="Arial" w:cs="Arial"/>
        </w:rPr>
        <w:t xml:space="preserve">purpose, </w:t>
      </w:r>
      <w:r w:rsidRPr="00C971FA">
        <w:rPr>
          <w:rFonts w:ascii="Arial" w:hAnsi="Arial" w:cs="Arial"/>
        </w:rPr>
        <w:t xml:space="preserve">leading with care, evaluating </w:t>
      </w:r>
      <w:r>
        <w:rPr>
          <w:rFonts w:ascii="Arial" w:hAnsi="Arial" w:cs="Arial"/>
        </w:rPr>
        <w:t>information,</w:t>
      </w:r>
      <w:r w:rsidRPr="00C971FA">
        <w:rPr>
          <w:rFonts w:ascii="Arial" w:hAnsi="Arial" w:cs="Arial"/>
        </w:rPr>
        <w:t xml:space="preserve"> connecting services, sharing the vision, engaging the team, </w:t>
      </w:r>
      <w:r>
        <w:rPr>
          <w:rFonts w:ascii="Arial" w:hAnsi="Arial" w:cs="Arial"/>
        </w:rPr>
        <w:t>holding people</w:t>
      </w:r>
      <w:r w:rsidRPr="00C971FA">
        <w:rPr>
          <w:rFonts w:ascii="Arial" w:hAnsi="Arial" w:cs="Arial"/>
        </w:rPr>
        <w:t xml:space="preserve"> to </w:t>
      </w:r>
      <w:r>
        <w:rPr>
          <w:rFonts w:ascii="Arial" w:hAnsi="Arial" w:cs="Arial"/>
        </w:rPr>
        <w:t>account,</w:t>
      </w:r>
      <w:r w:rsidRPr="00C971FA">
        <w:rPr>
          <w:rFonts w:ascii="Arial" w:hAnsi="Arial" w:cs="Arial"/>
        </w:rPr>
        <w:t xml:space="preserve"> developing capability, and </w:t>
      </w:r>
      <w:r>
        <w:rPr>
          <w:rFonts w:ascii="Arial" w:hAnsi="Arial" w:cs="Arial"/>
        </w:rPr>
        <w:t>influencing people</w:t>
      </w:r>
      <w:r w:rsidRPr="00C971FA">
        <w:rPr>
          <w:rFonts w:ascii="Arial" w:hAnsi="Arial" w:cs="Arial"/>
        </w:rPr>
        <w:t xml:space="preserve"> for results. The framework is significant as it assists healthcare specialists to acquire leadership capabilities that enhance teamwork, decision-making, and patient outcomes</w:t>
      </w:r>
      <w:r>
        <w:rPr>
          <w:rFonts w:ascii="Arial" w:hAnsi="Arial" w:cs="Arial"/>
        </w:rPr>
        <w:t xml:space="preserve"> (NHS England, 2025)</w:t>
      </w:r>
      <w:r w:rsidRPr="00C971FA">
        <w:rPr>
          <w:rFonts w:ascii="Arial" w:hAnsi="Arial" w:cs="Arial"/>
        </w:rPr>
        <w:t xml:space="preserve">. Leadership in health and social care is </w:t>
      </w:r>
      <w:r>
        <w:rPr>
          <w:rFonts w:ascii="Arial" w:hAnsi="Arial" w:cs="Arial"/>
        </w:rPr>
        <w:t>important,</w:t>
      </w:r>
      <w:r w:rsidRPr="00C971FA">
        <w:rPr>
          <w:rFonts w:ascii="Arial" w:hAnsi="Arial" w:cs="Arial"/>
        </w:rPr>
        <w:t xml:space="preserve"> as good leaders provide conducive environments, handle change effectively and ensure high quality of care</w:t>
      </w:r>
      <w:r>
        <w:rPr>
          <w:rFonts w:ascii="Arial" w:hAnsi="Arial" w:cs="Arial"/>
        </w:rPr>
        <w:t xml:space="preserve"> (Singh et al., 2024)</w:t>
      </w:r>
      <w:r w:rsidRPr="00C971FA">
        <w:rPr>
          <w:rFonts w:ascii="Arial" w:hAnsi="Arial" w:cs="Arial"/>
        </w:rPr>
        <w:t>. The framework encourages inclusive, compassionate, patient-centred leadership across the healthcare organisations</w:t>
      </w:r>
      <w:r>
        <w:rPr>
          <w:rFonts w:ascii="Arial" w:hAnsi="Arial" w:cs="Arial"/>
        </w:rPr>
        <w:t xml:space="preserve"> (NHS England, 2025). </w:t>
      </w:r>
    </w:p>
    <w:p w14:paraId="76944773" w14:textId="77777777" w:rsidR="00826090" w:rsidRDefault="00826090" w:rsidP="00826090">
      <w:pPr>
        <w:spacing w:line="360" w:lineRule="auto"/>
        <w:rPr>
          <w:rFonts w:ascii="Arial" w:hAnsi="Arial" w:cs="Arial"/>
        </w:rPr>
      </w:pPr>
    </w:p>
    <w:p w14:paraId="3185F97E" w14:textId="77777777" w:rsidR="00826090" w:rsidRDefault="00826090" w:rsidP="00826090">
      <w:pPr>
        <w:pStyle w:val="Heading2"/>
        <w:spacing w:line="360" w:lineRule="auto"/>
      </w:pPr>
      <w:bookmarkStart w:id="11" w:name="_Toc227001303"/>
      <w:r>
        <w:t>Inspiring Shared Purpose</w:t>
      </w:r>
      <w:bookmarkEnd w:id="11"/>
    </w:p>
    <w:p w14:paraId="7BC13435" w14:textId="77777777" w:rsidR="00826090" w:rsidRDefault="00826090" w:rsidP="00826090">
      <w:pPr>
        <w:spacing w:line="360" w:lineRule="auto"/>
        <w:rPr>
          <w:rFonts w:ascii="Arial" w:hAnsi="Arial" w:cs="Arial"/>
        </w:rPr>
      </w:pPr>
      <w:r w:rsidRPr="00C971FA">
        <w:rPr>
          <w:rFonts w:ascii="Arial" w:hAnsi="Arial" w:cs="Arial"/>
        </w:rPr>
        <w:t>Inspiring shared purpose can be employed by a leader who helps the staff to recogni</w:t>
      </w:r>
      <w:r>
        <w:rPr>
          <w:rFonts w:ascii="Arial" w:hAnsi="Arial" w:cs="Arial"/>
        </w:rPr>
        <w:t>s</w:t>
      </w:r>
      <w:r w:rsidRPr="00C971FA">
        <w:rPr>
          <w:rFonts w:ascii="Arial" w:hAnsi="Arial" w:cs="Arial"/>
        </w:rPr>
        <w:t>e the significance of their role and how their contribution to patient wellbeing works. Effective leaders are also able to inspire teams to work together to achieve a common goal, as they can communicate a clear vision</w:t>
      </w:r>
      <w:r>
        <w:rPr>
          <w:rFonts w:ascii="Arial" w:hAnsi="Arial" w:cs="Arial"/>
        </w:rPr>
        <w:t xml:space="preserve"> (Saleh et al., 2025)</w:t>
      </w:r>
      <w:r w:rsidRPr="00C971FA">
        <w:rPr>
          <w:rFonts w:ascii="Arial" w:hAnsi="Arial" w:cs="Arial"/>
        </w:rPr>
        <w:t>. As an illustration, a ward manager can invite the staff to come up with ideas on how to enhance the patient discharge process, which will make the staff feel appreciated and invested in service delivery. This may stimulate innovation and enhance patient care through enhanced motivation and collective responsibility.</w:t>
      </w:r>
    </w:p>
    <w:p w14:paraId="3DFCC280" w14:textId="77777777" w:rsidR="00826090" w:rsidRDefault="00826090" w:rsidP="00826090">
      <w:pPr>
        <w:spacing w:line="360" w:lineRule="auto"/>
        <w:rPr>
          <w:rFonts w:ascii="Arial" w:hAnsi="Arial" w:cs="Arial"/>
        </w:rPr>
      </w:pPr>
    </w:p>
    <w:p w14:paraId="24BE7BE6" w14:textId="77777777" w:rsidR="00826090" w:rsidRDefault="00826090" w:rsidP="00826090">
      <w:pPr>
        <w:pStyle w:val="Heading1"/>
        <w:spacing w:line="360" w:lineRule="auto"/>
      </w:pPr>
      <w:bookmarkStart w:id="12" w:name="_Toc227001304"/>
      <w:r>
        <w:t>Task 8: Self-Reflective Journal Entry</w:t>
      </w:r>
      <w:bookmarkEnd w:id="12"/>
    </w:p>
    <w:p w14:paraId="3AA3E066" w14:textId="77777777" w:rsidR="00826090" w:rsidRPr="00D50972" w:rsidRDefault="00826090" w:rsidP="00826090">
      <w:pPr>
        <w:spacing w:line="360" w:lineRule="auto"/>
        <w:rPr>
          <w:rFonts w:ascii="Arial" w:hAnsi="Arial" w:cs="Arial"/>
        </w:rPr>
      </w:pPr>
      <w:r w:rsidRPr="00D50972">
        <w:rPr>
          <w:rFonts w:ascii="Arial" w:hAnsi="Arial" w:cs="Arial"/>
        </w:rPr>
        <w:t xml:space="preserve">In this module, my perception of creativity and value creation in health and social care has been greatly enhanced. At first, I thought that creativity meant only to generate entirely new </w:t>
      </w:r>
      <w:r>
        <w:rPr>
          <w:rFonts w:ascii="Arial" w:hAnsi="Arial" w:cs="Arial"/>
        </w:rPr>
        <w:t>ideas,</w:t>
      </w:r>
      <w:r w:rsidRPr="00D50972">
        <w:rPr>
          <w:rFonts w:ascii="Arial" w:hAnsi="Arial" w:cs="Arial"/>
        </w:rPr>
        <w:t xml:space="preserve"> but now I understand that creativity can also be the process of enhancing the current processes and adjusting the practice better to the needs of patients. The education on </w:t>
      </w:r>
      <w:r>
        <w:rPr>
          <w:rFonts w:ascii="Arial" w:hAnsi="Arial" w:cs="Arial"/>
        </w:rPr>
        <w:t>the innovation</w:t>
      </w:r>
      <w:r w:rsidRPr="00D50972">
        <w:rPr>
          <w:rFonts w:ascii="Arial" w:hAnsi="Arial" w:cs="Arial"/>
        </w:rPr>
        <w:t xml:space="preserve"> model and activities like convergent and divergent thinking </w:t>
      </w:r>
      <w:r>
        <w:rPr>
          <w:rFonts w:ascii="Arial" w:hAnsi="Arial" w:cs="Arial"/>
        </w:rPr>
        <w:t>exercises</w:t>
      </w:r>
      <w:r w:rsidRPr="00D50972">
        <w:rPr>
          <w:rFonts w:ascii="Arial" w:hAnsi="Arial" w:cs="Arial"/>
        </w:rPr>
        <w:t xml:space="preserve"> made me realise that care settings can be structured to provide practical solutions to problems.</w:t>
      </w:r>
    </w:p>
    <w:p w14:paraId="46CFE410" w14:textId="71DDF286" w:rsidR="004E752D" w:rsidRPr="00826090" w:rsidRDefault="00826090" w:rsidP="00093937">
      <w:pPr>
        <w:spacing w:line="360" w:lineRule="auto"/>
        <w:rPr>
          <w:rFonts w:ascii="Arial" w:hAnsi="Arial" w:cs="Arial"/>
        </w:rPr>
      </w:pPr>
      <w:r w:rsidRPr="00D50972">
        <w:rPr>
          <w:rFonts w:ascii="Arial" w:hAnsi="Arial" w:cs="Arial"/>
        </w:rPr>
        <w:t xml:space="preserve">I also came to know that value creation does not solely entail cost </w:t>
      </w:r>
      <w:r>
        <w:rPr>
          <w:rFonts w:ascii="Arial" w:hAnsi="Arial" w:cs="Arial"/>
        </w:rPr>
        <w:t>reduction but</w:t>
      </w:r>
      <w:r w:rsidRPr="00D50972">
        <w:rPr>
          <w:rFonts w:ascii="Arial" w:hAnsi="Arial" w:cs="Arial"/>
        </w:rPr>
        <w:t xml:space="preserve"> also enhancing patient outcomes and quality of service. This shifted my thinking on the way healthcare organisations determine success. The examination of the leadership and innovation revealed to me how people with professionalism can impact change by promoting teamwork and fostering new ideas. Transformational Leadership Theory implies that leaders motivate employees by encouraging vision and innovation (Bass and Avolio, 1994) and supported my perception of the value of leadership in healthcare improvement. To use this learning in my future career, I will be open to innovation and actively contribute ideas that will improve patient care.</w:t>
      </w:r>
    </w:p>
    <w:p w14:paraId="65DC6537" w14:textId="26E86D41" w:rsidR="004E752D" w:rsidRDefault="004E752D" w:rsidP="004E752D">
      <w:pPr>
        <w:pStyle w:val="Heading1"/>
        <w:spacing w:line="360" w:lineRule="auto"/>
      </w:pPr>
      <w:bookmarkStart w:id="13" w:name="_Toc226825350"/>
      <w:bookmarkStart w:id="14" w:name="_Toc227001305"/>
      <w:r>
        <w:lastRenderedPageBreak/>
        <w:t>Evidence</w:t>
      </w:r>
      <w:bookmarkEnd w:id="13"/>
      <w:bookmarkEnd w:id="14"/>
    </w:p>
    <w:p w14:paraId="51C78FCD" w14:textId="4B16883E" w:rsidR="004E752D" w:rsidRDefault="004E752D" w:rsidP="004E752D">
      <w:r>
        <w:rPr>
          <w:noProof/>
        </w:rPr>
        <w:drawing>
          <wp:inline distT="0" distB="0" distL="0" distR="0" wp14:anchorId="3A757E80" wp14:editId="4431792C">
            <wp:extent cx="5731510" cy="3727450"/>
            <wp:effectExtent l="0" t="0" r="0" b="6350"/>
            <wp:docPr id="103693338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933385" name="Picture 2" descr="A screenshot of a compu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416C4993" w14:textId="1F7B1E5A" w:rsidR="004E752D" w:rsidRDefault="004E752D" w:rsidP="00093937">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1481B1E" wp14:editId="11F6CD5F">
            <wp:extent cx="5731510" cy="3727450"/>
            <wp:effectExtent l="0" t="0" r="0" b="6350"/>
            <wp:docPr id="2023036526"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36526" name="Picture 3" descr="A screenshot of a computer scree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6D1D52A8" w14:textId="2E0291D5" w:rsidR="004E752D" w:rsidRDefault="004E752D" w:rsidP="00093937">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33A16508" wp14:editId="38077A97">
            <wp:extent cx="5731510" cy="3727450"/>
            <wp:effectExtent l="0" t="0" r="0" b="6350"/>
            <wp:docPr id="155872284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722844" name="Picture 4"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29B09DB8" w14:textId="5D6CD740" w:rsidR="004E752D" w:rsidRDefault="004E752D" w:rsidP="004E752D">
      <w:r>
        <w:rPr>
          <w:noProof/>
        </w:rPr>
        <w:drawing>
          <wp:inline distT="0" distB="0" distL="0" distR="0" wp14:anchorId="338A9C20" wp14:editId="56B6A5E7">
            <wp:extent cx="5731510" cy="3727450"/>
            <wp:effectExtent l="0" t="0" r="0" b="6350"/>
            <wp:docPr id="1943931282"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31282" name="Picture 5"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4AEC51A5" w14:textId="455AD192" w:rsidR="004E752D" w:rsidRDefault="004E752D" w:rsidP="004E752D">
      <w:r>
        <w:rPr>
          <w:noProof/>
        </w:rPr>
        <w:lastRenderedPageBreak/>
        <w:drawing>
          <wp:inline distT="0" distB="0" distL="0" distR="0" wp14:anchorId="4826A807" wp14:editId="6293AF3D">
            <wp:extent cx="5731510" cy="3727450"/>
            <wp:effectExtent l="0" t="0" r="0" b="6350"/>
            <wp:docPr id="1024229494"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29494" name="Picture 6"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37D7D5C3" w14:textId="0ECBB1AF" w:rsidR="004E752D" w:rsidRDefault="004E752D" w:rsidP="004E752D">
      <w:r>
        <w:rPr>
          <w:noProof/>
        </w:rPr>
        <w:drawing>
          <wp:inline distT="0" distB="0" distL="0" distR="0" wp14:anchorId="376C4391" wp14:editId="467A72D2">
            <wp:extent cx="5731510" cy="3727450"/>
            <wp:effectExtent l="0" t="0" r="0" b="6350"/>
            <wp:docPr id="1128384254"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384254" name="Picture 8"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33B26F32" w14:textId="77777777" w:rsidR="003339EB" w:rsidRDefault="003339EB" w:rsidP="00093937">
      <w:pPr>
        <w:spacing w:line="360" w:lineRule="auto"/>
        <w:rPr>
          <w:rFonts w:ascii="Times New Roman" w:hAnsi="Times New Roman" w:cs="Times New Roman"/>
          <w:sz w:val="28"/>
          <w:szCs w:val="28"/>
        </w:rPr>
      </w:pPr>
    </w:p>
    <w:p w14:paraId="665F30D9" w14:textId="77777777" w:rsidR="007256ED" w:rsidRDefault="007256ED" w:rsidP="00093937">
      <w:pPr>
        <w:spacing w:line="360" w:lineRule="auto"/>
        <w:rPr>
          <w:rFonts w:ascii="Times New Roman" w:hAnsi="Times New Roman" w:cs="Times New Roman"/>
          <w:sz w:val="28"/>
          <w:szCs w:val="28"/>
        </w:rPr>
      </w:pPr>
    </w:p>
    <w:p w14:paraId="613F75CA" w14:textId="77777777" w:rsidR="00826090" w:rsidRDefault="00826090" w:rsidP="00826090">
      <w:pPr>
        <w:pStyle w:val="Heading1"/>
        <w:spacing w:line="360" w:lineRule="auto"/>
      </w:pPr>
      <w:bookmarkStart w:id="15" w:name="_Toc227001306"/>
      <w:r>
        <w:lastRenderedPageBreak/>
        <w:t>References</w:t>
      </w:r>
      <w:bookmarkEnd w:id="15"/>
    </w:p>
    <w:p w14:paraId="5A96B2E1" w14:textId="77777777" w:rsidR="00826090" w:rsidRDefault="00826090" w:rsidP="00826090">
      <w:pPr>
        <w:spacing w:line="360" w:lineRule="auto"/>
        <w:rPr>
          <w:rFonts w:ascii="Arial" w:hAnsi="Arial" w:cs="Arial"/>
        </w:rPr>
      </w:pPr>
      <w:r>
        <w:rPr>
          <w:rFonts w:ascii="Arial" w:hAnsi="Arial" w:cs="Arial"/>
        </w:rPr>
        <w:t xml:space="preserve">Amabile, T. (1996) </w:t>
      </w:r>
      <w:r w:rsidRPr="002E33F1">
        <w:rPr>
          <w:rFonts w:ascii="Arial" w:hAnsi="Arial" w:cs="Arial"/>
          <w:i/>
          <w:iCs/>
        </w:rPr>
        <w:t>Creativity in context</w:t>
      </w:r>
      <w:r>
        <w:rPr>
          <w:rFonts w:ascii="Arial" w:hAnsi="Arial" w:cs="Arial"/>
        </w:rPr>
        <w:t>. Boulder, Colorado: Westview Press</w:t>
      </w:r>
    </w:p>
    <w:p w14:paraId="62593C2D" w14:textId="5B2269D2" w:rsidR="00826090" w:rsidRDefault="00826090" w:rsidP="00826090">
      <w:pPr>
        <w:spacing w:line="360" w:lineRule="auto"/>
        <w:rPr>
          <w:rFonts w:ascii="Arial" w:hAnsi="Arial" w:cs="Arial"/>
        </w:rPr>
      </w:pPr>
      <w:r>
        <w:rPr>
          <w:rFonts w:ascii="Arial" w:hAnsi="Arial" w:cs="Arial"/>
        </w:rPr>
        <w:t xml:space="preserve">Barrow, J. M. and </w:t>
      </w:r>
      <w:proofErr w:type="spellStart"/>
      <w:r>
        <w:rPr>
          <w:rFonts w:ascii="Arial" w:hAnsi="Arial" w:cs="Arial"/>
        </w:rPr>
        <w:t>Annamaraju</w:t>
      </w:r>
      <w:proofErr w:type="spellEnd"/>
      <w:r>
        <w:rPr>
          <w:rFonts w:ascii="Arial" w:hAnsi="Arial" w:cs="Arial"/>
        </w:rPr>
        <w:t>, P. (2022) ‘</w:t>
      </w:r>
      <w:r w:rsidRPr="00C851DE">
        <w:rPr>
          <w:rFonts w:ascii="Arial" w:hAnsi="Arial" w:cs="Arial"/>
        </w:rPr>
        <w:t xml:space="preserve">Change Management </w:t>
      </w:r>
      <w:proofErr w:type="gramStart"/>
      <w:r w:rsidRPr="00C851DE">
        <w:rPr>
          <w:rFonts w:ascii="Arial" w:hAnsi="Arial" w:cs="Arial"/>
        </w:rPr>
        <w:t>In</w:t>
      </w:r>
      <w:proofErr w:type="gramEnd"/>
      <w:r w:rsidRPr="00C851DE">
        <w:rPr>
          <w:rFonts w:ascii="Arial" w:hAnsi="Arial" w:cs="Arial"/>
        </w:rPr>
        <w:t xml:space="preserve"> Health Care</w:t>
      </w:r>
      <w:r>
        <w:rPr>
          <w:rFonts w:ascii="Arial" w:hAnsi="Arial" w:cs="Arial"/>
        </w:rPr>
        <w:t xml:space="preserve">’. </w:t>
      </w:r>
      <w:proofErr w:type="spellStart"/>
      <w:r w:rsidRPr="00C851DE">
        <w:rPr>
          <w:rFonts w:ascii="Arial" w:hAnsi="Arial" w:cs="Arial"/>
          <w:i/>
          <w:iCs/>
        </w:rPr>
        <w:t>StatPearls</w:t>
      </w:r>
      <w:proofErr w:type="spellEnd"/>
      <w:r>
        <w:rPr>
          <w:rFonts w:ascii="Arial" w:hAnsi="Arial" w:cs="Arial"/>
        </w:rPr>
        <w:t xml:space="preserve">. 18 September. Available at </w:t>
      </w:r>
      <w:hyperlink r:id="rId13" w:history="1">
        <w:r w:rsidRPr="00CF445E">
          <w:rPr>
            <w:rStyle w:val="Hyperlink"/>
            <w:rFonts w:ascii="Arial" w:hAnsi="Arial" w:cs="Arial"/>
          </w:rPr>
          <w:t>https://www.ncbi.nlm.nih.gov/b</w:t>
        </w:r>
        <w:r w:rsidRPr="00CF445E">
          <w:rPr>
            <w:rStyle w:val="Hyperlink"/>
            <w:rFonts w:ascii="Arial" w:hAnsi="Arial" w:cs="Arial"/>
          </w:rPr>
          <w:t>o</w:t>
        </w:r>
        <w:r w:rsidRPr="00CF445E">
          <w:rPr>
            <w:rStyle w:val="Hyperlink"/>
            <w:rFonts w:ascii="Arial" w:hAnsi="Arial" w:cs="Arial"/>
          </w:rPr>
          <w:t>oks/NBK459380</w:t>
        </w:r>
      </w:hyperlink>
      <w:r>
        <w:rPr>
          <w:rFonts w:ascii="Arial" w:hAnsi="Arial" w:cs="Arial"/>
        </w:rPr>
        <w:t xml:space="preserve"> </w:t>
      </w:r>
      <w:r w:rsidR="002C1F28">
        <w:rPr>
          <w:rFonts w:ascii="Arial" w:hAnsi="Arial" w:cs="Arial"/>
        </w:rPr>
        <w:t>(Accessed date 18th March 2026)</w:t>
      </w:r>
    </w:p>
    <w:p w14:paraId="14666D68" w14:textId="77777777" w:rsidR="00826090" w:rsidRDefault="00826090" w:rsidP="00826090">
      <w:pPr>
        <w:spacing w:line="360" w:lineRule="auto"/>
        <w:rPr>
          <w:rFonts w:ascii="Arial" w:hAnsi="Arial" w:cs="Arial"/>
        </w:rPr>
      </w:pPr>
      <w:r>
        <w:rPr>
          <w:rFonts w:ascii="Arial" w:hAnsi="Arial" w:cs="Arial"/>
        </w:rPr>
        <w:t xml:space="preserve">Bass, B. M. and Avolio, B. J. (1994) </w:t>
      </w:r>
      <w:r w:rsidRPr="00D50972">
        <w:rPr>
          <w:rFonts w:ascii="Arial" w:hAnsi="Arial" w:cs="Arial"/>
          <w:i/>
          <w:iCs/>
        </w:rPr>
        <w:t>Improving Organizational Effectiveness Through Transformational Leadership</w:t>
      </w:r>
      <w:r>
        <w:rPr>
          <w:rFonts w:ascii="Arial" w:hAnsi="Arial" w:cs="Arial"/>
        </w:rPr>
        <w:t>. Thousand Oaks, CA: Sage</w:t>
      </w:r>
    </w:p>
    <w:p w14:paraId="387FE734" w14:textId="3BE11E10" w:rsidR="00826090" w:rsidRDefault="00826090" w:rsidP="00826090">
      <w:pPr>
        <w:spacing w:line="360" w:lineRule="auto"/>
        <w:rPr>
          <w:rFonts w:ascii="Arial" w:hAnsi="Arial" w:cs="Arial"/>
        </w:rPr>
      </w:pPr>
      <w:r>
        <w:rPr>
          <w:rFonts w:ascii="Arial" w:hAnsi="Arial" w:cs="Arial"/>
        </w:rPr>
        <w:t>Bernard, B. (2007) ‘</w:t>
      </w:r>
      <w:r w:rsidRPr="00C851DE">
        <w:rPr>
          <w:rFonts w:ascii="Arial" w:hAnsi="Arial" w:cs="Arial"/>
        </w:rPr>
        <w:t>Kurt Lewin and the Harwood Studies: The Foundations of OD</w:t>
      </w:r>
      <w:r>
        <w:rPr>
          <w:rFonts w:ascii="Arial" w:hAnsi="Arial" w:cs="Arial"/>
        </w:rPr>
        <w:t xml:space="preserve">’. </w:t>
      </w:r>
      <w:r w:rsidRPr="00C851DE">
        <w:rPr>
          <w:rFonts w:ascii="Arial" w:hAnsi="Arial" w:cs="Arial"/>
          <w:i/>
          <w:iCs/>
        </w:rPr>
        <w:t xml:space="preserve">Journal of Applied </w:t>
      </w:r>
      <w:proofErr w:type="spellStart"/>
      <w:r w:rsidRPr="00C851DE">
        <w:rPr>
          <w:rFonts w:ascii="Arial" w:hAnsi="Arial" w:cs="Arial"/>
          <w:i/>
          <w:iCs/>
        </w:rPr>
        <w:t>Behavioral</w:t>
      </w:r>
      <w:proofErr w:type="spellEnd"/>
      <w:r w:rsidRPr="00C851DE">
        <w:rPr>
          <w:rFonts w:ascii="Arial" w:hAnsi="Arial" w:cs="Arial"/>
          <w:i/>
          <w:iCs/>
        </w:rPr>
        <w:t xml:space="preserve"> Science</w:t>
      </w:r>
      <w:r w:rsidRPr="00C851DE">
        <w:rPr>
          <w:rFonts w:ascii="Arial" w:hAnsi="Arial" w:cs="Arial"/>
        </w:rPr>
        <w:t xml:space="preserve">; Vol. 43, </w:t>
      </w:r>
      <w:proofErr w:type="spellStart"/>
      <w:r w:rsidRPr="00C851DE">
        <w:rPr>
          <w:rFonts w:ascii="Arial" w:hAnsi="Arial" w:cs="Arial"/>
        </w:rPr>
        <w:t>Iss</w:t>
      </w:r>
      <w:proofErr w:type="spellEnd"/>
      <w:r w:rsidRPr="00C851DE">
        <w:rPr>
          <w:rFonts w:ascii="Arial" w:hAnsi="Arial" w:cs="Arial"/>
        </w:rPr>
        <w:t>. 2: 213-224,227-231.</w:t>
      </w:r>
      <w:r>
        <w:rPr>
          <w:rFonts w:ascii="Arial" w:hAnsi="Arial" w:cs="Arial"/>
        </w:rPr>
        <w:t xml:space="preserve"> Available at </w:t>
      </w:r>
      <w:hyperlink r:id="rId14" w:history="1">
        <w:r w:rsidRPr="00CF445E">
          <w:rPr>
            <w:rStyle w:val="Hyperlink"/>
            <w:rFonts w:ascii="Arial" w:hAnsi="Arial" w:cs="Arial"/>
          </w:rPr>
          <w:t>https://www.proquest.com/docview/236352</w:t>
        </w:r>
        <w:r w:rsidRPr="00CF445E">
          <w:rPr>
            <w:rStyle w:val="Hyperlink"/>
            <w:rFonts w:ascii="Arial" w:hAnsi="Arial" w:cs="Arial"/>
          </w:rPr>
          <w:t>4</w:t>
        </w:r>
        <w:r w:rsidRPr="00CF445E">
          <w:rPr>
            <w:rStyle w:val="Hyperlink"/>
            <w:rFonts w:ascii="Arial" w:hAnsi="Arial" w:cs="Arial"/>
          </w:rPr>
          <w:t>06?sourcetype=Scholarly%20Journals</w:t>
        </w:r>
      </w:hyperlink>
      <w:r>
        <w:rPr>
          <w:rFonts w:ascii="Arial" w:hAnsi="Arial" w:cs="Arial"/>
        </w:rPr>
        <w:t xml:space="preserve"> </w:t>
      </w:r>
      <w:r w:rsidR="002C1F28">
        <w:rPr>
          <w:rFonts w:ascii="Arial" w:hAnsi="Arial" w:cs="Arial"/>
        </w:rPr>
        <w:t>(</w:t>
      </w:r>
      <w:r w:rsidR="002C1F28">
        <w:rPr>
          <w:rFonts w:ascii="Arial" w:hAnsi="Arial" w:cs="Arial"/>
        </w:rPr>
        <w:t>Accessed date 1</w:t>
      </w:r>
      <w:r w:rsidR="002C1F28">
        <w:rPr>
          <w:rFonts w:ascii="Arial" w:hAnsi="Arial" w:cs="Arial"/>
        </w:rPr>
        <w:t>8</w:t>
      </w:r>
      <w:r w:rsidR="002C1F28" w:rsidRPr="002C1F28">
        <w:rPr>
          <w:rFonts w:ascii="Arial" w:hAnsi="Arial" w:cs="Arial"/>
          <w:vertAlign w:val="superscript"/>
        </w:rPr>
        <w:t>th</w:t>
      </w:r>
      <w:r w:rsidR="002C1F28">
        <w:rPr>
          <w:rFonts w:ascii="Arial" w:hAnsi="Arial" w:cs="Arial"/>
        </w:rPr>
        <w:t xml:space="preserve"> March</w:t>
      </w:r>
      <w:r w:rsidR="002C1F28">
        <w:rPr>
          <w:rFonts w:ascii="Arial" w:hAnsi="Arial" w:cs="Arial"/>
        </w:rPr>
        <w:t xml:space="preserve"> 2026)</w:t>
      </w:r>
    </w:p>
    <w:p w14:paraId="1DD5871E" w14:textId="65026233" w:rsidR="00826090" w:rsidRDefault="00826090" w:rsidP="00826090">
      <w:pPr>
        <w:spacing w:line="360" w:lineRule="auto"/>
        <w:rPr>
          <w:rFonts w:ascii="Arial" w:hAnsi="Arial" w:cs="Arial"/>
        </w:rPr>
      </w:pPr>
      <w:proofErr w:type="spellStart"/>
      <w:r>
        <w:rPr>
          <w:rFonts w:ascii="Arial" w:hAnsi="Arial" w:cs="Arial"/>
        </w:rPr>
        <w:t>Dall’Ora</w:t>
      </w:r>
      <w:proofErr w:type="spellEnd"/>
      <w:r>
        <w:rPr>
          <w:rFonts w:ascii="Arial" w:hAnsi="Arial" w:cs="Arial"/>
        </w:rPr>
        <w:t xml:space="preserve">, C., Ball, J., </w:t>
      </w:r>
      <w:proofErr w:type="spellStart"/>
      <w:r>
        <w:rPr>
          <w:rFonts w:ascii="Arial" w:hAnsi="Arial" w:cs="Arial"/>
        </w:rPr>
        <w:t>Reinius</w:t>
      </w:r>
      <w:proofErr w:type="spellEnd"/>
      <w:r>
        <w:rPr>
          <w:rFonts w:ascii="Arial" w:hAnsi="Arial" w:cs="Arial"/>
        </w:rPr>
        <w:t>, M., and Griffiths, P. (2020) ‘</w:t>
      </w:r>
      <w:r w:rsidRPr="008528B3">
        <w:rPr>
          <w:rFonts w:ascii="Arial" w:hAnsi="Arial" w:cs="Arial"/>
        </w:rPr>
        <w:t>Burnout in nursing: a theoretical review</w:t>
      </w:r>
      <w:r>
        <w:rPr>
          <w:rFonts w:ascii="Arial" w:hAnsi="Arial" w:cs="Arial"/>
        </w:rPr>
        <w:t xml:space="preserve">’. Human Resources for Health. </w:t>
      </w:r>
      <w:r w:rsidRPr="008528B3">
        <w:rPr>
          <w:rFonts w:ascii="Arial" w:hAnsi="Arial" w:cs="Arial"/>
        </w:rPr>
        <w:t xml:space="preserve">18:41. </w:t>
      </w:r>
      <w:proofErr w:type="spellStart"/>
      <w:r w:rsidRPr="008528B3">
        <w:rPr>
          <w:rFonts w:ascii="Arial" w:hAnsi="Arial" w:cs="Arial"/>
        </w:rPr>
        <w:t>doi</w:t>
      </w:r>
      <w:proofErr w:type="spellEnd"/>
      <w:r w:rsidRPr="008528B3">
        <w:rPr>
          <w:rFonts w:ascii="Arial" w:hAnsi="Arial" w:cs="Arial"/>
        </w:rPr>
        <w:t>: 10.1186/s12960-020-00469-9</w:t>
      </w:r>
      <w:r>
        <w:rPr>
          <w:rFonts w:ascii="Arial" w:hAnsi="Arial" w:cs="Arial"/>
        </w:rPr>
        <w:t xml:space="preserve">. Available at </w:t>
      </w:r>
      <w:hyperlink r:id="rId15" w:history="1">
        <w:r w:rsidRPr="00CF445E">
          <w:rPr>
            <w:rStyle w:val="Hyperlink"/>
            <w:rFonts w:ascii="Arial" w:hAnsi="Arial" w:cs="Arial"/>
          </w:rPr>
          <w:t>https://pmc.ncbi.nlm.nih.gov/artic</w:t>
        </w:r>
        <w:r w:rsidRPr="00CF445E">
          <w:rPr>
            <w:rStyle w:val="Hyperlink"/>
            <w:rFonts w:ascii="Arial" w:hAnsi="Arial" w:cs="Arial"/>
          </w:rPr>
          <w:t>l</w:t>
        </w:r>
        <w:r w:rsidRPr="00CF445E">
          <w:rPr>
            <w:rStyle w:val="Hyperlink"/>
            <w:rFonts w:ascii="Arial" w:hAnsi="Arial" w:cs="Arial"/>
          </w:rPr>
          <w:t>es/PMC7273381</w:t>
        </w:r>
      </w:hyperlink>
      <w:r>
        <w:rPr>
          <w:rFonts w:ascii="Arial" w:hAnsi="Arial" w:cs="Arial"/>
        </w:rPr>
        <w:t xml:space="preserve"> </w:t>
      </w:r>
      <w:r w:rsidR="002C1F28">
        <w:rPr>
          <w:rFonts w:ascii="Arial" w:hAnsi="Arial" w:cs="Arial"/>
        </w:rPr>
        <w:t>(Accessed date 19</w:t>
      </w:r>
      <w:r w:rsidR="002C1F28" w:rsidRPr="002C1F28">
        <w:rPr>
          <w:rFonts w:ascii="Arial" w:hAnsi="Arial" w:cs="Arial"/>
          <w:vertAlign w:val="superscript"/>
        </w:rPr>
        <w:t>th</w:t>
      </w:r>
      <w:r w:rsidR="002C1F28">
        <w:rPr>
          <w:rFonts w:ascii="Arial" w:hAnsi="Arial" w:cs="Arial"/>
        </w:rPr>
        <w:t xml:space="preserve"> March 2026)</w:t>
      </w:r>
    </w:p>
    <w:p w14:paraId="23AD397B" w14:textId="789BE4F5" w:rsidR="00826090" w:rsidRDefault="00826090" w:rsidP="00826090">
      <w:pPr>
        <w:spacing w:line="360" w:lineRule="auto"/>
        <w:rPr>
          <w:rFonts w:ascii="Arial" w:hAnsi="Arial" w:cs="Arial"/>
        </w:rPr>
      </w:pPr>
      <w:r>
        <w:rPr>
          <w:rFonts w:ascii="Arial" w:hAnsi="Arial" w:cs="Arial"/>
        </w:rPr>
        <w:t>Davis, F. D. (1989) ‘</w:t>
      </w:r>
      <w:r w:rsidRPr="004949AF">
        <w:rPr>
          <w:rFonts w:ascii="Arial" w:hAnsi="Arial" w:cs="Arial"/>
        </w:rPr>
        <w:t>Perceived Usefulness, Perceived Ease of Use, and User Acceptance of Information Technology</w:t>
      </w:r>
      <w:r>
        <w:rPr>
          <w:rFonts w:ascii="Arial" w:hAnsi="Arial" w:cs="Arial"/>
        </w:rPr>
        <w:t xml:space="preserve">’. </w:t>
      </w:r>
      <w:r w:rsidRPr="004949AF">
        <w:rPr>
          <w:rFonts w:ascii="Arial" w:hAnsi="Arial" w:cs="Arial"/>
          <w:i/>
          <w:iCs/>
        </w:rPr>
        <w:t>MIS Quarterly</w:t>
      </w:r>
      <w:r>
        <w:rPr>
          <w:rFonts w:ascii="Arial" w:hAnsi="Arial" w:cs="Arial"/>
        </w:rPr>
        <w:t xml:space="preserve">. </w:t>
      </w:r>
      <w:r w:rsidRPr="004949AF">
        <w:rPr>
          <w:rFonts w:ascii="Arial" w:hAnsi="Arial" w:cs="Arial"/>
        </w:rPr>
        <w:t>Vol. 13, No. 3</w:t>
      </w:r>
      <w:r>
        <w:rPr>
          <w:rFonts w:ascii="Arial" w:hAnsi="Arial" w:cs="Arial"/>
        </w:rPr>
        <w:t xml:space="preserve">, </w:t>
      </w:r>
      <w:r w:rsidRPr="004949AF">
        <w:rPr>
          <w:rFonts w:ascii="Arial" w:hAnsi="Arial" w:cs="Arial"/>
        </w:rPr>
        <w:t>pp. 319-340</w:t>
      </w:r>
      <w:r>
        <w:rPr>
          <w:rFonts w:ascii="Arial" w:hAnsi="Arial" w:cs="Arial"/>
        </w:rPr>
        <w:t xml:space="preserve">. Available at </w:t>
      </w:r>
      <w:hyperlink r:id="rId16" w:history="1">
        <w:r w:rsidRPr="00CF445E">
          <w:rPr>
            <w:rStyle w:val="Hyperlink"/>
            <w:rFonts w:ascii="Arial" w:hAnsi="Arial" w:cs="Arial"/>
          </w:rPr>
          <w:t>https://www.jstor.o</w:t>
        </w:r>
        <w:r w:rsidRPr="00CF445E">
          <w:rPr>
            <w:rStyle w:val="Hyperlink"/>
            <w:rFonts w:ascii="Arial" w:hAnsi="Arial" w:cs="Arial"/>
          </w:rPr>
          <w:t>r</w:t>
        </w:r>
        <w:r w:rsidRPr="00CF445E">
          <w:rPr>
            <w:rStyle w:val="Hyperlink"/>
            <w:rFonts w:ascii="Arial" w:hAnsi="Arial" w:cs="Arial"/>
          </w:rPr>
          <w:t>g/stable/249008</w:t>
        </w:r>
      </w:hyperlink>
      <w:r>
        <w:rPr>
          <w:rFonts w:ascii="Arial" w:hAnsi="Arial" w:cs="Arial"/>
        </w:rPr>
        <w:t xml:space="preserve"> </w:t>
      </w:r>
      <w:r w:rsidR="002C1F28">
        <w:rPr>
          <w:rFonts w:ascii="Arial" w:hAnsi="Arial" w:cs="Arial"/>
        </w:rPr>
        <w:t>(Accessed date 20</w:t>
      </w:r>
      <w:r w:rsidR="002C1F28" w:rsidRPr="002C1F28">
        <w:rPr>
          <w:rFonts w:ascii="Arial" w:hAnsi="Arial" w:cs="Arial"/>
          <w:vertAlign w:val="superscript"/>
        </w:rPr>
        <w:t>th</w:t>
      </w:r>
      <w:r w:rsidR="002C1F28">
        <w:rPr>
          <w:rFonts w:ascii="Arial" w:hAnsi="Arial" w:cs="Arial"/>
        </w:rPr>
        <w:t xml:space="preserve"> March 2026)</w:t>
      </w:r>
    </w:p>
    <w:p w14:paraId="4782E446" w14:textId="36DB4D98" w:rsidR="00826090" w:rsidRDefault="00826090" w:rsidP="00826090">
      <w:pPr>
        <w:spacing w:line="360" w:lineRule="auto"/>
        <w:rPr>
          <w:rFonts w:ascii="Arial" w:hAnsi="Arial" w:cs="Arial"/>
        </w:rPr>
      </w:pPr>
      <w:r>
        <w:rPr>
          <w:rFonts w:ascii="Arial" w:hAnsi="Arial" w:cs="Arial"/>
        </w:rPr>
        <w:t xml:space="preserve">De Santis, K. K., </w:t>
      </w:r>
      <w:proofErr w:type="spellStart"/>
      <w:r>
        <w:rPr>
          <w:rFonts w:ascii="Arial" w:hAnsi="Arial" w:cs="Arial"/>
        </w:rPr>
        <w:t>Mergenthal</w:t>
      </w:r>
      <w:proofErr w:type="spellEnd"/>
      <w:r>
        <w:rPr>
          <w:rFonts w:ascii="Arial" w:hAnsi="Arial" w:cs="Arial"/>
        </w:rPr>
        <w:t xml:space="preserve">, L., Christianson, L., and </w:t>
      </w:r>
      <w:proofErr w:type="spellStart"/>
      <w:r>
        <w:rPr>
          <w:rFonts w:ascii="Arial" w:hAnsi="Arial" w:cs="Arial"/>
        </w:rPr>
        <w:t>Zeeb</w:t>
      </w:r>
      <w:proofErr w:type="spellEnd"/>
      <w:r>
        <w:rPr>
          <w:rFonts w:ascii="Arial" w:hAnsi="Arial" w:cs="Arial"/>
        </w:rPr>
        <w:t>, H. (2022) ‘</w:t>
      </w:r>
      <w:r w:rsidRPr="00C971FA">
        <w:rPr>
          <w:rFonts w:ascii="Arial" w:hAnsi="Arial" w:cs="Arial"/>
        </w:rPr>
        <w:t>Digital Technologies for Health Promotion and Disease Prevention in Older People: Protocol for a Scoping Review</w:t>
      </w:r>
      <w:r>
        <w:rPr>
          <w:rFonts w:ascii="Arial" w:hAnsi="Arial" w:cs="Arial"/>
        </w:rPr>
        <w:t xml:space="preserve">’. </w:t>
      </w:r>
      <w:r w:rsidRPr="00C971FA">
        <w:rPr>
          <w:rFonts w:ascii="Arial" w:hAnsi="Arial" w:cs="Arial"/>
          <w:i/>
          <w:iCs/>
        </w:rPr>
        <w:t>JMIR Research Protocols</w:t>
      </w:r>
      <w:r>
        <w:rPr>
          <w:rFonts w:ascii="Arial" w:hAnsi="Arial" w:cs="Arial"/>
        </w:rPr>
        <w:t xml:space="preserve">. </w:t>
      </w:r>
      <w:r w:rsidRPr="00C971FA">
        <w:rPr>
          <w:rFonts w:ascii="Arial" w:hAnsi="Arial" w:cs="Arial"/>
        </w:rPr>
        <w:t>11(7):</w:t>
      </w:r>
      <w:r>
        <w:rPr>
          <w:rFonts w:ascii="Arial" w:hAnsi="Arial" w:cs="Arial"/>
        </w:rPr>
        <w:t xml:space="preserve"> </w:t>
      </w:r>
      <w:r w:rsidRPr="00C971FA">
        <w:rPr>
          <w:rFonts w:ascii="Arial" w:hAnsi="Arial" w:cs="Arial"/>
        </w:rPr>
        <w:t xml:space="preserve">e37729. </w:t>
      </w:r>
      <w:proofErr w:type="spellStart"/>
      <w:r w:rsidRPr="00C971FA">
        <w:rPr>
          <w:rFonts w:ascii="Arial" w:hAnsi="Arial" w:cs="Arial"/>
        </w:rPr>
        <w:t>doi</w:t>
      </w:r>
      <w:proofErr w:type="spellEnd"/>
      <w:r w:rsidRPr="00C971FA">
        <w:rPr>
          <w:rFonts w:ascii="Arial" w:hAnsi="Arial" w:cs="Arial"/>
        </w:rPr>
        <w:t>: 10.2196/37729</w:t>
      </w:r>
      <w:r>
        <w:rPr>
          <w:rFonts w:ascii="Arial" w:hAnsi="Arial" w:cs="Arial"/>
        </w:rPr>
        <w:t xml:space="preserve">. Available at </w:t>
      </w:r>
      <w:hyperlink r:id="rId17" w:history="1">
        <w:r w:rsidRPr="00CF445E">
          <w:rPr>
            <w:rStyle w:val="Hyperlink"/>
            <w:rFonts w:ascii="Arial" w:hAnsi="Arial" w:cs="Arial"/>
          </w:rPr>
          <w:t>https://pmc.ncbi.nlm.n</w:t>
        </w:r>
        <w:r w:rsidRPr="00CF445E">
          <w:rPr>
            <w:rStyle w:val="Hyperlink"/>
            <w:rFonts w:ascii="Arial" w:hAnsi="Arial" w:cs="Arial"/>
          </w:rPr>
          <w:t>i</w:t>
        </w:r>
        <w:r w:rsidRPr="00CF445E">
          <w:rPr>
            <w:rStyle w:val="Hyperlink"/>
            <w:rFonts w:ascii="Arial" w:hAnsi="Arial" w:cs="Arial"/>
          </w:rPr>
          <w:t>h.gov/articles/PMC9353678</w:t>
        </w:r>
      </w:hyperlink>
      <w:r>
        <w:rPr>
          <w:rFonts w:ascii="Arial" w:hAnsi="Arial" w:cs="Arial"/>
        </w:rPr>
        <w:t xml:space="preserve"> </w:t>
      </w:r>
      <w:r w:rsidR="002C1F28">
        <w:rPr>
          <w:rFonts w:ascii="Arial" w:hAnsi="Arial" w:cs="Arial"/>
        </w:rPr>
        <w:t xml:space="preserve">(Accessed date </w:t>
      </w:r>
      <w:proofErr w:type="gramStart"/>
      <w:r w:rsidR="002C1F28">
        <w:rPr>
          <w:rFonts w:ascii="Arial" w:hAnsi="Arial" w:cs="Arial"/>
        </w:rPr>
        <w:t>3</w:t>
      </w:r>
      <w:r w:rsidR="002C1F28" w:rsidRPr="002C1F28">
        <w:rPr>
          <w:rFonts w:ascii="Arial" w:hAnsi="Arial" w:cs="Arial"/>
          <w:vertAlign w:val="superscript"/>
        </w:rPr>
        <w:t>th</w:t>
      </w:r>
      <w:proofErr w:type="gramEnd"/>
      <w:r w:rsidR="002C1F28">
        <w:rPr>
          <w:rFonts w:ascii="Arial" w:hAnsi="Arial" w:cs="Arial"/>
        </w:rPr>
        <w:t xml:space="preserve"> April 2026)</w:t>
      </w:r>
    </w:p>
    <w:p w14:paraId="037C1AF0" w14:textId="5B225565" w:rsidR="00826090" w:rsidRDefault="00826090" w:rsidP="00826090">
      <w:pPr>
        <w:spacing w:line="360" w:lineRule="auto"/>
        <w:rPr>
          <w:rFonts w:ascii="Arial" w:hAnsi="Arial" w:cs="Arial"/>
        </w:rPr>
      </w:pPr>
      <w:proofErr w:type="spellStart"/>
      <w:r>
        <w:rPr>
          <w:rFonts w:ascii="Arial" w:hAnsi="Arial" w:cs="Arial"/>
        </w:rPr>
        <w:t>Flessa</w:t>
      </w:r>
      <w:proofErr w:type="spellEnd"/>
      <w:r>
        <w:rPr>
          <w:rFonts w:ascii="Arial" w:hAnsi="Arial" w:cs="Arial"/>
        </w:rPr>
        <w:t>, S. and Huebner, C. (2021) 'Innovations</w:t>
      </w:r>
      <w:r w:rsidRPr="002E33F1">
        <w:rPr>
          <w:rFonts w:ascii="Arial" w:hAnsi="Arial" w:cs="Arial"/>
        </w:rPr>
        <w:t xml:space="preserve"> in Health Care—A Conceptual Framework</w:t>
      </w:r>
      <w:r>
        <w:rPr>
          <w:rFonts w:ascii="Arial" w:hAnsi="Arial" w:cs="Arial"/>
        </w:rPr>
        <w:t xml:space="preserve">’. </w:t>
      </w:r>
      <w:r w:rsidRPr="002E33F1">
        <w:rPr>
          <w:rFonts w:ascii="Arial" w:hAnsi="Arial" w:cs="Arial"/>
          <w:i/>
          <w:iCs/>
        </w:rPr>
        <w:t>International Journal of Environmental Research and Public Health</w:t>
      </w:r>
      <w:r>
        <w:rPr>
          <w:rFonts w:ascii="Arial" w:hAnsi="Arial" w:cs="Arial"/>
        </w:rPr>
        <w:t xml:space="preserve">. </w:t>
      </w:r>
      <w:r w:rsidRPr="002E33F1">
        <w:rPr>
          <w:rFonts w:ascii="Arial" w:hAnsi="Arial" w:cs="Arial"/>
        </w:rPr>
        <w:t xml:space="preserve">18(19):10026. </w:t>
      </w:r>
      <w:proofErr w:type="spellStart"/>
      <w:r w:rsidRPr="002E33F1">
        <w:rPr>
          <w:rFonts w:ascii="Arial" w:hAnsi="Arial" w:cs="Arial"/>
        </w:rPr>
        <w:t>doi</w:t>
      </w:r>
      <w:proofErr w:type="spellEnd"/>
      <w:r w:rsidRPr="002E33F1">
        <w:rPr>
          <w:rFonts w:ascii="Arial" w:hAnsi="Arial" w:cs="Arial"/>
        </w:rPr>
        <w:t>: 10.3390/ijerph181910026</w:t>
      </w:r>
      <w:r>
        <w:rPr>
          <w:rFonts w:ascii="Arial" w:hAnsi="Arial" w:cs="Arial"/>
        </w:rPr>
        <w:t xml:space="preserve">. Available at </w:t>
      </w:r>
      <w:hyperlink r:id="rId18" w:history="1">
        <w:r w:rsidRPr="00CF445E">
          <w:rPr>
            <w:rStyle w:val="Hyperlink"/>
            <w:rFonts w:ascii="Arial" w:hAnsi="Arial" w:cs="Arial"/>
          </w:rPr>
          <w:t>https://pmc.ncbi.nlm.nih.go</w:t>
        </w:r>
        <w:r w:rsidRPr="00CF445E">
          <w:rPr>
            <w:rStyle w:val="Hyperlink"/>
            <w:rFonts w:ascii="Arial" w:hAnsi="Arial" w:cs="Arial"/>
          </w:rPr>
          <w:t>v</w:t>
        </w:r>
        <w:r w:rsidRPr="00CF445E">
          <w:rPr>
            <w:rStyle w:val="Hyperlink"/>
            <w:rFonts w:ascii="Arial" w:hAnsi="Arial" w:cs="Arial"/>
          </w:rPr>
          <w:t>/articles/PMC8508443</w:t>
        </w:r>
      </w:hyperlink>
      <w:r>
        <w:rPr>
          <w:rFonts w:ascii="Arial" w:hAnsi="Arial" w:cs="Arial"/>
        </w:rPr>
        <w:t xml:space="preserve"> </w:t>
      </w:r>
      <w:r w:rsidR="002C1F28">
        <w:rPr>
          <w:rFonts w:ascii="Arial" w:hAnsi="Arial" w:cs="Arial"/>
        </w:rPr>
        <w:t xml:space="preserve">(Accessed date </w:t>
      </w:r>
      <w:proofErr w:type="gramStart"/>
      <w:r w:rsidR="002C1F28">
        <w:rPr>
          <w:rFonts w:ascii="Arial" w:hAnsi="Arial" w:cs="Arial"/>
        </w:rPr>
        <w:t>3</w:t>
      </w:r>
      <w:r w:rsidR="002C1F28" w:rsidRPr="002C1F28">
        <w:rPr>
          <w:rFonts w:ascii="Arial" w:hAnsi="Arial" w:cs="Arial"/>
          <w:vertAlign w:val="superscript"/>
        </w:rPr>
        <w:t>th</w:t>
      </w:r>
      <w:proofErr w:type="gramEnd"/>
      <w:r w:rsidR="002C1F28">
        <w:rPr>
          <w:rFonts w:ascii="Arial" w:hAnsi="Arial" w:cs="Arial"/>
        </w:rPr>
        <w:t xml:space="preserve"> April 2026)</w:t>
      </w:r>
    </w:p>
    <w:p w14:paraId="4B2223EE" w14:textId="77777777" w:rsidR="00826090" w:rsidRDefault="00826090" w:rsidP="00826090">
      <w:pPr>
        <w:spacing w:line="360" w:lineRule="auto"/>
        <w:rPr>
          <w:rFonts w:ascii="Arial" w:hAnsi="Arial" w:cs="Arial"/>
        </w:rPr>
      </w:pPr>
      <w:r w:rsidRPr="006F52BA">
        <w:rPr>
          <w:rFonts w:ascii="Arial" w:hAnsi="Arial" w:cs="Arial"/>
        </w:rPr>
        <w:t xml:space="preserve">Gibbs, G. (1988) </w:t>
      </w:r>
      <w:r w:rsidRPr="006F52BA">
        <w:rPr>
          <w:rFonts w:ascii="Arial" w:hAnsi="Arial" w:cs="Arial"/>
          <w:i/>
          <w:iCs/>
        </w:rPr>
        <w:t>Learning by doing: A guide to teaching and learning methods</w:t>
      </w:r>
      <w:r w:rsidRPr="006F52BA">
        <w:rPr>
          <w:rFonts w:ascii="Arial" w:hAnsi="Arial" w:cs="Arial"/>
        </w:rPr>
        <w:t>. Oxford Polytechnic, Oxford</w:t>
      </w:r>
      <w:r>
        <w:rPr>
          <w:rFonts w:ascii="Arial" w:hAnsi="Arial" w:cs="Arial"/>
        </w:rPr>
        <w:t xml:space="preserve">: </w:t>
      </w:r>
      <w:r w:rsidRPr="006F52BA">
        <w:rPr>
          <w:rFonts w:ascii="Arial" w:hAnsi="Arial" w:cs="Arial"/>
        </w:rPr>
        <w:t>Further Educational Unit</w:t>
      </w:r>
    </w:p>
    <w:p w14:paraId="77C94AE2" w14:textId="4F32D7E9" w:rsidR="00826090" w:rsidRDefault="00826090" w:rsidP="00826090">
      <w:pPr>
        <w:spacing w:line="360" w:lineRule="auto"/>
        <w:rPr>
          <w:rFonts w:ascii="Arial" w:hAnsi="Arial" w:cs="Arial"/>
        </w:rPr>
      </w:pPr>
      <w:r>
        <w:rPr>
          <w:rFonts w:ascii="Arial" w:hAnsi="Arial" w:cs="Arial"/>
        </w:rPr>
        <w:lastRenderedPageBreak/>
        <w:t xml:space="preserve">Hall, L. H., Johnson, J., Watt, I., </w:t>
      </w:r>
      <w:proofErr w:type="spellStart"/>
      <w:r>
        <w:rPr>
          <w:rFonts w:ascii="Arial" w:hAnsi="Arial" w:cs="Arial"/>
        </w:rPr>
        <w:t>Tsipa</w:t>
      </w:r>
      <w:proofErr w:type="spellEnd"/>
      <w:r>
        <w:rPr>
          <w:rFonts w:ascii="Arial" w:hAnsi="Arial" w:cs="Arial"/>
        </w:rPr>
        <w:t>, A., and O’Connor, D. B. (2016) ‘</w:t>
      </w:r>
      <w:r w:rsidRPr="00E52705">
        <w:rPr>
          <w:rFonts w:ascii="Arial" w:hAnsi="Arial" w:cs="Arial"/>
        </w:rPr>
        <w:t>Healthcare Staff Wellbeing, Burnout, and Patient Safety: A Systematic Review</w:t>
      </w:r>
      <w:r>
        <w:rPr>
          <w:rFonts w:ascii="Arial" w:hAnsi="Arial" w:cs="Arial"/>
        </w:rPr>
        <w:t xml:space="preserve">’. </w:t>
      </w:r>
      <w:proofErr w:type="spellStart"/>
      <w:r w:rsidRPr="00E52705">
        <w:rPr>
          <w:rFonts w:ascii="Arial" w:hAnsi="Arial" w:cs="Arial"/>
          <w:i/>
          <w:iCs/>
        </w:rPr>
        <w:t>PloS</w:t>
      </w:r>
      <w:proofErr w:type="spellEnd"/>
      <w:r w:rsidRPr="00E52705">
        <w:rPr>
          <w:rFonts w:ascii="Arial" w:hAnsi="Arial" w:cs="Arial"/>
          <w:i/>
          <w:iCs/>
        </w:rPr>
        <w:t xml:space="preserve"> One</w:t>
      </w:r>
      <w:r>
        <w:rPr>
          <w:rFonts w:ascii="Arial" w:hAnsi="Arial" w:cs="Arial"/>
        </w:rPr>
        <w:t xml:space="preserve">. Available at </w:t>
      </w:r>
      <w:hyperlink r:id="rId19" w:history="1">
        <w:r w:rsidRPr="00CF445E">
          <w:rPr>
            <w:rStyle w:val="Hyperlink"/>
            <w:rFonts w:ascii="Arial" w:hAnsi="Arial" w:cs="Arial"/>
          </w:rPr>
          <w:t>https://doi.org/10.1371/journal.pone.01</w:t>
        </w:r>
        <w:r w:rsidRPr="00CF445E">
          <w:rPr>
            <w:rStyle w:val="Hyperlink"/>
            <w:rFonts w:ascii="Arial" w:hAnsi="Arial" w:cs="Arial"/>
          </w:rPr>
          <w:t>5</w:t>
        </w:r>
        <w:r w:rsidRPr="00CF445E">
          <w:rPr>
            <w:rStyle w:val="Hyperlink"/>
            <w:rFonts w:ascii="Arial" w:hAnsi="Arial" w:cs="Arial"/>
          </w:rPr>
          <w:t>9015</w:t>
        </w:r>
      </w:hyperlink>
      <w:r>
        <w:rPr>
          <w:rFonts w:ascii="Arial" w:hAnsi="Arial" w:cs="Arial"/>
        </w:rPr>
        <w:t xml:space="preserve"> </w:t>
      </w:r>
      <w:r w:rsidR="002C1F28">
        <w:rPr>
          <w:rFonts w:ascii="Arial" w:hAnsi="Arial" w:cs="Arial"/>
        </w:rPr>
        <w:t xml:space="preserve">(Accessed date </w:t>
      </w:r>
      <w:proofErr w:type="gramStart"/>
      <w:r w:rsidR="002C1F28">
        <w:rPr>
          <w:rFonts w:ascii="Arial" w:hAnsi="Arial" w:cs="Arial"/>
        </w:rPr>
        <w:t>3</w:t>
      </w:r>
      <w:r w:rsidR="002C1F28" w:rsidRPr="002C1F28">
        <w:rPr>
          <w:rFonts w:ascii="Arial" w:hAnsi="Arial" w:cs="Arial"/>
          <w:vertAlign w:val="superscript"/>
        </w:rPr>
        <w:t>th</w:t>
      </w:r>
      <w:proofErr w:type="gramEnd"/>
      <w:r w:rsidR="002C1F28">
        <w:rPr>
          <w:rFonts w:ascii="Arial" w:hAnsi="Arial" w:cs="Arial"/>
        </w:rPr>
        <w:t xml:space="preserve"> April 2026)</w:t>
      </w:r>
    </w:p>
    <w:p w14:paraId="004AAFC0" w14:textId="6C91E5C6" w:rsidR="00826090" w:rsidRDefault="00826090" w:rsidP="00826090">
      <w:pPr>
        <w:spacing w:line="360" w:lineRule="auto"/>
        <w:rPr>
          <w:rFonts w:ascii="Arial" w:hAnsi="Arial" w:cs="Arial"/>
        </w:rPr>
      </w:pPr>
      <w:proofErr w:type="spellStart"/>
      <w:r>
        <w:rPr>
          <w:rFonts w:ascii="Arial" w:hAnsi="Arial" w:cs="Arial"/>
        </w:rPr>
        <w:t>Jafleh</w:t>
      </w:r>
      <w:proofErr w:type="spellEnd"/>
      <w:r>
        <w:rPr>
          <w:rFonts w:ascii="Arial" w:hAnsi="Arial" w:cs="Arial"/>
        </w:rPr>
        <w:t xml:space="preserve">, E. A., </w:t>
      </w:r>
      <w:proofErr w:type="spellStart"/>
      <w:r>
        <w:rPr>
          <w:rFonts w:ascii="Arial" w:hAnsi="Arial" w:cs="Arial"/>
        </w:rPr>
        <w:t>Alnaqabi</w:t>
      </w:r>
      <w:proofErr w:type="spellEnd"/>
      <w:r>
        <w:rPr>
          <w:rFonts w:ascii="Arial" w:hAnsi="Arial" w:cs="Arial"/>
        </w:rPr>
        <w:t xml:space="preserve">, F. A., </w:t>
      </w:r>
      <w:proofErr w:type="spellStart"/>
      <w:r>
        <w:rPr>
          <w:rFonts w:ascii="Arial" w:hAnsi="Arial" w:cs="Arial"/>
        </w:rPr>
        <w:t>Almaeeni</w:t>
      </w:r>
      <w:proofErr w:type="spellEnd"/>
      <w:r>
        <w:rPr>
          <w:rFonts w:ascii="Arial" w:hAnsi="Arial" w:cs="Arial"/>
        </w:rPr>
        <w:t xml:space="preserve">, H. A., </w:t>
      </w:r>
      <w:proofErr w:type="spellStart"/>
      <w:r>
        <w:rPr>
          <w:rFonts w:ascii="Arial" w:hAnsi="Arial" w:cs="Arial"/>
        </w:rPr>
        <w:t>Faqeeh</w:t>
      </w:r>
      <w:proofErr w:type="spellEnd"/>
      <w:r>
        <w:rPr>
          <w:rFonts w:ascii="Arial" w:hAnsi="Arial" w:cs="Arial"/>
        </w:rPr>
        <w:t xml:space="preserve">, S., </w:t>
      </w:r>
      <w:proofErr w:type="spellStart"/>
      <w:r>
        <w:rPr>
          <w:rFonts w:ascii="Arial" w:hAnsi="Arial" w:cs="Arial"/>
        </w:rPr>
        <w:t>Alzaabi</w:t>
      </w:r>
      <w:proofErr w:type="spellEnd"/>
      <w:r>
        <w:rPr>
          <w:rFonts w:ascii="Arial" w:hAnsi="Arial" w:cs="Arial"/>
        </w:rPr>
        <w:t xml:space="preserve">, M. A., and </w:t>
      </w:r>
      <w:proofErr w:type="spellStart"/>
      <w:r>
        <w:rPr>
          <w:rFonts w:ascii="Arial" w:hAnsi="Arial" w:cs="Arial"/>
        </w:rPr>
        <w:t>Zhaman</w:t>
      </w:r>
      <w:proofErr w:type="spellEnd"/>
      <w:r>
        <w:rPr>
          <w:rFonts w:ascii="Arial" w:hAnsi="Arial" w:cs="Arial"/>
        </w:rPr>
        <w:t>, K. A. (2024) ‘</w:t>
      </w:r>
      <w:r w:rsidRPr="004949AF">
        <w:rPr>
          <w:rFonts w:ascii="Arial" w:hAnsi="Arial" w:cs="Arial"/>
        </w:rPr>
        <w:t>The Role of Wearable Devices in Chronic Disease Monitoring and Patient Care: A Comprehensive Review</w:t>
      </w:r>
      <w:r>
        <w:rPr>
          <w:rFonts w:ascii="Arial" w:hAnsi="Arial" w:cs="Arial"/>
        </w:rPr>
        <w:t xml:space="preserve">’. </w:t>
      </w:r>
      <w:proofErr w:type="spellStart"/>
      <w:r w:rsidRPr="004949AF">
        <w:rPr>
          <w:rFonts w:ascii="Arial" w:hAnsi="Arial" w:cs="Arial"/>
          <w:i/>
          <w:iCs/>
        </w:rPr>
        <w:t>Cureus</w:t>
      </w:r>
      <w:proofErr w:type="spellEnd"/>
      <w:r>
        <w:rPr>
          <w:rFonts w:ascii="Arial" w:hAnsi="Arial" w:cs="Arial"/>
        </w:rPr>
        <w:t xml:space="preserve">. </w:t>
      </w:r>
      <w:r w:rsidRPr="004949AF">
        <w:rPr>
          <w:rFonts w:ascii="Arial" w:hAnsi="Arial" w:cs="Arial"/>
        </w:rPr>
        <w:t>16(9</w:t>
      </w:r>
      <w:proofErr w:type="gramStart"/>
      <w:r w:rsidRPr="004949AF">
        <w:rPr>
          <w:rFonts w:ascii="Arial" w:hAnsi="Arial" w:cs="Arial"/>
        </w:rPr>
        <w:t>):e</w:t>
      </w:r>
      <w:proofErr w:type="gramEnd"/>
      <w:r w:rsidRPr="004949AF">
        <w:rPr>
          <w:rFonts w:ascii="Arial" w:hAnsi="Arial" w:cs="Arial"/>
        </w:rPr>
        <w:t xml:space="preserve">68921. </w:t>
      </w:r>
      <w:proofErr w:type="spellStart"/>
      <w:r w:rsidRPr="004949AF">
        <w:rPr>
          <w:rFonts w:ascii="Arial" w:hAnsi="Arial" w:cs="Arial"/>
        </w:rPr>
        <w:t>doi</w:t>
      </w:r>
      <w:proofErr w:type="spellEnd"/>
      <w:r w:rsidRPr="004949AF">
        <w:rPr>
          <w:rFonts w:ascii="Arial" w:hAnsi="Arial" w:cs="Arial"/>
        </w:rPr>
        <w:t>: 10.7759/cureus.68921</w:t>
      </w:r>
      <w:r>
        <w:rPr>
          <w:rFonts w:ascii="Arial" w:hAnsi="Arial" w:cs="Arial"/>
        </w:rPr>
        <w:t xml:space="preserve">. Available at </w:t>
      </w:r>
      <w:hyperlink r:id="rId20" w:history="1">
        <w:r w:rsidRPr="00CF445E">
          <w:rPr>
            <w:rStyle w:val="Hyperlink"/>
            <w:rFonts w:ascii="Arial" w:hAnsi="Arial" w:cs="Arial"/>
          </w:rPr>
          <w:t>https://pmc.ncbi.nlm.nih.gov/articles/PMC1</w:t>
        </w:r>
        <w:r w:rsidRPr="00CF445E">
          <w:rPr>
            <w:rStyle w:val="Hyperlink"/>
            <w:rFonts w:ascii="Arial" w:hAnsi="Arial" w:cs="Arial"/>
          </w:rPr>
          <w:t>1</w:t>
        </w:r>
        <w:r w:rsidRPr="00CF445E">
          <w:rPr>
            <w:rStyle w:val="Hyperlink"/>
            <w:rFonts w:ascii="Arial" w:hAnsi="Arial" w:cs="Arial"/>
          </w:rPr>
          <w:t>461032</w:t>
        </w:r>
      </w:hyperlink>
      <w:r>
        <w:rPr>
          <w:rFonts w:ascii="Arial" w:hAnsi="Arial" w:cs="Arial"/>
        </w:rPr>
        <w:t xml:space="preserve"> </w:t>
      </w:r>
      <w:r w:rsidR="002C1F28">
        <w:rPr>
          <w:rFonts w:ascii="Arial" w:hAnsi="Arial" w:cs="Arial"/>
        </w:rPr>
        <w:t xml:space="preserve">(Accessed date </w:t>
      </w:r>
      <w:proofErr w:type="gramStart"/>
      <w:r w:rsidR="002C1F28">
        <w:rPr>
          <w:rFonts w:ascii="Arial" w:hAnsi="Arial" w:cs="Arial"/>
        </w:rPr>
        <w:t>3</w:t>
      </w:r>
      <w:r w:rsidR="002C1F28" w:rsidRPr="002C1F28">
        <w:rPr>
          <w:rFonts w:ascii="Arial" w:hAnsi="Arial" w:cs="Arial"/>
          <w:vertAlign w:val="superscript"/>
        </w:rPr>
        <w:t>th</w:t>
      </w:r>
      <w:proofErr w:type="gramEnd"/>
      <w:r w:rsidR="002C1F28">
        <w:rPr>
          <w:rFonts w:ascii="Arial" w:hAnsi="Arial" w:cs="Arial"/>
        </w:rPr>
        <w:t xml:space="preserve"> April 2026)</w:t>
      </w:r>
    </w:p>
    <w:p w14:paraId="4C44FE97" w14:textId="03DDCA0F" w:rsidR="00826090" w:rsidRDefault="00826090" w:rsidP="00826090">
      <w:pPr>
        <w:spacing w:line="360" w:lineRule="auto"/>
        <w:rPr>
          <w:rFonts w:ascii="Arial" w:hAnsi="Arial" w:cs="Arial"/>
        </w:rPr>
      </w:pPr>
      <w:r w:rsidRPr="008528B3">
        <w:rPr>
          <w:rFonts w:ascii="Arial" w:hAnsi="Arial" w:cs="Arial"/>
        </w:rPr>
        <w:t>Johnson, J</w:t>
      </w:r>
      <w:r>
        <w:rPr>
          <w:rFonts w:ascii="Arial" w:hAnsi="Arial" w:cs="Arial"/>
        </w:rPr>
        <w:t>.</w:t>
      </w:r>
      <w:r w:rsidRPr="008528B3">
        <w:rPr>
          <w:rFonts w:ascii="Arial" w:hAnsi="Arial" w:cs="Arial"/>
        </w:rPr>
        <w:t>, Hall, L</w:t>
      </w:r>
      <w:r>
        <w:rPr>
          <w:rFonts w:ascii="Arial" w:hAnsi="Arial" w:cs="Arial"/>
        </w:rPr>
        <w:t xml:space="preserve">. </w:t>
      </w:r>
      <w:r w:rsidRPr="008528B3">
        <w:rPr>
          <w:rFonts w:ascii="Arial" w:hAnsi="Arial" w:cs="Arial"/>
        </w:rPr>
        <w:t>H</w:t>
      </w:r>
      <w:r>
        <w:rPr>
          <w:rFonts w:ascii="Arial" w:hAnsi="Arial" w:cs="Arial"/>
        </w:rPr>
        <w:t>.</w:t>
      </w:r>
      <w:r w:rsidRPr="008528B3">
        <w:rPr>
          <w:rFonts w:ascii="Arial" w:hAnsi="Arial" w:cs="Arial"/>
        </w:rPr>
        <w:t xml:space="preserve">, </w:t>
      </w:r>
      <w:r>
        <w:rPr>
          <w:rFonts w:ascii="Arial" w:hAnsi="Arial" w:cs="Arial"/>
        </w:rPr>
        <w:t>Berzins, K.,</w:t>
      </w:r>
      <w:r w:rsidRPr="008528B3">
        <w:rPr>
          <w:rFonts w:ascii="Arial" w:hAnsi="Arial" w:cs="Arial"/>
        </w:rPr>
        <w:t xml:space="preserve"> </w:t>
      </w:r>
      <w:r>
        <w:rPr>
          <w:rFonts w:ascii="Arial" w:hAnsi="Arial" w:cs="Arial"/>
        </w:rPr>
        <w:t>Baker, J., Melling, K., and Thompson, C.</w:t>
      </w:r>
      <w:r w:rsidRPr="008528B3">
        <w:rPr>
          <w:rFonts w:ascii="Arial" w:hAnsi="Arial" w:cs="Arial"/>
        </w:rPr>
        <w:t xml:space="preserve"> (201</w:t>
      </w:r>
      <w:r>
        <w:rPr>
          <w:rFonts w:ascii="Arial" w:hAnsi="Arial" w:cs="Arial"/>
        </w:rPr>
        <w:t>8</w:t>
      </w:r>
      <w:r w:rsidRPr="008528B3">
        <w:rPr>
          <w:rFonts w:ascii="Arial" w:hAnsi="Arial" w:cs="Arial"/>
        </w:rPr>
        <w:t xml:space="preserve">) </w:t>
      </w:r>
      <w:r>
        <w:rPr>
          <w:rFonts w:ascii="Arial" w:hAnsi="Arial" w:cs="Arial"/>
        </w:rPr>
        <w:t>‘</w:t>
      </w:r>
      <w:r w:rsidRPr="008528B3">
        <w:rPr>
          <w:rFonts w:ascii="Arial" w:hAnsi="Arial" w:cs="Arial"/>
        </w:rPr>
        <w:t>Mental healthcare staff well</w:t>
      </w:r>
      <w:r w:rsidRPr="008528B3">
        <w:rPr>
          <w:rFonts w:ascii="Cambria Math" w:hAnsi="Cambria Math" w:cs="Cambria Math"/>
        </w:rPr>
        <w:t>‐</w:t>
      </w:r>
      <w:r w:rsidRPr="008528B3">
        <w:rPr>
          <w:rFonts w:ascii="Arial" w:hAnsi="Arial" w:cs="Arial"/>
        </w:rPr>
        <w:t>being and</w:t>
      </w:r>
      <w:r>
        <w:rPr>
          <w:rFonts w:ascii="Arial" w:hAnsi="Arial" w:cs="Arial"/>
        </w:rPr>
        <w:t xml:space="preserve"> </w:t>
      </w:r>
      <w:r w:rsidRPr="008528B3">
        <w:rPr>
          <w:rFonts w:ascii="Arial" w:hAnsi="Arial" w:cs="Arial"/>
        </w:rPr>
        <w:t>burnout: A narrative review of trends, causes, implications, and recommendations for</w:t>
      </w:r>
      <w:r>
        <w:rPr>
          <w:rFonts w:ascii="Arial" w:hAnsi="Arial" w:cs="Arial"/>
        </w:rPr>
        <w:t xml:space="preserve"> </w:t>
      </w:r>
      <w:r w:rsidRPr="008528B3">
        <w:rPr>
          <w:rFonts w:ascii="Arial" w:hAnsi="Arial" w:cs="Arial"/>
        </w:rPr>
        <w:t xml:space="preserve">future </w:t>
      </w:r>
      <w:proofErr w:type="gramStart"/>
      <w:r w:rsidRPr="008528B3">
        <w:rPr>
          <w:rFonts w:ascii="Arial" w:hAnsi="Arial" w:cs="Arial"/>
        </w:rPr>
        <w:t>interventions</w:t>
      </w:r>
      <w:r>
        <w:rPr>
          <w:rFonts w:ascii="Arial" w:hAnsi="Arial" w:cs="Arial"/>
        </w:rPr>
        <w:t>’</w:t>
      </w:r>
      <w:proofErr w:type="gramEnd"/>
      <w:r w:rsidRPr="008528B3">
        <w:rPr>
          <w:rFonts w:ascii="Arial" w:hAnsi="Arial" w:cs="Arial"/>
        </w:rPr>
        <w:t>. I</w:t>
      </w:r>
      <w:r w:rsidRPr="008528B3">
        <w:rPr>
          <w:rFonts w:ascii="Arial" w:hAnsi="Arial" w:cs="Arial"/>
          <w:i/>
          <w:iCs/>
        </w:rPr>
        <w:t>nternational Journal of Mental Health Nursing</w:t>
      </w:r>
      <w:r w:rsidRPr="008528B3">
        <w:rPr>
          <w:rFonts w:ascii="Arial" w:hAnsi="Arial" w:cs="Arial"/>
        </w:rPr>
        <w:t>, 27 (1). pp. 20-32.</w:t>
      </w:r>
      <w:r>
        <w:rPr>
          <w:rFonts w:ascii="Arial" w:hAnsi="Arial" w:cs="Arial"/>
        </w:rPr>
        <w:t xml:space="preserve"> </w:t>
      </w:r>
      <w:r w:rsidRPr="008528B3">
        <w:rPr>
          <w:rFonts w:ascii="Arial" w:hAnsi="Arial" w:cs="Arial"/>
        </w:rPr>
        <w:t>ISSN: 1445-8330</w:t>
      </w:r>
      <w:r>
        <w:rPr>
          <w:rFonts w:ascii="Arial" w:hAnsi="Arial" w:cs="Arial"/>
        </w:rPr>
        <w:t xml:space="preserve">. Available at </w:t>
      </w:r>
      <w:hyperlink r:id="rId21" w:history="1">
        <w:r w:rsidRPr="00CF445E">
          <w:rPr>
            <w:rStyle w:val="Hyperlink"/>
            <w:rFonts w:ascii="Arial" w:hAnsi="Arial" w:cs="Arial"/>
          </w:rPr>
          <w:t>https://doi.org/10.1111/inm.12</w:t>
        </w:r>
        <w:r w:rsidRPr="00CF445E">
          <w:rPr>
            <w:rStyle w:val="Hyperlink"/>
            <w:rFonts w:ascii="Arial" w:hAnsi="Arial" w:cs="Arial"/>
          </w:rPr>
          <w:t>4</w:t>
        </w:r>
        <w:r w:rsidRPr="00CF445E">
          <w:rPr>
            <w:rStyle w:val="Hyperlink"/>
            <w:rFonts w:ascii="Arial" w:hAnsi="Arial" w:cs="Arial"/>
          </w:rPr>
          <w:t>16</w:t>
        </w:r>
      </w:hyperlink>
      <w:r>
        <w:rPr>
          <w:rFonts w:ascii="Arial" w:hAnsi="Arial" w:cs="Arial"/>
        </w:rPr>
        <w:t xml:space="preserve"> </w:t>
      </w:r>
      <w:r w:rsidR="002C1F28">
        <w:rPr>
          <w:rFonts w:ascii="Arial" w:hAnsi="Arial" w:cs="Arial"/>
        </w:rPr>
        <w:t xml:space="preserve">(Accessed date </w:t>
      </w:r>
      <w:r w:rsidR="002C1F28">
        <w:rPr>
          <w:rFonts w:ascii="Arial" w:hAnsi="Arial" w:cs="Arial"/>
        </w:rPr>
        <w:t>6</w:t>
      </w:r>
      <w:r w:rsidR="002C1F28" w:rsidRPr="002C1F28">
        <w:rPr>
          <w:rFonts w:ascii="Arial" w:hAnsi="Arial" w:cs="Arial"/>
          <w:vertAlign w:val="superscript"/>
        </w:rPr>
        <w:t>th</w:t>
      </w:r>
      <w:r w:rsidR="002C1F28">
        <w:rPr>
          <w:rFonts w:ascii="Arial" w:hAnsi="Arial" w:cs="Arial"/>
        </w:rPr>
        <w:t xml:space="preserve"> April 2026)</w:t>
      </w:r>
    </w:p>
    <w:p w14:paraId="0DE7B649" w14:textId="19E1A855" w:rsidR="00826090" w:rsidRDefault="00826090" w:rsidP="00826090">
      <w:pPr>
        <w:spacing w:line="360" w:lineRule="auto"/>
        <w:rPr>
          <w:rFonts w:ascii="Arial" w:hAnsi="Arial" w:cs="Arial"/>
        </w:rPr>
      </w:pPr>
      <w:r>
        <w:rPr>
          <w:rFonts w:ascii="Arial" w:hAnsi="Arial" w:cs="Arial"/>
        </w:rPr>
        <w:t>Maslach, C. and Jackson, S. E. (1981) ‘</w:t>
      </w:r>
      <w:r w:rsidRPr="008528B3">
        <w:rPr>
          <w:rFonts w:ascii="Arial" w:hAnsi="Arial" w:cs="Arial"/>
        </w:rPr>
        <w:t>The measurement of experienced burnout</w:t>
      </w:r>
      <w:r>
        <w:rPr>
          <w:rFonts w:ascii="Arial" w:hAnsi="Arial" w:cs="Arial"/>
        </w:rPr>
        <w:t xml:space="preserve">’. </w:t>
      </w:r>
      <w:r w:rsidRPr="008528B3">
        <w:rPr>
          <w:rFonts w:ascii="Arial" w:hAnsi="Arial" w:cs="Arial"/>
          <w:i/>
          <w:iCs/>
        </w:rPr>
        <w:t>JOURNAL OF OCCUPATIONAL BEHAVIOUR</w:t>
      </w:r>
      <w:r w:rsidRPr="008528B3">
        <w:rPr>
          <w:rFonts w:ascii="Arial" w:hAnsi="Arial" w:cs="Arial"/>
        </w:rPr>
        <w:t>, Vol. 2, 99-113</w:t>
      </w:r>
      <w:r>
        <w:rPr>
          <w:rFonts w:ascii="Arial" w:hAnsi="Arial" w:cs="Arial"/>
        </w:rPr>
        <w:t xml:space="preserve">. Available at </w:t>
      </w:r>
      <w:hyperlink r:id="rId22" w:history="1">
        <w:r w:rsidRPr="00CF445E">
          <w:rPr>
            <w:rStyle w:val="Hyperlink"/>
            <w:rFonts w:ascii="Arial" w:hAnsi="Arial" w:cs="Arial"/>
          </w:rPr>
          <w:t>https://onlinelibrary.wiley.com/doi/epdf/10.1002/job.40300</w:t>
        </w:r>
        <w:r w:rsidRPr="00CF445E">
          <w:rPr>
            <w:rStyle w:val="Hyperlink"/>
            <w:rFonts w:ascii="Arial" w:hAnsi="Arial" w:cs="Arial"/>
          </w:rPr>
          <w:t>2</w:t>
        </w:r>
        <w:r w:rsidRPr="00CF445E">
          <w:rPr>
            <w:rStyle w:val="Hyperlink"/>
            <w:rFonts w:ascii="Arial" w:hAnsi="Arial" w:cs="Arial"/>
          </w:rPr>
          <w:t>0205</w:t>
        </w:r>
      </w:hyperlink>
      <w:r>
        <w:rPr>
          <w:rFonts w:ascii="Arial" w:hAnsi="Arial" w:cs="Arial"/>
        </w:rPr>
        <w:t xml:space="preserve"> </w:t>
      </w:r>
      <w:r w:rsidR="002C1F28">
        <w:rPr>
          <w:rFonts w:ascii="Arial" w:hAnsi="Arial" w:cs="Arial"/>
        </w:rPr>
        <w:t xml:space="preserve">(Accessed date </w:t>
      </w:r>
      <w:r w:rsidR="002C1F28">
        <w:rPr>
          <w:rFonts w:ascii="Arial" w:hAnsi="Arial" w:cs="Arial"/>
        </w:rPr>
        <w:t>6</w:t>
      </w:r>
      <w:r w:rsidR="002C1F28" w:rsidRPr="002C1F28">
        <w:rPr>
          <w:rFonts w:ascii="Arial" w:hAnsi="Arial" w:cs="Arial"/>
          <w:vertAlign w:val="superscript"/>
        </w:rPr>
        <w:t>th</w:t>
      </w:r>
      <w:r w:rsidR="002C1F28">
        <w:rPr>
          <w:rFonts w:ascii="Arial" w:hAnsi="Arial" w:cs="Arial"/>
        </w:rPr>
        <w:t xml:space="preserve"> April 2026)</w:t>
      </w:r>
    </w:p>
    <w:p w14:paraId="0D48BEB4" w14:textId="77777777" w:rsidR="00826090" w:rsidRDefault="00826090" w:rsidP="00826090">
      <w:pPr>
        <w:spacing w:line="360" w:lineRule="auto"/>
        <w:rPr>
          <w:rFonts w:ascii="Arial" w:hAnsi="Arial" w:cs="Arial"/>
        </w:rPr>
      </w:pPr>
      <w:r>
        <w:rPr>
          <w:rFonts w:ascii="Arial" w:hAnsi="Arial" w:cs="Arial"/>
        </w:rPr>
        <w:t xml:space="preserve">Meadows, D. H. (2008) </w:t>
      </w:r>
      <w:r w:rsidRPr="00E52705">
        <w:rPr>
          <w:rFonts w:ascii="Arial" w:hAnsi="Arial" w:cs="Arial"/>
          <w:i/>
          <w:iCs/>
        </w:rPr>
        <w:t>Thinking in Systems: A Primer</w:t>
      </w:r>
      <w:r>
        <w:rPr>
          <w:rFonts w:ascii="Arial" w:hAnsi="Arial" w:cs="Arial"/>
        </w:rPr>
        <w:t>. London: Earthscan</w:t>
      </w:r>
    </w:p>
    <w:p w14:paraId="3AC8AB00" w14:textId="657D2C28" w:rsidR="00826090" w:rsidRDefault="00826090" w:rsidP="00826090">
      <w:pPr>
        <w:spacing w:line="360" w:lineRule="auto"/>
        <w:rPr>
          <w:rFonts w:ascii="Arial" w:hAnsi="Arial" w:cs="Arial"/>
        </w:rPr>
      </w:pPr>
      <w:r>
        <w:rPr>
          <w:rFonts w:ascii="Arial" w:hAnsi="Arial" w:cs="Arial"/>
        </w:rPr>
        <w:t>McIntyre, D. and Chow, C. K. (2020) ‘</w:t>
      </w:r>
      <w:r w:rsidRPr="00E52705">
        <w:rPr>
          <w:rFonts w:ascii="Arial" w:hAnsi="Arial" w:cs="Arial"/>
        </w:rPr>
        <w:t>Waiting Time as an Indicator for Health Services Under Strain: A Narrative Review</w:t>
      </w:r>
      <w:r>
        <w:rPr>
          <w:rFonts w:ascii="Arial" w:hAnsi="Arial" w:cs="Arial"/>
        </w:rPr>
        <w:t xml:space="preserve">’. </w:t>
      </w:r>
      <w:r w:rsidRPr="00E52705">
        <w:rPr>
          <w:rFonts w:ascii="Arial" w:hAnsi="Arial" w:cs="Arial"/>
          <w:i/>
          <w:iCs/>
        </w:rPr>
        <w:t>Inquiry</w:t>
      </w:r>
      <w:r>
        <w:rPr>
          <w:rFonts w:ascii="Arial" w:hAnsi="Arial" w:cs="Arial"/>
        </w:rPr>
        <w:t xml:space="preserve">. </w:t>
      </w:r>
      <w:r w:rsidRPr="00E52705">
        <w:rPr>
          <w:rFonts w:ascii="Arial" w:hAnsi="Arial" w:cs="Arial"/>
        </w:rPr>
        <w:t xml:space="preserve">57:0046958020910305. </w:t>
      </w:r>
      <w:proofErr w:type="spellStart"/>
      <w:r w:rsidRPr="00E52705">
        <w:rPr>
          <w:rFonts w:ascii="Arial" w:hAnsi="Arial" w:cs="Arial"/>
        </w:rPr>
        <w:t>doi</w:t>
      </w:r>
      <w:proofErr w:type="spellEnd"/>
      <w:r w:rsidRPr="00E52705">
        <w:rPr>
          <w:rFonts w:ascii="Arial" w:hAnsi="Arial" w:cs="Arial"/>
        </w:rPr>
        <w:t>: 10.1177/0046958020910305</w:t>
      </w:r>
      <w:r>
        <w:rPr>
          <w:rFonts w:ascii="Arial" w:hAnsi="Arial" w:cs="Arial"/>
        </w:rPr>
        <w:t xml:space="preserve">. Available at </w:t>
      </w:r>
      <w:hyperlink r:id="rId23" w:history="1">
        <w:r w:rsidRPr="00CF445E">
          <w:rPr>
            <w:rStyle w:val="Hyperlink"/>
            <w:rFonts w:ascii="Arial" w:hAnsi="Arial" w:cs="Arial"/>
          </w:rPr>
          <w:t>https://pmc.ncbi.nlm.nih.gov/articles/P</w:t>
        </w:r>
        <w:r w:rsidRPr="00CF445E">
          <w:rPr>
            <w:rStyle w:val="Hyperlink"/>
            <w:rFonts w:ascii="Arial" w:hAnsi="Arial" w:cs="Arial"/>
          </w:rPr>
          <w:t>M</w:t>
        </w:r>
        <w:r w:rsidRPr="00CF445E">
          <w:rPr>
            <w:rStyle w:val="Hyperlink"/>
            <w:rFonts w:ascii="Arial" w:hAnsi="Arial" w:cs="Arial"/>
          </w:rPr>
          <w:t>C7235968</w:t>
        </w:r>
      </w:hyperlink>
      <w:r>
        <w:rPr>
          <w:rFonts w:ascii="Arial" w:hAnsi="Arial" w:cs="Arial"/>
        </w:rPr>
        <w:t xml:space="preserve"> </w:t>
      </w:r>
      <w:r w:rsidR="002C1F28">
        <w:rPr>
          <w:rFonts w:ascii="Arial" w:hAnsi="Arial" w:cs="Arial"/>
        </w:rPr>
        <w:t xml:space="preserve">(Accessed date </w:t>
      </w:r>
      <w:r w:rsidR="002C1F28">
        <w:rPr>
          <w:rFonts w:ascii="Arial" w:hAnsi="Arial" w:cs="Arial"/>
        </w:rPr>
        <w:t>8</w:t>
      </w:r>
      <w:r w:rsidR="002C1F28" w:rsidRPr="002C1F28">
        <w:rPr>
          <w:rFonts w:ascii="Arial" w:hAnsi="Arial" w:cs="Arial"/>
          <w:vertAlign w:val="superscript"/>
        </w:rPr>
        <w:t>th</w:t>
      </w:r>
      <w:r w:rsidR="002C1F28">
        <w:rPr>
          <w:rFonts w:ascii="Arial" w:hAnsi="Arial" w:cs="Arial"/>
        </w:rPr>
        <w:t xml:space="preserve"> April 2026)</w:t>
      </w:r>
    </w:p>
    <w:p w14:paraId="3F54EDE6" w14:textId="7FE1F0B8" w:rsidR="00826090" w:rsidRDefault="00826090" w:rsidP="00826090">
      <w:pPr>
        <w:spacing w:line="360" w:lineRule="auto"/>
        <w:rPr>
          <w:rFonts w:ascii="Arial" w:hAnsi="Arial" w:cs="Arial"/>
        </w:rPr>
      </w:pPr>
      <w:r>
        <w:rPr>
          <w:rFonts w:ascii="Arial" w:hAnsi="Arial" w:cs="Arial"/>
        </w:rPr>
        <w:t xml:space="preserve">NHS England (2025) </w:t>
      </w:r>
      <w:r w:rsidRPr="00C971FA">
        <w:rPr>
          <w:rFonts w:ascii="Arial" w:hAnsi="Arial" w:cs="Arial"/>
          <w:i/>
          <w:iCs/>
        </w:rPr>
        <w:t>Draft Management &amp; Leadership Framework</w:t>
      </w:r>
      <w:r>
        <w:rPr>
          <w:rFonts w:ascii="Arial" w:hAnsi="Arial" w:cs="Arial"/>
        </w:rPr>
        <w:t xml:space="preserve">. Available at </w:t>
      </w:r>
      <w:hyperlink r:id="rId24" w:anchor=":~:text=The%20Management%20and%20Leadership%20Framework%20is%20being,managers%20and%20leaders%20across%20health%20and%20care" w:history="1">
        <w:r w:rsidRPr="00CF445E">
          <w:rPr>
            <w:rStyle w:val="Hyperlink"/>
            <w:rFonts w:ascii="Arial" w:hAnsi="Arial" w:cs="Arial"/>
          </w:rPr>
          <w:t>https://www.england.nhs.uk/wp-content/uploads/2025/</w:t>
        </w:r>
        <w:r w:rsidRPr="00CF445E">
          <w:rPr>
            <w:rStyle w:val="Hyperlink"/>
            <w:rFonts w:ascii="Arial" w:hAnsi="Arial" w:cs="Arial"/>
          </w:rPr>
          <w:t>0</w:t>
        </w:r>
        <w:r w:rsidRPr="00CF445E">
          <w:rPr>
            <w:rStyle w:val="Hyperlink"/>
            <w:rFonts w:ascii="Arial" w:hAnsi="Arial" w:cs="Arial"/>
          </w:rPr>
          <w:t>9/item-8i-appendix-a-mgmt-and-leadership-full-draft-standards.pdf#:~:text=The%20Management%20and%20Leadership%20Framework%20is%20being,managers%20and%20leaders%20across%20health%20and%20care</w:t>
        </w:r>
      </w:hyperlink>
      <w:r>
        <w:rPr>
          <w:rFonts w:ascii="Arial" w:hAnsi="Arial" w:cs="Arial"/>
        </w:rPr>
        <w:t xml:space="preserve"> </w:t>
      </w:r>
      <w:r w:rsidR="002C1F28">
        <w:rPr>
          <w:rFonts w:ascii="Arial" w:hAnsi="Arial" w:cs="Arial"/>
        </w:rPr>
        <w:t xml:space="preserve">(Accessed date </w:t>
      </w:r>
      <w:r w:rsidR="002C1F28">
        <w:rPr>
          <w:rFonts w:ascii="Arial" w:hAnsi="Arial" w:cs="Arial"/>
        </w:rPr>
        <w:t>8</w:t>
      </w:r>
      <w:r w:rsidR="002C1F28" w:rsidRPr="002C1F28">
        <w:rPr>
          <w:rFonts w:ascii="Arial" w:hAnsi="Arial" w:cs="Arial"/>
          <w:vertAlign w:val="superscript"/>
        </w:rPr>
        <w:t>th</w:t>
      </w:r>
      <w:r w:rsidR="002C1F28">
        <w:rPr>
          <w:rFonts w:ascii="Arial" w:hAnsi="Arial" w:cs="Arial"/>
        </w:rPr>
        <w:t xml:space="preserve"> April 2026)</w:t>
      </w:r>
    </w:p>
    <w:p w14:paraId="383774A9" w14:textId="77B71F88" w:rsidR="00826090" w:rsidRDefault="00826090" w:rsidP="00826090">
      <w:pPr>
        <w:spacing w:line="360" w:lineRule="auto"/>
        <w:rPr>
          <w:rFonts w:ascii="Arial" w:hAnsi="Arial" w:cs="Arial"/>
        </w:rPr>
      </w:pPr>
      <w:r>
        <w:rPr>
          <w:rFonts w:ascii="Arial" w:hAnsi="Arial" w:cs="Arial"/>
        </w:rPr>
        <w:lastRenderedPageBreak/>
        <w:t xml:space="preserve">NHS England (2025) </w:t>
      </w:r>
      <w:r w:rsidRPr="006F52BA">
        <w:rPr>
          <w:rFonts w:ascii="Arial" w:hAnsi="Arial" w:cs="Arial"/>
          <w:i/>
          <w:iCs/>
        </w:rPr>
        <w:t>How to improve care navigation in general practice</w:t>
      </w:r>
      <w:r>
        <w:rPr>
          <w:rFonts w:ascii="Arial" w:hAnsi="Arial" w:cs="Arial"/>
        </w:rPr>
        <w:t xml:space="preserve">. 4 August. Available at </w:t>
      </w:r>
      <w:hyperlink r:id="rId25" w:history="1">
        <w:r w:rsidRPr="00CF445E">
          <w:rPr>
            <w:rStyle w:val="Hyperlink"/>
            <w:rFonts w:ascii="Arial" w:hAnsi="Arial" w:cs="Arial"/>
          </w:rPr>
          <w:t>https://www.englan</w:t>
        </w:r>
        <w:r w:rsidRPr="00CF445E">
          <w:rPr>
            <w:rStyle w:val="Hyperlink"/>
            <w:rFonts w:ascii="Arial" w:hAnsi="Arial" w:cs="Arial"/>
          </w:rPr>
          <w:t>d</w:t>
        </w:r>
        <w:r w:rsidRPr="00CF445E">
          <w:rPr>
            <w:rStyle w:val="Hyperlink"/>
            <w:rFonts w:ascii="Arial" w:hAnsi="Arial" w:cs="Arial"/>
          </w:rPr>
          <w:t>.nhs.uk/long-read/how-to-improve-care-navigation-in-general-practice-2/</w:t>
        </w:r>
      </w:hyperlink>
      <w:r>
        <w:rPr>
          <w:rFonts w:ascii="Arial" w:hAnsi="Arial" w:cs="Arial"/>
        </w:rPr>
        <w:t xml:space="preserve">  </w:t>
      </w:r>
      <w:r w:rsidR="002C1F28">
        <w:rPr>
          <w:rFonts w:ascii="Arial" w:hAnsi="Arial" w:cs="Arial"/>
        </w:rPr>
        <w:t xml:space="preserve">(Accessed date </w:t>
      </w:r>
      <w:r w:rsidR="002C1F28">
        <w:rPr>
          <w:rFonts w:ascii="Arial" w:hAnsi="Arial" w:cs="Arial"/>
        </w:rPr>
        <w:t>12</w:t>
      </w:r>
      <w:r w:rsidR="002C1F28" w:rsidRPr="002C1F28">
        <w:rPr>
          <w:rFonts w:ascii="Arial" w:hAnsi="Arial" w:cs="Arial"/>
          <w:vertAlign w:val="superscript"/>
        </w:rPr>
        <w:t>th</w:t>
      </w:r>
      <w:r w:rsidR="002C1F28">
        <w:rPr>
          <w:rFonts w:ascii="Arial" w:hAnsi="Arial" w:cs="Arial"/>
        </w:rPr>
        <w:t xml:space="preserve"> April 2026)</w:t>
      </w:r>
    </w:p>
    <w:p w14:paraId="428344A5" w14:textId="7BC3B05F" w:rsidR="00826090" w:rsidRDefault="00826090" w:rsidP="00826090">
      <w:pPr>
        <w:spacing w:line="360" w:lineRule="auto"/>
        <w:rPr>
          <w:rFonts w:ascii="Arial" w:hAnsi="Arial" w:cs="Arial"/>
        </w:rPr>
      </w:pPr>
      <w:r>
        <w:rPr>
          <w:rFonts w:ascii="Arial" w:hAnsi="Arial" w:cs="Arial"/>
        </w:rPr>
        <w:t>Paul, J. and Phil, M. (2024) ‘</w:t>
      </w:r>
      <w:r w:rsidRPr="002E33F1">
        <w:rPr>
          <w:rFonts w:ascii="Arial" w:hAnsi="Arial" w:cs="Arial"/>
        </w:rPr>
        <w:t>Healthcare Leadership: Leading for Creativity, Innovation, and Performance by Changing Organizational Culture in Healthcare</w:t>
      </w:r>
      <w:r>
        <w:rPr>
          <w:rFonts w:ascii="Arial" w:hAnsi="Arial" w:cs="Arial"/>
        </w:rPr>
        <w:t xml:space="preserve">’. </w:t>
      </w:r>
      <w:r w:rsidRPr="002E33F1">
        <w:rPr>
          <w:rFonts w:ascii="Arial" w:hAnsi="Arial" w:cs="Arial"/>
          <w:i/>
          <w:iCs/>
        </w:rPr>
        <w:t>European Society of Medicine</w:t>
      </w:r>
      <w:r>
        <w:rPr>
          <w:rFonts w:ascii="Arial" w:hAnsi="Arial" w:cs="Arial"/>
        </w:rPr>
        <w:t xml:space="preserve">. </w:t>
      </w:r>
      <w:r w:rsidRPr="002E33F1">
        <w:rPr>
          <w:rFonts w:ascii="Arial" w:hAnsi="Arial" w:cs="Arial"/>
        </w:rPr>
        <w:t>Issue 10, V</w:t>
      </w:r>
      <w:r>
        <w:rPr>
          <w:rFonts w:ascii="Arial" w:hAnsi="Arial" w:cs="Arial"/>
        </w:rPr>
        <w:t>o</w:t>
      </w:r>
      <w:r w:rsidRPr="002E33F1">
        <w:rPr>
          <w:rFonts w:ascii="Arial" w:hAnsi="Arial" w:cs="Arial"/>
        </w:rPr>
        <w:t>l.12</w:t>
      </w:r>
      <w:r>
        <w:rPr>
          <w:rFonts w:ascii="Arial" w:hAnsi="Arial" w:cs="Arial"/>
        </w:rPr>
        <w:t xml:space="preserve">. Available at </w:t>
      </w:r>
      <w:hyperlink r:id="rId26" w:history="1">
        <w:r w:rsidRPr="00CF445E">
          <w:rPr>
            <w:rStyle w:val="Hyperlink"/>
            <w:rFonts w:ascii="Arial" w:hAnsi="Arial" w:cs="Arial"/>
          </w:rPr>
          <w:t>https://esmed.org/MRA/mra/article/view/5909/99193</w:t>
        </w:r>
        <w:r w:rsidRPr="00CF445E">
          <w:rPr>
            <w:rStyle w:val="Hyperlink"/>
            <w:rFonts w:ascii="Arial" w:hAnsi="Arial" w:cs="Arial"/>
          </w:rPr>
          <w:t>5</w:t>
        </w:r>
        <w:r w:rsidRPr="00CF445E">
          <w:rPr>
            <w:rStyle w:val="Hyperlink"/>
            <w:rFonts w:ascii="Arial" w:hAnsi="Arial" w:cs="Arial"/>
          </w:rPr>
          <w:t>48541</w:t>
        </w:r>
      </w:hyperlink>
      <w:r>
        <w:rPr>
          <w:rFonts w:ascii="Arial" w:hAnsi="Arial" w:cs="Arial"/>
        </w:rPr>
        <w:t xml:space="preserve"> </w:t>
      </w:r>
      <w:r w:rsidR="002C1F28">
        <w:rPr>
          <w:rFonts w:ascii="Arial" w:hAnsi="Arial" w:cs="Arial"/>
        </w:rPr>
        <w:t xml:space="preserve">(Accessed date </w:t>
      </w:r>
      <w:r w:rsidR="002C1F28">
        <w:rPr>
          <w:rFonts w:ascii="Arial" w:hAnsi="Arial" w:cs="Arial"/>
        </w:rPr>
        <w:t>6</w:t>
      </w:r>
      <w:r w:rsidR="002C1F28" w:rsidRPr="002C1F28">
        <w:rPr>
          <w:rFonts w:ascii="Arial" w:hAnsi="Arial" w:cs="Arial"/>
          <w:vertAlign w:val="superscript"/>
        </w:rPr>
        <w:t>th</w:t>
      </w:r>
      <w:r w:rsidR="002C1F28">
        <w:rPr>
          <w:rFonts w:ascii="Arial" w:hAnsi="Arial" w:cs="Arial"/>
        </w:rPr>
        <w:t xml:space="preserve"> April 2026)</w:t>
      </w:r>
    </w:p>
    <w:p w14:paraId="40ED5232" w14:textId="1D522479" w:rsidR="00826090" w:rsidRDefault="00826090" w:rsidP="00826090">
      <w:pPr>
        <w:spacing w:line="360" w:lineRule="auto"/>
        <w:rPr>
          <w:rFonts w:ascii="Arial" w:hAnsi="Arial" w:cs="Arial"/>
        </w:rPr>
      </w:pPr>
      <w:r>
        <w:rPr>
          <w:rFonts w:ascii="Arial" w:hAnsi="Arial" w:cs="Arial"/>
        </w:rPr>
        <w:t xml:space="preserve">Rawlings, B. S., Chetwynd-Talbot, D., Husband, E., Nuttall, A., Quinn, E., Taggart, R., </w:t>
      </w:r>
      <w:proofErr w:type="spellStart"/>
      <w:r>
        <w:rPr>
          <w:rFonts w:ascii="Arial" w:hAnsi="Arial" w:cs="Arial"/>
        </w:rPr>
        <w:t>Roome</w:t>
      </w:r>
      <w:proofErr w:type="spellEnd"/>
      <w:r>
        <w:rPr>
          <w:rFonts w:ascii="Arial" w:hAnsi="Arial" w:cs="Arial"/>
        </w:rPr>
        <w:t>, H. E. (2024) ‘</w:t>
      </w:r>
      <w:r w:rsidRPr="006F52BA">
        <w:rPr>
          <w:rFonts w:ascii="Arial" w:hAnsi="Arial" w:cs="Arial"/>
        </w:rPr>
        <w:t>Divergent thinking is linked with convergent thinking; implications for models of creativity</w:t>
      </w:r>
      <w:r>
        <w:rPr>
          <w:rFonts w:ascii="Arial" w:hAnsi="Arial" w:cs="Arial"/>
        </w:rPr>
        <w:t xml:space="preserve">’. </w:t>
      </w:r>
      <w:r w:rsidRPr="006F52BA">
        <w:rPr>
          <w:rFonts w:ascii="Arial" w:hAnsi="Arial" w:cs="Arial"/>
          <w:i/>
          <w:iCs/>
        </w:rPr>
        <w:t>Thinking &amp; Reasoning</w:t>
      </w:r>
      <w:r>
        <w:rPr>
          <w:rFonts w:ascii="Arial" w:hAnsi="Arial" w:cs="Arial"/>
        </w:rPr>
        <w:t xml:space="preserve">. Volume 31, Issue 4. Available at </w:t>
      </w:r>
      <w:hyperlink r:id="rId27" w:anchor="abstract" w:history="1">
        <w:r w:rsidRPr="00CF445E">
          <w:rPr>
            <w:rStyle w:val="Hyperlink"/>
            <w:rFonts w:ascii="Arial" w:hAnsi="Arial" w:cs="Arial"/>
          </w:rPr>
          <w:t>https://www.tandfonline.com/doi/full/10.1080/13</w:t>
        </w:r>
        <w:r w:rsidRPr="00CF445E">
          <w:rPr>
            <w:rStyle w:val="Hyperlink"/>
            <w:rFonts w:ascii="Arial" w:hAnsi="Arial" w:cs="Arial"/>
          </w:rPr>
          <w:t>5</w:t>
        </w:r>
        <w:r w:rsidRPr="00CF445E">
          <w:rPr>
            <w:rStyle w:val="Hyperlink"/>
            <w:rFonts w:ascii="Arial" w:hAnsi="Arial" w:cs="Arial"/>
          </w:rPr>
          <w:t>46783.2025.2485059#abstract</w:t>
        </w:r>
      </w:hyperlink>
      <w:r>
        <w:rPr>
          <w:rFonts w:ascii="Arial" w:hAnsi="Arial" w:cs="Arial"/>
        </w:rPr>
        <w:t xml:space="preserve"> </w:t>
      </w:r>
      <w:r w:rsidR="002C1F28">
        <w:rPr>
          <w:rFonts w:ascii="Arial" w:hAnsi="Arial" w:cs="Arial"/>
        </w:rPr>
        <w:t xml:space="preserve">(Accessed date </w:t>
      </w:r>
      <w:proofErr w:type="gramStart"/>
      <w:r w:rsidR="002C1F28">
        <w:rPr>
          <w:rFonts w:ascii="Arial" w:hAnsi="Arial" w:cs="Arial"/>
        </w:rPr>
        <w:t>3</w:t>
      </w:r>
      <w:r w:rsidR="002C1F28" w:rsidRPr="002C1F28">
        <w:rPr>
          <w:rFonts w:ascii="Arial" w:hAnsi="Arial" w:cs="Arial"/>
          <w:vertAlign w:val="superscript"/>
        </w:rPr>
        <w:t>th</w:t>
      </w:r>
      <w:proofErr w:type="gramEnd"/>
      <w:r w:rsidR="002C1F28">
        <w:rPr>
          <w:rFonts w:ascii="Arial" w:hAnsi="Arial" w:cs="Arial"/>
        </w:rPr>
        <w:t xml:space="preserve"> April 2026)</w:t>
      </w:r>
    </w:p>
    <w:p w14:paraId="6B772359" w14:textId="2157D616" w:rsidR="00826090" w:rsidRDefault="00826090" w:rsidP="00826090">
      <w:pPr>
        <w:spacing w:line="360" w:lineRule="auto"/>
        <w:rPr>
          <w:rFonts w:ascii="Arial" w:hAnsi="Arial" w:cs="Arial"/>
        </w:rPr>
      </w:pPr>
      <w:r>
        <w:rPr>
          <w:rFonts w:ascii="Arial" w:hAnsi="Arial" w:cs="Arial"/>
        </w:rPr>
        <w:t xml:space="preserve">Robertson, S. T., </w:t>
      </w:r>
      <w:proofErr w:type="spellStart"/>
      <w:r>
        <w:rPr>
          <w:rFonts w:ascii="Arial" w:hAnsi="Arial" w:cs="Arial"/>
        </w:rPr>
        <w:t>Rosbergen</w:t>
      </w:r>
      <w:proofErr w:type="spellEnd"/>
      <w:r>
        <w:rPr>
          <w:rFonts w:ascii="Arial" w:hAnsi="Arial" w:cs="Arial"/>
        </w:rPr>
        <w:t>. I. C. M., Burton-Jones, A., Grimley, R. S., and Brauer, S. G. (2022) ‘</w:t>
      </w:r>
      <w:r w:rsidRPr="004949AF">
        <w:rPr>
          <w:rFonts w:ascii="Arial" w:hAnsi="Arial" w:cs="Arial"/>
        </w:rPr>
        <w:t>The Effect of the Electronic Health Record on Interprofessional Practice: A Systematic Review</w:t>
      </w:r>
      <w:r>
        <w:rPr>
          <w:rFonts w:ascii="Arial" w:hAnsi="Arial" w:cs="Arial"/>
        </w:rPr>
        <w:t xml:space="preserve">’. </w:t>
      </w:r>
      <w:r w:rsidRPr="004949AF">
        <w:rPr>
          <w:rFonts w:ascii="Arial" w:hAnsi="Arial" w:cs="Arial"/>
          <w:i/>
          <w:iCs/>
        </w:rPr>
        <w:t>Applied Clinical Informatics</w:t>
      </w:r>
      <w:r>
        <w:rPr>
          <w:rFonts w:ascii="Arial" w:hAnsi="Arial" w:cs="Arial"/>
        </w:rPr>
        <w:t xml:space="preserve">. </w:t>
      </w:r>
      <w:r w:rsidRPr="004949AF">
        <w:rPr>
          <w:rFonts w:ascii="Arial" w:hAnsi="Arial" w:cs="Arial"/>
        </w:rPr>
        <w:t xml:space="preserve">13(3):541–559. </w:t>
      </w:r>
      <w:proofErr w:type="spellStart"/>
      <w:r w:rsidRPr="004949AF">
        <w:rPr>
          <w:rFonts w:ascii="Arial" w:hAnsi="Arial" w:cs="Arial"/>
        </w:rPr>
        <w:t>doi</w:t>
      </w:r>
      <w:proofErr w:type="spellEnd"/>
      <w:r w:rsidRPr="004949AF">
        <w:rPr>
          <w:rFonts w:ascii="Arial" w:hAnsi="Arial" w:cs="Arial"/>
        </w:rPr>
        <w:t>: 10.1055/s-0042-1748855</w:t>
      </w:r>
      <w:r>
        <w:rPr>
          <w:rFonts w:ascii="Arial" w:hAnsi="Arial" w:cs="Arial"/>
        </w:rPr>
        <w:t xml:space="preserve">. Available at </w:t>
      </w:r>
      <w:hyperlink r:id="rId28" w:history="1">
        <w:r w:rsidRPr="00CF445E">
          <w:rPr>
            <w:rStyle w:val="Hyperlink"/>
            <w:rFonts w:ascii="Arial" w:hAnsi="Arial" w:cs="Arial"/>
          </w:rPr>
          <w:t>https://pmc.ncbi.nlm.nih.gov/articles/PMC9179</w:t>
        </w:r>
        <w:r w:rsidRPr="00CF445E">
          <w:rPr>
            <w:rStyle w:val="Hyperlink"/>
            <w:rFonts w:ascii="Arial" w:hAnsi="Arial" w:cs="Arial"/>
          </w:rPr>
          <w:t>2</w:t>
        </w:r>
        <w:r w:rsidRPr="00CF445E">
          <w:rPr>
            <w:rStyle w:val="Hyperlink"/>
            <w:rFonts w:ascii="Arial" w:hAnsi="Arial" w:cs="Arial"/>
          </w:rPr>
          <w:t>32</w:t>
        </w:r>
      </w:hyperlink>
      <w:r>
        <w:rPr>
          <w:rFonts w:ascii="Arial" w:hAnsi="Arial" w:cs="Arial"/>
        </w:rPr>
        <w:t xml:space="preserve"> </w:t>
      </w:r>
      <w:r w:rsidR="002C1F28">
        <w:rPr>
          <w:rFonts w:ascii="Arial" w:hAnsi="Arial" w:cs="Arial"/>
        </w:rPr>
        <w:t xml:space="preserve">(Accessed date </w:t>
      </w:r>
      <w:proofErr w:type="gramStart"/>
      <w:r w:rsidR="002C1F28">
        <w:rPr>
          <w:rFonts w:ascii="Arial" w:hAnsi="Arial" w:cs="Arial"/>
        </w:rPr>
        <w:t>3</w:t>
      </w:r>
      <w:r w:rsidR="002C1F28" w:rsidRPr="002C1F28">
        <w:rPr>
          <w:rFonts w:ascii="Arial" w:hAnsi="Arial" w:cs="Arial"/>
          <w:vertAlign w:val="superscript"/>
        </w:rPr>
        <w:t>th</w:t>
      </w:r>
      <w:proofErr w:type="gramEnd"/>
      <w:r w:rsidR="002C1F28">
        <w:rPr>
          <w:rFonts w:ascii="Arial" w:hAnsi="Arial" w:cs="Arial"/>
        </w:rPr>
        <w:t xml:space="preserve"> April 2026)</w:t>
      </w:r>
    </w:p>
    <w:p w14:paraId="54940FB5" w14:textId="77777777" w:rsidR="00826090" w:rsidRDefault="00826090" w:rsidP="00826090">
      <w:pPr>
        <w:spacing w:line="360" w:lineRule="auto"/>
        <w:rPr>
          <w:rFonts w:ascii="Arial" w:hAnsi="Arial" w:cs="Arial"/>
        </w:rPr>
      </w:pPr>
      <w:r>
        <w:rPr>
          <w:rFonts w:ascii="Arial" w:hAnsi="Arial" w:cs="Arial"/>
        </w:rPr>
        <w:t xml:space="preserve">Rogers, E. M. (2003) </w:t>
      </w:r>
      <w:r w:rsidRPr="00C26E88">
        <w:rPr>
          <w:rFonts w:ascii="Arial" w:hAnsi="Arial" w:cs="Arial"/>
          <w:i/>
          <w:iCs/>
        </w:rPr>
        <w:t>Diffusion of Innovations, 5th Edition</w:t>
      </w:r>
      <w:r>
        <w:rPr>
          <w:rFonts w:ascii="Arial" w:hAnsi="Arial" w:cs="Arial"/>
        </w:rPr>
        <w:t xml:space="preserve">. New York: Simon &amp; Schuster </w:t>
      </w:r>
    </w:p>
    <w:p w14:paraId="4F2B6EB1" w14:textId="3C373AAD" w:rsidR="00826090" w:rsidRDefault="00826090" w:rsidP="00826090">
      <w:pPr>
        <w:spacing w:line="360" w:lineRule="auto"/>
        <w:rPr>
          <w:rFonts w:ascii="Arial" w:hAnsi="Arial" w:cs="Arial"/>
        </w:rPr>
      </w:pPr>
      <w:r>
        <w:rPr>
          <w:rFonts w:ascii="Arial" w:hAnsi="Arial" w:cs="Arial"/>
        </w:rPr>
        <w:t xml:space="preserve">Saleh, M. S. M., </w:t>
      </w:r>
      <w:proofErr w:type="spellStart"/>
      <w:r>
        <w:rPr>
          <w:rFonts w:ascii="Arial" w:hAnsi="Arial" w:cs="Arial"/>
        </w:rPr>
        <w:t>Abdelwahid</w:t>
      </w:r>
      <w:proofErr w:type="spellEnd"/>
      <w:r>
        <w:rPr>
          <w:rFonts w:ascii="Arial" w:hAnsi="Arial" w:cs="Arial"/>
        </w:rPr>
        <w:t xml:space="preserve">, A. E. A., </w:t>
      </w:r>
      <w:proofErr w:type="spellStart"/>
      <w:r>
        <w:rPr>
          <w:rFonts w:ascii="Arial" w:hAnsi="Arial" w:cs="Arial"/>
        </w:rPr>
        <w:t>Elsabahy</w:t>
      </w:r>
      <w:proofErr w:type="spellEnd"/>
      <w:r>
        <w:rPr>
          <w:rFonts w:ascii="Arial" w:hAnsi="Arial" w:cs="Arial"/>
        </w:rPr>
        <w:t xml:space="preserve">, H. E., </w:t>
      </w:r>
      <w:proofErr w:type="spellStart"/>
      <w:r>
        <w:rPr>
          <w:rFonts w:ascii="Arial" w:hAnsi="Arial" w:cs="Arial"/>
        </w:rPr>
        <w:t>Eltahan</w:t>
      </w:r>
      <w:proofErr w:type="spellEnd"/>
      <w:r>
        <w:rPr>
          <w:rFonts w:ascii="Arial" w:hAnsi="Arial" w:cs="Arial"/>
        </w:rPr>
        <w:t>, A. A., and Ata, A. A. (2025) ‘</w:t>
      </w:r>
      <w:r w:rsidRPr="00D50972">
        <w:rPr>
          <w:rFonts w:ascii="Arial" w:hAnsi="Arial" w:cs="Arial"/>
        </w:rPr>
        <w:t>Visionary leadership: the mediating role of organizational support on nurse interns’ creativity and organizational effectiveness</w:t>
      </w:r>
      <w:r>
        <w:rPr>
          <w:rFonts w:ascii="Arial" w:hAnsi="Arial" w:cs="Arial"/>
        </w:rPr>
        <w:t xml:space="preserve">’. </w:t>
      </w:r>
      <w:r w:rsidRPr="00D50972">
        <w:rPr>
          <w:rFonts w:ascii="Arial" w:hAnsi="Arial" w:cs="Arial"/>
          <w:i/>
          <w:iCs/>
        </w:rPr>
        <w:t>BMC Nursing</w:t>
      </w:r>
      <w:r>
        <w:rPr>
          <w:rFonts w:ascii="Arial" w:hAnsi="Arial" w:cs="Arial"/>
        </w:rPr>
        <w:t xml:space="preserve">. </w:t>
      </w:r>
      <w:r w:rsidRPr="00D50972">
        <w:rPr>
          <w:rFonts w:ascii="Arial" w:hAnsi="Arial" w:cs="Arial"/>
        </w:rPr>
        <w:t xml:space="preserve">24:400. </w:t>
      </w:r>
      <w:proofErr w:type="spellStart"/>
      <w:r w:rsidRPr="00D50972">
        <w:rPr>
          <w:rFonts w:ascii="Arial" w:hAnsi="Arial" w:cs="Arial"/>
        </w:rPr>
        <w:t>doi</w:t>
      </w:r>
      <w:proofErr w:type="spellEnd"/>
      <w:r w:rsidRPr="00D50972">
        <w:rPr>
          <w:rFonts w:ascii="Arial" w:hAnsi="Arial" w:cs="Arial"/>
        </w:rPr>
        <w:t>: 10.1186/s12912-025-02951-y</w:t>
      </w:r>
      <w:r>
        <w:rPr>
          <w:rFonts w:ascii="Arial" w:hAnsi="Arial" w:cs="Arial"/>
        </w:rPr>
        <w:t xml:space="preserve">. Available at </w:t>
      </w:r>
      <w:hyperlink r:id="rId29" w:anchor=":~:text=Leading%20with%20vision%20necessitates%20creative,study%20proposed%20the%20following%20hypotheses" w:history="1">
        <w:r w:rsidRPr="00CF445E">
          <w:rPr>
            <w:rStyle w:val="Hyperlink"/>
            <w:rFonts w:ascii="Arial" w:hAnsi="Arial" w:cs="Arial"/>
          </w:rPr>
          <w:t>https://pmc.ncbi.nlm.nih.gov/articles/PMC11987171/#:~:text=Leading%20with%20vision%20necessitates%20creative,study%20proposed%20t</w:t>
        </w:r>
        <w:r w:rsidRPr="00CF445E">
          <w:rPr>
            <w:rStyle w:val="Hyperlink"/>
            <w:rFonts w:ascii="Arial" w:hAnsi="Arial" w:cs="Arial"/>
          </w:rPr>
          <w:t>h</w:t>
        </w:r>
        <w:r w:rsidRPr="00CF445E">
          <w:rPr>
            <w:rStyle w:val="Hyperlink"/>
            <w:rFonts w:ascii="Arial" w:hAnsi="Arial" w:cs="Arial"/>
          </w:rPr>
          <w:t>e%20following%20hypotheses</w:t>
        </w:r>
      </w:hyperlink>
      <w:r w:rsidRPr="00D50972">
        <w:rPr>
          <w:rFonts w:ascii="Arial" w:hAnsi="Arial" w:cs="Arial"/>
        </w:rPr>
        <w:t>:</w:t>
      </w:r>
      <w:r>
        <w:rPr>
          <w:rFonts w:ascii="Arial" w:hAnsi="Arial" w:cs="Arial"/>
        </w:rPr>
        <w:t xml:space="preserve"> </w:t>
      </w:r>
      <w:r w:rsidR="002C1F28">
        <w:rPr>
          <w:rFonts w:ascii="Arial" w:hAnsi="Arial" w:cs="Arial"/>
        </w:rPr>
        <w:t xml:space="preserve">(Accessed date </w:t>
      </w:r>
      <w:r w:rsidR="002C1F28">
        <w:rPr>
          <w:rFonts w:ascii="Arial" w:hAnsi="Arial" w:cs="Arial"/>
        </w:rPr>
        <w:t>6</w:t>
      </w:r>
      <w:r w:rsidR="002C1F28" w:rsidRPr="002C1F28">
        <w:rPr>
          <w:rFonts w:ascii="Arial" w:hAnsi="Arial" w:cs="Arial"/>
          <w:vertAlign w:val="superscript"/>
        </w:rPr>
        <w:t>th</w:t>
      </w:r>
      <w:r w:rsidR="002C1F28">
        <w:rPr>
          <w:rFonts w:ascii="Arial" w:hAnsi="Arial" w:cs="Arial"/>
        </w:rPr>
        <w:t xml:space="preserve"> April 2026)</w:t>
      </w:r>
    </w:p>
    <w:p w14:paraId="50425145" w14:textId="769CAE8A" w:rsidR="00826090" w:rsidRDefault="00826090" w:rsidP="00826090">
      <w:pPr>
        <w:spacing w:line="360" w:lineRule="auto"/>
        <w:rPr>
          <w:rFonts w:ascii="Arial" w:hAnsi="Arial" w:cs="Arial"/>
        </w:rPr>
      </w:pPr>
      <w:r>
        <w:rPr>
          <w:rFonts w:ascii="Arial" w:hAnsi="Arial" w:cs="Arial"/>
        </w:rPr>
        <w:t>Singh, P. K., Singh, S., Kumari, V., and Tiwari, M. (2024) ‘</w:t>
      </w:r>
      <w:r w:rsidRPr="00C971FA">
        <w:rPr>
          <w:rFonts w:ascii="Arial" w:hAnsi="Arial" w:cs="Arial"/>
        </w:rPr>
        <w:t>Navigating healthcare leadership: Theories, challenges, and practical insights for the future</w:t>
      </w:r>
      <w:r>
        <w:rPr>
          <w:rFonts w:ascii="Arial" w:hAnsi="Arial" w:cs="Arial"/>
        </w:rPr>
        <w:t xml:space="preserve">’. </w:t>
      </w:r>
      <w:r w:rsidRPr="00C971FA">
        <w:rPr>
          <w:rFonts w:ascii="Arial" w:hAnsi="Arial" w:cs="Arial"/>
          <w:i/>
          <w:iCs/>
        </w:rPr>
        <w:t>Journal of Postgraduate Medicine</w:t>
      </w:r>
      <w:r>
        <w:rPr>
          <w:rFonts w:ascii="Arial" w:hAnsi="Arial" w:cs="Arial"/>
        </w:rPr>
        <w:t xml:space="preserve">. </w:t>
      </w:r>
      <w:r w:rsidRPr="00C971FA">
        <w:rPr>
          <w:rFonts w:ascii="Arial" w:hAnsi="Arial" w:cs="Arial"/>
        </w:rPr>
        <w:t xml:space="preserve">70(4):232–241. </w:t>
      </w:r>
      <w:proofErr w:type="spellStart"/>
      <w:r w:rsidRPr="00C971FA">
        <w:rPr>
          <w:rFonts w:ascii="Arial" w:hAnsi="Arial" w:cs="Arial"/>
        </w:rPr>
        <w:t>doi</w:t>
      </w:r>
      <w:proofErr w:type="spellEnd"/>
      <w:r w:rsidRPr="00C971FA">
        <w:rPr>
          <w:rFonts w:ascii="Arial" w:hAnsi="Arial" w:cs="Arial"/>
        </w:rPr>
        <w:t>: 10.4103/jpgm.jpgm_533_24</w:t>
      </w:r>
      <w:r>
        <w:rPr>
          <w:rFonts w:ascii="Arial" w:hAnsi="Arial" w:cs="Arial"/>
        </w:rPr>
        <w:t xml:space="preserve">. Available </w:t>
      </w:r>
      <w:r>
        <w:rPr>
          <w:rFonts w:ascii="Arial" w:hAnsi="Arial" w:cs="Arial"/>
        </w:rPr>
        <w:lastRenderedPageBreak/>
        <w:t xml:space="preserve">at </w:t>
      </w:r>
      <w:hyperlink r:id="rId30" w:anchor=":~:text=Effective%20healthcare%20leaders%20must%20navigate,needs%2C%20and%20evolving%20healthcare%20policies.&amp;text=Healthcare%20leaders%20are%20crucial%20for,ultimately%20improve%20patient%20care%20outcomes" w:history="1">
        <w:r w:rsidRPr="00CF445E">
          <w:rPr>
            <w:rStyle w:val="Hyperlink"/>
            <w:rFonts w:ascii="Arial" w:hAnsi="Arial" w:cs="Arial"/>
          </w:rPr>
          <w:t>https://pmc.ncbi.nlm.nih.gov/articles/PMC11722716/#:~:text=Effective%20healthcare%20leaders%20must%20naviga</w:t>
        </w:r>
        <w:r w:rsidRPr="00CF445E">
          <w:rPr>
            <w:rStyle w:val="Hyperlink"/>
            <w:rFonts w:ascii="Arial" w:hAnsi="Arial" w:cs="Arial"/>
          </w:rPr>
          <w:t>t</w:t>
        </w:r>
        <w:r w:rsidRPr="00CF445E">
          <w:rPr>
            <w:rStyle w:val="Hyperlink"/>
            <w:rFonts w:ascii="Arial" w:hAnsi="Arial" w:cs="Arial"/>
          </w:rPr>
          <w:t>e,needs%2C%20and%20evolving%20healthcare%20policies.&amp;text=Healthcare%20leaders%20are%20crucial%20for,ultimately%20improve%20patient%20care%20outcomes</w:t>
        </w:r>
      </w:hyperlink>
      <w:r>
        <w:rPr>
          <w:rFonts w:ascii="Arial" w:hAnsi="Arial" w:cs="Arial"/>
        </w:rPr>
        <w:t xml:space="preserve"> </w:t>
      </w:r>
      <w:r w:rsidR="002C1F28">
        <w:rPr>
          <w:rFonts w:ascii="Arial" w:hAnsi="Arial" w:cs="Arial"/>
        </w:rPr>
        <w:t xml:space="preserve">(Accessed date </w:t>
      </w:r>
      <w:r w:rsidR="002C1F28">
        <w:rPr>
          <w:rFonts w:ascii="Arial" w:hAnsi="Arial" w:cs="Arial"/>
        </w:rPr>
        <w:t>12</w:t>
      </w:r>
      <w:r w:rsidR="002C1F28" w:rsidRPr="002C1F28">
        <w:rPr>
          <w:rFonts w:ascii="Arial" w:hAnsi="Arial" w:cs="Arial"/>
          <w:vertAlign w:val="superscript"/>
        </w:rPr>
        <w:t>th</w:t>
      </w:r>
      <w:r w:rsidR="002C1F28">
        <w:rPr>
          <w:rFonts w:ascii="Arial" w:hAnsi="Arial" w:cs="Arial"/>
        </w:rPr>
        <w:t xml:space="preserve"> April 2026)</w:t>
      </w:r>
    </w:p>
    <w:p w14:paraId="78E85C33" w14:textId="4E9B10BE" w:rsidR="00BC2302" w:rsidRPr="00BC2302" w:rsidRDefault="00826090" w:rsidP="00093937">
      <w:pPr>
        <w:spacing w:line="360" w:lineRule="auto"/>
        <w:rPr>
          <w:rFonts w:ascii="Times New Roman" w:hAnsi="Times New Roman" w:cs="Times New Roman"/>
        </w:rPr>
      </w:pPr>
      <w:r>
        <w:rPr>
          <w:rFonts w:ascii="Arial" w:hAnsi="Arial" w:cs="Arial"/>
        </w:rPr>
        <w:t>Tierney, S., Wong, G., and Mahtani, K. R. (2019) ‘</w:t>
      </w:r>
      <w:r w:rsidRPr="008528B3">
        <w:rPr>
          <w:rFonts w:ascii="Arial" w:hAnsi="Arial" w:cs="Arial"/>
        </w:rPr>
        <w:t>Current understanding and implementation of ‘care navigation’ across England:</w:t>
      </w:r>
      <w:r>
        <w:rPr>
          <w:rFonts w:ascii="Arial" w:hAnsi="Arial" w:cs="Arial"/>
        </w:rPr>
        <w:t xml:space="preserve"> </w:t>
      </w:r>
      <w:r w:rsidRPr="008528B3">
        <w:rPr>
          <w:rFonts w:ascii="Arial" w:hAnsi="Arial" w:cs="Arial"/>
        </w:rPr>
        <w:t xml:space="preserve">a cross-sectional study of NHS clinical commissioning </w:t>
      </w:r>
      <w:proofErr w:type="gramStart"/>
      <w:r w:rsidRPr="008528B3">
        <w:rPr>
          <w:rFonts w:ascii="Arial" w:hAnsi="Arial" w:cs="Arial"/>
        </w:rPr>
        <w:t>groups</w:t>
      </w:r>
      <w:r>
        <w:rPr>
          <w:rFonts w:ascii="Arial" w:hAnsi="Arial" w:cs="Arial"/>
        </w:rPr>
        <w:t>’</w:t>
      </w:r>
      <w:proofErr w:type="gramEnd"/>
      <w:r>
        <w:rPr>
          <w:rFonts w:ascii="Arial" w:hAnsi="Arial" w:cs="Arial"/>
        </w:rPr>
        <w:t xml:space="preserve">. </w:t>
      </w:r>
      <w:r w:rsidRPr="008528B3">
        <w:rPr>
          <w:rFonts w:ascii="Arial" w:hAnsi="Arial" w:cs="Arial"/>
          <w:i/>
          <w:iCs/>
        </w:rPr>
        <w:t>British Journal of General Practice</w:t>
      </w:r>
      <w:r>
        <w:rPr>
          <w:rFonts w:ascii="Arial" w:hAnsi="Arial" w:cs="Arial"/>
        </w:rPr>
        <w:t xml:space="preserve">. </w:t>
      </w:r>
      <w:r w:rsidRPr="008528B3">
        <w:rPr>
          <w:rFonts w:ascii="Arial" w:hAnsi="Arial" w:cs="Arial"/>
        </w:rPr>
        <w:t xml:space="preserve">69 (687): e675-e681. </w:t>
      </w:r>
      <w:r>
        <w:rPr>
          <w:rFonts w:ascii="Arial" w:hAnsi="Arial" w:cs="Arial"/>
        </w:rPr>
        <w:t>Available at</w:t>
      </w:r>
      <w:r w:rsidRPr="008528B3">
        <w:rPr>
          <w:rFonts w:ascii="Arial" w:hAnsi="Arial" w:cs="Arial"/>
        </w:rPr>
        <w:t xml:space="preserve">: </w:t>
      </w:r>
      <w:hyperlink r:id="rId31" w:history="1">
        <w:r w:rsidRPr="00CF445E">
          <w:rPr>
            <w:rStyle w:val="Hyperlink"/>
            <w:rFonts w:ascii="Arial" w:hAnsi="Arial" w:cs="Arial"/>
          </w:rPr>
          <w:t>https://doi.org/10.3399/bjgp19X70</w:t>
        </w:r>
        <w:r w:rsidRPr="00CF445E">
          <w:rPr>
            <w:rStyle w:val="Hyperlink"/>
            <w:rFonts w:ascii="Arial" w:hAnsi="Arial" w:cs="Arial"/>
          </w:rPr>
          <w:t>5</w:t>
        </w:r>
        <w:r w:rsidRPr="00CF445E">
          <w:rPr>
            <w:rStyle w:val="Hyperlink"/>
            <w:rFonts w:ascii="Arial" w:hAnsi="Arial" w:cs="Arial"/>
          </w:rPr>
          <w:t>569</w:t>
        </w:r>
      </w:hyperlink>
      <w:r w:rsidR="002C1F28">
        <w:rPr>
          <w:rStyle w:val="Hyperlink"/>
          <w:rFonts w:ascii="Arial" w:hAnsi="Arial" w:cs="Arial"/>
        </w:rPr>
        <w:t xml:space="preserve"> </w:t>
      </w:r>
      <w:r w:rsidR="002C1F28">
        <w:rPr>
          <w:rFonts w:ascii="Arial" w:hAnsi="Arial" w:cs="Arial"/>
        </w:rPr>
        <w:t xml:space="preserve">(Accessed date </w:t>
      </w:r>
      <w:r w:rsidR="002C1F28">
        <w:rPr>
          <w:rFonts w:ascii="Arial" w:hAnsi="Arial" w:cs="Arial"/>
        </w:rPr>
        <w:t>12</w:t>
      </w:r>
      <w:r w:rsidR="002C1F28" w:rsidRPr="002C1F28">
        <w:rPr>
          <w:rFonts w:ascii="Arial" w:hAnsi="Arial" w:cs="Arial"/>
          <w:vertAlign w:val="superscript"/>
        </w:rPr>
        <w:t>th</w:t>
      </w:r>
      <w:r w:rsidR="002C1F28">
        <w:rPr>
          <w:rFonts w:ascii="Arial" w:hAnsi="Arial" w:cs="Arial"/>
        </w:rPr>
        <w:t xml:space="preserve"> April 2026)</w:t>
      </w:r>
    </w:p>
    <w:sectPr w:rsidR="00BC2302" w:rsidRPr="00BC23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302"/>
    <w:rsid w:val="00093937"/>
    <w:rsid w:val="00287DFC"/>
    <w:rsid w:val="002C1F28"/>
    <w:rsid w:val="003339EB"/>
    <w:rsid w:val="004E752D"/>
    <w:rsid w:val="006943BC"/>
    <w:rsid w:val="007256ED"/>
    <w:rsid w:val="00823458"/>
    <w:rsid w:val="00826090"/>
    <w:rsid w:val="00963525"/>
    <w:rsid w:val="00B023BA"/>
    <w:rsid w:val="00BC2302"/>
    <w:rsid w:val="00DD29FD"/>
    <w:rsid w:val="00E327C8"/>
    <w:rsid w:val="00EA2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27B166"/>
  <w15:chartTrackingRefBased/>
  <w15:docId w15:val="{41D39D1E-0B4A-5E4E-B1C2-66AA7367F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3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23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23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3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3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3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3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3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3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3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23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23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3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3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3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3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3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302"/>
    <w:rPr>
      <w:rFonts w:eastAsiaTheme="majorEastAsia" w:cstheme="majorBidi"/>
      <w:color w:val="272727" w:themeColor="text1" w:themeTint="D8"/>
    </w:rPr>
  </w:style>
  <w:style w:type="paragraph" w:styleId="Title">
    <w:name w:val="Title"/>
    <w:basedOn w:val="Normal"/>
    <w:next w:val="Normal"/>
    <w:link w:val="TitleChar"/>
    <w:uiPriority w:val="10"/>
    <w:qFormat/>
    <w:rsid w:val="00BC23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3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3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3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302"/>
    <w:pPr>
      <w:spacing w:before="160"/>
      <w:jc w:val="center"/>
    </w:pPr>
    <w:rPr>
      <w:i/>
      <w:iCs/>
      <w:color w:val="404040" w:themeColor="text1" w:themeTint="BF"/>
    </w:rPr>
  </w:style>
  <w:style w:type="character" w:customStyle="1" w:styleId="QuoteChar">
    <w:name w:val="Quote Char"/>
    <w:basedOn w:val="DefaultParagraphFont"/>
    <w:link w:val="Quote"/>
    <w:uiPriority w:val="29"/>
    <w:rsid w:val="00BC2302"/>
    <w:rPr>
      <w:i/>
      <w:iCs/>
      <w:color w:val="404040" w:themeColor="text1" w:themeTint="BF"/>
    </w:rPr>
  </w:style>
  <w:style w:type="paragraph" w:styleId="ListParagraph">
    <w:name w:val="List Paragraph"/>
    <w:basedOn w:val="Normal"/>
    <w:uiPriority w:val="34"/>
    <w:qFormat/>
    <w:rsid w:val="00BC2302"/>
    <w:pPr>
      <w:ind w:left="720"/>
      <w:contextualSpacing/>
    </w:pPr>
  </w:style>
  <w:style w:type="character" w:styleId="IntenseEmphasis">
    <w:name w:val="Intense Emphasis"/>
    <w:basedOn w:val="DefaultParagraphFont"/>
    <w:uiPriority w:val="21"/>
    <w:qFormat/>
    <w:rsid w:val="00BC2302"/>
    <w:rPr>
      <w:i/>
      <w:iCs/>
      <w:color w:val="0F4761" w:themeColor="accent1" w:themeShade="BF"/>
    </w:rPr>
  </w:style>
  <w:style w:type="paragraph" w:styleId="IntenseQuote">
    <w:name w:val="Intense Quote"/>
    <w:basedOn w:val="Normal"/>
    <w:next w:val="Normal"/>
    <w:link w:val="IntenseQuoteChar"/>
    <w:uiPriority w:val="30"/>
    <w:qFormat/>
    <w:rsid w:val="00BC23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302"/>
    <w:rPr>
      <w:i/>
      <w:iCs/>
      <w:color w:val="0F4761" w:themeColor="accent1" w:themeShade="BF"/>
    </w:rPr>
  </w:style>
  <w:style w:type="character" w:styleId="IntenseReference">
    <w:name w:val="Intense Reference"/>
    <w:basedOn w:val="DefaultParagraphFont"/>
    <w:uiPriority w:val="32"/>
    <w:qFormat/>
    <w:rsid w:val="00BC2302"/>
    <w:rPr>
      <w:b/>
      <w:bCs/>
      <w:smallCaps/>
      <w:color w:val="0F4761" w:themeColor="accent1" w:themeShade="BF"/>
      <w:spacing w:val="5"/>
    </w:rPr>
  </w:style>
  <w:style w:type="character" w:styleId="Hyperlink">
    <w:name w:val="Hyperlink"/>
    <w:basedOn w:val="DefaultParagraphFont"/>
    <w:uiPriority w:val="99"/>
    <w:unhideWhenUsed/>
    <w:rsid w:val="007256ED"/>
    <w:rPr>
      <w:color w:val="467886" w:themeColor="hyperlink"/>
      <w:u w:val="single"/>
    </w:rPr>
  </w:style>
  <w:style w:type="character" w:styleId="UnresolvedMention">
    <w:name w:val="Unresolved Mention"/>
    <w:basedOn w:val="DefaultParagraphFont"/>
    <w:uiPriority w:val="99"/>
    <w:semiHidden/>
    <w:unhideWhenUsed/>
    <w:rsid w:val="007256ED"/>
    <w:rPr>
      <w:color w:val="605E5C"/>
      <w:shd w:val="clear" w:color="auto" w:fill="E1DFDD"/>
    </w:rPr>
  </w:style>
  <w:style w:type="paragraph" w:styleId="TOCHeading">
    <w:name w:val="TOC Heading"/>
    <w:basedOn w:val="Heading1"/>
    <w:next w:val="Normal"/>
    <w:uiPriority w:val="39"/>
    <w:unhideWhenUsed/>
    <w:qFormat/>
    <w:rsid w:val="004E752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E752D"/>
    <w:pPr>
      <w:spacing w:before="120" w:after="0"/>
    </w:pPr>
    <w:rPr>
      <w:b/>
      <w:bCs/>
      <w:i/>
      <w:iCs/>
    </w:rPr>
  </w:style>
  <w:style w:type="paragraph" w:styleId="TOC2">
    <w:name w:val="toc 2"/>
    <w:basedOn w:val="Normal"/>
    <w:next w:val="Normal"/>
    <w:autoRedefine/>
    <w:uiPriority w:val="39"/>
    <w:unhideWhenUsed/>
    <w:rsid w:val="004E752D"/>
    <w:pPr>
      <w:spacing w:before="120" w:after="0"/>
      <w:ind w:left="240"/>
    </w:pPr>
    <w:rPr>
      <w:b/>
      <w:bCs/>
      <w:sz w:val="22"/>
      <w:szCs w:val="22"/>
    </w:rPr>
  </w:style>
  <w:style w:type="paragraph" w:styleId="TOC3">
    <w:name w:val="toc 3"/>
    <w:basedOn w:val="Normal"/>
    <w:next w:val="Normal"/>
    <w:autoRedefine/>
    <w:uiPriority w:val="39"/>
    <w:unhideWhenUsed/>
    <w:rsid w:val="004E752D"/>
    <w:pPr>
      <w:spacing w:after="0"/>
      <w:ind w:left="480"/>
    </w:pPr>
    <w:rPr>
      <w:sz w:val="20"/>
      <w:szCs w:val="20"/>
    </w:rPr>
  </w:style>
  <w:style w:type="paragraph" w:styleId="TOC4">
    <w:name w:val="toc 4"/>
    <w:basedOn w:val="Normal"/>
    <w:next w:val="Normal"/>
    <w:autoRedefine/>
    <w:uiPriority w:val="39"/>
    <w:semiHidden/>
    <w:unhideWhenUsed/>
    <w:rsid w:val="004E752D"/>
    <w:pPr>
      <w:spacing w:after="0"/>
      <w:ind w:left="720"/>
    </w:pPr>
    <w:rPr>
      <w:sz w:val="20"/>
      <w:szCs w:val="20"/>
    </w:rPr>
  </w:style>
  <w:style w:type="paragraph" w:styleId="TOC5">
    <w:name w:val="toc 5"/>
    <w:basedOn w:val="Normal"/>
    <w:next w:val="Normal"/>
    <w:autoRedefine/>
    <w:uiPriority w:val="39"/>
    <w:semiHidden/>
    <w:unhideWhenUsed/>
    <w:rsid w:val="004E752D"/>
    <w:pPr>
      <w:spacing w:after="0"/>
      <w:ind w:left="960"/>
    </w:pPr>
    <w:rPr>
      <w:sz w:val="20"/>
      <w:szCs w:val="20"/>
    </w:rPr>
  </w:style>
  <w:style w:type="paragraph" w:styleId="TOC6">
    <w:name w:val="toc 6"/>
    <w:basedOn w:val="Normal"/>
    <w:next w:val="Normal"/>
    <w:autoRedefine/>
    <w:uiPriority w:val="39"/>
    <w:semiHidden/>
    <w:unhideWhenUsed/>
    <w:rsid w:val="004E752D"/>
    <w:pPr>
      <w:spacing w:after="0"/>
      <w:ind w:left="1200"/>
    </w:pPr>
    <w:rPr>
      <w:sz w:val="20"/>
      <w:szCs w:val="20"/>
    </w:rPr>
  </w:style>
  <w:style w:type="paragraph" w:styleId="TOC7">
    <w:name w:val="toc 7"/>
    <w:basedOn w:val="Normal"/>
    <w:next w:val="Normal"/>
    <w:autoRedefine/>
    <w:uiPriority w:val="39"/>
    <w:semiHidden/>
    <w:unhideWhenUsed/>
    <w:rsid w:val="004E752D"/>
    <w:pPr>
      <w:spacing w:after="0"/>
      <w:ind w:left="1440"/>
    </w:pPr>
    <w:rPr>
      <w:sz w:val="20"/>
      <w:szCs w:val="20"/>
    </w:rPr>
  </w:style>
  <w:style w:type="paragraph" w:styleId="TOC8">
    <w:name w:val="toc 8"/>
    <w:basedOn w:val="Normal"/>
    <w:next w:val="Normal"/>
    <w:autoRedefine/>
    <w:uiPriority w:val="39"/>
    <w:semiHidden/>
    <w:unhideWhenUsed/>
    <w:rsid w:val="004E752D"/>
    <w:pPr>
      <w:spacing w:after="0"/>
      <w:ind w:left="1680"/>
    </w:pPr>
    <w:rPr>
      <w:sz w:val="20"/>
      <w:szCs w:val="20"/>
    </w:rPr>
  </w:style>
  <w:style w:type="paragraph" w:styleId="TOC9">
    <w:name w:val="toc 9"/>
    <w:basedOn w:val="Normal"/>
    <w:next w:val="Normal"/>
    <w:autoRedefine/>
    <w:uiPriority w:val="39"/>
    <w:semiHidden/>
    <w:unhideWhenUsed/>
    <w:rsid w:val="004E752D"/>
    <w:pPr>
      <w:spacing w:after="0"/>
      <w:ind w:left="1920"/>
    </w:pPr>
    <w:rPr>
      <w:sz w:val="20"/>
      <w:szCs w:val="20"/>
    </w:rPr>
  </w:style>
  <w:style w:type="character" w:styleId="Strong">
    <w:name w:val="Strong"/>
    <w:uiPriority w:val="22"/>
    <w:qFormat/>
    <w:rsid w:val="002C1F28"/>
    <w:rPr>
      <w:b/>
      <w:bCs/>
    </w:rPr>
  </w:style>
  <w:style w:type="character" w:styleId="FollowedHyperlink">
    <w:name w:val="FollowedHyperlink"/>
    <w:basedOn w:val="DefaultParagraphFont"/>
    <w:uiPriority w:val="99"/>
    <w:semiHidden/>
    <w:unhideWhenUsed/>
    <w:rsid w:val="002C1F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74805">
      <w:bodyDiv w:val="1"/>
      <w:marLeft w:val="0"/>
      <w:marRight w:val="0"/>
      <w:marTop w:val="0"/>
      <w:marBottom w:val="0"/>
      <w:divBdr>
        <w:top w:val="none" w:sz="0" w:space="0" w:color="auto"/>
        <w:left w:val="none" w:sz="0" w:space="0" w:color="auto"/>
        <w:bottom w:val="none" w:sz="0" w:space="0" w:color="auto"/>
        <w:right w:val="none" w:sz="0" w:space="0" w:color="auto"/>
      </w:divBdr>
    </w:div>
    <w:div w:id="186796429">
      <w:bodyDiv w:val="1"/>
      <w:marLeft w:val="0"/>
      <w:marRight w:val="0"/>
      <w:marTop w:val="0"/>
      <w:marBottom w:val="0"/>
      <w:divBdr>
        <w:top w:val="none" w:sz="0" w:space="0" w:color="auto"/>
        <w:left w:val="none" w:sz="0" w:space="0" w:color="auto"/>
        <w:bottom w:val="none" w:sz="0" w:space="0" w:color="auto"/>
        <w:right w:val="none" w:sz="0" w:space="0" w:color="auto"/>
      </w:divBdr>
    </w:div>
    <w:div w:id="432944716">
      <w:bodyDiv w:val="1"/>
      <w:marLeft w:val="0"/>
      <w:marRight w:val="0"/>
      <w:marTop w:val="0"/>
      <w:marBottom w:val="0"/>
      <w:divBdr>
        <w:top w:val="none" w:sz="0" w:space="0" w:color="auto"/>
        <w:left w:val="none" w:sz="0" w:space="0" w:color="auto"/>
        <w:bottom w:val="none" w:sz="0" w:space="0" w:color="auto"/>
        <w:right w:val="none" w:sz="0" w:space="0" w:color="auto"/>
      </w:divBdr>
    </w:div>
    <w:div w:id="564340553">
      <w:bodyDiv w:val="1"/>
      <w:marLeft w:val="0"/>
      <w:marRight w:val="0"/>
      <w:marTop w:val="0"/>
      <w:marBottom w:val="0"/>
      <w:divBdr>
        <w:top w:val="none" w:sz="0" w:space="0" w:color="auto"/>
        <w:left w:val="none" w:sz="0" w:space="0" w:color="auto"/>
        <w:bottom w:val="none" w:sz="0" w:space="0" w:color="auto"/>
        <w:right w:val="none" w:sz="0" w:space="0" w:color="auto"/>
      </w:divBdr>
    </w:div>
    <w:div w:id="576942879">
      <w:bodyDiv w:val="1"/>
      <w:marLeft w:val="0"/>
      <w:marRight w:val="0"/>
      <w:marTop w:val="0"/>
      <w:marBottom w:val="0"/>
      <w:divBdr>
        <w:top w:val="none" w:sz="0" w:space="0" w:color="auto"/>
        <w:left w:val="none" w:sz="0" w:space="0" w:color="auto"/>
        <w:bottom w:val="none" w:sz="0" w:space="0" w:color="auto"/>
        <w:right w:val="none" w:sz="0" w:space="0" w:color="auto"/>
      </w:divBdr>
    </w:div>
    <w:div w:id="1107965885">
      <w:bodyDiv w:val="1"/>
      <w:marLeft w:val="0"/>
      <w:marRight w:val="0"/>
      <w:marTop w:val="0"/>
      <w:marBottom w:val="0"/>
      <w:divBdr>
        <w:top w:val="none" w:sz="0" w:space="0" w:color="auto"/>
        <w:left w:val="none" w:sz="0" w:space="0" w:color="auto"/>
        <w:bottom w:val="none" w:sz="0" w:space="0" w:color="auto"/>
        <w:right w:val="none" w:sz="0" w:space="0" w:color="auto"/>
      </w:divBdr>
    </w:div>
    <w:div w:id="1212154618">
      <w:bodyDiv w:val="1"/>
      <w:marLeft w:val="0"/>
      <w:marRight w:val="0"/>
      <w:marTop w:val="0"/>
      <w:marBottom w:val="0"/>
      <w:divBdr>
        <w:top w:val="none" w:sz="0" w:space="0" w:color="auto"/>
        <w:left w:val="none" w:sz="0" w:space="0" w:color="auto"/>
        <w:bottom w:val="none" w:sz="0" w:space="0" w:color="auto"/>
        <w:right w:val="none" w:sz="0" w:space="0" w:color="auto"/>
      </w:divBdr>
    </w:div>
    <w:div w:id="1370448518">
      <w:bodyDiv w:val="1"/>
      <w:marLeft w:val="0"/>
      <w:marRight w:val="0"/>
      <w:marTop w:val="0"/>
      <w:marBottom w:val="0"/>
      <w:divBdr>
        <w:top w:val="none" w:sz="0" w:space="0" w:color="auto"/>
        <w:left w:val="none" w:sz="0" w:space="0" w:color="auto"/>
        <w:bottom w:val="none" w:sz="0" w:space="0" w:color="auto"/>
        <w:right w:val="none" w:sz="0" w:space="0" w:color="auto"/>
      </w:divBdr>
    </w:div>
    <w:div w:id="1538467405">
      <w:bodyDiv w:val="1"/>
      <w:marLeft w:val="0"/>
      <w:marRight w:val="0"/>
      <w:marTop w:val="0"/>
      <w:marBottom w:val="0"/>
      <w:divBdr>
        <w:top w:val="none" w:sz="0" w:space="0" w:color="auto"/>
        <w:left w:val="none" w:sz="0" w:space="0" w:color="auto"/>
        <w:bottom w:val="none" w:sz="0" w:space="0" w:color="auto"/>
        <w:right w:val="none" w:sz="0" w:space="0" w:color="auto"/>
      </w:divBdr>
    </w:div>
    <w:div w:id="1573420035">
      <w:bodyDiv w:val="1"/>
      <w:marLeft w:val="0"/>
      <w:marRight w:val="0"/>
      <w:marTop w:val="0"/>
      <w:marBottom w:val="0"/>
      <w:divBdr>
        <w:top w:val="none" w:sz="0" w:space="0" w:color="auto"/>
        <w:left w:val="none" w:sz="0" w:space="0" w:color="auto"/>
        <w:bottom w:val="none" w:sz="0" w:space="0" w:color="auto"/>
        <w:right w:val="none" w:sz="0" w:space="0" w:color="auto"/>
      </w:divBdr>
      <w:divsChild>
        <w:div w:id="1488980118">
          <w:marLeft w:val="0"/>
          <w:marRight w:val="0"/>
          <w:marTop w:val="0"/>
          <w:marBottom w:val="0"/>
          <w:divBdr>
            <w:top w:val="none" w:sz="0" w:space="0" w:color="auto"/>
            <w:left w:val="none" w:sz="0" w:space="0" w:color="auto"/>
            <w:bottom w:val="none" w:sz="0" w:space="0" w:color="auto"/>
            <w:right w:val="none" w:sz="0" w:space="0" w:color="auto"/>
          </w:divBdr>
        </w:div>
      </w:divsChild>
    </w:div>
    <w:div w:id="173338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books/NBK459380" TargetMode="External"/><Relationship Id="rId18" Type="http://schemas.openxmlformats.org/officeDocument/2006/relationships/hyperlink" Target="https://pmc.ncbi.nlm.nih.gov/articles/PMC8508443" TargetMode="External"/><Relationship Id="rId26" Type="http://schemas.openxmlformats.org/officeDocument/2006/relationships/hyperlink" Target="https://esmed.org/MRA/mra/article/view/5909/99193548541" TargetMode="External"/><Relationship Id="rId3" Type="http://schemas.openxmlformats.org/officeDocument/2006/relationships/settings" Target="settings.xml"/><Relationship Id="rId21" Type="http://schemas.openxmlformats.org/officeDocument/2006/relationships/hyperlink" Target="https://doi.org/10.1111/inm.12416"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pmc.ncbi.nlm.nih.gov/articles/PMC9353678" TargetMode="External"/><Relationship Id="rId25" Type="http://schemas.openxmlformats.org/officeDocument/2006/relationships/hyperlink" Target="https://www.england.nhs.uk/long-read/how-to-improve-care-navigation-in-general-practice-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jstor.org/stable/249008" TargetMode="External"/><Relationship Id="rId20" Type="http://schemas.openxmlformats.org/officeDocument/2006/relationships/hyperlink" Target="https://pmc.ncbi.nlm.nih.gov/articles/PMC11461032" TargetMode="External"/><Relationship Id="rId29" Type="http://schemas.openxmlformats.org/officeDocument/2006/relationships/hyperlink" Target="https://pmc.ncbi.nlm.nih.gov/articles/PMC11987171/"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england.nhs.uk/wp-content/uploads/2025/09/item-8i-appendix-a-mgmt-and-leadership-full-draft-standards.pdf"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pmc.ncbi.nlm.nih.gov/articles/PMC7273381" TargetMode="External"/><Relationship Id="rId23" Type="http://schemas.openxmlformats.org/officeDocument/2006/relationships/hyperlink" Target="https://pmc.ncbi.nlm.nih.gov/articles/PMC7235968" TargetMode="External"/><Relationship Id="rId28" Type="http://schemas.openxmlformats.org/officeDocument/2006/relationships/hyperlink" Target="https://pmc.ncbi.nlm.nih.gov/articles/PMC9179232" TargetMode="External"/><Relationship Id="rId10" Type="http://schemas.openxmlformats.org/officeDocument/2006/relationships/image" Target="media/image6.png"/><Relationship Id="rId19" Type="http://schemas.openxmlformats.org/officeDocument/2006/relationships/hyperlink" Target="https://doi.org/10.1371/journal.pone.0159015" TargetMode="External"/><Relationship Id="rId31" Type="http://schemas.openxmlformats.org/officeDocument/2006/relationships/hyperlink" Target="https://doi.org/10.3399/bjgp19X705569"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proquest.com/docview/236352406?sourcetype=Scholarly%20Journals" TargetMode="External"/><Relationship Id="rId22" Type="http://schemas.openxmlformats.org/officeDocument/2006/relationships/hyperlink" Target="https://onlinelibrary.wiley.com/doi/epdf/10.1002/job.4030020205" TargetMode="External"/><Relationship Id="rId27" Type="http://schemas.openxmlformats.org/officeDocument/2006/relationships/hyperlink" Target="https://www.tandfonline.com/doi/full/10.1080/13546783.2025.2485059" TargetMode="External"/><Relationship Id="rId30" Type="http://schemas.openxmlformats.org/officeDocument/2006/relationships/hyperlink" Target="https://pmc.ncbi.nlm.nih.gov/articles/PMC11722716/"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28174-0E39-9F40-9872-549B6935B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16</Pages>
  <Words>3662</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PG-Cristea, Lorena</dc:creator>
  <cp:keywords/>
  <dc:description/>
  <cp:lastModifiedBy>marcelamusteata88@yahoo.com</cp:lastModifiedBy>
  <cp:revision>3</cp:revision>
  <dcterms:created xsi:type="dcterms:W3CDTF">2026-04-13T16:34:00Z</dcterms:created>
  <dcterms:modified xsi:type="dcterms:W3CDTF">2026-04-14T19:38:00Z</dcterms:modified>
</cp:coreProperties>
</file>