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55D4C7" w14:textId="7D53F330" w:rsidR="00FD4683" w:rsidRPr="001F2B96" w:rsidRDefault="00D01CC0" w:rsidP="0001092C">
      <w:pPr>
        <w:pStyle w:val="ListParagraph"/>
        <w:spacing w:line="600" w:lineRule="auto"/>
        <w:ind w:left="927"/>
        <w:rPr>
          <w:rFonts w:cstheme="minorHAnsi"/>
          <w:u w:val="single"/>
        </w:rPr>
      </w:pPr>
      <w:r>
        <w:rPr>
          <w:rFonts w:cstheme="minorHAnsi"/>
          <w:u w:val="single"/>
        </w:rPr>
        <w:t xml:space="preserve"> </w:t>
      </w:r>
      <w:r w:rsidR="00FD4683" w:rsidRPr="001F2B96">
        <w:rPr>
          <w:rFonts w:cstheme="minorHAnsi"/>
          <w:u w:val="single"/>
        </w:rPr>
        <w:t>Evaluate and discuss the significance of the Mishnah within Judaism</w:t>
      </w:r>
    </w:p>
    <w:p w14:paraId="23CB2ABE" w14:textId="2153B4BB" w:rsidR="00FD4683" w:rsidRPr="001F2B96" w:rsidRDefault="00FD4683" w:rsidP="0001092C">
      <w:pPr>
        <w:spacing w:line="600" w:lineRule="auto"/>
        <w:rPr>
          <w:rFonts w:cstheme="minorHAnsi"/>
          <w:u w:val="single"/>
        </w:rPr>
      </w:pPr>
    </w:p>
    <w:p w14:paraId="529BD640" w14:textId="77777777" w:rsidR="002C0AE1" w:rsidRDefault="00FD4683" w:rsidP="002C0AE1">
      <w:pPr>
        <w:spacing w:line="600" w:lineRule="auto"/>
      </w:pPr>
      <w:r w:rsidRPr="001F2B96">
        <w:rPr>
          <w:rFonts w:cstheme="minorHAnsi"/>
        </w:rPr>
        <w:t>In this essay I aim to evaluate the importance the Mishnah played in preserving and contributing to the formation of Rabbinic Judaism after the destruction of the second temple in 70 C.E</w:t>
      </w:r>
      <w:r w:rsidRPr="003A0AC8">
        <w:rPr>
          <w:rFonts w:cstheme="minorHAnsi"/>
        </w:rPr>
        <w:t>.  The Mishnah was the foundational document of Rabbinic literatur</w:t>
      </w:r>
      <w:r w:rsidR="00EB0663" w:rsidRPr="003A0AC8">
        <w:rPr>
          <w:rFonts w:cstheme="minorHAnsi"/>
        </w:rPr>
        <w:t>e</w:t>
      </w:r>
      <w:r w:rsidRPr="003A0AC8">
        <w:rPr>
          <w:rFonts w:cstheme="minorHAnsi"/>
        </w:rPr>
        <w:t xml:space="preserve"> that came into printed form during early third century Palestine in 200 CE. </w:t>
      </w:r>
      <w:r w:rsidR="007702AE" w:rsidRPr="003A0AC8">
        <w:rPr>
          <w:rFonts w:cstheme="minorHAnsi"/>
        </w:rPr>
        <w:t xml:space="preserve"> </w:t>
      </w:r>
      <w:r w:rsidRPr="003A0AC8">
        <w:rPr>
          <w:rStyle w:val="FootnoteReference"/>
          <w:rFonts w:cstheme="minorHAnsi"/>
        </w:rPr>
        <w:footnoteReference w:id="1"/>
      </w:r>
      <w:r w:rsidRPr="003A0AC8">
        <w:rPr>
          <w:rFonts w:cstheme="minorHAnsi"/>
        </w:rPr>
        <w:t xml:space="preserve"> </w:t>
      </w:r>
      <w:r w:rsidR="00EB3D2A" w:rsidRPr="003A0AC8">
        <w:rPr>
          <w:rFonts w:cstheme="minorHAnsi"/>
        </w:rPr>
        <w:t xml:space="preserve">Temple life was </w:t>
      </w:r>
      <w:r w:rsidR="00144353" w:rsidRPr="003A0AC8">
        <w:rPr>
          <w:rFonts w:cstheme="minorHAnsi"/>
        </w:rPr>
        <w:t>therefore essentially</w:t>
      </w:r>
      <w:r w:rsidR="00EB3D2A" w:rsidRPr="001F2B96">
        <w:rPr>
          <w:rFonts w:cstheme="minorHAnsi"/>
        </w:rPr>
        <w:t xml:space="preserve"> replaced by a </w:t>
      </w:r>
      <w:r w:rsidR="009E7BE3" w:rsidRPr="001F2B96">
        <w:rPr>
          <w:rFonts w:cstheme="minorHAnsi"/>
        </w:rPr>
        <w:t xml:space="preserve">vast </w:t>
      </w:r>
      <w:r w:rsidR="009E7BE3">
        <w:rPr>
          <w:rFonts w:cstheme="minorHAnsi"/>
        </w:rPr>
        <w:t>Judaic scholarly writing</w:t>
      </w:r>
      <w:r w:rsidR="00144353" w:rsidRPr="001F2B96">
        <w:rPr>
          <w:rFonts w:cstheme="minorHAnsi"/>
        </w:rPr>
        <w:t xml:space="preserve"> which was based on the oral tradition</w:t>
      </w:r>
      <w:r w:rsidR="00DD3246">
        <w:rPr>
          <w:rFonts w:cstheme="minorHAnsi"/>
        </w:rPr>
        <w:t>,</w:t>
      </w:r>
      <w:r w:rsidR="00144353" w:rsidRPr="001F2B96">
        <w:rPr>
          <w:rFonts w:cstheme="minorHAnsi"/>
        </w:rPr>
        <w:t xml:space="preserve"> which would henceforth have the status of law. To elaborate, the Mishnah is an early systematic approach to Jewish law code which contains lots of different rulings and opinions of various Jewish Scholars</w:t>
      </w:r>
      <w:r w:rsidR="001F3CE4" w:rsidRPr="001F2B96">
        <w:rPr>
          <w:rFonts w:cstheme="minorHAnsi"/>
        </w:rPr>
        <w:t xml:space="preserve"> based upon the commandments which are scattered throughout the Torah</w:t>
      </w:r>
      <w:r w:rsidR="00DD3246">
        <w:rPr>
          <w:rFonts w:cstheme="minorHAnsi"/>
        </w:rPr>
        <w:t>,</w:t>
      </w:r>
      <w:r w:rsidR="001F3CE4" w:rsidRPr="001F2B96">
        <w:rPr>
          <w:rFonts w:cstheme="minorHAnsi"/>
        </w:rPr>
        <w:t xml:space="preserve"> and to record the many oral interpretations which are clustered around them</w:t>
      </w:r>
      <w:r w:rsidR="00021DD3">
        <w:rPr>
          <w:rFonts w:cstheme="minorHAnsi"/>
        </w:rPr>
        <w:t xml:space="preserve"> to survive the risks of oral transmissions. </w:t>
      </w:r>
      <w:r w:rsidR="007702AE" w:rsidRPr="001F2B96">
        <w:rPr>
          <w:rFonts w:cstheme="minorHAnsi"/>
        </w:rPr>
        <w:t>Traditionally the authorship compilation of the Mishnah was undertaken</w:t>
      </w:r>
      <w:r w:rsidR="00DD3246">
        <w:rPr>
          <w:rFonts w:cstheme="minorHAnsi"/>
        </w:rPr>
        <w:t xml:space="preserve"> by Judah Ha Nazi or Judah the P</w:t>
      </w:r>
      <w:r w:rsidR="007702AE" w:rsidRPr="001F2B96">
        <w:rPr>
          <w:rFonts w:cstheme="minorHAnsi"/>
        </w:rPr>
        <w:t>atriarch in Gal</w:t>
      </w:r>
      <w:r w:rsidR="00DD3246">
        <w:rPr>
          <w:rFonts w:cstheme="minorHAnsi"/>
        </w:rPr>
        <w:t>ilee, who was a very influential</w:t>
      </w:r>
      <w:r w:rsidR="007702AE" w:rsidRPr="001F2B96">
        <w:rPr>
          <w:rFonts w:cstheme="minorHAnsi"/>
        </w:rPr>
        <w:t xml:space="preserve"> Romanised and wealthy Jew at </w:t>
      </w:r>
      <w:r w:rsidR="007702AE" w:rsidRPr="00B516DF">
        <w:rPr>
          <w:rFonts w:cstheme="minorHAnsi"/>
        </w:rPr>
        <w:t xml:space="preserve">the </w:t>
      </w:r>
      <w:r w:rsidR="00B516DF" w:rsidRPr="00B516DF">
        <w:rPr>
          <w:rFonts w:cstheme="minorHAnsi"/>
        </w:rPr>
        <w:t>time.</w:t>
      </w:r>
      <w:r w:rsidR="00B516DF" w:rsidRPr="00B516DF">
        <w:rPr>
          <w:rStyle w:val="FootnoteReference"/>
          <w:rFonts w:cstheme="minorHAnsi"/>
        </w:rPr>
        <w:footnoteReference w:id="2"/>
      </w:r>
      <w:r w:rsidR="002044A2" w:rsidRPr="00B516DF">
        <w:rPr>
          <w:rFonts w:cstheme="minorHAnsi"/>
        </w:rPr>
        <w:t xml:space="preserve"> </w:t>
      </w:r>
      <w:r w:rsidR="002044A2" w:rsidRPr="001F2B96">
        <w:rPr>
          <w:rFonts w:cstheme="minorHAnsi"/>
        </w:rPr>
        <w:t xml:space="preserve"> </w:t>
      </w:r>
      <w:r w:rsidR="00E93597">
        <w:t>The Mishnah was created by the Jews</w:t>
      </w:r>
      <w:r w:rsidR="0001092C">
        <w:t xml:space="preserve"> in the attempt to establish a law of their own</w:t>
      </w:r>
      <w:r w:rsidR="00DD3246">
        <w:t>,</w:t>
      </w:r>
      <w:r w:rsidR="0001092C">
        <w:t xml:space="preserve"> because they perceived that there would be an accumulation of Jews slipping in</w:t>
      </w:r>
      <w:r w:rsidR="00DD3246">
        <w:t>to the ordinary R</w:t>
      </w:r>
      <w:r w:rsidR="0001092C">
        <w:t>oman way of life</w:t>
      </w:r>
      <w:r w:rsidR="00DD3246">
        <w:t>,</w:t>
      </w:r>
      <w:r w:rsidR="0001092C">
        <w:t xml:space="preserve"> and they wanted to establish a clear Jewish identity</w:t>
      </w:r>
      <w:r w:rsidR="00E93597">
        <w:t>,</w:t>
      </w:r>
      <w:r w:rsidR="0001092C">
        <w:t xml:space="preserve"> and this needed dominion of their own a</w:t>
      </w:r>
      <w:r w:rsidR="0009446B">
        <w:t xml:space="preserve">s well. </w:t>
      </w:r>
      <w:r w:rsidR="0001092C">
        <w:t xml:space="preserve"> </w:t>
      </w:r>
      <w:r w:rsidR="00D816A4">
        <w:rPr>
          <w:rFonts w:cstheme="minorHAnsi"/>
        </w:rPr>
        <w:t xml:space="preserve">The </w:t>
      </w:r>
      <w:r w:rsidR="009E7BE3">
        <w:rPr>
          <w:rFonts w:cstheme="minorHAnsi"/>
        </w:rPr>
        <w:t>Mishnah’s</w:t>
      </w:r>
      <w:r w:rsidR="00D816A4">
        <w:rPr>
          <w:rFonts w:cstheme="minorHAnsi"/>
        </w:rPr>
        <w:t xml:space="preserve"> literal definition is “to repeat” and there is lots of repetitive material throughout</w:t>
      </w:r>
      <w:r w:rsidR="00DD3246">
        <w:rPr>
          <w:rFonts w:cstheme="minorHAnsi"/>
        </w:rPr>
        <w:t>,</w:t>
      </w:r>
      <w:r w:rsidR="00D816A4">
        <w:rPr>
          <w:rFonts w:cstheme="minorHAnsi"/>
        </w:rPr>
        <w:t xml:space="preserve"> which is seen as giving a glimpse of what life was like after the destruction of the temple in 70 CE</w:t>
      </w:r>
      <w:r w:rsidR="009E120C">
        <w:rPr>
          <w:rFonts w:cstheme="minorHAnsi"/>
        </w:rPr>
        <w:t xml:space="preserve"> by </w:t>
      </w:r>
      <w:r w:rsidR="009E120C">
        <w:rPr>
          <w:rFonts w:cstheme="minorHAnsi"/>
        </w:rPr>
        <w:lastRenderedPageBreak/>
        <w:t>the Romans</w:t>
      </w:r>
      <w:r w:rsidR="00DD3246">
        <w:rPr>
          <w:rFonts w:cstheme="minorHAnsi"/>
        </w:rPr>
        <w:t>,</w:t>
      </w:r>
      <w:r w:rsidR="00D816A4">
        <w:rPr>
          <w:rFonts w:cstheme="minorHAnsi"/>
        </w:rPr>
        <w:t xml:space="preserve"> and how Jews felt</w:t>
      </w:r>
      <w:r w:rsidR="00DD3246">
        <w:rPr>
          <w:rFonts w:cstheme="minorHAnsi"/>
        </w:rPr>
        <w:t xml:space="preserve"> at the time</w:t>
      </w:r>
      <w:r w:rsidR="00D816A4">
        <w:rPr>
          <w:rFonts w:cstheme="minorHAnsi"/>
        </w:rPr>
        <w:t xml:space="preserve">. </w:t>
      </w:r>
      <w:r w:rsidR="00D816A4" w:rsidRPr="00DD3246">
        <w:rPr>
          <w:rFonts w:cstheme="minorHAnsi"/>
        </w:rPr>
        <w:t>Therefore</w:t>
      </w:r>
      <w:r w:rsidR="00F46F21" w:rsidRPr="00DD3246">
        <w:rPr>
          <w:rFonts w:cstheme="minorHAnsi"/>
        </w:rPr>
        <w:t xml:space="preserve">, </w:t>
      </w:r>
      <w:r w:rsidR="00D816A4" w:rsidRPr="00DD3246">
        <w:rPr>
          <w:rFonts w:cstheme="minorHAnsi"/>
        </w:rPr>
        <w:t xml:space="preserve">the Mishnah is </w:t>
      </w:r>
      <w:r w:rsidR="00DD3246" w:rsidRPr="00DD3246">
        <w:rPr>
          <w:rFonts w:cstheme="minorHAnsi"/>
        </w:rPr>
        <w:t>“</w:t>
      </w:r>
      <w:r w:rsidR="00D816A4" w:rsidRPr="00DD3246">
        <w:rPr>
          <w:rFonts w:cstheme="minorHAnsi"/>
        </w:rPr>
        <w:t>terse and compact, orderly and repetitive, designed for easy memorization</w:t>
      </w:r>
      <w:r w:rsidR="00DD3246" w:rsidRPr="00DD3246">
        <w:rPr>
          <w:rFonts w:cstheme="minorHAnsi"/>
        </w:rPr>
        <w:t>”</w:t>
      </w:r>
      <w:r w:rsidR="00D816A4" w:rsidRPr="00DD3246">
        <w:rPr>
          <w:rFonts w:cstheme="minorHAnsi"/>
        </w:rPr>
        <w:t>.</w:t>
      </w:r>
      <w:r w:rsidR="00D816A4" w:rsidRPr="00DD3246">
        <w:rPr>
          <w:rStyle w:val="FootnoteReference"/>
        </w:rPr>
        <w:footnoteReference w:id="3"/>
      </w:r>
    </w:p>
    <w:p w14:paraId="5D41B567" w14:textId="77777777" w:rsidR="002C0AE1" w:rsidRDefault="002C0AE1" w:rsidP="002C0AE1">
      <w:pPr>
        <w:spacing w:line="600" w:lineRule="auto"/>
        <w:rPr>
          <w:rFonts w:cstheme="minorHAnsi"/>
        </w:rPr>
      </w:pPr>
    </w:p>
    <w:p w14:paraId="0324EC05" w14:textId="3F774292" w:rsidR="00E93597" w:rsidRPr="002C0AE1" w:rsidRDefault="00153CEF" w:rsidP="002C0AE1">
      <w:pPr>
        <w:spacing w:line="600" w:lineRule="auto"/>
      </w:pPr>
      <w:r w:rsidRPr="001F2B96">
        <w:rPr>
          <w:rFonts w:cstheme="minorHAnsi"/>
        </w:rPr>
        <w:t>The Mishnah is a vast and fascinating work</w:t>
      </w:r>
      <w:r w:rsidR="005E0564">
        <w:rPr>
          <w:rFonts w:cstheme="minorHAnsi"/>
        </w:rPr>
        <w:t xml:space="preserve"> which is greater than just a list of legal rules</w:t>
      </w:r>
      <w:r w:rsidR="00E93597">
        <w:rPr>
          <w:rFonts w:cstheme="minorHAnsi"/>
        </w:rPr>
        <w:t>,</w:t>
      </w:r>
      <w:r w:rsidR="005E0564">
        <w:rPr>
          <w:rFonts w:cstheme="minorHAnsi"/>
        </w:rPr>
        <w:t xml:space="preserve"> </w:t>
      </w:r>
      <w:r w:rsidR="00AF51F3">
        <w:rPr>
          <w:rFonts w:cstheme="minorHAnsi"/>
        </w:rPr>
        <w:t xml:space="preserve">as it </w:t>
      </w:r>
      <w:r w:rsidR="003A63A2">
        <w:rPr>
          <w:rFonts w:cstheme="minorHAnsi"/>
        </w:rPr>
        <w:t>refers</w:t>
      </w:r>
      <w:r w:rsidRPr="001F2B96">
        <w:rPr>
          <w:rFonts w:cstheme="minorHAnsi"/>
        </w:rPr>
        <w:t xml:space="preserve"> to a wide variety of subject matter including religious festivals, dietary laws, marriage, divorce and even agriculture. It presents its scholarship as an ongoing discussion</w:t>
      </w:r>
      <w:r w:rsidR="003A63A2">
        <w:rPr>
          <w:rFonts w:cstheme="minorHAnsi"/>
        </w:rPr>
        <w:t>,</w:t>
      </w:r>
      <w:r w:rsidRPr="001F2B96">
        <w:rPr>
          <w:rFonts w:cstheme="minorHAnsi"/>
        </w:rPr>
        <w:t xml:space="preserve"> sometimes offering a range of opinion</w:t>
      </w:r>
      <w:r w:rsidR="003A63A2">
        <w:rPr>
          <w:rFonts w:cstheme="minorHAnsi"/>
        </w:rPr>
        <w:t>s</w:t>
      </w:r>
      <w:r w:rsidRPr="001F2B96">
        <w:rPr>
          <w:rFonts w:cstheme="minorHAnsi"/>
        </w:rPr>
        <w:t xml:space="preserve"> on a single question. The fundamental text in Judaism is the Torah of Moses</w:t>
      </w:r>
      <w:r w:rsidR="003A63A2">
        <w:rPr>
          <w:rFonts w:cstheme="minorHAnsi"/>
        </w:rPr>
        <w:t>;</w:t>
      </w:r>
      <w:r w:rsidRPr="001F2B96">
        <w:rPr>
          <w:rFonts w:cstheme="minorHAnsi"/>
        </w:rPr>
        <w:t xml:space="preserve"> these include the first five books of the Hebrew bible</w:t>
      </w:r>
      <w:r w:rsidR="003A63A2">
        <w:rPr>
          <w:rFonts w:cstheme="minorHAnsi"/>
        </w:rPr>
        <w:t>,</w:t>
      </w:r>
      <w:r w:rsidRPr="001F2B96">
        <w:rPr>
          <w:rFonts w:cstheme="minorHAnsi"/>
        </w:rPr>
        <w:t xml:space="preserve"> and in theology the Torah of Moses is considered the absolute central text. However, the Mishnah is considered functionally much more important than the Tor</w:t>
      </w:r>
      <w:r w:rsidR="003A63A2">
        <w:rPr>
          <w:rFonts w:cstheme="minorHAnsi"/>
        </w:rPr>
        <w:t xml:space="preserve">ah because it essentially explains </w:t>
      </w:r>
      <w:r w:rsidRPr="001F2B96">
        <w:rPr>
          <w:rFonts w:cstheme="minorHAnsi"/>
        </w:rPr>
        <w:t>how to understand an</w:t>
      </w:r>
      <w:r w:rsidR="003A63A2">
        <w:rPr>
          <w:rFonts w:cstheme="minorHAnsi"/>
        </w:rPr>
        <w:t>d interpret the Torah correctly:</w:t>
      </w:r>
      <w:r w:rsidRPr="001F2B96">
        <w:rPr>
          <w:rFonts w:cstheme="minorHAnsi"/>
        </w:rPr>
        <w:t xml:space="preserve"> </w:t>
      </w:r>
      <w:r w:rsidR="00F840AF" w:rsidRPr="001F2B96">
        <w:rPr>
          <w:rFonts w:cstheme="minorHAnsi"/>
        </w:rPr>
        <w:t xml:space="preserve">“At least in theory, Mishnah parallels the Torah, discussing the 613 </w:t>
      </w:r>
      <w:r w:rsidR="00F840AF" w:rsidRPr="001F2B96">
        <w:rPr>
          <w:rFonts w:cstheme="minorHAnsi"/>
          <w:i/>
        </w:rPr>
        <w:t>mitzvot</w:t>
      </w:r>
      <w:r w:rsidR="00F840AF" w:rsidRPr="001F2B96">
        <w:rPr>
          <w:rFonts w:cstheme="minorHAnsi"/>
        </w:rPr>
        <w:t xml:space="preserve"> by filling in the holes and interpreting the ambiguities.”  </w:t>
      </w:r>
      <w:r w:rsidR="00F840AF" w:rsidRPr="001F2B96">
        <w:rPr>
          <w:rStyle w:val="FootnoteReference"/>
          <w:rFonts w:cstheme="minorHAnsi"/>
        </w:rPr>
        <w:footnoteReference w:id="4"/>
      </w:r>
      <w:r w:rsidR="003A63A2">
        <w:rPr>
          <w:rFonts w:cstheme="minorHAnsi"/>
        </w:rPr>
        <w:t xml:space="preserve"> </w:t>
      </w:r>
      <w:r w:rsidRPr="001F2B96">
        <w:rPr>
          <w:rFonts w:cstheme="minorHAnsi"/>
        </w:rPr>
        <w:t xml:space="preserve">Therefore, it has been fundamental to the development of Jewish thought and ideas.  </w:t>
      </w:r>
    </w:p>
    <w:p w14:paraId="24656021" w14:textId="227034F0" w:rsidR="003A68C6" w:rsidRDefault="00153CEF" w:rsidP="003A68C6">
      <w:pPr>
        <w:spacing w:line="480" w:lineRule="auto"/>
      </w:pPr>
      <w:r w:rsidRPr="001F2B96">
        <w:rPr>
          <w:rFonts w:cstheme="minorHAnsi"/>
        </w:rPr>
        <w:t>All the major forms of Judaism as we know it today acknowledge in some shape and form the authority of th</w:t>
      </w:r>
      <w:r w:rsidR="00E93597">
        <w:rPr>
          <w:rFonts w:cstheme="minorHAnsi"/>
        </w:rPr>
        <w:t>e Mishnah, although</w:t>
      </w:r>
      <w:r w:rsidRPr="001F2B96">
        <w:rPr>
          <w:rFonts w:cstheme="minorHAnsi"/>
        </w:rPr>
        <w:t xml:space="preserve"> there was one group called the Karaites who rejected </w:t>
      </w:r>
      <w:r w:rsidRPr="00E2658D">
        <w:rPr>
          <w:rFonts w:cstheme="minorHAnsi"/>
        </w:rPr>
        <w:t>it.</w:t>
      </w:r>
      <w:r w:rsidRPr="001F2B96">
        <w:rPr>
          <w:rFonts w:cstheme="minorHAnsi"/>
        </w:rPr>
        <w:t xml:space="preserve"> Despite this</w:t>
      </w:r>
      <w:r w:rsidR="003A63A2">
        <w:rPr>
          <w:rFonts w:cstheme="minorHAnsi"/>
        </w:rPr>
        <w:t xml:space="preserve">, overall the Mishnah is still </w:t>
      </w:r>
      <w:r w:rsidRPr="001F2B96">
        <w:rPr>
          <w:rFonts w:cstheme="minorHAnsi"/>
        </w:rPr>
        <w:t xml:space="preserve">considered essential to Jewish teaching. The Mishnah was the most important book of law after the Hebrew bible and is made up of both </w:t>
      </w:r>
      <w:r w:rsidRPr="00E93597">
        <w:rPr>
          <w:rFonts w:cstheme="minorHAnsi"/>
          <w:i/>
        </w:rPr>
        <w:t>Halakha</w:t>
      </w:r>
      <w:r w:rsidRPr="001F2B96">
        <w:rPr>
          <w:rFonts w:cstheme="minorHAnsi"/>
        </w:rPr>
        <w:t xml:space="preserve"> law</w:t>
      </w:r>
      <w:r w:rsidR="00021DD3">
        <w:rPr>
          <w:rFonts w:cstheme="minorHAnsi"/>
        </w:rPr>
        <w:t xml:space="preserve"> (legal)</w:t>
      </w:r>
      <w:r w:rsidRPr="001F2B96">
        <w:rPr>
          <w:rFonts w:cstheme="minorHAnsi"/>
        </w:rPr>
        <w:t xml:space="preserve"> and </w:t>
      </w:r>
      <w:r w:rsidRPr="00E93597">
        <w:rPr>
          <w:rFonts w:cstheme="minorHAnsi"/>
          <w:i/>
        </w:rPr>
        <w:t>Aggadah</w:t>
      </w:r>
      <w:r w:rsidRPr="001F2B96">
        <w:rPr>
          <w:rFonts w:cstheme="minorHAnsi"/>
        </w:rPr>
        <w:t xml:space="preserve"> law</w:t>
      </w:r>
      <w:r w:rsidR="00021DD3">
        <w:rPr>
          <w:rFonts w:cstheme="minorHAnsi"/>
        </w:rPr>
        <w:t xml:space="preserve"> (non-legal)</w:t>
      </w:r>
      <w:r w:rsidRPr="001F2B96">
        <w:rPr>
          <w:rFonts w:cstheme="minorHAnsi"/>
        </w:rPr>
        <w:t xml:space="preserve">. </w:t>
      </w:r>
      <w:r w:rsidRPr="001F2B96">
        <w:rPr>
          <w:rStyle w:val="FootnoteReference"/>
          <w:rFonts w:cstheme="minorHAnsi"/>
        </w:rPr>
        <w:footnoteReference w:id="5"/>
      </w:r>
      <w:r w:rsidRPr="001F2B96">
        <w:rPr>
          <w:rFonts w:cstheme="minorHAnsi"/>
        </w:rPr>
        <w:t xml:space="preserve"> However, most of the Mishnah is predominantly based upon Halakhic law</w:t>
      </w:r>
      <w:r w:rsidR="00B10646">
        <w:rPr>
          <w:rFonts w:cstheme="minorHAnsi"/>
        </w:rPr>
        <w:t>,</w:t>
      </w:r>
      <w:r w:rsidRPr="001F2B96">
        <w:rPr>
          <w:rFonts w:cstheme="minorHAnsi"/>
        </w:rPr>
        <w:t xml:space="preserve"> with most of the </w:t>
      </w:r>
      <w:r w:rsidR="00B10646">
        <w:rPr>
          <w:rFonts w:cstheme="minorHAnsi"/>
        </w:rPr>
        <w:t>customs</w:t>
      </w:r>
      <w:r w:rsidRPr="001F2B96">
        <w:rPr>
          <w:rFonts w:cstheme="minorHAnsi"/>
        </w:rPr>
        <w:t xml:space="preserve"> coming from Galilean tradition</w:t>
      </w:r>
      <w:r w:rsidR="00B10646">
        <w:rPr>
          <w:rFonts w:cstheme="minorHAnsi"/>
        </w:rPr>
        <w:t>.</w:t>
      </w:r>
      <w:r w:rsidR="00F840AF" w:rsidRPr="001F2B96">
        <w:rPr>
          <w:rFonts w:cstheme="minorHAnsi"/>
        </w:rPr>
        <w:t xml:space="preserve"> </w:t>
      </w:r>
      <w:r w:rsidR="00B10646">
        <w:rPr>
          <w:rFonts w:cstheme="minorHAnsi"/>
        </w:rPr>
        <w:t>Also, this was the first compilation</w:t>
      </w:r>
      <w:r w:rsidR="00F840AF" w:rsidRPr="001F2B96">
        <w:rPr>
          <w:rFonts w:cstheme="minorHAnsi"/>
        </w:rPr>
        <w:t xml:space="preserve"> of </w:t>
      </w:r>
      <w:r w:rsidR="00F840AF" w:rsidRPr="00E93597">
        <w:rPr>
          <w:rFonts w:cstheme="minorHAnsi"/>
          <w:i/>
        </w:rPr>
        <w:lastRenderedPageBreak/>
        <w:t>Halakhic</w:t>
      </w:r>
      <w:r w:rsidR="00F840AF" w:rsidRPr="001F2B96">
        <w:rPr>
          <w:rFonts w:cstheme="minorHAnsi"/>
        </w:rPr>
        <w:t xml:space="preserve"> writings</w:t>
      </w:r>
      <w:r w:rsidR="00BB4D0D">
        <w:rPr>
          <w:rFonts w:cstheme="minorHAnsi"/>
        </w:rPr>
        <w:t xml:space="preserve"> so is considered highly influential in Rabbinic literatu</w:t>
      </w:r>
      <w:r w:rsidR="00B10646">
        <w:rPr>
          <w:rFonts w:cstheme="minorHAnsi"/>
        </w:rPr>
        <w:t>re</w:t>
      </w:r>
      <w:r w:rsidRPr="001F2B96">
        <w:rPr>
          <w:rFonts w:cstheme="minorHAnsi"/>
        </w:rPr>
        <w:t xml:space="preserve">. </w:t>
      </w:r>
      <w:r w:rsidR="00F840AF" w:rsidRPr="001F2B96">
        <w:rPr>
          <w:rStyle w:val="FootnoteReference"/>
          <w:rFonts w:cstheme="minorHAnsi"/>
        </w:rPr>
        <w:footnoteReference w:id="6"/>
      </w:r>
      <w:r w:rsidRPr="001F2B96">
        <w:rPr>
          <w:rFonts w:cstheme="minorHAnsi"/>
        </w:rPr>
        <w:t xml:space="preserve"> </w:t>
      </w:r>
      <w:r w:rsidR="009243AB" w:rsidRPr="001F2B96">
        <w:rPr>
          <w:rFonts w:cstheme="minorHAnsi"/>
        </w:rPr>
        <w:t xml:space="preserve">The oral tradition </w:t>
      </w:r>
      <w:r w:rsidR="00B10646">
        <w:rPr>
          <w:rFonts w:cstheme="minorHAnsi"/>
        </w:rPr>
        <w:t xml:space="preserve">was believed to go </w:t>
      </w:r>
      <w:r w:rsidR="009243AB" w:rsidRPr="001F2B96">
        <w:rPr>
          <w:rFonts w:cstheme="minorHAnsi"/>
        </w:rPr>
        <w:t>back to Moses himself</w:t>
      </w:r>
      <w:r w:rsidR="00B10646">
        <w:rPr>
          <w:rFonts w:cstheme="minorHAnsi"/>
        </w:rPr>
        <w:t xml:space="preserve"> </w:t>
      </w:r>
      <w:r w:rsidR="004F78CA">
        <w:rPr>
          <w:rFonts w:cstheme="minorHAnsi"/>
        </w:rPr>
        <w:t>when he was on mount Sinai (</w:t>
      </w:r>
      <w:r w:rsidR="004F78CA" w:rsidRPr="004F78CA">
        <w:rPr>
          <w:rFonts w:cstheme="minorHAnsi"/>
        </w:rPr>
        <w:t xml:space="preserve">Exodus 19), </w:t>
      </w:r>
      <w:r w:rsidR="009243AB" w:rsidRPr="004F78CA">
        <w:rPr>
          <w:rFonts w:cstheme="minorHAnsi"/>
        </w:rPr>
        <w:t>who</w:t>
      </w:r>
      <w:r w:rsidR="009243AB" w:rsidRPr="001F2B96">
        <w:rPr>
          <w:rFonts w:cstheme="minorHAnsi"/>
        </w:rPr>
        <w:t xml:space="preserve"> when given the written Torah also passed on an oral commentary on it which was passed down through a secure line of successors. However, the problem is </w:t>
      </w:r>
      <w:r w:rsidR="00B10646">
        <w:rPr>
          <w:rFonts w:cstheme="minorHAnsi"/>
        </w:rPr>
        <w:t xml:space="preserve">that when reading </w:t>
      </w:r>
      <w:r w:rsidR="009243AB" w:rsidRPr="001F2B96">
        <w:rPr>
          <w:rFonts w:cstheme="minorHAnsi"/>
        </w:rPr>
        <w:t xml:space="preserve">the books of the Hebrew bible </w:t>
      </w:r>
      <w:r w:rsidR="00B10646">
        <w:rPr>
          <w:rFonts w:cstheme="minorHAnsi"/>
        </w:rPr>
        <w:t>there appear to be</w:t>
      </w:r>
      <w:r w:rsidR="009243AB" w:rsidRPr="001F2B96">
        <w:rPr>
          <w:rFonts w:cstheme="minorHAnsi"/>
        </w:rPr>
        <w:t xml:space="preserve"> lots of laws</w:t>
      </w:r>
      <w:r w:rsidR="00E93597">
        <w:rPr>
          <w:rFonts w:cstheme="minorHAnsi"/>
        </w:rPr>
        <w:t>,</w:t>
      </w:r>
      <w:r w:rsidR="009243AB" w:rsidRPr="001F2B96">
        <w:rPr>
          <w:rFonts w:cstheme="minorHAnsi"/>
        </w:rPr>
        <w:t xml:space="preserve"> and lots of contradictions between different legal texts</w:t>
      </w:r>
      <w:r w:rsidR="00694547">
        <w:rPr>
          <w:rFonts w:cstheme="minorHAnsi"/>
        </w:rPr>
        <w:t xml:space="preserve"> that are presented in a rather </w:t>
      </w:r>
      <w:r w:rsidR="00A0239C">
        <w:rPr>
          <w:rFonts w:cstheme="minorHAnsi"/>
        </w:rPr>
        <w:t>haphazard</w:t>
      </w:r>
      <w:r w:rsidR="00694547">
        <w:rPr>
          <w:rFonts w:cstheme="minorHAnsi"/>
        </w:rPr>
        <w:t xml:space="preserve"> way. </w:t>
      </w:r>
      <w:r w:rsidR="009243AB" w:rsidRPr="001F2B96">
        <w:rPr>
          <w:rFonts w:cstheme="minorHAnsi"/>
        </w:rPr>
        <w:t>Therefore, early in the third century it was decided that it would be brought into order</w:t>
      </w:r>
      <w:r w:rsidR="00F90A11">
        <w:rPr>
          <w:rFonts w:cstheme="minorHAnsi"/>
        </w:rPr>
        <w:t>,</w:t>
      </w:r>
      <w:r w:rsidR="009243AB" w:rsidRPr="001F2B96">
        <w:rPr>
          <w:rFonts w:cstheme="minorHAnsi"/>
        </w:rPr>
        <w:t xml:space="preserve"> and </w:t>
      </w:r>
      <w:r w:rsidR="00DA7CA3" w:rsidRPr="001F2B96">
        <w:rPr>
          <w:rFonts w:cstheme="minorHAnsi"/>
        </w:rPr>
        <w:t>all</w:t>
      </w:r>
      <w:r w:rsidR="009243AB" w:rsidRPr="001F2B96">
        <w:rPr>
          <w:rFonts w:cstheme="minorHAnsi"/>
        </w:rPr>
        <w:t xml:space="preserve"> this material would be presented in a much more systematic </w:t>
      </w:r>
      <w:r w:rsidR="009243AB" w:rsidRPr="00E2658D">
        <w:rPr>
          <w:rFonts w:cstheme="minorHAnsi"/>
        </w:rPr>
        <w:t>form.</w:t>
      </w:r>
      <w:r w:rsidR="00E93597" w:rsidRPr="00E2658D">
        <w:rPr>
          <w:rFonts w:cstheme="minorHAnsi"/>
        </w:rPr>
        <w:t xml:space="preserve"> </w:t>
      </w:r>
      <w:r w:rsidR="00D71132" w:rsidRPr="00E2658D">
        <w:rPr>
          <w:rStyle w:val="FootnoteReference"/>
          <w:rFonts w:cstheme="minorHAnsi"/>
        </w:rPr>
        <w:footnoteReference w:id="7"/>
      </w:r>
      <w:r w:rsidR="00F90A11" w:rsidRPr="00E2658D">
        <w:rPr>
          <w:rFonts w:cstheme="minorHAnsi"/>
        </w:rPr>
        <w:t>Consequently</w:t>
      </w:r>
      <w:r w:rsidR="009243AB" w:rsidRPr="001F2B96">
        <w:rPr>
          <w:rFonts w:cstheme="minorHAnsi"/>
        </w:rPr>
        <w:t>, the</w:t>
      </w:r>
      <w:r w:rsidR="00E93597">
        <w:rPr>
          <w:rFonts w:cstheme="minorHAnsi"/>
        </w:rPr>
        <w:t xml:space="preserve"> Mishnah was produced in Hebrew, </w:t>
      </w:r>
      <w:r w:rsidR="009243AB" w:rsidRPr="001F2B96">
        <w:rPr>
          <w:rFonts w:cstheme="minorHAnsi"/>
        </w:rPr>
        <w:t>in six clearly succinct sections</w:t>
      </w:r>
      <w:r w:rsidR="003A68C6">
        <w:rPr>
          <w:rFonts w:cstheme="minorHAnsi"/>
        </w:rPr>
        <w:t xml:space="preserve"> known as </w:t>
      </w:r>
      <w:proofErr w:type="spellStart"/>
      <w:r w:rsidR="003A68C6" w:rsidRPr="003A68C6">
        <w:rPr>
          <w:rFonts w:cstheme="minorHAnsi"/>
          <w:i/>
        </w:rPr>
        <w:t>seder</w:t>
      </w:r>
      <w:proofErr w:type="spellEnd"/>
      <w:r w:rsidR="003A68C6">
        <w:rPr>
          <w:rFonts w:cstheme="minorHAnsi"/>
        </w:rPr>
        <w:t xml:space="preserve"> (order)</w:t>
      </w:r>
      <w:r w:rsidR="00A0239C">
        <w:rPr>
          <w:rFonts w:cstheme="minorHAnsi"/>
        </w:rPr>
        <w:t>,</w:t>
      </w:r>
      <w:r w:rsidR="009243AB" w:rsidRPr="001F2B96">
        <w:rPr>
          <w:rFonts w:cstheme="minorHAnsi"/>
        </w:rPr>
        <w:t xml:space="preserve"> each one of which is subdivided into</w:t>
      </w:r>
      <w:r w:rsidR="009243AB" w:rsidRPr="003A68C6">
        <w:rPr>
          <w:rFonts w:cstheme="minorHAnsi"/>
          <w:i/>
        </w:rPr>
        <w:t xml:space="preserve"> </w:t>
      </w:r>
      <w:proofErr w:type="spellStart"/>
      <w:r w:rsidR="003A68C6" w:rsidRPr="003A68C6">
        <w:rPr>
          <w:rFonts w:cstheme="minorHAnsi"/>
          <w:i/>
        </w:rPr>
        <w:t>massakhet</w:t>
      </w:r>
      <w:proofErr w:type="spellEnd"/>
      <w:r w:rsidR="003A68C6">
        <w:rPr>
          <w:rFonts w:cstheme="minorHAnsi"/>
        </w:rPr>
        <w:t xml:space="preserve"> (</w:t>
      </w:r>
      <w:r w:rsidR="009243AB" w:rsidRPr="001F2B96">
        <w:rPr>
          <w:rFonts w:cstheme="minorHAnsi"/>
        </w:rPr>
        <w:t>tractates</w:t>
      </w:r>
      <w:r w:rsidR="003A68C6">
        <w:rPr>
          <w:rFonts w:cstheme="minorHAnsi"/>
        </w:rPr>
        <w:t>)</w:t>
      </w:r>
      <w:r w:rsidR="009243AB" w:rsidRPr="001F2B96">
        <w:rPr>
          <w:rFonts w:cstheme="minorHAnsi"/>
        </w:rPr>
        <w:t xml:space="preserve"> organised on a thematic basis</w:t>
      </w:r>
      <w:r w:rsidR="00563A42">
        <w:t xml:space="preserve">. </w:t>
      </w:r>
    </w:p>
    <w:p w14:paraId="1D6B3BD6" w14:textId="75FFCF9D" w:rsidR="00A91DDA" w:rsidRPr="003A68C6" w:rsidRDefault="003A68C6" w:rsidP="003A68C6">
      <w:pPr>
        <w:spacing w:line="480" w:lineRule="auto"/>
        <w:ind w:left="720"/>
        <w:rPr>
          <w:i/>
        </w:rPr>
      </w:pPr>
      <w:r>
        <w:t>“</w:t>
      </w:r>
      <w:r w:rsidRPr="003A68C6">
        <w:t>These six books were</w:t>
      </w:r>
      <w:r w:rsidRPr="003A68C6">
        <w:rPr>
          <w:i/>
        </w:rPr>
        <w:t xml:space="preserve"> </w:t>
      </w:r>
      <w:proofErr w:type="spellStart"/>
      <w:r w:rsidR="00605631" w:rsidRPr="003A68C6">
        <w:rPr>
          <w:i/>
        </w:rPr>
        <w:t>Zera</w:t>
      </w:r>
      <w:r w:rsidRPr="003A68C6">
        <w:rPr>
          <w:i/>
        </w:rPr>
        <w:t>’</w:t>
      </w:r>
      <w:r w:rsidR="00605631" w:rsidRPr="003A68C6">
        <w:rPr>
          <w:i/>
        </w:rPr>
        <w:t>im</w:t>
      </w:r>
      <w:proofErr w:type="spellEnd"/>
      <w:r w:rsidR="00605631" w:rsidRPr="003A68C6">
        <w:t xml:space="preserve"> (seeds) which discussed </w:t>
      </w:r>
      <w:r w:rsidRPr="003A68C6">
        <w:t xml:space="preserve">laws relating to </w:t>
      </w:r>
      <w:r w:rsidR="00605631" w:rsidRPr="003A68C6">
        <w:t>agricultur</w:t>
      </w:r>
      <w:r w:rsidRPr="003A68C6">
        <w:t>e and</w:t>
      </w:r>
      <w:r w:rsidR="00804252">
        <w:t xml:space="preserve"> </w:t>
      </w:r>
      <w:r w:rsidRPr="003A68C6">
        <w:t>tithe</w:t>
      </w:r>
      <w:r w:rsidR="00804252">
        <w:t>s</w:t>
      </w:r>
      <w:r w:rsidRPr="003A68C6">
        <w:t xml:space="preserve">, </w:t>
      </w:r>
      <w:proofErr w:type="spellStart"/>
      <w:r w:rsidR="00605631" w:rsidRPr="003A68C6">
        <w:rPr>
          <w:i/>
        </w:rPr>
        <w:t>Mo</w:t>
      </w:r>
      <w:r w:rsidRPr="003A68C6">
        <w:rPr>
          <w:i/>
        </w:rPr>
        <w:t>’</w:t>
      </w:r>
      <w:r w:rsidR="00605631" w:rsidRPr="003A68C6">
        <w:rPr>
          <w:i/>
        </w:rPr>
        <w:t>ed</w:t>
      </w:r>
      <w:proofErr w:type="spellEnd"/>
      <w:r w:rsidR="00605631" w:rsidRPr="003A68C6">
        <w:t xml:space="preserve"> (</w:t>
      </w:r>
      <w:r w:rsidRPr="003A68C6">
        <w:t>times</w:t>
      </w:r>
      <w:r w:rsidR="00605631" w:rsidRPr="003A68C6">
        <w:t>)</w:t>
      </w:r>
      <w:r w:rsidR="00112BD0" w:rsidRPr="003A68C6">
        <w:t xml:space="preserve"> </w:t>
      </w:r>
      <w:r w:rsidR="00804252">
        <w:t xml:space="preserve">meaning </w:t>
      </w:r>
      <w:r w:rsidRPr="003A68C6">
        <w:t>laws relating to the festival calendar</w:t>
      </w:r>
      <w:r w:rsidR="00112BD0" w:rsidRPr="003A68C6">
        <w:t xml:space="preserve"> </w:t>
      </w:r>
      <w:r w:rsidRPr="003A68C6">
        <w:t>including the weekly sabbath and annual holiday.</w:t>
      </w:r>
      <w:r w:rsidR="00112BD0" w:rsidRPr="003A68C6">
        <w:t xml:space="preserve"> Also, </w:t>
      </w:r>
      <w:proofErr w:type="spellStart"/>
      <w:r w:rsidR="00112BD0" w:rsidRPr="003A68C6">
        <w:rPr>
          <w:i/>
        </w:rPr>
        <w:t>Nashim</w:t>
      </w:r>
      <w:proofErr w:type="spellEnd"/>
      <w:r w:rsidR="00112BD0" w:rsidRPr="003A68C6">
        <w:t xml:space="preserve"> (women)</w:t>
      </w:r>
      <w:r w:rsidR="00804252">
        <w:t xml:space="preserve"> which discusses issues to do with </w:t>
      </w:r>
      <w:r w:rsidRPr="003A68C6">
        <w:t xml:space="preserve">family law, dealing with topics like marriage and divorce, </w:t>
      </w:r>
      <w:proofErr w:type="spellStart"/>
      <w:r w:rsidR="00112BD0" w:rsidRPr="003A68C6">
        <w:rPr>
          <w:i/>
        </w:rPr>
        <w:t>Nezakin</w:t>
      </w:r>
      <w:proofErr w:type="spellEnd"/>
      <w:r w:rsidR="00112BD0" w:rsidRPr="003A68C6">
        <w:rPr>
          <w:i/>
        </w:rPr>
        <w:t xml:space="preserve"> </w:t>
      </w:r>
      <w:r w:rsidR="00112BD0" w:rsidRPr="003A68C6">
        <w:t>(damages</w:t>
      </w:r>
      <w:r w:rsidR="00A91DDA" w:rsidRPr="003A68C6">
        <w:t xml:space="preserve">) which discusses civil </w:t>
      </w:r>
      <w:r w:rsidRPr="003A68C6">
        <w:t xml:space="preserve">and criminal law, </w:t>
      </w:r>
      <w:proofErr w:type="spellStart"/>
      <w:r w:rsidR="00112BD0" w:rsidRPr="003A68C6">
        <w:rPr>
          <w:i/>
        </w:rPr>
        <w:t>Kodashim</w:t>
      </w:r>
      <w:proofErr w:type="spellEnd"/>
      <w:r w:rsidR="00112BD0" w:rsidRPr="003A68C6">
        <w:t xml:space="preserve"> (Holy things) which discusses </w:t>
      </w:r>
      <w:r w:rsidRPr="003A68C6">
        <w:t>laws relating to the temple…,</w:t>
      </w:r>
      <w:r w:rsidR="00112BD0" w:rsidRPr="003A68C6">
        <w:t xml:space="preserve"> and finally </w:t>
      </w:r>
      <w:proofErr w:type="spellStart"/>
      <w:r w:rsidR="00112BD0" w:rsidRPr="003A68C6">
        <w:rPr>
          <w:i/>
        </w:rPr>
        <w:t>Taharo</w:t>
      </w:r>
      <w:r w:rsidR="00112BD0" w:rsidRPr="003A68C6">
        <w:t>t</w:t>
      </w:r>
      <w:proofErr w:type="spellEnd"/>
      <w:r w:rsidR="00112BD0" w:rsidRPr="003A68C6">
        <w:t xml:space="preserve"> (purities) which </w:t>
      </w:r>
      <w:r w:rsidRPr="003A68C6">
        <w:t xml:space="preserve">discusses the </w:t>
      </w:r>
      <w:r w:rsidR="00804252">
        <w:t xml:space="preserve">ways </w:t>
      </w:r>
      <w:r w:rsidRPr="003A68C6">
        <w:t>in which people or things can contract ritual impurity</w:t>
      </w:r>
      <w:r w:rsidR="00A91DDA" w:rsidRPr="003A68C6">
        <w:t>.</w:t>
      </w:r>
      <w:r w:rsidR="00112BD0" w:rsidRPr="003A68C6">
        <w:t xml:space="preserve"> </w:t>
      </w:r>
      <w:r>
        <w:t xml:space="preserve">“ </w:t>
      </w:r>
      <w:r w:rsidR="00112BD0" w:rsidRPr="003A68C6">
        <w:rPr>
          <w:rStyle w:val="FootnoteReference"/>
        </w:rPr>
        <w:footnoteReference w:id="8"/>
      </w:r>
      <w:r w:rsidR="009E7BE3">
        <w:t xml:space="preserve"> </w:t>
      </w:r>
    </w:p>
    <w:p w14:paraId="5FC76288" w14:textId="3C5727DA" w:rsidR="00563A42" w:rsidRDefault="003106E7" w:rsidP="00563A42">
      <w:pPr>
        <w:spacing w:line="480" w:lineRule="auto"/>
      </w:pPr>
      <w:r>
        <w:t>T</w:t>
      </w:r>
      <w:r w:rsidR="00563A42">
        <w:t>here is the issue that the Mishnah does not cover all areas of law</w:t>
      </w:r>
      <w:r w:rsidR="00A0239C">
        <w:t>,</w:t>
      </w:r>
      <w:r w:rsidR="00563A42">
        <w:t xml:space="preserve"> as there are only six chapters and there are </w:t>
      </w:r>
      <w:r w:rsidR="00552629">
        <w:t>areas of the Mishnah which would have benefited from a greater law code. For example, there is a chapter dedicated to women there not a chapter dedicated to men</w:t>
      </w:r>
      <w:r w:rsidR="002D3E72">
        <w:t xml:space="preserve"> this seems very biased and unfair</w:t>
      </w:r>
      <w:r w:rsidR="00563A42">
        <w:t xml:space="preserve">. </w:t>
      </w:r>
      <w:r>
        <w:t>Nevertheless</w:t>
      </w:r>
      <w:r w:rsidR="00563A42">
        <w:t>, the Mishnah was just the start of what over the next four centuries would eventually expand into the Talmu</w:t>
      </w:r>
      <w:r>
        <w:t xml:space="preserve">d; Simon </w:t>
      </w:r>
      <w:proofErr w:type="spellStart"/>
      <w:r>
        <w:t>Schama</w:t>
      </w:r>
      <w:proofErr w:type="spellEnd"/>
      <w:r>
        <w:t xml:space="preserve"> </w:t>
      </w:r>
      <w:r w:rsidRPr="00F64D94">
        <w:t>describes it as</w:t>
      </w:r>
      <w:r w:rsidR="009E7BE3" w:rsidRPr="00F64D94">
        <w:t xml:space="preserve"> </w:t>
      </w:r>
      <w:r w:rsidR="00F64D94">
        <w:t>“</w:t>
      </w:r>
      <w:r w:rsidR="009E7BE3" w:rsidRPr="00F64D94">
        <w:t>the</w:t>
      </w:r>
      <w:r w:rsidR="00563A42" w:rsidRPr="00F64D94">
        <w:t xml:space="preserve"> endless hypertext made up of voices of hundreds of Rabbis all circling obsessively around the central dilemma of post temple </w:t>
      </w:r>
      <w:r w:rsidR="00563A42" w:rsidRPr="00F64D94">
        <w:lastRenderedPageBreak/>
        <w:t>Judaism</w:t>
      </w:r>
      <w:r w:rsidR="00F64D94">
        <w:t xml:space="preserve"> and how to stay Jewish in a non-Jewish world</w:t>
      </w:r>
      <w:r w:rsidR="00563A42" w:rsidRPr="00F64D94">
        <w:t>.</w:t>
      </w:r>
      <w:r w:rsidR="00F64D94">
        <w:t>”</w:t>
      </w:r>
      <w:r w:rsidR="00563A42" w:rsidRPr="00F64D94">
        <w:t xml:space="preserve"> </w:t>
      </w:r>
      <w:r w:rsidR="009E7BE3" w:rsidRPr="00F64D94">
        <w:rPr>
          <w:rStyle w:val="FootnoteReference"/>
        </w:rPr>
        <w:footnoteReference w:id="9"/>
      </w:r>
      <w:r w:rsidRPr="00F64D94">
        <w:t xml:space="preserve">  However</w:t>
      </w:r>
      <w:r w:rsidR="00563A42">
        <w:t>, it should be highlighted that without the Mishnah t</w:t>
      </w:r>
      <w:r>
        <w:t>he Talmud would be non-existent</w:t>
      </w:r>
      <w:r w:rsidR="00A0239C">
        <w:t>,</w:t>
      </w:r>
      <w:r w:rsidR="00563A42">
        <w:t xml:space="preserve"> and therefore for that reason </w:t>
      </w:r>
      <w:r w:rsidR="00A0239C">
        <w:t xml:space="preserve">it </w:t>
      </w:r>
      <w:r w:rsidR="00563A42">
        <w:t xml:space="preserve">will always play </w:t>
      </w:r>
      <w:r w:rsidR="008F6BFD">
        <w:t>an</w:t>
      </w:r>
      <w:r w:rsidR="00563A42">
        <w:t xml:space="preserve"> </w:t>
      </w:r>
      <w:r w:rsidR="002C0AE1">
        <w:t>important</w:t>
      </w:r>
      <w:r w:rsidR="00563A42">
        <w:t xml:space="preserve"> role in the lives of Jews today.  </w:t>
      </w:r>
    </w:p>
    <w:p w14:paraId="6DC193C4" w14:textId="77777777" w:rsidR="002C0AE1" w:rsidRDefault="002C0AE1" w:rsidP="00BB4D0D">
      <w:pPr>
        <w:spacing w:line="480" w:lineRule="auto"/>
      </w:pPr>
    </w:p>
    <w:p w14:paraId="59E893AA" w14:textId="5D9E3030" w:rsidR="009E120C" w:rsidRDefault="009243AB" w:rsidP="00BB4D0D">
      <w:pPr>
        <w:spacing w:line="480" w:lineRule="auto"/>
        <w:rPr>
          <w:rFonts w:cstheme="minorHAnsi"/>
        </w:rPr>
      </w:pPr>
      <w:r w:rsidRPr="001F2B96">
        <w:rPr>
          <w:rFonts w:cstheme="minorHAnsi"/>
        </w:rPr>
        <w:t>The Mishnah was historically important to Jews because d</w:t>
      </w:r>
      <w:r w:rsidR="007702AE" w:rsidRPr="001F2B96">
        <w:rPr>
          <w:rFonts w:cstheme="minorHAnsi"/>
        </w:rPr>
        <w:t>uring 70 C.E Judaism was stripped of its temple life</w:t>
      </w:r>
      <w:r w:rsidR="00A0239C">
        <w:rPr>
          <w:rFonts w:cstheme="minorHAnsi"/>
        </w:rPr>
        <w:t xml:space="preserve">, </w:t>
      </w:r>
      <w:r w:rsidR="00A0239C" w:rsidRPr="001F2B96">
        <w:rPr>
          <w:rFonts w:cstheme="minorHAnsi"/>
        </w:rPr>
        <w:t>which was the heart of Jewish worship teaching and life</w:t>
      </w:r>
      <w:r w:rsidR="009E120C">
        <w:rPr>
          <w:rFonts w:cstheme="minorHAnsi"/>
        </w:rPr>
        <w:t>.</w:t>
      </w:r>
      <w:r w:rsidR="00BE5D0B">
        <w:rPr>
          <w:rFonts w:cstheme="minorHAnsi"/>
        </w:rPr>
        <w:t xml:space="preserve"> Also, this resulted in the disappearance of the Sadducees and the Essenes but an up rise of the pharisaic style of Judaism</w:t>
      </w:r>
      <w:r w:rsidR="00FF0228">
        <w:rPr>
          <w:rFonts w:cstheme="minorHAnsi"/>
        </w:rPr>
        <w:t xml:space="preserve">. </w:t>
      </w:r>
      <w:r w:rsidR="00D71132">
        <w:rPr>
          <w:rStyle w:val="FootnoteReference"/>
          <w:rFonts w:cstheme="minorHAnsi"/>
        </w:rPr>
        <w:footnoteReference w:id="10"/>
      </w:r>
      <w:r w:rsidR="00BE5D0B">
        <w:rPr>
          <w:rFonts w:cstheme="minorHAnsi"/>
        </w:rPr>
        <w:t xml:space="preserve"> </w:t>
      </w:r>
      <w:r w:rsidR="00144353" w:rsidRPr="001F2B96">
        <w:rPr>
          <w:rFonts w:cstheme="minorHAnsi"/>
        </w:rPr>
        <w:t>In the wake of this catastrophe the Jews were banned from Jer</w:t>
      </w:r>
      <w:r w:rsidR="00FD711E">
        <w:rPr>
          <w:rFonts w:cstheme="minorHAnsi"/>
        </w:rPr>
        <w:t>usalem and displaced from Judea,</w:t>
      </w:r>
      <w:r w:rsidR="00153CEF" w:rsidRPr="001F2B96">
        <w:rPr>
          <w:rFonts w:cstheme="minorHAnsi"/>
        </w:rPr>
        <w:t xml:space="preserve"> </w:t>
      </w:r>
      <w:r w:rsidR="00FD711E">
        <w:rPr>
          <w:rFonts w:cstheme="minorHAnsi"/>
        </w:rPr>
        <w:t>s</w:t>
      </w:r>
      <w:r w:rsidR="00144353" w:rsidRPr="001F2B96">
        <w:rPr>
          <w:rFonts w:cstheme="minorHAnsi"/>
        </w:rPr>
        <w:t xml:space="preserve">evering a link between the people and their ancient sacred capital. </w:t>
      </w:r>
      <w:r w:rsidR="00D05223">
        <w:rPr>
          <w:rStyle w:val="FootnoteReference"/>
          <w:rFonts w:cstheme="minorHAnsi"/>
        </w:rPr>
        <w:footnoteReference w:id="11"/>
      </w:r>
      <w:r w:rsidR="009E120C">
        <w:rPr>
          <w:rFonts w:cstheme="minorHAnsi"/>
        </w:rPr>
        <w:t xml:space="preserve">  </w:t>
      </w:r>
      <w:r w:rsidR="00A003D0" w:rsidRPr="001F2B96">
        <w:rPr>
          <w:rFonts w:cstheme="minorHAnsi"/>
        </w:rPr>
        <w:t>Therefore</w:t>
      </w:r>
      <w:r w:rsidR="00EB3D2A" w:rsidRPr="001F2B96">
        <w:rPr>
          <w:rFonts w:cstheme="minorHAnsi"/>
        </w:rPr>
        <w:t>,</w:t>
      </w:r>
      <w:r w:rsidR="00144353" w:rsidRPr="001F2B96">
        <w:rPr>
          <w:rFonts w:cstheme="minorHAnsi"/>
        </w:rPr>
        <w:t xml:space="preserve"> the Mishnah was tremendously important </w:t>
      </w:r>
      <w:r w:rsidR="00554124" w:rsidRPr="001F2B96">
        <w:rPr>
          <w:rFonts w:cstheme="minorHAnsi"/>
        </w:rPr>
        <w:t>to</w:t>
      </w:r>
      <w:r w:rsidR="007702AE" w:rsidRPr="001F2B96">
        <w:rPr>
          <w:rFonts w:cstheme="minorHAnsi"/>
        </w:rPr>
        <w:t xml:space="preserve"> </w:t>
      </w:r>
      <w:r w:rsidR="00EB3D2A" w:rsidRPr="001F2B96">
        <w:rPr>
          <w:rFonts w:cstheme="minorHAnsi"/>
        </w:rPr>
        <w:t>Judaism</w:t>
      </w:r>
      <w:r w:rsidR="00554124" w:rsidRPr="001F2B96">
        <w:rPr>
          <w:rFonts w:cstheme="minorHAnsi"/>
        </w:rPr>
        <w:t xml:space="preserve"> as the</w:t>
      </w:r>
      <w:r w:rsidR="00FD711E">
        <w:rPr>
          <w:rFonts w:cstheme="minorHAnsi"/>
        </w:rPr>
        <w:t>ir religious traditions</w:t>
      </w:r>
      <w:r w:rsidR="00EB3D2A" w:rsidRPr="001F2B96">
        <w:rPr>
          <w:rFonts w:cstheme="minorHAnsi"/>
        </w:rPr>
        <w:t xml:space="preserve"> </w:t>
      </w:r>
      <w:r w:rsidR="00FD711E">
        <w:rPr>
          <w:rFonts w:cstheme="minorHAnsi"/>
        </w:rPr>
        <w:t>may</w:t>
      </w:r>
      <w:r w:rsidR="007702AE" w:rsidRPr="001F2B96">
        <w:rPr>
          <w:rFonts w:cstheme="minorHAnsi"/>
        </w:rPr>
        <w:t xml:space="preserve"> have withered away and perished if it wasn’t for the </w:t>
      </w:r>
      <w:r w:rsidR="0011332A">
        <w:rPr>
          <w:rFonts w:cstheme="minorHAnsi"/>
        </w:rPr>
        <w:t xml:space="preserve">study of the </w:t>
      </w:r>
      <w:r w:rsidR="007702AE" w:rsidRPr="001F2B96">
        <w:rPr>
          <w:rFonts w:cstheme="minorHAnsi"/>
        </w:rPr>
        <w:t>Mishnah</w:t>
      </w:r>
      <w:r w:rsidR="0011332A">
        <w:rPr>
          <w:rFonts w:cstheme="minorHAnsi"/>
        </w:rPr>
        <w:t xml:space="preserve"> in </w:t>
      </w:r>
      <w:r w:rsidR="008F6BFD">
        <w:rPr>
          <w:rFonts w:cstheme="minorHAnsi"/>
        </w:rPr>
        <w:t>academies</w:t>
      </w:r>
      <w:r w:rsidR="0011332A">
        <w:rPr>
          <w:rFonts w:cstheme="minorHAnsi"/>
        </w:rPr>
        <w:t xml:space="preserve"> like Yavneh</w:t>
      </w:r>
      <w:r w:rsidR="009E120C">
        <w:rPr>
          <w:rFonts w:cstheme="minorHAnsi"/>
        </w:rPr>
        <w:t>,</w:t>
      </w:r>
      <w:r w:rsidR="00C85F62">
        <w:rPr>
          <w:rFonts w:cstheme="minorHAnsi"/>
        </w:rPr>
        <w:t xml:space="preserve"> at a time when they had to fight so hard to stay Jewish</w:t>
      </w:r>
      <w:r w:rsidR="00FF0228">
        <w:rPr>
          <w:rFonts w:cstheme="minorHAnsi"/>
        </w:rPr>
        <w:t xml:space="preserve"> and sustain their legacy</w:t>
      </w:r>
      <w:r w:rsidR="00C85F62">
        <w:rPr>
          <w:rFonts w:cstheme="minorHAnsi"/>
        </w:rPr>
        <w:t xml:space="preserve"> amidst Christians and Muslims</w:t>
      </w:r>
      <w:r w:rsidR="007702AE" w:rsidRPr="001F2B96">
        <w:rPr>
          <w:rFonts w:cstheme="minorHAnsi"/>
        </w:rPr>
        <w:t>.</w:t>
      </w:r>
      <w:r w:rsidR="002044A2" w:rsidRPr="001F2B96">
        <w:rPr>
          <w:rFonts w:cstheme="minorHAnsi"/>
        </w:rPr>
        <w:t xml:space="preserve"> </w:t>
      </w:r>
      <w:r w:rsidR="00FD711E">
        <w:rPr>
          <w:rFonts w:cstheme="minorHAnsi"/>
        </w:rPr>
        <w:t>By</w:t>
      </w:r>
      <w:r w:rsidR="002044A2" w:rsidRPr="001F2B96">
        <w:rPr>
          <w:rFonts w:cstheme="minorHAnsi"/>
        </w:rPr>
        <w:t xml:space="preserve"> setting down rules for living it allowed Jews to keep their identity intact</w:t>
      </w:r>
      <w:r w:rsidR="009E120C">
        <w:rPr>
          <w:rFonts w:cstheme="minorHAnsi"/>
        </w:rPr>
        <w:t>,</w:t>
      </w:r>
      <w:r w:rsidR="002044A2" w:rsidRPr="001F2B96">
        <w:rPr>
          <w:rFonts w:cstheme="minorHAnsi"/>
        </w:rPr>
        <w:t xml:space="preserve"> in the often tremendously hostile world beyond Jerusalem. </w:t>
      </w:r>
      <w:r w:rsidR="00144353" w:rsidRPr="001F2B96">
        <w:rPr>
          <w:rFonts w:cstheme="minorHAnsi"/>
        </w:rPr>
        <w:t>Also, after the destruction of the second temple in 70 CE the Mishnah helped to shape the Jewish culture at the time</w:t>
      </w:r>
      <w:r w:rsidR="00FD711E">
        <w:rPr>
          <w:rFonts w:cstheme="minorHAnsi"/>
        </w:rPr>
        <w:t>, and gave hope</w:t>
      </w:r>
      <w:r w:rsidR="00144353" w:rsidRPr="001F2B96">
        <w:rPr>
          <w:rFonts w:cstheme="minorHAnsi"/>
        </w:rPr>
        <w:t xml:space="preserve"> to the spirit</w:t>
      </w:r>
      <w:r w:rsidR="00FD711E">
        <w:rPr>
          <w:rFonts w:cstheme="minorHAnsi"/>
        </w:rPr>
        <w:t>s of Jews who</w:t>
      </w:r>
      <w:r w:rsidR="00144353" w:rsidRPr="001F2B96">
        <w:rPr>
          <w:rFonts w:cstheme="minorHAnsi"/>
        </w:rPr>
        <w:t xml:space="preserve"> would have felt hopeless at such a devastating time in Jewish history.</w:t>
      </w:r>
      <w:r w:rsidR="007458E3">
        <w:rPr>
          <w:rFonts w:cstheme="minorHAnsi"/>
        </w:rPr>
        <w:t xml:space="preserve"> </w:t>
      </w:r>
    </w:p>
    <w:p w14:paraId="05C5650D" w14:textId="77777777" w:rsidR="002C0AE1" w:rsidRDefault="002C0AE1" w:rsidP="00BB4D0D">
      <w:pPr>
        <w:spacing w:line="480" w:lineRule="auto"/>
        <w:rPr>
          <w:rFonts w:cstheme="minorHAnsi"/>
        </w:rPr>
      </w:pPr>
    </w:p>
    <w:p w14:paraId="330CF329" w14:textId="364EBD6A" w:rsidR="00BB4D0D" w:rsidRDefault="007458E3" w:rsidP="00BB4D0D">
      <w:pPr>
        <w:spacing w:line="480" w:lineRule="auto"/>
        <w:rPr>
          <w:rFonts w:cstheme="minorHAnsi"/>
        </w:rPr>
      </w:pPr>
      <w:r>
        <w:rPr>
          <w:rFonts w:cstheme="minorHAnsi"/>
        </w:rPr>
        <w:t>As well as essentially shaping the legal, cultural and social system at the time which we now call Rabbinic Judaism</w:t>
      </w:r>
      <w:r w:rsidRPr="009E120C">
        <w:rPr>
          <w:rFonts w:cstheme="minorHAnsi"/>
        </w:rPr>
        <w:t>, this system was normative for virtually all Jewish communities for the next twelve hundred year</w:t>
      </w:r>
      <w:r w:rsidR="00FD711E" w:rsidRPr="009E120C">
        <w:rPr>
          <w:rFonts w:cstheme="minorHAnsi"/>
        </w:rPr>
        <w:t>s</w:t>
      </w:r>
      <w:r w:rsidRPr="009E120C">
        <w:rPr>
          <w:rFonts w:cstheme="minorHAnsi"/>
        </w:rPr>
        <w:t>.</w:t>
      </w:r>
      <w:r w:rsidR="00144353" w:rsidRPr="001F2B96">
        <w:rPr>
          <w:rFonts w:cstheme="minorHAnsi"/>
        </w:rPr>
        <w:t xml:space="preserve"> </w:t>
      </w:r>
      <w:r>
        <w:rPr>
          <w:rStyle w:val="FootnoteReference"/>
          <w:rFonts w:cstheme="minorHAnsi"/>
        </w:rPr>
        <w:footnoteReference w:id="12"/>
      </w:r>
      <w:r w:rsidR="00FD711E">
        <w:rPr>
          <w:rFonts w:cstheme="minorHAnsi"/>
        </w:rPr>
        <w:t xml:space="preserve"> </w:t>
      </w:r>
      <w:r w:rsidR="00144353" w:rsidRPr="001F2B96">
        <w:rPr>
          <w:rFonts w:cstheme="minorHAnsi"/>
        </w:rPr>
        <w:t xml:space="preserve">As a result, the Mishnah united Jews and encouraged uniformity among Jewish communities at a time </w:t>
      </w:r>
      <w:r w:rsidR="009E120C">
        <w:rPr>
          <w:rFonts w:cstheme="minorHAnsi"/>
        </w:rPr>
        <w:t>when it</w:t>
      </w:r>
      <w:r w:rsidR="00144353" w:rsidRPr="001F2B96">
        <w:rPr>
          <w:rFonts w:cstheme="minorHAnsi"/>
        </w:rPr>
        <w:t xml:space="preserve"> was very much needed.</w:t>
      </w:r>
      <w:r w:rsidR="00FD3F9E">
        <w:rPr>
          <w:rFonts w:cstheme="minorHAnsi"/>
        </w:rPr>
        <w:t xml:space="preserve"> </w:t>
      </w:r>
      <w:r w:rsidR="009E120C">
        <w:rPr>
          <w:rFonts w:cstheme="minorHAnsi"/>
        </w:rPr>
        <w:t xml:space="preserve"> </w:t>
      </w:r>
      <w:r w:rsidR="009E7BE3">
        <w:rPr>
          <w:rFonts w:cstheme="minorHAnsi"/>
        </w:rPr>
        <w:t xml:space="preserve">Also, another essential point that </w:t>
      </w:r>
      <w:r w:rsidR="009E7BE3">
        <w:rPr>
          <w:rFonts w:cstheme="minorHAnsi"/>
        </w:rPr>
        <w:lastRenderedPageBreak/>
        <w:t>contributes to the importance the Mishnah played for Jews historically is the fact that t</w:t>
      </w:r>
      <w:r w:rsidR="00B516DF">
        <w:rPr>
          <w:rFonts w:cstheme="minorHAnsi"/>
        </w:rPr>
        <w:t xml:space="preserve">he Mishnah allowed the possibility of creating a portable Judaism </w:t>
      </w:r>
      <w:r w:rsidR="00537D36">
        <w:rPr>
          <w:rFonts w:cstheme="minorHAnsi"/>
        </w:rPr>
        <w:t xml:space="preserve">by enabling </w:t>
      </w:r>
      <w:r w:rsidR="00B516DF">
        <w:rPr>
          <w:rFonts w:cstheme="minorHAnsi"/>
        </w:rPr>
        <w:t>Jews to practice their traditions and beliefs w</w:t>
      </w:r>
      <w:r w:rsidR="00537D36">
        <w:rPr>
          <w:rFonts w:cstheme="minorHAnsi"/>
        </w:rPr>
        <w:t>herever they may be.</w:t>
      </w:r>
      <w:r w:rsidR="009E7BE3">
        <w:rPr>
          <w:rFonts w:cstheme="minorHAnsi"/>
        </w:rPr>
        <w:t xml:space="preserve"> </w:t>
      </w:r>
      <w:r w:rsidR="00A41D5A">
        <w:rPr>
          <w:rFonts w:cstheme="minorHAnsi"/>
        </w:rPr>
        <w:t>To elaborate, the fact that children, education and politics were not discussed in the Mishnah highlights why it is such a portable text no matter the time.</w:t>
      </w:r>
      <w:r w:rsidR="00537D36">
        <w:rPr>
          <w:rFonts w:cstheme="minorHAnsi"/>
        </w:rPr>
        <w:t xml:space="preserve"> It was thought that the destruction of the temple would destroy any form of Judaism </w:t>
      </w:r>
      <w:r w:rsidR="009E120C">
        <w:rPr>
          <w:rFonts w:cstheme="minorHAnsi"/>
        </w:rPr>
        <w:t>being practised</w:t>
      </w:r>
      <w:r w:rsidR="00537D36">
        <w:rPr>
          <w:rFonts w:cstheme="minorHAnsi"/>
        </w:rPr>
        <w:t>, but</w:t>
      </w:r>
      <w:r w:rsidR="009B516A">
        <w:rPr>
          <w:rFonts w:cstheme="minorHAnsi"/>
        </w:rPr>
        <w:t xml:space="preserve"> due to the Mishnah</w:t>
      </w:r>
      <w:r w:rsidR="00537D36">
        <w:rPr>
          <w:rFonts w:cstheme="minorHAnsi"/>
        </w:rPr>
        <w:t xml:space="preserve"> this only allowed Jews to expand and spread further. This also is the start of the synagogue which is without a doubt important to sustaining a Jewish life today. </w:t>
      </w:r>
    </w:p>
    <w:p w14:paraId="3AF12D31" w14:textId="77777777" w:rsidR="002C0AE1" w:rsidRDefault="002C0AE1" w:rsidP="00FD0EFE">
      <w:pPr>
        <w:spacing w:line="480" w:lineRule="auto"/>
      </w:pPr>
    </w:p>
    <w:p w14:paraId="65EA57C2" w14:textId="50172634" w:rsidR="00FD0EFE" w:rsidRDefault="009E120C" w:rsidP="00FD0EFE">
      <w:pPr>
        <w:spacing w:line="480" w:lineRule="auto"/>
      </w:pPr>
      <w:r>
        <w:t>T</w:t>
      </w:r>
      <w:r w:rsidR="00FD0EFE">
        <w:t xml:space="preserve">here is a strong sense of </w:t>
      </w:r>
      <w:r>
        <w:t xml:space="preserve">the </w:t>
      </w:r>
      <w:r w:rsidR="00FD0EFE">
        <w:t>preservation of temple life throughout the Mishnah and it is strongly juxtaposed</w:t>
      </w:r>
      <w:r>
        <w:t xml:space="preserve"> with issues of protecting</w:t>
      </w:r>
      <w:r w:rsidR="00FD0EFE">
        <w:t xml:space="preserve"> Jewish identity. As a result, four of the six orders </w:t>
      </w:r>
      <w:r w:rsidR="00FD0EFE" w:rsidRPr="009E120C">
        <w:rPr>
          <w:i/>
        </w:rPr>
        <w:t>(</w:t>
      </w:r>
      <w:proofErr w:type="spellStart"/>
      <w:r w:rsidR="00FD0EFE" w:rsidRPr="009E120C">
        <w:rPr>
          <w:i/>
        </w:rPr>
        <w:t>sedar</w:t>
      </w:r>
      <w:proofErr w:type="spellEnd"/>
      <w:r w:rsidR="00FD0EFE">
        <w:t>) concern and mention the temple service</w:t>
      </w:r>
      <w:r w:rsidR="00945DDC">
        <w:t xml:space="preserve"> even though the temple had lain in ruins for more than a hundred years</w:t>
      </w:r>
      <w:r w:rsidR="00B728E6">
        <w:t xml:space="preserve"> at the time of writing,</w:t>
      </w:r>
      <w:r w:rsidR="00945DDC">
        <w:t xml:space="preserve"> so most of the Rabbinic writings had no practical application because there was no temple life</w:t>
      </w:r>
      <w:r w:rsidR="00FD0EFE">
        <w:t>.</w:t>
      </w:r>
      <w:r w:rsidR="00945DDC">
        <w:t xml:space="preserve"> </w:t>
      </w:r>
      <w:r w:rsidR="001C5A70">
        <w:rPr>
          <w:rStyle w:val="FootnoteReference"/>
        </w:rPr>
        <w:footnoteReference w:id="13"/>
      </w:r>
      <w:r w:rsidR="00B728E6">
        <w:t xml:space="preserve"> </w:t>
      </w:r>
      <w:r w:rsidR="001B69C2">
        <w:t>They discuss every as</w:t>
      </w:r>
      <w:r w:rsidR="00B728E6">
        <w:t xml:space="preserve">pect of temple life from </w:t>
      </w:r>
      <w:r w:rsidR="006333FD">
        <w:t>offering</w:t>
      </w:r>
      <w:r w:rsidR="00B728E6">
        <w:t>s</w:t>
      </w:r>
      <w:r w:rsidR="006333FD">
        <w:t xml:space="preserve"> to rules </w:t>
      </w:r>
      <w:r w:rsidR="00B728E6">
        <w:t>referring</w:t>
      </w:r>
      <w:r w:rsidR="006333FD">
        <w:t xml:space="preserve"> to sanctuary and courtyard as well as everything in between</w:t>
      </w:r>
      <w:r w:rsidR="009C7AE0">
        <w:t xml:space="preserve"> for example in </w:t>
      </w:r>
      <w:proofErr w:type="spellStart"/>
      <w:r w:rsidR="009C7AE0">
        <w:t>Sheqalim</w:t>
      </w:r>
      <w:proofErr w:type="spellEnd"/>
      <w:r w:rsidR="009C7AE0">
        <w:t xml:space="preserve"> 5:2 the Rabbis even discuss the finest details such as who is </w:t>
      </w:r>
      <w:r w:rsidR="009A1685">
        <w:t xml:space="preserve">responsible for </w:t>
      </w:r>
      <w:r w:rsidR="009C7AE0">
        <w:t>the curtain hangings</w:t>
      </w:r>
      <w:r w:rsidR="006333FD">
        <w:t>.</w:t>
      </w:r>
      <w:r w:rsidR="00FD0EFE">
        <w:t xml:space="preserve"> Temple discussion is especially prominent in the</w:t>
      </w:r>
      <w:r w:rsidR="002A7A48">
        <w:t xml:space="preserve"> fifth</w:t>
      </w:r>
      <w:r w:rsidR="00FD0EFE">
        <w:t xml:space="preserve"> chapter called </w:t>
      </w:r>
      <w:proofErr w:type="spellStart"/>
      <w:r w:rsidR="00FD0EFE" w:rsidRPr="00B728E6">
        <w:rPr>
          <w:i/>
        </w:rPr>
        <w:t>Kodashim</w:t>
      </w:r>
      <w:proofErr w:type="spellEnd"/>
      <w:r w:rsidR="00B728E6">
        <w:rPr>
          <w:i/>
        </w:rPr>
        <w:t>,</w:t>
      </w:r>
      <w:r w:rsidR="00FD0EFE">
        <w:t xml:space="preserve"> </w:t>
      </w:r>
      <w:r w:rsidR="00B728E6">
        <w:t xml:space="preserve">in which the Mishnah </w:t>
      </w:r>
      <w:r w:rsidR="00FD0EFE">
        <w:t>outlines a life where the temple</w:t>
      </w:r>
      <w:r w:rsidR="00B728E6">
        <w:t xml:space="preserve"> is still in existence.  Thereby emphasising this idea that Jews</w:t>
      </w:r>
      <w:r w:rsidR="00FD0EFE">
        <w:t xml:space="preserve"> are still envisioning and desiring a temple</w:t>
      </w:r>
      <w:r w:rsidR="00B728E6">
        <w:t>,</w:t>
      </w:r>
      <w:r w:rsidR="00FD0EFE">
        <w:t xml:space="preserve"> which highlights that temple life was still important to their holy life even when trying to find a way forward. </w:t>
      </w:r>
      <w:r w:rsidR="00F66153">
        <w:t xml:space="preserve">Nevertheless, theologians </w:t>
      </w:r>
      <w:r w:rsidR="00B728E6">
        <w:t xml:space="preserve">still question </w:t>
      </w:r>
      <w:r w:rsidR="00F66153">
        <w:t>as to why discussion</w:t>
      </w:r>
      <w:r w:rsidR="00F46F21">
        <w:t>s</w:t>
      </w:r>
      <w:r w:rsidR="00F66153">
        <w:t xml:space="preserve"> about temple life was so thoroughly </w:t>
      </w:r>
      <w:r w:rsidR="00B728E6">
        <w:t xml:space="preserve">debated </w:t>
      </w:r>
      <w:r w:rsidR="00F66153">
        <w:t>throughout the Mishnah when it had no practical application at the time</w:t>
      </w:r>
      <w:r w:rsidR="00B728E6">
        <w:t>.</w:t>
      </w:r>
      <w:r w:rsidR="00F66153">
        <w:rPr>
          <w:rStyle w:val="FootnoteReference"/>
        </w:rPr>
        <w:footnoteReference w:id="14"/>
      </w:r>
      <w:r w:rsidR="009B516A">
        <w:t xml:space="preserve"> </w:t>
      </w:r>
    </w:p>
    <w:p w14:paraId="7CA520DA" w14:textId="77777777" w:rsidR="00FD0EFE" w:rsidRDefault="00FD0EFE" w:rsidP="00BB4D0D">
      <w:pPr>
        <w:spacing w:line="480" w:lineRule="auto"/>
      </w:pPr>
    </w:p>
    <w:p w14:paraId="4AC04C0A" w14:textId="100EF936" w:rsidR="001F2B96" w:rsidRDefault="001F3CE4" w:rsidP="001F2B96">
      <w:pPr>
        <w:spacing w:line="600" w:lineRule="auto"/>
        <w:rPr>
          <w:rFonts w:cstheme="minorHAnsi"/>
        </w:rPr>
      </w:pPr>
      <w:r w:rsidRPr="001F2B96">
        <w:rPr>
          <w:rFonts w:cstheme="minorHAnsi"/>
        </w:rPr>
        <w:lastRenderedPageBreak/>
        <w:t>The Mishnah is</w:t>
      </w:r>
      <w:r w:rsidR="009B516A">
        <w:rPr>
          <w:rFonts w:cstheme="minorHAnsi"/>
        </w:rPr>
        <w:t xml:space="preserve"> still</w:t>
      </w:r>
      <w:r w:rsidRPr="001F2B96">
        <w:rPr>
          <w:rFonts w:cstheme="minorHAnsi"/>
        </w:rPr>
        <w:t xml:space="preserve"> relevant to Jews for a number of reasons</w:t>
      </w:r>
      <w:r w:rsidR="00B728E6">
        <w:rPr>
          <w:rFonts w:cstheme="minorHAnsi"/>
        </w:rPr>
        <w:t>,</w:t>
      </w:r>
      <w:r w:rsidRPr="001F2B96">
        <w:rPr>
          <w:rFonts w:cstheme="minorHAnsi"/>
        </w:rPr>
        <w:t xml:space="preserve"> </w:t>
      </w:r>
      <w:r w:rsidR="00B728E6">
        <w:rPr>
          <w:rFonts w:cstheme="minorHAnsi"/>
        </w:rPr>
        <w:t>primarily</w:t>
      </w:r>
      <w:r w:rsidRPr="001F2B96">
        <w:rPr>
          <w:rFonts w:cstheme="minorHAnsi"/>
        </w:rPr>
        <w:t xml:space="preserve"> because it is providing practical guidance that is</w:t>
      </w:r>
      <w:r w:rsidR="00B728E6">
        <w:rPr>
          <w:rFonts w:cstheme="minorHAnsi"/>
        </w:rPr>
        <w:t xml:space="preserve"> very much still essential,</w:t>
      </w:r>
      <w:r w:rsidR="0009446B">
        <w:rPr>
          <w:rFonts w:cstheme="minorHAnsi"/>
        </w:rPr>
        <w:t xml:space="preserve"> </w:t>
      </w:r>
      <w:r w:rsidR="00B728E6">
        <w:t>and it provides</w:t>
      </w:r>
      <w:r w:rsidR="0009446B">
        <w:t xml:space="preserve"> a context to Rabbinic Judaism as we know it today.</w:t>
      </w:r>
      <w:r w:rsidRPr="001F2B96">
        <w:rPr>
          <w:rFonts w:cstheme="minorHAnsi"/>
        </w:rPr>
        <w:t xml:space="preserve"> However, on a more macro level the Mishnah is an incredibly important book to Jewish thought because it sets a tone for how Jews think about things by canonising argument</w:t>
      </w:r>
      <w:r w:rsidR="00FA44F9">
        <w:rPr>
          <w:rFonts w:cstheme="minorHAnsi"/>
        </w:rPr>
        <w:t xml:space="preserve"> and emphasising the power of discussion</w:t>
      </w:r>
      <w:r w:rsidRPr="001F2B96">
        <w:rPr>
          <w:rFonts w:cstheme="minorHAnsi"/>
        </w:rPr>
        <w:t xml:space="preserve">. As a result, the discussion and argumentation of law in the Mishnah creates a culture of holy </w:t>
      </w:r>
      <w:r w:rsidR="00A51F7F">
        <w:rPr>
          <w:rFonts w:cstheme="minorHAnsi"/>
        </w:rPr>
        <w:t>debate</w:t>
      </w:r>
      <w:r w:rsidRPr="001F2B96">
        <w:rPr>
          <w:rFonts w:cstheme="minorHAnsi"/>
        </w:rPr>
        <w:t>. Judaism permits a</w:t>
      </w:r>
      <w:r w:rsidR="00A51F7F">
        <w:rPr>
          <w:rFonts w:cstheme="minorHAnsi"/>
        </w:rPr>
        <w:t>nd encourages questioning by</w:t>
      </w:r>
      <w:r w:rsidRPr="001F2B96">
        <w:rPr>
          <w:rFonts w:cstheme="minorHAnsi"/>
        </w:rPr>
        <w:t xml:space="preserve"> raising it to a level of holy practice and this practice started because </w:t>
      </w:r>
      <w:r w:rsidRPr="00F64D94">
        <w:rPr>
          <w:rFonts w:cstheme="minorHAnsi"/>
        </w:rPr>
        <w:t>of the Mishnah.</w:t>
      </w:r>
      <w:r w:rsidR="00A51F7F">
        <w:rPr>
          <w:rFonts w:cstheme="minorHAnsi"/>
        </w:rPr>
        <w:t xml:space="preserve"> </w:t>
      </w:r>
      <w:r w:rsidR="00F64D94">
        <w:rPr>
          <w:rStyle w:val="FootnoteReference"/>
          <w:rFonts w:cstheme="minorHAnsi"/>
        </w:rPr>
        <w:footnoteReference w:id="15"/>
      </w:r>
      <w:r w:rsidR="00A51F7F">
        <w:rPr>
          <w:rFonts w:cstheme="minorHAnsi"/>
        </w:rPr>
        <w:t xml:space="preserve"> </w:t>
      </w:r>
      <w:r w:rsidR="001F2B96">
        <w:rPr>
          <w:rFonts w:cstheme="minorHAnsi"/>
        </w:rPr>
        <w:t>These different ruling</w:t>
      </w:r>
      <w:r w:rsidR="00A51F7F">
        <w:rPr>
          <w:rFonts w:cstheme="minorHAnsi"/>
        </w:rPr>
        <w:t>s,</w:t>
      </w:r>
      <w:r w:rsidR="001F2B96">
        <w:rPr>
          <w:rFonts w:cstheme="minorHAnsi"/>
        </w:rPr>
        <w:t xml:space="preserve"> arguments and opinions </w:t>
      </w:r>
      <w:r w:rsidR="00A51F7F">
        <w:rPr>
          <w:rFonts w:cstheme="minorHAnsi"/>
        </w:rPr>
        <w:t>were</w:t>
      </w:r>
      <w:r w:rsidR="001F2B96">
        <w:rPr>
          <w:rFonts w:cstheme="minorHAnsi"/>
        </w:rPr>
        <w:t xml:space="preserve"> all written down as a result </w:t>
      </w:r>
      <w:r w:rsidR="00A51F7F">
        <w:rPr>
          <w:rFonts w:cstheme="minorHAnsi"/>
        </w:rPr>
        <w:t xml:space="preserve">of </w:t>
      </w:r>
      <w:r w:rsidR="001F2B96">
        <w:rPr>
          <w:rFonts w:cstheme="minorHAnsi"/>
        </w:rPr>
        <w:t xml:space="preserve">nearly </w:t>
      </w:r>
      <w:r w:rsidR="001F2B96" w:rsidRPr="001F2B96">
        <w:rPr>
          <w:rFonts w:cstheme="minorHAnsi"/>
        </w:rPr>
        <w:t xml:space="preserve">150 sages </w:t>
      </w:r>
      <w:r w:rsidR="00A51F7F">
        <w:rPr>
          <w:rFonts w:cstheme="minorHAnsi"/>
        </w:rPr>
        <w:t xml:space="preserve">which </w:t>
      </w:r>
      <w:r w:rsidR="001F2B96" w:rsidRPr="001F2B96">
        <w:rPr>
          <w:rFonts w:cstheme="minorHAnsi"/>
        </w:rPr>
        <w:t>are mentioned by name in the Mishnah</w:t>
      </w:r>
      <w:r w:rsidR="00A51F7F">
        <w:rPr>
          <w:rFonts w:cstheme="minorHAnsi"/>
        </w:rPr>
        <w:t>,</w:t>
      </w:r>
      <w:r w:rsidR="001F2B96" w:rsidRPr="001F2B96">
        <w:rPr>
          <w:rFonts w:cstheme="minorHAnsi"/>
        </w:rPr>
        <w:t xml:space="preserve"> ranging chronologically from Hillel and </w:t>
      </w:r>
      <w:proofErr w:type="spellStart"/>
      <w:r w:rsidR="001F2B96" w:rsidRPr="001F2B96">
        <w:rPr>
          <w:rFonts w:cstheme="minorHAnsi"/>
        </w:rPr>
        <w:t>Shammai</w:t>
      </w:r>
      <w:proofErr w:type="spellEnd"/>
      <w:r w:rsidR="001F2B96" w:rsidRPr="001F2B96">
        <w:rPr>
          <w:rFonts w:cstheme="minorHAnsi"/>
        </w:rPr>
        <w:t xml:space="preserve"> to Judah ha Nazi himself. </w:t>
      </w:r>
      <w:r w:rsidR="001F2B96">
        <w:rPr>
          <w:rStyle w:val="FootnoteReference"/>
          <w:rFonts w:cstheme="minorHAnsi"/>
        </w:rPr>
        <w:footnoteReference w:id="16"/>
      </w:r>
      <w:r w:rsidR="001F2B96">
        <w:rPr>
          <w:rFonts w:cstheme="minorHAnsi"/>
        </w:rPr>
        <w:t xml:space="preserve"> </w:t>
      </w:r>
      <w:r w:rsidR="00593B7D">
        <w:rPr>
          <w:rFonts w:cstheme="minorHAnsi"/>
        </w:rPr>
        <w:t xml:space="preserve"> </w:t>
      </w:r>
      <w:r w:rsidR="00E8142A">
        <w:rPr>
          <w:rFonts w:cstheme="minorHAnsi"/>
        </w:rPr>
        <w:t>Also,</w:t>
      </w:r>
      <w:r w:rsidR="001F2B96">
        <w:rPr>
          <w:rFonts w:cstheme="minorHAnsi"/>
        </w:rPr>
        <w:t xml:space="preserve"> the Mishnah provides both the minority view first followed by the </w:t>
      </w:r>
      <w:r w:rsidR="00E8142A">
        <w:rPr>
          <w:rFonts w:cstheme="minorHAnsi"/>
        </w:rPr>
        <w:t>authoritative</w:t>
      </w:r>
      <w:r w:rsidR="001F2B96">
        <w:rPr>
          <w:rFonts w:cstheme="minorHAnsi"/>
        </w:rPr>
        <w:t xml:space="preserve"> view</w:t>
      </w:r>
      <w:r w:rsidR="00CE2A27">
        <w:rPr>
          <w:rFonts w:cstheme="minorHAnsi"/>
        </w:rPr>
        <w:t>, this emphasises that the Mishnah will never really be a completed text because there will always be something that can be developed and furtherly debated</w:t>
      </w:r>
      <w:r w:rsidR="00FA44F9">
        <w:rPr>
          <w:rFonts w:cstheme="minorHAnsi"/>
        </w:rPr>
        <w:t xml:space="preserve"> as there is never one overriding voice</w:t>
      </w:r>
      <w:r w:rsidR="00CE2A27">
        <w:rPr>
          <w:rFonts w:cstheme="minorHAnsi"/>
        </w:rPr>
        <w:t xml:space="preserve">. </w:t>
      </w:r>
      <w:r w:rsidR="00E8142A">
        <w:rPr>
          <w:rFonts w:cstheme="minorHAnsi"/>
        </w:rPr>
        <w:t>Th</w:t>
      </w:r>
      <w:r w:rsidR="00CE2A27">
        <w:rPr>
          <w:rFonts w:cstheme="minorHAnsi"/>
        </w:rPr>
        <w:t>us, t</w:t>
      </w:r>
      <w:r w:rsidR="001F2B96">
        <w:rPr>
          <w:rFonts w:cstheme="minorHAnsi"/>
        </w:rPr>
        <w:t xml:space="preserve">he way the Mishnah is compiled and presented </w:t>
      </w:r>
      <w:r w:rsidR="00E8142A">
        <w:rPr>
          <w:rFonts w:cstheme="minorHAnsi"/>
        </w:rPr>
        <w:t>makes it still very relevant t</w:t>
      </w:r>
      <w:r w:rsidR="00A51F7F">
        <w:rPr>
          <w:rFonts w:cstheme="minorHAnsi"/>
        </w:rPr>
        <w:t>o Jews today</w:t>
      </w:r>
      <w:r w:rsidR="00CE2A27">
        <w:rPr>
          <w:rFonts w:cstheme="minorHAnsi"/>
        </w:rPr>
        <w:t xml:space="preserve"> primarily</w:t>
      </w:r>
      <w:r w:rsidR="00A51F7F">
        <w:rPr>
          <w:rFonts w:cstheme="minorHAnsi"/>
        </w:rPr>
        <w:t xml:space="preserve"> because discussion</w:t>
      </w:r>
      <w:r w:rsidR="00E8142A">
        <w:rPr>
          <w:rFonts w:cstheme="minorHAnsi"/>
        </w:rPr>
        <w:t xml:space="preserve"> is a b</w:t>
      </w:r>
      <w:r w:rsidR="00240A9E">
        <w:rPr>
          <w:rFonts w:cstheme="minorHAnsi"/>
        </w:rPr>
        <w:t>i</w:t>
      </w:r>
      <w:r w:rsidR="00E8142A">
        <w:rPr>
          <w:rFonts w:cstheme="minorHAnsi"/>
        </w:rPr>
        <w:t xml:space="preserve">g part of </w:t>
      </w:r>
      <w:r w:rsidR="00A51F7F">
        <w:rPr>
          <w:rFonts w:cstheme="minorHAnsi"/>
        </w:rPr>
        <w:t xml:space="preserve">current </w:t>
      </w:r>
      <w:r w:rsidR="00E8142A">
        <w:rPr>
          <w:rFonts w:cstheme="minorHAnsi"/>
        </w:rPr>
        <w:t xml:space="preserve">Judaic teaching as well as during the </w:t>
      </w:r>
      <w:proofErr w:type="spellStart"/>
      <w:r w:rsidR="00E8142A" w:rsidRPr="00A51F7F">
        <w:rPr>
          <w:rFonts w:cstheme="minorHAnsi"/>
          <w:i/>
        </w:rPr>
        <w:t>Tannaim</w:t>
      </w:r>
      <w:proofErr w:type="spellEnd"/>
      <w:r w:rsidR="00E8142A">
        <w:rPr>
          <w:rFonts w:cstheme="minorHAnsi"/>
        </w:rPr>
        <w:t xml:space="preserve"> period</w:t>
      </w:r>
      <w:r w:rsidR="00A51F7F">
        <w:rPr>
          <w:rFonts w:cstheme="minorHAnsi"/>
        </w:rPr>
        <w:t xml:space="preserve"> when the Mishnah was written down</w:t>
      </w:r>
      <w:r w:rsidR="00FD3F9E">
        <w:rPr>
          <w:rFonts w:cstheme="minorHAnsi"/>
        </w:rPr>
        <w:t>.</w:t>
      </w:r>
      <w:r w:rsidR="00593B7D">
        <w:rPr>
          <w:rFonts w:cstheme="minorHAnsi"/>
        </w:rPr>
        <w:t xml:space="preserve"> However,</w:t>
      </w:r>
      <w:r w:rsidR="009A1685">
        <w:rPr>
          <w:rFonts w:cstheme="minorHAnsi"/>
        </w:rPr>
        <w:t xml:space="preserve"> not everyone agreed that the Mishnah was significant to Judaism, </w:t>
      </w:r>
      <w:r w:rsidR="00593B7D">
        <w:rPr>
          <w:rFonts w:cstheme="minorHAnsi"/>
        </w:rPr>
        <w:t xml:space="preserve">Jacob </w:t>
      </w:r>
      <w:proofErr w:type="spellStart"/>
      <w:r w:rsidR="00593B7D">
        <w:rPr>
          <w:rFonts w:cstheme="minorHAnsi"/>
        </w:rPr>
        <w:t>Neusner</w:t>
      </w:r>
      <w:proofErr w:type="spellEnd"/>
      <w:r w:rsidR="00A51F7F">
        <w:rPr>
          <w:rFonts w:cstheme="minorHAnsi"/>
        </w:rPr>
        <w:t>,</w:t>
      </w:r>
      <w:r w:rsidR="00593B7D">
        <w:rPr>
          <w:rFonts w:cstheme="minorHAnsi"/>
        </w:rPr>
        <w:t xml:space="preserve"> an influential scholar</w:t>
      </w:r>
      <w:r w:rsidR="00A51F7F">
        <w:rPr>
          <w:rFonts w:cstheme="minorHAnsi"/>
        </w:rPr>
        <w:t>,</w:t>
      </w:r>
      <w:r w:rsidR="00593B7D">
        <w:rPr>
          <w:rFonts w:cstheme="minorHAnsi"/>
        </w:rPr>
        <w:t xml:space="preserve"> thought that the </w:t>
      </w:r>
      <w:r w:rsidR="00593B7D" w:rsidRPr="00593B7D">
        <w:rPr>
          <w:rFonts w:cstheme="minorHAnsi"/>
        </w:rPr>
        <w:t>‘[The Mishnah is] small-minded, picayune, obvious, dull, routine - everything its age was not</w:t>
      </w:r>
      <w:r w:rsidR="00593B7D">
        <w:rPr>
          <w:rFonts w:cstheme="minorHAnsi"/>
        </w:rPr>
        <w:t>.</w:t>
      </w:r>
      <w:r w:rsidR="00593B7D" w:rsidRPr="00593B7D">
        <w:rPr>
          <w:rFonts w:cstheme="minorHAnsi"/>
        </w:rPr>
        <w:t>’</w:t>
      </w:r>
      <w:r w:rsidR="00593B7D">
        <w:rPr>
          <w:rStyle w:val="FootnoteReference"/>
          <w:rFonts w:cstheme="minorHAnsi"/>
        </w:rPr>
        <w:footnoteReference w:id="17"/>
      </w:r>
      <w:r w:rsidR="00593B7D">
        <w:rPr>
          <w:rFonts w:cstheme="minorHAnsi"/>
        </w:rPr>
        <w:t xml:space="preserve"> To elaborate, Jacob </w:t>
      </w:r>
      <w:proofErr w:type="spellStart"/>
      <w:r w:rsidR="00593B7D">
        <w:rPr>
          <w:rFonts w:cstheme="minorHAnsi"/>
        </w:rPr>
        <w:t>Neusner</w:t>
      </w:r>
      <w:proofErr w:type="spellEnd"/>
      <w:r w:rsidR="00593B7D">
        <w:rPr>
          <w:rFonts w:cstheme="minorHAnsi"/>
        </w:rPr>
        <w:t xml:space="preserve"> thought that even though the Mishnah covered a lot of discussion of different opinions of </w:t>
      </w:r>
      <w:r w:rsidR="00593B7D">
        <w:rPr>
          <w:rFonts w:cstheme="minorHAnsi"/>
        </w:rPr>
        <w:lastRenderedPageBreak/>
        <w:t>different sages there is still no description</w:t>
      </w:r>
      <w:r w:rsidR="00554864">
        <w:rPr>
          <w:rFonts w:cstheme="minorHAnsi"/>
        </w:rPr>
        <w:t>,</w:t>
      </w:r>
      <w:r w:rsidR="00593B7D">
        <w:rPr>
          <w:rFonts w:cstheme="minorHAnsi"/>
        </w:rPr>
        <w:t xml:space="preserve"> narrative</w:t>
      </w:r>
      <w:r w:rsidR="000A6C88">
        <w:rPr>
          <w:rFonts w:cstheme="minorHAnsi"/>
        </w:rPr>
        <w:t xml:space="preserve"> and no substantial correlation</w:t>
      </w:r>
      <w:r w:rsidR="00593B7D">
        <w:rPr>
          <w:rFonts w:cstheme="minorHAnsi"/>
        </w:rPr>
        <w:t xml:space="preserve"> surrounding the political turmoil the Jews were facing at the time.</w:t>
      </w:r>
    </w:p>
    <w:p w14:paraId="3F32149E" w14:textId="77777777" w:rsidR="00B3197A" w:rsidRDefault="00B3197A" w:rsidP="00AE3FF1">
      <w:pPr>
        <w:spacing w:line="600" w:lineRule="auto"/>
        <w:rPr>
          <w:rFonts w:cstheme="minorHAnsi"/>
        </w:rPr>
      </w:pPr>
    </w:p>
    <w:p w14:paraId="07ED5934" w14:textId="25A2F109" w:rsidR="00AE3FF1" w:rsidRDefault="00AE3FF1" w:rsidP="00AE3FF1">
      <w:pPr>
        <w:spacing w:line="600" w:lineRule="auto"/>
        <w:rPr>
          <w:rFonts w:ascii="Helvetica" w:hAnsi="Helvetica"/>
          <w:color w:val="333333"/>
          <w:sz w:val="20"/>
          <w:szCs w:val="20"/>
        </w:rPr>
      </w:pPr>
      <w:r>
        <w:rPr>
          <w:rFonts w:cstheme="minorHAnsi"/>
        </w:rPr>
        <w:t xml:space="preserve">The book in the Mishnah called </w:t>
      </w:r>
      <w:proofErr w:type="spellStart"/>
      <w:r w:rsidRPr="00A51F7F">
        <w:rPr>
          <w:rFonts w:cstheme="minorHAnsi"/>
          <w:i/>
        </w:rPr>
        <w:t>Nashim</w:t>
      </w:r>
      <w:proofErr w:type="spellEnd"/>
      <w:r>
        <w:rPr>
          <w:rFonts w:cstheme="minorHAnsi"/>
        </w:rPr>
        <w:t xml:space="preserve"> (women) is a fascinating and enlightening read</w:t>
      </w:r>
      <w:r w:rsidR="00A51F7F">
        <w:rPr>
          <w:rFonts w:cstheme="minorHAnsi"/>
        </w:rPr>
        <w:t>.</w:t>
      </w:r>
      <w:r w:rsidR="004B7100">
        <w:rPr>
          <w:rFonts w:cstheme="minorHAnsi"/>
        </w:rPr>
        <w:t xml:space="preserve"> </w:t>
      </w:r>
      <w:r w:rsidR="00A51F7F">
        <w:rPr>
          <w:rFonts w:cstheme="minorHAnsi"/>
        </w:rPr>
        <w:t>This</w:t>
      </w:r>
      <w:r>
        <w:rPr>
          <w:rFonts w:cstheme="minorHAnsi"/>
        </w:rPr>
        <w:t xml:space="preserve"> book </w:t>
      </w:r>
      <w:r w:rsidR="00A51F7F">
        <w:rPr>
          <w:rFonts w:cstheme="minorHAnsi"/>
        </w:rPr>
        <w:t>has</w:t>
      </w:r>
      <w:r>
        <w:rPr>
          <w:rFonts w:cstheme="minorHAnsi"/>
        </w:rPr>
        <w:t xml:space="preserve"> much significance in Judaism because it is the first Jewish documentation of its kind</w:t>
      </w:r>
      <w:r w:rsidR="00715FFB">
        <w:rPr>
          <w:rFonts w:cstheme="minorHAnsi"/>
        </w:rPr>
        <w:t xml:space="preserve"> </w:t>
      </w:r>
      <w:r w:rsidR="004B7100">
        <w:rPr>
          <w:rFonts w:cstheme="minorHAnsi"/>
        </w:rPr>
        <w:t xml:space="preserve">that </w:t>
      </w:r>
      <w:r w:rsidR="009B4242">
        <w:rPr>
          <w:rFonts w:cstheme="minorHAnsi"/>
        </w:rPr>
        <w:t>teaches all about the role of a woman in much detail</w:t>
      </w:r>
      <w:r w:rsidR="00831280">
        <w:rPr>
          <w:rFonts w:cstheme="minorHAnsi"/>
        </w:rPr>
        <w:t xml:space="preserve"> and exposes the differing legal and social status of Judaic women</w:t>
      </w:r>
      <w:r>
        <w:rPr>
          <w:rFonts w:cstheme="minorHAnsi"/>
        </w:rPr>
        <w:t xml:space="preserve">. </w:t>
      </w:r>
      <w:r w:rsidR="00007FAE">
        <w:rPr>
          <w:rFonts w:cstheme="minorHAnsi"/>
        </w:rPr>
        <w:t xml:space="preserve">Most rules that govern a woman’s status </w:t>
      </w:r>
      <w:r w:rsidR="00A51F7F">
        <w:rPr>
          <w:rFonts w:cstheme="minorHAnsi"/>
        </w:rPr>
        <w:t>are</w:t>
      </w:r>
      <w:r w:rsidR="00007FAE">
        <w:rPr>
          <w:rFonts w:cstheme="minorHAnsi"/>
        </w:rPr>
        <w:t xml:space="preserve"> found in this book</w:t>
      </w:r>
      <w:r w:rsidR="00A51F7F">
        <w:rPr>
          <w:rFonts w:cstheme="minorHAnsi"/>
        </w:rPr>
        <w:t>,</w:t>
      </w:r>
      <w:r w:rsidR="009B4242">
        <w:rPr>
          <w:rFonts w:cstheme="minorHAnsi"/>
        </w:rPr>
        <w:t xml:space="preserve"> </w:t>
      </w:r>
      <w:r w:rsidR="00007FAE">
        <w:rPr>
          <w:rFonts w:cstheme="minorHAnsi"/>
        </w:rPr>
        <w:t>for example it contains</w:t>
      </w:r>
      <w:r w:rsidR="009B4242">
        <w:rPr>
          <w:rFonts w:cstheme="minorHAnsi"/>
        </w:rPr>
        <w:t xml:space="preserve"> </w:t>
      </w:r>
      <w:r>
        <w:rPr>
          <w:rFonts w:cstheme="minorHAnsi"/>
        </w:rPr>
        <w:t>concepts to do with family life, marriage and divorce</w:t>
      </w:r>
      <w:r w:rsidR="00007FAE">
        <w:rPr>
          <w:rFonts w:cstheme="minorHAnsi"/>
        </w:rPr>
        <w:t xml:space="preserve">. </w:t>
      </w:r>
      <w:r w:rsidR="00A51F7F">
        <w:rPr>
          <w:rFonts w:cstheme="minorHAnsi"/>
        </w:rPr>
        <w:t xml:space="preserve">These concepts </w:t>
      </w:r>
      <w:r>
        <w:rPr>
          <w:rFonts w:cstheme="minorHAnsi"/>
        </w:rPr>
        <w:t>are almost entirely unexplored in the Torah (Hebrew bible)</w:t>
      </w:r>
      <w:r w:rsidR="009B4242">
        <w:rPr>
          <w:rFonts w:cstheme="minorHAnsi"/>
        </w:rPr>
        <w:t xml:space="preserve"> but in </w:t>
      </w:r>
      <w:proofErr w:type="spellStart"/>
      <w:r w:rsidR="009B4242" w:rsidRPr="00A51F7F">
        <w:rPr>
          <w:rFonts w:cstheme="minorHAnsi"/>
          <w:i/>
        </w:rPr>
        <w:t>Nashim</w:t>
      </w:r>
      <w:proofErr w:type="spellEnd"/>
      <w:r w:rsidR="009B4242">
        <w:rPr>
          <w:rFonts w:cstheme="minorHAnsi"/>
        </w:rPr>
        <w:t xml:space="preserve"> these areas are exp</w:t>
      </w:r>
      <w:r w:rsidR="00A51F7F">
        <w:rPr>
          <w:rFonts w:cstheme="minorHAnsi"/>
        </w:rPr>
        <w:t>lained</w:t>
      </w:r>
      <w:r w:rsidR="009B4242">
        <w:rPr>
          <w:rFonts w:cstheme="minorHAnsi"/>
        </w:rPr>
        <w:t xml:space="preserve"> </w:t>
      </w:r>
      <w:r w:rsidR="00007FAE">
        <w:rPr>
          <w:rFonts w:cstheme="minorHAnsi"/>
        </w:rPr>
        <w:t>in detail</w:t>
      </w:r>
      <w:r w:rsidR="00A51F7F">
        <w:rPr>
          <w:rFonts w:cstheme="minorHAnsi"/>
        </w:rPr>
        <w:t>,</w:t>
      </w:r>
      <w:r w:rsidR="00007FAE">
        <w:rPr>
          <w:rFonts w:cstheme="minorHAnsi"/>
        </w:rPr>
        <w:t xml:space="preserve"> </w:t>
      </w:r>
      <w:r w:rsidR="00A51F7F">
        <w:rPr>
          <w:rFonts w:cstheme="minorHAnsi"/>
        </w:rPr>
        <w:t>which has</w:t>
      </w:r>
      <w:r w:rsidR="009B4242">
        <w:rPr>
          <w:rFonts w:cstheme="minorHAnsi"/>
        </w:rPr>
        <w:t xml:space="preserve"> much importance to Jews as they </w:t>
      </w:r>
      <w:r w:rsidR="00AA1319">
        <w:rPr>
          <w:rFonts w:cstheme="minorHAnsi"/>
        </w:rPr>
        <w:t>can</w:t>
      </w:r>
      <w:r w:rsidR="009B4242">
        <w:rPr>
          <w:rFonts w:cstheme="minorHAnsi"/>
        </w:rPr>
        <w:t xml:space="preserve"> understand the role of the woman in more depth</w:t>
      </w:r>
      <w:r w:rsidR="00AA1319">
        <w:rPr>
          <w:rFonts w:cstheme="minorHAnsi"/>
        </w:rPr>
        <w:t xml:space="preserve"> and how the status of women </w:t>
      </w:r>
      <w:r w:rsidR="00BB63CB">
        <w:rPr>
          <w:rFonts w:cstheme="minorHAnsi"/>
        </w:rPr>
        <w:t>compared to</w:t>
      </w:r>
      <w:r w:rsidR="00AA1319">
        <w:rPr>
          <w:rFonts w:cstheme="minorHAnsi"/>
        </w:rPr>
        <w:t xml:space="preserve"> that </w:t>
      </w:r>
      <w:r w:rsidR="0049316A">
        <w:rPr>
          <w:rFonts w:cstheme="minorHAnsi"/>
        </w:rPr>
        <w:t>of me</w:t>
      </w:r>
      <w:r w:rsidR="00AA1319">
        <w:rPr>
          <w:rFonts w:cstheme="minorHAnsi"/>
        </w:rPr>
        <w:t>n</w:t>
      </w:r>
      <w:r w:rsidR="0049316A">
        <w:rPr>
          <w:rFonts w:cstheme="minorHAnsi"/>
        </w:rPr>
        <w:t>,</w:t>
      </w:r>
      <w:r w:rsidR="00AA1319">
        <w:rPr>
          <w:rFonts w:cstheme="minorHAnsi"/>
        </w:rPr>
        <w:t xml:space="preserve"> which Rabbinic sages wrote </w:t>
      </w:r>
      <w:r w:rsidR="0049316A">
        <w:rPr>
          <w:rFonts w:cstheme="minorHAnsi"/>
        </w:rPr>
        <w:t>extensively</w:t>
      </w:r>
      <w:r w:rsidR="00AA1319">
        <w:rPr>
          <w:rFonts w:cstheme="minorHAnsi"/>
        </w:rPr>
        <w:t xml:space="preserve"> about</w:t>
      </w:r>
      <w:r w:rsidR="0041188F">
        <w:rPr>
          <w:rFonts w:cstheme="minorHAnsi"/>
        </w:rPr>
        <w:t xml:space="preserve"> in </w:t>
      </w:r>
      <w:proofErr w:type="spellStart"/>
      <w:r w:rsidR="0041188F" w:rsidRPr="0049316A">
        <w:rPr>
          <w:rFonts w:cstheme="minorHAnsi"/>
          <w:i/>
        </w:rPr>
        <w:t>Nashim</w:t>
      </w:r>
      <w:proofErr w:type="spellEnd"/>
      <w:r>
        <w:rPr>
          <w:rFonts w:cstheme="minorHAnsi"/>
        </w:rPr>
        <w:t>.</w:t>
      </w:r>
      <w:r w:rsidR="00BB63CB">
        <w:rPr>
          <w:rFonts w:cstheme="minorHAnsi"/>
        </w:rPr>
        <w:t xml:space="preserve"> </w:t>
      </w:r>
      <w:r>
        <w:rPr>
          <w:rFonts w:cstheme="minorHAnsi"/>
        </w:rPr>
        <w:t xml:space="preserve"> </w:t>
      </w:r>
      <w:r w:rsidR="00945DDC">
        <w:rPr>
          <w:rFonts w:cstheme="minorHAnsi"/>
        </w:rPr>
        <w:t xml:space="preserve">The book reflects the conception of the </w:t>
      </w:r>
      <w:r w:rsidR="00594EC2">
        <w:rPr>
          <w:rFonts w:cstheme="minorHAnsi"/>
        </w:rPr>
        <w:t xml:space="preserve">marginal </w:t>
      </w:r>
      <w:r w:rsidR="00945DDC">
        <w:rPr>
          <w:rFonts w:cstheme="minorHAnsi"/>
        </w:rPr>
        <w:t>p</w:t>
      </w:r>
      <w:r w:rsidR="00594EC2">
        <w:rPr>
          <w:rFonts w:cstheme="minorHAnsi"/>
        </w:rPr>
        <w:t>osition o</w:t>
      </w:r>
      <w:r w:rsidR="00945DDC">
        <w:rPr>
          <w:rFonts w:cstheme="minorHAnsi"/>
        </w:rPr>
        <w:t xml:space="preserve">f women </w:t>
      </w:r>
      <w:r w:rsidR="0049316A">
        <w:rPr>
          <w:rFonts w:cstheme="minorHAnsi"/>
        </w:rPr>
        <w:t>in their culture who were considered as ‘other’ in comparison to men</w:t>
      </w:r>
      <w:proofErr w:type="gramStart"/>
      <w:r w:rsidR="0049316A">
        <w:rPr>
          <w:rFonts w:cstheme="minorHAnsi"/>
        </w:rPr>
        <w:t xml:space="preserve">: </w:t>
      </w:r>
      <w:r w:rsidR="00945DDC">
        <w:rPr>
          <w:rFonts w:cstheme="minorHAnsi"/>
        </w:rPr>
        <w:t xml:space="preserve"> “</w:t>
      </w:r>
      <w:proofErr w:type="gramEnd"/>
      <w:r>
        <w:rPr>
          <w:rFonts w:cstheme="minorHAnsi"/>
        </w:rPr>
        <w:t xml:space="preserve">Seder </w:t>
      </w:r>
      <w:proofErr w:type="spellStart"/>
      <w:r>
        <w:rPr>
          <w:rFonts w:cstheme="minorHAnsi"/>
        </w:rPr>
        <w:t>Nashim’s</w:t>
      </w:r>
      <w:proofErr w:type="spellEnd"/>
      <w:r>
        <w:rPr>
          <w:rFonts w:cstheme="minorHAnsi"/>
        </w:rPr>
        <w:t xml:space="preserve"> primary concern is the protection of society’s exceptional members.“ </w:t>
      </w:r>
      <w:r>
        <w:rPr>
          <w:rStyle w:val="FootnoteReference"/>
          <w:rFonts w:cstheme="minorHAnsi"/>
        </w:rPr>
        <w:footnoteReference w:id="18"/>
      </w:r>
      <w:r w:rsidR="0049316A">
        <w:rPr>
          <w:rFonts w:cstheme="minorHAnsi"/>
        </w:rPr>
        <w:t xml:space="preserve">  Although the Mishnah </w:t>
      </w:r>
      <w:r>
        <w:rPr>
          <w:rFonts w:cstheme="minorHAnsi"/>
        </w:rPr>
        <w:t xml:space="preserve">discusses the importance of women studying the Torah and </w:t>
      </w:r>
      <w:r w:rsidR="0045127F">
        <w:rPr>
          <w:rFonts w:cstheme="minorHAnsi"/>
        </w:rPr>
        <w:t>reciting prayers</w:t>
      </w:r>
      <w:r w:rsidR="0049316A">
        <w:rPr>
          <w:rFonts w:cstheme="minorHAnsi"/>
        </w:rPr>
        <w:t xml:space="preserve">, </w:t>
      </w:r>
      <w:r w:rsidR="004B7100">
        <w:rPr>
          <w:rFonts w:cstheme="minorHAnsi"/>
        </w:rPr>
        <w:t xml:space="preserve">as </w:t>
      </w:r>
      <w:r w:rsidR="00F5314F">
        <w:rPr>
          <w:rFonts w:cstheme="minorHAnsi"/>
        </w:rPr>
        <w:t xml:space="preserve">well as women </w:t>
      </w:r>
      <w:r w:rsidR="004B7100">
        <w:rPr>
          <w:rFonts w:cstheme="minorHAnsi"/>
        </w:rPr>
        <w:t>having the same “rationale mind, practical</w:t>
      </w:r>
      <w:r w:rsidR="0049316A">
        <w:rPr>
          <w:rFonts w:cstheme="minorHAnsi"/>
        </w:rPr>
        <w:t xml:space="preserve"> skills and moral sensibilities</w:t>
      </w:r>
      <w:r w:rsidR="00F5314F">
        <w:rPr>
          <w:rFonts w:cstheme="minorHAnsi"/>
        </w:rPr>
        <w:t>.</w:t>
      </w:r>
      <w:r w:rsidR="004B7100">
        <w:rPr>
          <w:rFonts w:cstheme="minorHAnsi"/>
        </w:rPr>
        <w:t>”</w:t>
      </w:r>
      <w:r w:rsidR="00F5314F">
        <w:rPr>
          <w:rFonts w:cstheme="minorHAnsi"/>
        </w:rPr>
        <w:t xml:space="preserve"> </w:t>
      </w:r>
      <w:r w:rsidR="004B7100">
        <w:rPr>
          <w:rStyle w:val="FootnoteReference"/>
          <w:rFonts w:cstheme="minorHAnsi"/>
        </w:rPr>
        <w:footnoteReference w:id="19"/>
      </w:r>
      <w:r w:rsidR="00F5314F">
        <w:rPr>
          <w:rFonts w:cstheme="minorHAnsi"/>
        </w:rPr>
        <w:t xml:space="preserve"> </w:t>
      </w:r>
      <w:r w:rsidR="0049316A">
        <w:rPr>
          <w:rFonts w:cstheme="minorHAnsi"/>
        </w:rPr>
        <w:t xml:space="preserve"> </w:t>
      </w:r>
      <w:r w:rsidR="00F5314F">
        <w:rPr>
          <w:rFonts w:cstheme="minorHAnsi"/>
        </w:rPr>
        <w:t>W</w:t>
      </w:r>
      <w:r w:rsidR="0045127F">
        <w:rPr>
          <w:rFonts w:cstheme="minorHAnsi"/>
        </w:rPr>
        <w:t xml:space="preserve">omen were </w:t>
      </w:r>
      <w:r w:rsidR="00F5314F">
        <w:rPr>
          <w:rFonts w:cstheme="minorHAnsi"/>
        </w:rPr>
        <w:t xml:space="preserve">still </w:t>
      </w:r>
      <w:r w:rsidR="0045127F">
        <w:rPr>
          <w:rFonts w:cstheme="minorHAnsi"/>
        </w:rPr>
        <w:t>rather limited on what they could participate in</w:t>
      </w:r>
      <w:r w:rsidR="000211AE">
        <w:rPr>
          <w:rFonts w:cstheme="minorHAnsi"/>
        </w:rPr>
        <w:t>,</w:t>
      </w:r>
      <w:r w:rsidR="0045127F">
        <w:rPr>
          <w:rFonts w:cstheme="minorHAnsi"/>
        </w:rPr>
        <w:t xml:space="preserve"> which would not </w:t>
      </w:r>
      <w:r w:rsidR="000211AE">
        <w:rPr>
          <w:rFonts w:cstheme="minorHAnsi"/>
        </w:rPr>
        <w:t>reflect</w:t>
      </w:r>
      <w:r w:rsidR="004B7100">
        <w:rPr>
          <w:rFonts w:cstheme="minorHAnsi"/>
        </w:rPr>
        <w:t xml:space="preserve"> how Jewish women live today</w:t>
      </w:r>
      <w:r>
        <w:rPr>
          <w:rFonts w:cstheme="minorHAnsi"/>
        </w:rPr>
        <w:t xml:space="preserve">. </w:t>
      </w:r>
      <w:r w:rsidR="004B7100">
        <w:rPr>
          <w:rFonts w:cstheme="minorHAnsi"/>
        </w:rPr>
        <w:t>As a result,</w:t>
      </w:r>
      <w:r>
        <w:rPr>
          <w:rFonts w:cstheme="minorHAnsi"/>
        </w:rPr>
        <w:t xml:space="preserve"> the Mishnah is portrayed rather negatively by the Rabbis </w:t>
      </w:r>
      <w:r w:rsidRPr="00EE4986">
        <w:rPr>
          <w:rFonts w:cstheme="minorHAnsi"/>
        </w:rPr>
        <w:t>at the time</w:t>
      </w:r>
      <w:r w:rsidR="000211AE" w:rsidRPr="00EE4986">
        <w:rPr>
          <w:rFonts w:cstheme="minorHAnsi"/>
        </w:rPr>
        <w:t>,</w:t>
      </w:r>
      <w:r w:rsidRPr="00EE4986">
        <w:rPr>
          <w:rFonts w:cstheme="minorHAnsi"/>
        </w:rPr>
        <w:t xml:space="preserve"> a</w:t>
      </w:r>
      <w:r w:rsidR="00EE4986" w:rsidRPr="00EE4986">
        <w:rPr>
          <w:rFonts w:cstheme="minorHAnsi"/>
        </w:rPr>
        <w:t>s they were</w:t>
      </w:r>
      <w:r w:rsidR="00594EC2" w:rsidRPr="00EE4986">
        <w:rPr>
          <w:rFonts w:cstheme="minorHAnsi"/>
        </w:rPr>
        <w:t xml:space="preserve"> </w:t>
      </w:r>
      <w:r w:rsidR="00734CC0" w:rsidRPr="00EE4986">
        <w:rPr>
          <w:rFonts w:cstheme="minorHAnsi"/>
        </w:rPr>
        <w:t>stripped</w:t>
      </w:r>
      <w:r w:rsidR="00594EC2">
        <w:rPr>
          <w:rFonts w:cstheme="minorHAnsi"/>
        </w:rPr>
        <w:t xml:space="preserve"> of their religious duty by</w:t>
      </w:r>
      <w:r w:rsidR="00992C82">
        <w:rPr>
          <w:rFonts w:cstheme="minorHAnsi"/>
        </w:rPr>
        <w:t xml:space="preserve"> not allowing </w:t>
      </w:r>
      <w:r w:rsidR="00992C82">
        <w:rPr>
          <w:rFonts w:cstheme="minorHAnsi"/>
        </w:rPr>
        <w:lastRenderedPageBreak/>
        <w:t>women to</w:t>
      </w:r>
      <w:r w:rsidR="00594EC2">
        <w:rPr>
          <w:rFonts w:cstheme="minorHAnsi"/>
        </w:rPr>
        <w:t xml:space="preserve"> partak</w:t>
      </w:r>
      <w:r w:rsidR="00992C82">
        <w:rPr>
          <w:rFonts w:cstheme="minorHAnsi"/>
        </w:rPr>
        <w:t>e</w:t>
      </w:r>
      <w:r w:rsidR="00594EC2">
        <w:rPr>
          <w:rFonts w:cstheme="minorHAnsi"/>
        </w:rPr>
        <w:t xml:space="preserve"> in communal </w:t>
      </w:r>
      <w:r w:rsidR="00B9116E">
        <w:rPr>
          <w:rFonts w:cstheme="minorHAnsi"/>
        </w:rPr>
        <w:t>religious practices</w:t>
      </w:r>
      <w:r>
        <w:rPr>
          <w:rFonts w:cstheme="minorHAnsi"/>
        </w:rPr>
        <w:t xml:space="preserve">. </w:t>
      </w:r>
      <w:r w:rsidR="00FE7126">
        <w:rPr>
          <w:rStyle w:val="FootnoteReference"/>
          <w:rFonts w:cstheme="minorHAnsi"/>
        </w:rPr>
        <w:footnoteReference w:id="20"/>
      </w:r>
      <w:r w:rsidR="0045127F">
        <w:rPr>
          <w:rFonts w:cstheme="minorHAnsi"/>
        </w:rPr>
        <w:t xml:space="preserve"> </w:t>
      </w:r>
      <w:r w:rsidR="000211AE">
        <w:rPr>
          <w:rFonts w:cstheme="minorHAnsi"/>
        </w:rPr>
        <w:t>It may also be considered that in</w:t>
      </w:r>
      <w:r w:rsidR="00BB63CB">
        <w:rPr>
          <w:rFonts w:cstheme="minorHAnsi"/>
        </w:rPr>
        <w:t xml:space="preserve"> the wake of feminism in 21</w:t>
      </w:r>
      <w:r w:rsidR="00BB63CB" w:rsidRPr="00BB63CB">
        <w:rPr>
          <w:rFonts w:cstheme="minorHAnsi"/>
          <w:vertAlign w:val="superscript"/>
        </w:rPr>
        <w:t>st</w:t>
      </w:r>
      <w:r w:rsidR="00BB63CB">
        <w:rPr>
          <w:rFonts w:cstheme="minorHAnsi"/>
        </w:rPr>
        <w:t xml:space="preserve"> century</w:t>
      </w:r>
      <w:r w:rsidR="000211AE">
        <w:rPr>
          <w:rFonts w:cstheme="minorHAnsi"/>
        </w:rPr>
        <w:t>,</w:t>
      </w:r>
      <w:r w:rsidR="00BB63CB">
        <w:rPr>
          <w:rFonts w:cstheme="minorHAnsi"/>
        </w:rPr>
        <w:t xml:space="preserve"> discussions undertake</w:t>
      </w:r>
      <w:r w:rsidR="005E0564">
        <w:rPr>
          <w:rFonts w:cstheme="minorHAnsi"/>
        </w:rPr>
        <w:t>n</w:t>
      </w:r>
      <w:r w:rsidR="00BB63CB">
        <w:rPr>
          <w:rFonts w:cstheme="minorHAnsi"/>
        </w:rPr>
        <w:t xml:space="preserve"> by the Rabb</w:t>
      </w:r>
      <w:r w:rsidR="005E0564">
        <w:rPr>
          <w:rFonts w:cstheme="minorHAnsi"/>
        </w:rPr>
        <w:t>inic sages in the</w:t>
      </w:r>
      <w:r w:rsidR="005E0564" w:rsidRPr="000211AE">
        <w:rPr>
          <w:rFonts w:cstheme="minorHAnsi"/>
          <w:i/>
        </w:rPr>
        <w:t xml:space="preserve"> </w:t>
      </w:r>
      <w:proofErr w:type="spellStart"/>
      <w:r w:rsidR="005E0564" w:rsidRPr="000211AE">
        <w:rPr>
          <w:rFonts w:cstheme="minorHAnsi"/>
          <w:i/>
        </w:rPr>
        <w:t>Nashim</w:t>
      </w:r>
      <w:proofErr w:type="spellEnd"/>
      <w:r w:rsidR="005E0564">
        <w:rPr>
          <w:rFonts w:cstheme="minorHAnsi"/>
        </w:rPr>
        <w:t xml:space="preserve"> makes it a subject matter of much feminist debate and questions about how the </w:t>
      </w:r>
      <w:r w:rsidR="00DD2434">
        <w:rPr>
          <w:rFonts w:cstheme="minorHAnsi"/>
        </w:rPr>
        <w:t>woman’s</w:t>
      </w:r>
      <w:r w:rsidR="005E0564">
        <w:rPr>
          <w:rFonts w:cstheme="minorHAnsi"/>
        </w:rPr>
        <w:t xml:space="preserve"> rol</w:t>
      </w:r>
      <w:r w:rsidR="000211AE">
        <w:rPr>
          <w:rFonts w:cstheme="minorHAnsi"/>
        </w:rPr>
        <w:t>e in Judaism was assigned by me</w:t>
      </w:r>
      <w:r w:rsidR="005E0564">
        <w:rPr>
          <w:rFonts w:cstheme="minorHAnsi"/>
        </w:rPr>
        <w:t xml:space="preserve">n. </w:t>
      </w:r>
      <w:r w:rsidR="005E0564">
        <w:rPr>
          <w:rStyle w:val="FootnoteReference"/>
          <w:rFonts w:cstheme="minorHAnsi"/>
        </w:rPr>
        <w:footnoteReference w:id="21"/>
      </w:r>
      <w:r w:rsidR="00E57D72">
        <w:rPr>
          <w:rFonts w:cstheme="minorHAnsi"/>
        </w:rPr>
        <w:t xml:space="preserve"> </w:t>
      </w:r>
      <w:r w:rsidR="000211AE">
        <w:rPr>
          <w:rFonts w:cstheme="minorHAnsi"/>
        </w:rPr>
        <w:t>For example, a</w:t>
      </w:r>
      <w:r w:rsidR="00E57D72">
        <w:rPr>
          <w:rFonts w:cstheme="minorHAnsi"/>
        </w:rPr>
        <w:t xml:space="preserve"> </w:t>
      </w:r>
      <w:r w:rsidR="003D3127">
        <w:rPr>
          <w:rFonts w:cstheme="minorHAnsi"/>
        </w:rPr>
        <w:t>woman’s</w:t>
      </w:r>
      <w:r w:rsidR="00E57D72">
        <w:rPr>
          <w:rFonts w:cstheme="minorHAnsi"/>
        </w:rPr>
        <w:t xml:space="preserve"> menstrual cycle juxtaposed with the ideology of impurity would have trouble fitting into </w:t>
      </w:r>
      <w:proofErr w:type="gramStart"/>
      <w:r w:rsidR="000211AE">
        <w:rPr>
          <w:rFonts w:cstheme="minorHAnsi"/>
        </w:rPr>
        <w:t>the majority of</w:t>
      </w:r>
      <w:proofErr w:type="gramEnd"/>
      <w:r w:rsidR="000211AE">
        <w:rPr>
          <w:rFonts w:cstheme="minorHAnsi"/>
        </w:rPr>
        <w:t xml:space="preserve"> </w:t>
      </w:r>
      <w:r w:rsidR="00E57D72">
        <w:rPr>
          <w:rFonts w:cstheme="minorHAnsi"/>
        </w:rPr>
        <w:t>Judaic society today</w:t>
      </w:r>
      <w:r w:rsidR="000211AE">
        <w:rPr>
          <w:rFonts w:cstheme="minorHAnsi"/>
        </w:rPr>
        <w:t>, and</w:t>
      </w:r>
      <w:r w:rsidR="00E57D72">
        <w:rPr>
          <w:rFonts w:cstheme="minorHAnsi"/>
        </w:rPr>
        <w:t xml:space="preserve"> also the ideology that a man could have a second wife purely </w:t>
      </w:r>
      <w:r w:rsidR="00734CC0">
        <w:rPr>
          <w:rFonts w:cstheme="minorHAnsi"/>
        </w:rPr>
        <w:t>since</w:t>
      </w:r>
      <w:r w:rsidR="00E57D72">
        <w:rPr>
          <w:rFonts w:cstheme="minorHAnsi"/>
        </w:rPr>
        <w:t xml:space="preserve"> his first wife remained barren for more </w:t>
      </w:r>
      <w:r w:rsidR="00E57D72" w:rsidRPr="00EE4986">
        <w:rPr>
          <w:rFonts w:cstheme="minorHAnsi"/>
        </w:rPr>
        <w:t xml:space="preserve">than 10 years would </w:t>
      </w:r>
      <w:r w:rsidR="000211AE" w:rsidRPr="00EE4986">
        <w:rPr>
          <w:rFonts w:cstheme="minorHAnsi"/>
        </w:rPr>
        <w:t>be unrealistic in</w:t>
      </w:r>
      <w:r w:rsidR="00E57D72" w:rsidRPr="00EE4986">
        <w:rPr>
          <w:rFonts w:cstheme="minorHAnsi"/>
        </w:rPr>
        <w:t xml:space="preserve"> </w:t>
      </w:r>
      <w:r w:rsidR="000211AE" w:rsidRPr="00EE4986">
        <w:rPr>
          <w:rFonts w:cstheme="minorHAnsi"/>
        </w:rPr>
        <w:t xml:space="preserve">the </w:t>
      </w:r>
      <w:r w:rsidR="00E57D72" w:rsidRPr="00EE4986">
        <w:rPr>
          <w:rFonts w:cstheme="minorHAnsi"/>
        </w:rPr>
        <w:t>21</w:t>
      </w:r>
      <w:r w:rsidR="00E57D72" w:rsidRPr="00EE4986">
        <w:rPr>
          <w:rFonts w:cstheme="minorHAnsi"/>
          <w:vertAlign w:val="superscript"/>
        </w:rPr>
        <w:t>st</w:t>
      </w:r>
      <w:r w:rsidR="00E57D72" w:rsidRPr="00EE4986">
        <w:rPr>
          <w:rFonts w:cstheme="minorHAnsi"/>
        </w:rPr>
        <w:t xml:space="preserve"> centur</w:t>
      </w:r>
      <w:r w:rsidR="000211AE" w:rsidRPr="00EE4986">
        <w:rPr>
          <w:rFonts w:cstheme="minorHAnsi"/>
        </w:rPr>
        <w:t>y</w:t>
      </w:r>
      <w:r w:rsidR="00E57D72" w:rsidRPr="00EE4986">
        <w:rPr>
          <w:rFonts w:cstheme="minorHAnsi"/>
        </w:rPr>
        <w:t>.</w:t>
      </w:r>
      <w:r w:rsidR="00992C82" w:rsidRPr="00EE4986">
        <w:rPr>
          <w:rFonts w:cstheme="minorHAnsi"/>
        </w:rPr>
        <w:t xml:space="preserve"> </w:t>
      </w:r>
      <w:r w:rsidR="0007627E">
        <w:rPr>
          <w:rFonts w:cstheme="minorHAnsi"/>
        </w:rPr>
        <w:t xml:space="preserve">Also, that women in the Mishnah are used as object for male gratification and they </w:t>
      </w:r>
      <w:r w:rsidR="00F5314F">
        <w:rPr>
          <w:rFonts w:cstheme="minorHAnsi"/>
        </w:rPr>
        <w:t>are described as</w:t>
      </w:r>
      <w:r w:rsidR="0007627E">
        <w:rPr>
          <w:rFonts w:cstheme="minorHAnsi"/>
        </w:rPr>
        <w:t xml:space="preserve"> owned by their male counterparts whether that be their father or their husbands as it states in </w:t>
      </w:r>
      <w:proofErr w:type="spellStart"/>
      <w:r w:rsidR="0007627E" w:rsidRPr="002C0AE1">
        <w:rPr>
          <w:rFonts w:cstheme="minorHAnsi"/>
          <w:i/>
        </w:rPr>
        <w:t>Ketubot</w:t>
      </w:r>
      <w:proofErr w:type="spellEnd"/>
      <w:r w:rsidR="0007627E">
        <w:rPr>
          <w:rFonts w:cstheme="minorHAnsi"/>
        </w:rPr>
        <w:t xml:space="preserve"> 4:5 of the Mishnah. </w:t>
      </w:r>
      <w:r w:rsidR="00992C82" w:rsidRPr="00EE4986">
        <w:rPr>
          <w:rFonts w:cstheme="minorHAnsi"/>
        </w:rPr>
        <w:t xml:space="preserve">However, the book of </w:t>
      </w:r>
      <w:proofErr w:type="spellStart"/>
      <w:r w:rsidR="00992C82" w:rsidRPr="00EE4986">
        <w:rPr>
          <w:rFonts w:cstheme="minorHAnsi"/>
          <w:i/>
        </w:rPr>
        <w:t>Nashim</w:t>
      </w:r>
      <w:proofErr w:type="spellEnd"/>
      <w:r w:rsidR="00992C82" w:rsidRPr="00EE4986">
        <w:rPr>
          <w:rFonts w:cstheme="minorHAnsi"/>
        </w:rPr>
        <w:t xml:space="preserve"> seems to contradict itself when portraying the role of women</w:t>
      </w:r>
      <w:r w:rsidR="000211AE" w:rsidRPr="00EE4986">
        <w:rPr>
          <w:rFonts w:cstheme="minorHAnsi"/>
        </w:rPr>
        <w:t>, and</w:t>
      </w:r>
      <w:r w:rsidR="00992C82" w:rsidRPr="00EE4986">
        <w:rPr>
          <w:rFonts w:cstheme="minorHAnsi"/>
        </w:rPr>
        <w:t xml:space="preserve"> </w:t>
      </w:r>
      <w:r w:rsidR="00D4163B" w:rsidRPr="00EE4986">
        <w:rPr>
          <w:rFonts w:cstheme="minorHAnsi"/>
        </w:rPr>
        <w:t>as a result, “</w:t>
      </w:r>
      <w:r w:rsidR="00992C82" w:rsidRPr="00EE4986">
        <w:rPr>
          <w:rFonts w:cstheme="minorHAnsi"/>
        </w:rPr>
        <w:t>the Mishnah appears to be inconsistent; sometimes women are treated as the property of men while at other times they are portrayed as persons with legal rights, duties, and powers.</w:t>
      </w:r>
      <w:r w:rsidR="00D4163B" w:rsidRPr="00EE4986">
        <w:rPr>
          <w:rFonts w:cstheme="minorHAnsi"/>
        </w:rPr>
        <w:t>”</w:t>
      </w:r>
      <w:r w:rsidR="00D4163B" w:rsidRPr="00EE4986">
        <w:rPr>
          <w:rStyle w:val="FootnoteReference"/>
          <w:rFonts w:cstheme="minorHAnsi"/>
        </w:rPr>
        <w:footnoteReference w:id="22"/>
      </w:r>
      <w:r w:rsidR="00023065" w:rsidRPr="00EE4986">
        <w:rPr>
          <w:rFonts w:cstheme="minorHAnsi"/>
        </w:rPr>
        <w:t xml:space="preserve"> Overall</w:t>
      </w:r>
      <w:r w:rsidR="006B5AFD" w:rsidRPr="00EE4986">
        <w:rPr>
          <w:rFonts w:cstheme="minorHAnsi"/>
        </w:rPr>
        <w:t xml:space="preserve">, </w:t>
      </w:r>
      <w:r w:rsidR="00023065" w:rsidRPr="00EE4986">
        <w:rPr>
          <w:rFonts w:cstheme="minorHAnsi"/>
        </w:rPr>
        <w:t xml:space="preserve">women are not </w:t>
      </w:r>
      <w:r w:rsidR="006B5AFD" w:rsidRPr="00EE4986">
        <w:rPr>
          <w:rFonts w:cstheme="minorHAnsi"/>
        </w:rPr>
        <w:t>given equal rights to their male counterparts as previously highlighted</w:t>
      </w:r>
      <w:r w:rsidR="00023065" w:rsidRPr="00EE4986">
        <w:rPr>
          <w:rFonts w:cstheme="minorHAnsi"/>
        </w:rPr>
        <w:t>,</w:t>
      </w:r>
      <w:r w:rsidR="006B5AFD" w:rsidRPr="00EE4986">
        <w:rPr>
          <w:rFonts w:cstheme="minorHAnsi"/>
        </w:rPr>
        <w:t xml:space="preserve"> </w:t>
      </w:r>
      <w:r w:rsidR="00023065" w:rsidRPr="00EE4986">
        <w:rPr>
          <w:rFonts w:cstheme="minorHAnsi"/>
        </w:rPr>
        <w:t xml:space="preserve">for example, </w:t>
      </w:r>
      <w:proofErr w:type="spellStart"/>
      <w:r w:rsidR="008B6E70" w:rsidRPr="00EE4986">
        <w:rPr>
          <w:rFonts w:cstheme="minorHAnsi"/>
          <w:i/>
        </w:rPr>
        <w:t>Ketubot</w:t>
      </w:r>
      <w:proofErr w:type="spellEnd"/>
      <w:r w:rsidR="008B6E70" w:rsidRPr="00EE4986">
        <w:rPr>
          <w:rFonts w:cstheme="minorHAnsi"/>
          <w:i/>
        </w:rPr>
        <w:t xml:space="preserve"> </w:t>
      </w:r>
      <w:r w:rsidR="008B6E70" w:rsidRPr="00EE4986">
        <w:rPr>
          <w:rFonts w:cstheme="minorHAnsi"/>
        </w:rPr>
        <w:t>5:7 outlines that each spouse incurs financial penalties for not fulfilling their matrimonial duty and t</w:t>
      </w:r>
      <w:r w:rsidR="00023065" w:rsidRPr="00EE4986">
        <w:rPr>
          <w:rFonts w:cstheme="minorHAnsi"/>
        </w:rPr>
        <w:t>he wife’s financial penalties were</w:t>
      </w:r>
      <w:r w:rsidR="008B6E70" w:rsidRPr="00EE4986">
        <w:rPr>
          <w:rFonts w:cstheme="minorHAnsi"/>
        </w:rPr>
        <w:t xml:space="preserve"> considerably higher than the husband</w:t>
      </w:r>
      <w:r w:rsidR="00023065" w:rsidRPr="00EE4986">
        <w:rPr>
          <w:rFonts w:cstheme="minorHAnsi"/>
        </w:rPr>
        <w:t>’</w:t>
      </w:r>
      <w:r w:rsidR="008B6E70" w:rsidRPr="00EE4986">
        <w:rPr>
          <w:rFonts w:cstheme="minorHAnsi"/>
        </w:rPr>
        <w:t>s.</w:t>
      </w:r>
      <w:r w:rsidR="008B6E70" w:rsidRPr="00EE4986">
        <w:rPr>
          <w:rFonts w:ascii="Helvetica" w:hAnsi="Helvetica"/>
          <w:sz w:val="20"/>
          <w:szCs w:val="20"/>
        </w:rPr>
        <w:t xml:space="preserve"> </w:t>
      </w:r>
    </w:p>
    <w:p w14:paraId="06FE0D21" w14:textId="77777777" w:rsidR="00D4163B" w:rsidRDefault="00D4163B" w:rsidP="00AE3FF1">
      <w:pPr>
        <w:spacing w:line="600" w:lineRule="auto"/>
        <w:rPr>
          <w:rFonts w:cstheme="minorHAnsi"/>
        </w:rPr>
      </w:pPr>
    </w:p>
    <w:p w14:paraId="73B6BCB3" w14:textId="127AE43D" w:rsidR="00B3197A" w:rsidRDefault="001C5A70" w:rsidP="00B3197A">
      <w:pPr>
        <w:spacing w:line="600" w:lineRule="auto"/>
      </w:pPr>
      <w:r>
        <w:rPr>
          <w:rFonts w:cstheme="minorHAnsi"/>
        </w:rPr>
        <w:lastRenderedPageBreak/>
        <w:t xml:space="preserve">To conclude, the Mishnah is a fundamentally important historical and current text as it helps to evaluate and understand the Jewish law code much more systematically. However, </w:t>
      </w:r>
      <w:r>
        <w:t>today some sections in the Mishnah would not be relevant</w:t>
      </w:r>
      <w:r w:rsidR="0038795C">
        <w:t>, and</w:t>
      </w:r>
      <w:r>
        <w:t xml:space="preserve"> many Jews would not solely rely on </w:t>
      </w:r>
      <w:r w:rsidR="00023065">
        <w:t>the Mishnah but study</w:t>
      </w:r>
      <w:r>
        <w:t xml:space="preserve"> </w:t>
      </w:r>
      <w:r w:rsidR="00023065">
        <w:t xml:space="preserve">both </w:t>
      </w:r>
      <w:r>
        <w:t xml:space="preserve">the Mishnah and the </w:t>
      </w:r>
      <w:proofErr w:type="spellStart"/>
      <w:r>
        <w:t>Gemara</w:t>
      </w:r>
      <w:proofErr w:type="spellEnd"/>
      <w:r>
        <w:t xml:space="preserve"> which make up what is known as the Talmud.</w:t>
      </w:r>
      <w:r>
        <w:rPr>
          <w:rStyle w:val="FootnoteReference"/>
        </w:rPr>
        <w:footnoteReference w:id="23"/>
      </w:r>
      <w:r>
        <w:t xml:space="preserve"> Thus, even though the </w:t>
      </w:r>
      <w:r w:rsidR="00023065">
        <w:t>Mishnah is a fascinating work some of it</w:t>
      </w:r>
      <w:r>
        <w:t xml:space="preserve"> is not applicable and is </w:t>
      </w:r>
      <w:r w:rsidRPr="00EE4986">
        <w:t>very distant in comparison to the external world today</w:t>
      </w:r>
      <w:r w:rsidR="00023065" w:rsidRPr="00EE4986">
        <w:t>,</w:t>
      </w:r>
      <w:r w:rsidRPr="00EE4986">
        <w:t xml:space="preserve"> and that may suggest why the “Palestinian Talmud only covers 39 and the Babylonian on cover 37 of the 63 tractates</w:t>
      </w:r>
      <w:r>
        <w:t xml:space="preserve"> in the Mishnah.”</w:t>
      </w:r>
      <w:r>
        <w:rPr>
          <w:rStyle w:val="FootnoteReference"/>
          <w:rFonts w:cstheme="minorHAnsi"/>
        </w:rPr>
        <w:footnoteReference w:id="24"/>
      </w:r>
      <w:r>
        <w:t xml:space="preserve"> Despite the vast amount of Rabbinic scholars who engaged with the Mishnah no Rabbinic scholars engaged with the literature on an all-inclusive basis because they only commented on limited tractates. However, the Mishnah was still the focal point and foundation of Jewish study </w:t>
      </w:r>
      <w:r w:rsidR="005E562C">
        <w:t>after the destruction of the temple,</w:t>
      </w:r>
      <w:r>
        <w:t xml:space="preserve"> because without the study of the Mishna</w:t>
      </w:r>
      <w:r w:rsidR="005E562C">
        <w:t>h</w:t>
      </w:r>
      <w:r>
        <w:t xml:space="preserve"> in </w:t>
      </w:r>
      <w:r w:rsidRPr="00D845BB">
        <w:t>Yavneh</w:t>
      </w:r>
      <w:r>
        <w:t xml:space="preserve"> and other academies at the time the Talmud would be non-existent.</w:t>
      </w:r>
    </w:p>
    <w:p w14:paraId="654538DF" w14:textId="77777777" w:rsidR="00B3197A" w:rsidRDefault="00B3197A" w:rsidP="00B3197A">
      <w:pPr>
        <w:spacing w:line="600" w:lineRule="auto"/>
        <w:rPr>
          <w:rFonts w:cstheme="minorHAnsi"/>
          <w:u w:val="single"/>
        </w:rPr>
      </w:pPr>
    </w:p>
    <w:p w14:paraId="4123AD94" w14:textId="77777777" w:rsidR="00B3197A" w:rsidRDefault="00B3197A" w:rsidP="00B3197A">
      <w:pPr>
        <w:spacing w:line="600" w:lineRule="auto"/>
        <w:rPr>
          <w:rFonts w:cstheme="minorHAnsi"/>
          <w:u w:val="single"/>
        </w:rPr>
      </w:pPr>
    </w:p>
    <w:p w14:paraId="3A7DB6A4" w14:textId="77777777" w:rsidR="00B3197A" w:rsidRDefault="00B3197A" w:rsidP="00B3197A">
      <w:pPr>
        <w:spacing w:line="600" w:lineRule="auto"/>
        <w:rPr>
          <w:rFonts w:cstheme="minorHAnsi"/>
          <w:u w:val="single"/>
        </w:rPr>
      </w:pPr>
      <w:bookmarkStart w:id="0" w:name="_GoBack"/>
      <w:bookmarkEnd w:id="0"/>
    </w:p>
    <w:p w14:paraId="575F8958" w14:textId="77777777" w:rsidR="002C0AE1" w:rsidRDefault="002C0AE1" w:rsidP="00B3197A">
      <w:pPr>
        <w:spacing w:line="600" w:lineRule="auto"/>
        <w:jc w:val="center"/>
        <w:rPr>
          <w:rFonts w:cstheme="minorHAnsi"/>
          <w:u w:val="single"/>
        </w:rPr>
      </w:pPr>
    </w:p>
    <w:p w14:paraId="300CE1D9" w14:textId="77777777" w:rsidR="00F5314F" w:rsidRDefault="00F5314F" w:rsidP="00B3197A">
      <w:pPr>
        <w:spacing w:line="600" w:lineRule="auto"/>
        <w:jc w:val="center"/>
        <w:rPr>
          <w:rFonts w:cstheme="minorHAnsi"/>
          <w:u w:val="single"/>
        </w:rPr>
      </w:pPr>
    </w:p>
    <w:p w14:paraId="61296982" w14:textId="7705AEB9" w:rsidR="00FD4683" w:rsidRDefault="00FD4683" w:rsidP="00B3197A">
      <w:pPr>
        <w:spacing w:line="600" w:lineRule="auto"/>
        <w:jc w:val="center"/>
        <w:rPr>
          <w:rFonts w:cstheme="minorHAnsi"/>
          <w:u w:val="single"/>
        </w:rPr>
      </w:pPr>
      <w:r w:rsidRPr="004447F4">
        <w:rPr>
          <w:rFonts w:cstheme="minorHAnsi"/>
          <w:u w:val="single"/>
        </w:rPr>
        <w:lastRenderedPageBreak/>
        <w:t>Bibliography</w:t>
      </w:r>
    </w:p>
    <w:p w14:paraId="7CA15A67" w14:textId="4ED4D02E" w:rsidR="008E46A0" w:rsidRDefault="008E46A0" w:rsidP="008E46A0">
      <w:pPr>
        <w:spacing w:line="720" w:lineRule="auto"/>
        <w:rPr>
          <w:rFonts w:cstheme="minorHAnsi"/>
          <w:color w:val="000000"/>
          <w:shd w:val="clear" w:color="auto" w:fill="FFFFFF"/>
        </w:rPr>
      </w:pPr>
      <w:proofErr w:type="spellStart"/>
      <w:r>
        <w:rPr>
          <w:rFonts w:cstheme="minorHAnsi"/>
          <w:color w:val="000000"/>
          <w:shd w:val="clear" w:color="auto" w:fill="FFFFFF"/>
        </w:rPr>
        <w:t>Arnoff</w:t>
      </w:r>
      <w:proofErr w:type="spellEnd"/>
      <w:r>
        <w:rPr>
          <w:rFonts w:cstheme="minorHAnsi"/>
          <w:color w:val="000000"/>
          <w:shd w:val="clear" w:color="auto" w:fill="FFFFFF"/>
        </w:rPr>
        <w:t xml:space="preserve"> H Stephen, </w:t>
      </w:r>
      <w:r w:rsidRPr="009F40CB">
        <w:rPr>
          <w:rFonts w:cstheme="minorHAnsi"/>
          <w:i/>
          <w:color w:val="000000"/>
          <w:shd w:val="clear" w:color="auto" w:fill="FFFFFF"/>
        </w:rPr>
        <w:t xml:space="preserve">Seder </w:t>
      </w:r>
      <w:proofErr w:type="spellStart"/>
      <w:r w:rsidRPr="009F40CB">
        <w:rPr>
          <w:rFonts w:cstheme="minorHAnsi"/>
          <w:i/>
          <w:color w:val="000000"/>
          <w:shd w:val="clear" w:color="auto" w:fill="FFFFFF"/>
        </w:rPr>
        <w:t>Nashim</w:t>
      </w:r>
      <w:proofErr w:type="spellEnd"/>
      <w:r w:rsidRPr="009F40CB">
        <w:rPr>
          <w:rFonts w:cstheme="minorHAnsi"/>
          <w:i/>
          <w:color w:val="000000"/>
          <w:shd w:val="clear" w:color="auto" w:fill="FFFFFF"/>
        </w:rPr>
        <w:t xml:space="preserve"> (Women)</w:t>
      </w:r>
      <w:r>
        <w:rPr>
          <w:rFonts w:cstheme="minorHAnsi"/>
          <w:i/>
          <w:color w:val="000000"/>
          <w:shd w:val="clear" w:color="auto" w:fill="FFFFFF"/>
        </w:rPr>
        <w:t xml:space="preserve"> </w:t>
      </w:r>
      <w:r>
        <w:rPr>
          <w:rFonts w:cstheme="minorHAnsi"/>
          <w:color w:val="000000"/>
          <w:shd w:val="clear" w:color="auto" w:fill="FFFFFF"/>
        </w:rPr>
        <w:t xml:space="preserve">(2018) </w:t>
      </w:r>
      <w:r w:rsidRPr="004447F4">
        <w:rPr>
          <w:rFonts w:cstheme="minorHAnsi"/>
          <w:color w:val="000000"/>
          <w:shd w:val="clear" w:color="auto" w:fill="FFFFFF"/>
        </w:rPr>
        <w:t>&lt;</w:t>
      </w:r>
      <w:r>
        <w:rPr>
          <w:rFonts w:cstheme="minorHAnsi"/>
          <w:color w:val="000000"/>
          <w:shd w:val="clear" w:color="auto" w:fill="FFFFFF"/>
        </w:rPr>
        <w:t xml:space="preserve"> </w:t>
      </w:r>
      <w:r w:rsidRPr="009F40CB">
        <w:rPr>
          <w:rFonts w:cstheme="minorHAnsi"/>
          <w:color w:val="000000"/>
          <w:shd w:val="clear" w:color="auto" w:fill="FFFFFF"/>
        </w:rPr>
        <w:t>https://www.myjewishlearning.com/article/seder-nashim-women/</w:t>
      </w:r>
      <w:r>
        <w:rPr>
          <w:rFonts w:cstheme="minorHAnsi"/>
          <w:color w:val="000000"/>
          <w:shd w:val="clear" w:color="auto" w:fill="FFFFFF"/>
        </w:rPr>
        <w:t xml:space="preserve"> </w:t>
      </w:r>
      <w:r w:rsidRPr="004447F4">
        <w:rPr>
          <w:rFonts w:cstheme="minorHAnsi"/>
          <w:color w:val="000000"/>
          <w:shd w:val="clear" w:color="auto" w:fill="FFFFFF"/>
        </w:rPr>
        <w:t>&gt; [accessed 26 September 2018].</w:t>
      </w:r>
    </w:p>
    <w:p w14:paraId="3E652E29" w14:textId="106E33D1" w:rsidR="001360BD" w:rsidRDefault="008E46A0" w:rsidP="008E46A0">
      <w:pPr>
        <w:spacing w:line="720" w:lineRule="auto"/>
        <w:rPr>
          <w:i/>
          <w:iCs/>
          <w:color w:val="000000"/>
          <w:shd w:val="clear" w:color="auto" w:fill="FFFFFF"/>
        </w:rPr>
      </w:pPr>
      <w:r w:rsidRPr="00831280">
        <w:rPr>
          <w:color w:val="000000"/>
          <w:shd w:val="clear" w:color="auto" w:fill="FFFFFF"/>
        </w:rPr>
        <w:t>Baskin, Judith R, 'Chattel or Person: The Status of Women in the Mishnah', </w:t>
      </w:r>
      <w:r w:rsidRPr="00831280">
        <w:rPr>
          <w:i/>
          <w:iCs/>
          <w:color w:val="000000"/>
          <w:shd w:val="clear" w:color="auto" w:fill="FFFFFF"/>
        </w:rPr>
        <w:t>Book review</w:t>
      </w:r>
      <w:r w:rsidRPr="00831280">
        <w:rPr>
          <w:color w:val="000000"/>
          <w:shd w:val="clear" w:color="auto" w:fill="FFFFFF"/>
        </w:rPr>
        <w:t>, 42.4, (1988), 1, in </w:t>
      </w:r>
      <w:r w:rsidRPr="00831280">
        <w:rPr>
          <w:i/>
          <w:iCs/>
          <w:color w:val="000000"/>
          <w:shd w:val="clear" w:color="auto" w:fill="FFFFFF"/>
        </w:rPr>
        <w:t>ATLA Religion Database with ATLASerials &lt;https://web-b-ebscohost-com.ezproxy.uwtsd.ac.uk/ehost/detail/detail?vid=5&amp;sid=a2f47424-4f46-4fab-b29b-9ecd9243e03e%40sessionmgr102&amp;bdata=JnNpdGU9ZWhvc3QtbGl2ZQ%3d%3d#AN=ATLA0000645384&amp;db=rfh&gt; [accessed 28 September 2018]</w:t>
      </w:r>
      <w:r>
        <w:rPr>
          <w:i/>
          <w:iCs/>
          <w:color w:val="000000"/>
          <w:shd w:val="clear" w:color="auto" w:fill="FFFFFF"/>
        </w:rPr>
        <w:t>.</w:t>
      </w:r>
    </w:p>
    <w:p w14:paraId="6EC69816" w14:textId="289A30AC" w:rsidR="00A355E8" w:rsidRPr="00A355E8" w:rsidRDefault="00A355E8" w:rsidP="008E46A0">
      <w:pPr>
        <w:spacing w:line="720" w:lineRule="auto"/>
        <w:rPr>
          <w:i/>
          <w:iCs/>
          <w:color w:val="000000"/>
          <w:shd w:val="clear" w:color="auto" w:fill="FFFFFF"/>
        </w:rPr>
      </w:pPr>
      <w:r w:rsidRPr="00A355E8">
        <w:t xml:space="preserve">J.R. Baskin. </w:t>
      </w:r>
      <w:r w:rsidRPr="00A355E8">
        <w:rPr>
          <w:i/>
        </w:rPr>
        <w:t xml:space="preserve">Jewish women in historical perspective, </w:t>
      </w:r>
      <w:r w:rsidRPr="00A355E8">
        <w:t>(Detroit: Wayne State University Press</w:t>
      </w:r>
      <w:r>
        <w:t>, 1991</w:t>
      </w:r>
      <w:r w:rsidRPr="00A355E8">
        <w:t>)</w:t>
      </w:r>
      <w:r>
        <w:t>.</w:t>
      </w:r>
    </w:p>
    <w:p w14:paraId="0311D31F" w14:textId="0EF94FC7" w:rsidR="00A355E8" w:rsidRPr="00A355E8" w:rsidRDefault="00A355E8" w:rsidP="008E46A0">
      <w:pPr>
        <w:spacing w:line="720" w:lineRule="auto"/>
        <w:rPr>
          <w:i/>
          <w:iCs/>
          <w:color w:val="000000"/>
          <w:shd w:val="clear" w:color="auto" w:fill="FFFFFF"/>
        </w:rPr>
      </w:pPr>
      <w:r w:rsidRPr="00A355E8">
        <w:t xml:space="preserve"> Hoffman C.M, </w:t>
      </w:r>
      <w:r w:rsidRPr="00A355E8">
        <w:rPr>
          <w:i/>
        </w:rPr>
        <w:t xml:space="preserve">Judaism: an introduction. </w:t>
      </w:r>
      <w:r w:rsidRPr="00A355E8">
        <w:t>(London: Teach yourself, 2010)</w:t>
      </w:r>
    </w:p>
    <w:p w14:paraId="6BAEE70E" w14:textId="5ADB303B" w:rsidR="001360BD" w:rsidRPr="001360BD" w:rsidRDefault="001360BD" w:rsidP="008E46A0">
      <w:pPr>
        <w:spacing w:line="720" w:lineRule="auto"/>
        <w:rPr>
          <w:i/>
          <w:iCs/>
          <w:color w:val="000000"/>
          <w:shd w:val="clear" w:color="auto" w:fill="FFFFFF"/>
        </w:rPr>
      </w:pPr>
      <w:proofErr w:type="spellStart"/>
      <w:r w:rsidRPr="001360BD">
        <w:rPr>
          <w:rFonts w:cstheme="minorHAnsi"/>
        </w:rPr>
        <w:t>Neusner</w:t>
      </w:r>
      <w:proofErr w:type="spellEnd"/>
      <w:r w:rsidRPr="001360BD">
        <w:rPr>
          <w:rFonts w:cstheme="minorHAnsi"/>
        </w:rPr>
        <w:t xml:space="preserve">. </w:t>
      </w:r>
      <w:r w:rsidR="00A355E8" w:rsidRPr="001360BD">
        <w:rPr>
          <w:rFonts w:cstheme="minorHAnsi"/>
        </w:rPr>
        <w:t>J</w:t>
      </w:r>
      <w:r w:rsidR="00A355E8">
        <w:rPr>
          <w:rFonts w:cstheme="minorHAnsi"/>
        </w:rPr>
        <w:t>acob</w:t>
      </w:r>
      <w:r w:rsidR="00A355E8" w:rsidRPr="00A355E8">
        <w:rPr>
          <w:rFonts w:cstheme="minorHAnsi"/>
          <w:i/>
        </w:rPr>
        <w:t xml:space="preserve"> Approaches</w:t>
      </w:r>
      <w:r w:rsidRPr="00A355E8">
        <w:rPr>
          <w:rFonts w:cstheme="minorHAnsi"/>
          <w:i/>
        </w:rPr>
        <w:t xml:space="preserve"> to Ancient Judaism</w:t>
      </w:r>
      <w:r w:rsidRPr="001360BD">
        <w:rPr>
          <w:rFonts w:cstheme="minorHAnsi"/>
        </w:rPr>
        <w:t>, (Atlanta: Scholars press, 1999).</w:t>
      </w:r>
    </w:p>
    <w:p w14:paraId="662F51FE" w14:textId="4E563DD1" w:rsidR="00F4372C" w:rsidRDefault="00F4372C" w:rsidP="00F4372C">
      <w:pPr>
        <w:spacing w:line="720" w:lineRule="auto"/>
        <w:rPr>
          <w:rFonts w:cstheme="minorHAnsi"/>
        </w:rPr>
      </w:pPr>
      <w:proofErr w:type="spellStart"/>
      <w:r w:rsidRPr="004447F4">
        <w:rPr>
          <w:rFonts w:cstheme="minorHAnsi"/>
        </w:rPr>
        <w:t>Neusner</w:t>
      </w:r>
      <w:proofErr w:type="spellEnd"/>
      <w:r w:rsidRPr="004447F4">
        <w:rPr>
          <w:rFonts w:cstheme="minorHAnsi"/>
        </w:rPr>
        <w:t>, J</w:t>
      </w:r>
      <w:r w:rsidR="001360BD">
        <w:rPr>
          <w:rFonts w:cstheme="minorHAnsi"/>
        </w:rPr>
        <w:t>acob</w:t>
      </w:r>
      <w:r w:rsidRPr="004447F4">
        <w:rPr>
          <w:rFonts w:cstheme="minorHAnsi"/>
        </w:rPr>
        <w:t xml:space="preserve">, </w:t>
      </w:r>
      <w:r w:rsidRPr="005E562C">
        <w:rPr>
          <w:rFonts w:cstheme="minorHAnsi"/>
          <w:i/>
        </w:rPr>
        <w:t>Judaism: the basics</w:t>
      </w:r>
      <w:r w:rsidRPr="004447F4">
        <w:rPr>
          <w:rFonts w:cstheme="minorHAnsi"/>
        </w:rPr>
        <w:t xml:space="preserve"> (London and New York: Routledge, 2006).</w:t>
      </w:r>
    </w:p>
    <w:p w14:paraId="7F30EB20" w14:textId="7234909C" w:rsidR="00FD4683" w:rsidRDefault="00F4372C" w:rsidP="00F4372C">
      <w:pPr>
        <w:spacing w:line="720" w:lineRule="auto"/>
        <w:rPr>
          <w:rFonts w:cstheme="minorHAnsi"/>
        </w:rPr>
      </w:pPr>
      <w:proofErr w:type="spellStart"/>
      <w:r>
        <w:rPr>
          <w:rFonts w:cstheme="minorHAnsi"/>
        </w:rPr>
        <w:t>Neusner</w:t>
      </w:r>
      <w:proofErr w:type="spellEnd"/>
      <w:r>
        <w:rPr>
          <w:rFonts w:cstheme="minorHAnsi"/>
        </w:rPr>
        <w:t xml:space="preserve"> Jacob, </w:t>
      </w:r>
      <w:r w:rsidRPr="004A553F">
        <w:rPr>
          <w:rFonts w:cstheme="minorHAnsi"/>
          <w:i/>
        </w:rPr>
        <w:t>The Mishnah: A New Translation</w:t>
      </w:r>
      <w:r>
        <w:rPr>
          <w:rFonts w:cstheme="minorHAnsi"/>
          <w:i/>
        </w:rPr>
        <w:t xml:space="preserve">. </w:t>
      </w:r>
      <w:r>
        <w:rPr>
          <w:rFonts w:cstheme="minorHAnsi"/>
        </w:rPr>
        <w:t>(London: Yale University Press, 1988).</w:t>
      </w:r>
    </w:p>
    <w:p w14:paraId="659CA5B5" w14:textId="2B6D2C05" w:rsidR="001360BD" w:rsidRDefault="001360BD" w:rsidP="00F4372C">
      <w:pPr>
        <w:spacing w:line="720" w:lineRule="auto"/>
      </w:pPr>
      <w:proofErr w:type="spellStart"/>
      <w:r w:rsidRPr="00A355E8">
        <w:t>Neusner</w:t>
      </w:r>
      <w:proofErr w:type="spellEnd"/>
      <w:r w:rsidRPr="00A355E8">
        <w:t xml:space="preserve"> Jacob, </w:t>
      </w:r>
      <w:r w:rsidRPr="00A355E8">
        <w:rPr>
          <w:i/>
          <w:iCs/>
        </w:rPr>
        <w:t>Rabbinic Judaism’s Generative Logic</w:t>
      </w:r>
      <w:r w:rsidRPr="00A355E8">
        <w:t>, (Binghamton, N.Y.: Global publications, 2002).</w:t>
      </w:r>
    </w:p>
    <w:p w14:paraId="7970662B" w14:textId="77777777" w:rsidR="005C3ED1" w:rsidRPr="004447F4" w:rsidRDefault="005C3ED1" w:rsidP="005C3ED1">
      <w:pPr>
        <w:spacing w:line="720" w:lineRule="auto"/>
        <w:rPr>
          <w:rFonts w:cstheme="minorHAnsi"/>
        </w:rPr>
      </w:pPr>
      <w:r w:rsidRPr="004447F4">
        <w:rPr>
          <w:rFonts w:cstheme="minorHAnsi"/>
        </w:rPr>
        <w:t xml:space="preserve">Robinson George, </w:t>
      </w:r>
      <w:r w:rsidRPr="004447F4">
        <w:rPr>
          <w:rFonts w:cstheme="minorHAnsi"/>
          <w:i/>
        </w:rPr>
        <w:t>Essential Judaism: A Complete Guide to Beliefs Customs &amp; Rituals</w:t>
      </w:r>
      <w:r w:rsidRPr="004447F4">
        <w:rPr>
          <w:rFonts w:cstheme="minorHAnsi"/>
        </w:rPr>
        <w:t>.  (New York: ATRIA books, 2000), p 328-338.</w:t>
      </w:r>
    </w:p>
    <w:p w14:paraId="680C673F" w14:textId="77777777" w:rsidR="005C3ED1" w:rsidRDefault="005C3ED1" w:rsidP="005C3ED1">
      <w:pPr>
        <w:spacing w:line="720" w:lineRule="auto"/>
        <w:rPr>
          <w:rFonts w:cstheme="minorHAnsi"/>
          <w:color w:val="000000"/>
          <w:shd w:val="clear" w:color="auto" w:fill="FFFFFF"/>
        </w:rPr>
      </w:pPr>
      <w:proofErr w:type="spellStart"/>
      <w:r w:rsidRPr="004447F4">
        <w:rPr>
          <w:rFonts w:cstheme="minorHAnsi"/>
          <w:color w:val="000000"/>
          <w:shd w:val="clear" w:color="auto" w:fill="FFFFFF"/>
        </w:rPr>
        <w:lastRenderedPageBreak/>
        <w:t>Rofes</w:t>
      </w:r>
      <w:proofErr w:type="spellEnd"/>
      <w:r w:rsidRPr="004447F4">
        <w:rPr>
          <w:rFonts w:cstheme="minorHAnsi"/>
          <w:color w:val="000000"/>
          <w:shd w:val="clear" w:color="auto" w:fill="FFFFFF"/>
        </w:rPr>
        <w:t xml:space="preserve"> Lex, </w:t>
      </w:r>
      <w:r w:rsidRPr="004447F4">
        <w:rPr>
          <w:rFonts w:cstheme="minorHAnsi"/>
          <w:i/>
          <w:iCs/>
          <w:color w:val="000000"/>
          <w:shd w:val="clear" w:color="auto" w:fill="FFFFFF"/>
        </w:rPr>
        <w:t xml:space="preserve">Why </w:t>
      </w:r>
      <w:proofErr w:type="gramStart"/>
      <w:r w:rsidRPr="004447F4">
        <w:rPr>
          <w:rFonts w:cstheme="minorHAnsi"/>
          <w:i/>
          <w:iCs/>
          <w:color w:val="000000"/>
          <w:shd w:val="clear" w:color="auto" w:fill="FFFFFF"/>
        </w:rPr>
        <w:t>The</w:t>
      </w:r>
      <w:proofErr w:type="gramEnd"/>
      <w:r w:rsidRPr="004447F4">
        <w:rPr>
          <w:rFonts w:cstheme="minorHAnsi"/>
          <w:i/>
          <w:iCs/>
          <w:color w:val="000000"/>
          <w:shd w:val="clear" w:color="auto" w:fill="FFFFFF"/>
        </w:rPr>
        <w:t xml:space="preserve"> Mishnah Is the Best Jewish Book You’ve Never Read</w:t>
      </w:r>
      <w:r w:rsidRPr="004447F4">
        <w:rPr>
          <w:rFonts w:cstheme="minorHAnsi"/>
          <w:color w:val="000000"/>
          <w:shd w:val="clear" w:color="auto" w:fill="FFFFFF"/>
        </w:rPr>
        <w:t> (2018) &lt; https://www.myjewishlearning.com/article/why-the-mishnah-is-the-best-jewish-book-youve-never-read/ &gt; [accessed 26 September 2018].</w:t>
      </w:r>
    </w:p>
    <w:p w14:paraId="012F8AEA" w14:textId="42C266B6" w:rsidR="00FD4683" w:rsidRDefault="00FD4683" w:rsidP="005E562C">
      <w:pPr>
        <w:spacing w:line="720" w:lineRule="auto"/>
        <w:rPr>
          <w:rFonts w:cstheme="minorHAnsi"/>
        </w:rPr>
      </w:pPr>
      <w:r w:rsidRPr="004447F4">
        <w:rPr>
          <w:rFonts w:cstheme="minorHAnsi"/>
        </w:rPr>
        <w:t xml:space="preserve">Segal, E., </w:t>
      </w:r>
      <w:r w:rsidRPr="004447F4">
        <w:rPr>
          <w:rFonts w:cstheme="minorHAnsi"/>
          <w:i/>
        </w:rPr>
        <w:t>Introducing Judaism</w:t>
      </w:r>
      <w:r w:rsidRPr="004447F4">
        <w:rPr>
          <w:rFonts w:cstheme="minorHAnsi"/>
        </w:rPr>
        <w:t xml:space="preserve"> (London: Routledge, 2009), chapter. 3</w:t>
      </w:r>
    </w:p>
    <w:p w14:paraId="342739C3" w14:textId="04E0F37C" w:rsidR="00F4372C" w:rsidRDefault="005D44E6" w:rsidP="005E562C">
      <w:pPr>
        <w:spacing w:line="720" w:lineRule="auto"/>
        <w:rPr>
          <w:rFonts w:cstheme="minorHAnsi"/>
        </w:rPr>
      </w:pPr>
      <w:r>
        <w:rPr>
          <w:rFonts w:cstheme="minorHAnsi"/>
        </w:rPr>
        <w:t xml:space="preserve">Solomon, </w:t>
      </w:r>
      <w:r w:rsidR="008255DD">
        <w:rPr>
          <w:rFonts w:cstheme="minorHAnsi"/>
        </w:rPr>
        <w:t xml:space="preserve">N. </w:t>
      </w:r>
      <w:r w:rsidR="00703E5B" w:rsidRPr="004A553F">
        <w:rPr>
          <w:rFonts w:cstheme="minorHAnsi"/>
          <w:i/>
        </w:rPr>
        <w:t xml:space="preserve">Judaism and world religion. </w:t>
      </w:r>
      <w:r w:rsidR="00703E5B">
        <w:rPr>
          <w:rFonts w:cstheme="minorHAnsi"/>
        </w:rPr>
        <w:t>(New York: St. Martin’s Press, 1991)</w:t>
      </w:r>
    </w:p>
    <w:p w14:paraId="416951FB" w14:textId="007ADF9B" w:rsidR="00F4372C" w:rsidRDefault="008255DD" w:rsidP="005E562C">
      <w:pPr>
        <w:spacing w:line="720" w:lineRule="auto"/>
        <w:rPr>
          <w:rFonts w:cstheme="minorHAnsi"/>
        </w:rPr>
      </w:pPr>
      <w:proofErr w:type="spellStart"/>
      <w:r>
        <w:rPr>
          <w:rFonts w:cstheme="minorHAnsi"/>
        </w:rPr>
        <w:t>Schama</w:t>
      </w:r>
      <w:proofErr w:type="spellEnd"/>
      <w:r>
        <w:rPr>
          <w:rFonts w:cstheme="minorHAnsi"/>
        </w:rPr>
        <w:t xml:space="preserve">, S. </w:t>
      </w:r>
      <w:r w:rsidR="004447F4" w:rsidRPr="008255DD">
        <w:rPr>
          <w:rFonts w:cstheme="minorHAnsi"/>
          <w:i/>
        </w:rPr>
        <w:t>The Story of the Jews</w:t>
      </w:r>
      <w:r>
        <w:rPr>
          <w:rFonts w:cstheme="minorHAnsi"/>
        </w:rPr>
        <w:t xml:space="preserve">, </w:t>
      </w:r>
      <w:r w:rsidR="004447F4">
        <w:rPr>
          <w:rFonts w:cstheme="minorHAnsi"/>
        </w:rPr>
        <w:t>(BBC</w:t>
      </w:r>
      <w:r w:rsidR="001A7CC8">
        <w:rPr>
          <w:rFonts w:cstheme="minorHAnsi"/>
        </w:rPr>
        <w:t xml:space="preserve"> </w:t>
      </w:r>
      <w:r w:rsidR="004447F4">
        <w:rPr>
          <w:rFonts w:cstheme="minorHAnsi"/>
        </w:rPr>
        <w:t>2</w:t>
      </w:r>
      <w:r w:rsidR="001A7CC8">
        <w:rPr>
          <w:rFonts w:cstheme="minorHAnsi"/>
        </w:rPr>
        <w:t xml:space="preserve">, 2013). </w:t>
      </w:r>
      <w:r>
        <w:rPr>
          <w:rFonts w:cstheme="minorHAnsi"/>
        </w:rPr>
        <w:t xml:space="preserve">Episode 2. </w:t>
      </w:r>
    </w:p>
    <w:p w14:paraId="45D6C203" w14:textId="1C0D0E77" w:rsidR="00670FB1" w:rsidRDefault="00670FB1" w:rsidP="005E562C">
      <w:pPr>
        <w:spacing w:line="720" w:lineRule="auto"/>
        <w:rPr>
          <w:iCs/>
          <w:color w:val="000000"/>
          <w:shd w:val="clear" w:color="auto" w:fill="FFFFFF"/>
        </w:rPr>
      </w:pPr>
      <w:r>
        <w:rPr>
          <w:iCs/>
          <w:color w:val="000000"/>
          <w:shd w:val="clear" w:color="auto" w:fill="FFFFFF"/>
        </w:rPr>
        <w:t xml:space="preserve">Wegner Judith Romney, </w:t>
      </w:r>
      <w:r w:rsidRPr="00670FB1">
        <w:rPr>
          <w:i/>
          <w:iCs/>
          <w:color w:val="000000"/>
          <w:shd w:val="clear" w:color="auto" w:fill="FFFFFF"/>
        </w:rPr>
        <w:t xml:space="preserve">Chattel or </w:t>
      </w:r>
      <w:proofErr w:type="gramStart"/>
      <w:r w:rsidRPr="00670FB1">
        <w:rPr>
          <w:i/>
          <w:iCs/>
          <w:color w:val="000000"/>
          <w:shd w:val="clear" w:color="auto" w:fill="FFFFFF"/>
        </w:rPr>
        <w:t>person?:</w:t>
      </w:r>
      <w:proofErr w:type="gramEnd"/>
      <w:r w:rsidRPr="00670FB1">
        <w:rPr>
          <w:i/>
          <w:iCs/>
          <w:color w:val="000000"/>
          <w:shd w:val="clear" w:color="auto" w:fill="FFFFFF"/>
        </w:rPr>
        <w:t xml:space="preserve"> The status of women in the Mishnah.</w:t>
      </w:r>
      <w:r>
        <w:rPr>
          <w:i/>
          <w:iCs/>
          <w:color w:val="000000"/>
          <w:shd w:val="clear" w:color="auto" w:fill="FFFFFF"/>
        </w:rPr>
        <w:t xml:space="preserve"> </w:t>
      </w:r>
      <w:r>
        <w:rPr>
          <w:iCs/>
          <w:color w:val="000000"/>
          <w:shd w:val="clear" w:color="auto" w:fill="FFFFFF"/>
        </w:rPr>
        <w:t>(London: Oxford University, 1980).</w:t>
      </w:r>
    </w:p>
    <w:p w14:paraId="3BF0BE54" w14:textId="77777777" w:rsidR="0050251A" w:rsidRPr="00670FB1" w:rsidRDefault="0050251A" w:rsidP="005E562C">
      <w:pPr>
        <w:spacing w:line="720" w:lineRule="auto"/>
        <w:rPr>
          <w:iCs/>
          <w:color w:val="000000"/>
          <w:shd w:val="clear" w:color="auto" w:fill="FFFFFF"/>
        </w:rPr>
      </w:pPr>
    </w:p>
    <w:p w14:paraId="4A10FFBD" w14:textId="77777777" w:rsidR="009C53AD" w:rsidRPr="00831280" w:rsidRDefault="009C53AD" w:rsidP="005E562C">
      <w:pPr>
        <w:spacing w:line="720" w:lineRule="auto"/>
        <w:rPr>
          <w:rFonts w:cstheme="minorHAnsi"/>
        </w:rPr>
      </w:pPr>
    </w:p>
    <w:sectPr w:rsidR="009C53AD" w:rsidRPr="0083128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95FFD6" w14:textId="77777777" w:rsidR="00664F93" w:rsidRDefault="00664F93" w:rsidP="00FD4683">
      <w:pPr>
        <w:spacing w:after="0" w:line="240" w:lineRule="auto"/>
      </w:pPr>
      <w:r>
        <w:separator/>
      </w:r>
    </w:p>
  </w:endnote>
  <w:endnote w:type="continuationSeparator" w:id="0">
    <w:p w14:paraId="448C8E39" w14:textId="77777777" w:rsidR="00664F93" w:rsidRDefault="00664F93" w:rsidP="00FD46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9ADBB0" w14:textId="77777777" w:rsidR="00664F93" w:rsidRDefault="00664F93" w:rsidP="00FD4683">
      <w:pPr>
        <w:spacing w:after="0" w:line="240" w:lineRule="auto"/>
      </w:pPr>
      <w:r>
        <w:separator/>
      </w:r>
    </w:p>
  </w:footnote>
  <w:footnote w:type="continuationSeparator" w:id="0">
    <w:p w14:paraId="4181CA5B" w14:textId="77777777" w:rsidR="00664F93" w:rsidRDefault="00664F93" w:rsidP="00FD4683">
      <w:pPr>
        <w:spacing w:after="0" w:line="240" w:lineRule="auto"/>
      </w:pPr>
      <w:r>
        <w:continuationSeparator/>
      </w:r>
    </w:p>
  </w:footnote>
  <w:footnote w:id="1">
    <w:p w14:paraId="6DEA393B" w14:textId="181E5389" w:rsidR="00FD4683" w:rsidRPr="0050251A" w:rsidRDefault="00FD4683" w:rsidP="0050251A">
      <w:pPr>
        <w:spacing w:line="240" w:lineRule="auto"/>
        <w:rPr>
          <w:rFonts w:cstheme="minorHAnsi"/>
          <w:sz w:val="16"/>
          <w:szCs w:val="16"/>
        </w:rPr>
      </w:pPr>
      <w:r w:rsidRPr="0050251A">
        <w:rPr>
          <w:rStyle w:val="FootnoteReference"/>
          <w:sz w:val="16"/>
          <w:szCs w:val="16"/>
        </w:rPr>
        <w:footnoteRef/>
      </w:r>
      <w:r w:rsidRPr="0050251A">
        <w:rPr>
          <w:sz w:val="16"/>
          <w:szCs w:val="16"/>
        </w:rPr>
        <w:t xml:space="preserve"> </w:t>
      </w:r>
      <w:r w:rsidR="0050251A" w:rsidRPr="0050251A">
        <w:rPr>
          <w:rFonts w:cstheme="minorHAnsi"/>
          <w:sz w:val="16"/>
          <w:szCs w:val="16"/>
        </w:rPr>
        <w:t xml:space="preserve">J, </w:t>
      </w:r>
      <w:proofErr w:type="spellStart"/>
      <w:r w:rsidR="0050251A" w:rsidRPr="0050251A">
        <w:rPr>
          <w:rFonts w:cstheme="minorHAnsi"/>
          <w:sz w:val="16"/>
          <w:szCs w:val="16"/>
        </w:rPr>
        <w:t>Neusner</w:t>
      </w:r>
      <w:proofErr w:type="spellEnd"/>
      <w:r w:rsidR="0050251A" w:rsidRPr="0050251A">
        <w:rPr>
          <w:rFonts w:cstheme="minorHAnsi"/>
          <w:sz w:val="16"/>
          <w:szCs w:val="16"/>
        </w:rPr>
        <w:t xml:space="preserve">. </w:t>
      </w:r>
      <w:r w:rsidR="0050251A" w:rsidRPr="0050251A">
        <w:rPr>
          <w:rFonts w:cstheme="minorHAnsi"/>
          <w:i/>
          <w:sz w:val="16"/>
          <w:szCs w:val="16"/>
        </w:rPr>
        <w:t>Judaism: the basics</w:t>
      </w:r>
      <w:r w:rsidR="0050251A" w:rsidRPr="0050251A">
        <w:rPr>
          <w:rFonts w:cstheme="minorHAnsi"/>
          <w:sz w:val="16"/>
          <w:szCs w:val="16"/>
        </w:rPr>
        <w:t xml:space="preserve"> (London and New York: Routledge, 2006). </w:t>
      </w:r>
      <w:r w:rsidR="0050251A" w:rsidRPr="0050251A">
        <w:rPr>
          <w:sz w:val="16"/>
          <w:szCs w:val="16"/>
        </w:rPr>
        <w:t>P</w:t>
      </w:r>
      <w:r w:rsidRPr="0050251A">
        <w:rPr>
          <w:sz w:val="16"/>
          <w:szCs w:val="16"/>
        </w:rPr>
        <w:t>age 118</w:t>
      </w:r>
      <w:r w:rsidR="0050251A" w:rsidRPr="0050251A">
        <w:rPr>
          <w:sz w:val="16"/>
          <w:szCs w:val="16"/>
        </w:rPr>
        <w:t>.</w:t>
      </w:r>
    </w:p>
  </w:footnote>
  <w:footnote w:id="2">
    <w:p w14:paraId="61DEFF41" w14:textId="30A2A894" w:rsidR="00B516DF" w:rsidRDefault="00B516DF" w:rsidP="0050251A">
      <w:pPr>
        <w:pStyle w:val="FootnoteText"/>
      </w:pPr>
      <w:r w:rsidRPr="0050251A">
        <w:rPr>
          <w:rStyle w:val="FootnoteReference"/>
          <w:sz w:val="16"/>
          <w:szCs w:val="16"/>
        </w:rPr>
        <w:footnoteRef/>
      </w:r>
      <w:r w:rsidRPr="0050251A">
        <w:rPr>
          <w:sz w:val="16"/>
          <w:szCs w:val="16"/>
        </w:rPr>
        <w:t xml:space="preserve"> </w:t>
      </w:r>
      <w:r w:rsidR="0050251A" w:rsidRPr="0050251A">
        <w:rPr>
          <w:sz w:val="16"/>
          <w:szCs w:val="16"/>
        </w:rPr>
        <w:t>G</w:t>
      </w:r>
      <w:r w:rsidR="0050251A">
        <w:rPr>
          <w:sz w:val="16"/>
          <w:szCs w:val="16"/>
        </w:rPr>
        <w:t>,</w:t>
      </w:r>
      <w:r w:rsidR="0050251A" w:rsidRPr="0050251A">
        <w:rPr>
          <w:sz w:val="16"/>
          <w:szCs w:val="16"/>
        </w:rPr>
        <w:t xml:space="preserve"> </w:t>
      </w:r>
      <w:r w:rsidR="0050251A" w:rsidRPr="0050251A">
        <w:rPr>
          <w:rFonts w:cstheme="minorHAnsi"/>
          <w:sz w:val="16"/>
          <w:szCs w:val="16"/>
        </w:rPr>
        <w:t xml:space="preserve">Robinson, </w:t>
      </w:r>
      <w:r w:rsidR="0050251A" w:rsidRPr="0050251A">
        <w:rPr>
          <w:rFonts w:cstheme="minorHAnsi"/>
          <w:i/>
          <w:sz w:val="16"/>
          <w:szCs w:val="16"/>
        </w:rPr>
        <w:t>Essential Judaism: A Complete Guide to Beliefs Customs &amp; Rituals</w:t>
      </w:r>
      <w:r w:rsidR="0050251A" w:rsidRPr="0050251A">
        <w:rPr>
          <w:rFonts w:cstheme="minorHAnsi"/>
          <w:sz w:val="16"/>
          <w:szCs w:val="16"/>
        </w:rPr>
        <w:t xml:space="preserve">.  (New York: ATRIA books, 2000), </w:t>
      </w:r>
      <w:r w:rsidRPr="0050251A">
        <w:rPr>
          <w:sz w:val="16"/>
          <w:szCs w:val="16"/>
        </w:rPr>
        <w:t>page 328</w:t>
      </w:r>
      <w:r w:rsidR="0050251A">
        <w:rPr>
          <w:sz w:val="16"/>
          <w:szCs w:val="16"/>
        </w:rPr>
        <w:t>.</w:t>
      </w:r>
    </w:p>
  </w:footnote>
  <w:footnote w:id="3">
    <w:p w14:paraId="4326DAA1" w14:textId="03C95F65" w:rsidR="00D816A4" w:rsidRPr="00587177" w:rsidRDefault="00D816A4" w:rsidP="00587177">
      <w:pPr>
        <w:pStyle w:val="FootnoteText"/>
        <w:rPr>
          <w:sz w:val="16"/>
          <w:szCs w:val="16"/>
        </w:rPr>
      </w:pPr>
      <w:r w:rsidRPr="00587177">
        <w:rPr>
          <w:rStyle w:val="FootnoteReference"/>
          <w:sz w:val="16"/>
          <w:szCs w:val="16"/>
        </w:rPr>
        <w:footnoteRef/>
      </w:r>
      <w:r w:rsidRPr="00587177">
        <w:rPr>
          <w:sz w:val="16"/>
          <w:szCs w:val="16"/>
        </w:rPr>
        <w:t xml:space="preserve"> </w:t>
      </w:r>
      <w:r w:rsidR="0050251A" w:rsidRPr="00587177">
        <w:rPr>
          <w:sz w:val="16"/>
          <w:szCs w:val="16"/>
        </w:rPr>
        <w:t xml:space="preserve">G, </w:t>
      </w:r>
      <w:r w:rsidR="0050251A" w:rsidRPr="00587177">
        <w:rPr>
          <w:rFonts w:cstheme="minorHAnsi"/>
          <w:sz w:val="16"/>
          <w:szCs w:val="16"/>
        </w:rPr>
        <w:t xml:space="preserve">Robinson, </w:t>
      </w:r>
      <w:r w:rsidR="0050251A" w:rsidRPr="00587177">
        <w:rPr>
          <w:rFonts w:cstheme="minorHAnsi"/>
          <w:i/>
          <w:sz w:val="16"/>
          <w:szCs w:val="16"/>
        </w:rPr>
        <w:t>Essential Judaism: A Complete Guide to Beliefs Customs &amp; Rituals</w:t>
      </w:r>
      <w:r w:rsidR="0050251A" w:rsidRPr="00587177">
        <w:rPr>
          <w:rFonts w:cstheme="minorHAnsi"/>
          <w:sz w:val="16"/>
          <w:szCs w:val="16"/>
        </w:rPr>
        <w:t>.  (New York: ATRIA books, 2000),</w:t>
      </w:r>
      <w:r w:rsidRPr="00587177">
        <w:rPr>
          <w:sz w:val="16"/>
          <w:szCs w:val="16"/>
        </w:rPr>
        <w:t xml:space="preserve"> Page 333</w:t>
      </w:r>
      <w:r w:rsidR="0050251A" w:rsidRPr="00587177">
        <w:rPr>
          <w:sz w:val="16"/>
          <w:szCs w:val="16"/>
        </w:rPr>
        <w:t>.</w:t>
      </w:r>
    </w:p>
  </w:footnote>
  <w:footnote w:id="4">
    <w:p w14:paraId="4012344F" w14:textId="5F5D5EDC" w:rsidR="00F840AF" w:rsidRPr="00587177" w:rsidRDefault="00F840AF" w:rsidP="00587177">
      <w:pPr>
        <w:pStyle w:val="FootnoteText"/>
        <w:rPr>
          <w:sz w:val="16"/>
          <w:szCs w:val="16"/>
        </w:rPr>
      </w:pPr>
      <w:r w:rsidRPr="00587177">
        <w:rPr>
          <w:rStyle w:val="FootnoteReference"/>
          <w:sz w:val="16"/>
          <w:szCs w:val="16"/>
        </w:rPr>
        <w:footnoteRef/>
      </w:r>
      <w:r w:rsidRPr="00587177">
        <w:rPr>
          <w:sz w:val="16"/>
          <w:szCs w:val="16"/>
        </w:rPr>
        <w:t xml:space="preserve"> </w:t>
      </w:r>
      <w:r w:rsidR="0050251A" w:rsidRPr="00587177">
        <w:rPr>
          <w:sz w:val="16"/>
          <w:szCs w:val="16"/>
        </w:rPr>
        <w:t xml:space="preserve">G, </w:t>
      </w:r>
      <w:r w:rsidR="0050251A" w:rsidRPr="00587177">
        <w:rPr>
          <w:rFonts w:cstheme="minorHAnsi"/>
          <w:sz w:val="16"/>
          <w:szCs w:val="16"/>
        </w:rPr>
        <w:t xml:space="preserve">Robinson, </w:t>
      </w:r>
      <w:r w:rsidR="0050251A" w:rsidRPr="00587177">
        <w:rPr>
          <w:rFonts w:cstheme="minorHAnsi"/>
          <w:i/>
          <w:sz w:val="16"/>
          <w:szCs w:val="16"/>
        </w:rPr>
        <w:t>Essential Judaism: A Complete Guide to Beliefs Customs &amp; Rituals</w:t>
      </w:r>
      <w:r w:rsidR="0050251A" w:rsidRPr="00587177">
        <w:rPr>
          <w:rFonts w:cstheme="minorHAnsi"/>
          <w:sz w:val="16"/>
          <w:szCs w:val="16"/>
        </w:rPr>
        <w:t>.  (New York: ATRIA books, 2000),</w:t>
      </w:r>
      <w:r w:rsidRPr="00587177">
        <w:rPr>
          <w:sz w:val="16"/>
          <w:szCs w:val="16"/>
        </w:rPr>
        <w:t xml:space="preserve"> Page 334</w:t>
      </w:r>
      <w:r w:rsidR="0050251A" w:rsidRPr="00587177">
        <w:rPr>
          <w:sz w:val="16"/>
          <w:szCs w:val="16"/>
        </w:rPr>
        <w:t>.</w:t>
      </w:r>
    </w:p>
  </w:footnote>
  <w:footnote w:id="5">
    <w:p w14:paraId="31A6F296" w14:textId="7D9CF0BB" w:rsidR="00153CEF" w:rsidRPr="00587177" w:rsidRDefault="00153CEF" w:rsidP="00587177">
      <w:pPr>
        <w:pStyle w:val="FootnoteText"/>
        <w:rPr>
          <w:sz w:val="16"/>
          <w:szCs w:val="16"/>
        </w:rPr>
      </w:pPr>
      <w:r w:rsidRPr="00587177">
        <w:rPr>
          <w:rStyle w:val="FootnoteReference"/>
          <w:sz w:val="16"/>
          <w:szCs w:val="16"/>
        </w:rPr>
        <w:footnoteRef/>
      </w:r>
      <w:r w:rsidRPr="00587177">
        <w:rPr>
          <w:sz w:val="16"/>
          <w:szCs w:val="16"/>
        </w:rPr>
        <w:t xml:space="preserve"> </w:t>
      </w:r>
      <w:r w:rsidR="00587177" w:rsidRPr="00587177">
        <w:rPr>
          <w:sz w:val="16"/>
          <w:szCs w:val="16"/>
        </w:rPr>
        <w:t xml:space="preserve">C.M. Hoffman, </w:t>
      </w:r>
      <w:r w:rsidR="00587177" w:rsidRPr="00587177">
        <w:rPr>
          <w:i/>
          <w:sz w:val="16"/>
          <w:szCs w:val="16"/>
        </w:rPr>
        <w:t xml:space="preserve">Judaism: an introduction. </w:t>
      </w:r>
      <w:r w:rsidR="00587177" w:rsidRPr="00587177">
        <w:rPr>
          <w:sz w:val="16"/>
          <w:szCs w:val="16"/>
        </w:rPr>
        <w:t xml:space="preserve">(London: Teach yourself, 2010), Page 58. </w:t>
      </w:r>
    </w:p>
  </w:footnote>
  <w:footnote w:id="6">
    <w:p w14:paraId="0EF2C2A4" w14:textId="2561AE67" w:rsidR="00F840AF" w:rsidRDefault="00F840AF" w:rsidP="00587177">
      <w:pPr>
        <w:pStyle w:val="FootnoteText"/>
      </w:pPr>
      <w:r w:rsidRPr="00587177">
        <w:rPr>
          <w:rStyle w:val="FootnoteReference"/>
          <w:sz w:val="16"/>
          <w:szCs w:val="16"/>
        </w:rPr>
        <w:footnoteRef/>
      </w:r>
      <w:r w:rsidRPr="00587177">
        <w:rPr>
          <w:sz w:val="16"/>
          <w:szCs w:val="16"/>
        </w:rPr>
        <w:t xml:space="preserve"> </w:t>
      </w:r>
      <w:r w:rsidR="0050251A" w:rsidRPr="00587177">
        <w:rPr>
          <w:sz w:val="16"/>
          <w:szCs w:val="16"/>
        </w:rPr>
        <w:t xml:space="preserve">G, </w:t>
      </w:r>
      <w:r w:rsidR="0050251A" w:rsidRPr="00587177">
        <w:rPr>
          <w:rFonts w:cstheme="minorHAnsi"/>
          <w:sz w:val="16"/>
          <w:szCs w:val="16"/>
        </w:rPr>
        <w:t xml:space="preserve">Robinson, </w:t>
      </w:r>
      <w:r w:rsidR="0050251A" w:rsidRPr="00587177">
        <w:rPr>
          <w:rFonts w:cstheme="minorHAnsi"/>
          <w:i/>
          <w:sz w:val="16"/>
          <w:szCs w:val="16"/>
        </w:rPr>
        <w:t>Essential Judaism: A Complete Guide to Beliefs Customs &amp; Rituals</w:t>
      </w:r>
      <w:r w:rsidR="0050251A" w:rsidRPr="00587177">
        <w:rPr>
          <w:rFonts w:cstheme="minorHAnsi"/>
          <w:sz w:val="16"/>
          <w:szCs w:val="16"/>
        </w:rPr>
        <w:t xml:space="preserve">.  (New York: ATRIA books, 2000), </w:t>
      </w:r>
      <w:r w:rsidR="0050251A" w:rsidRPr="00587177">
        <w:rPr>
          <w:sz w:val="16"/>
          <w:szCs w:val="16"/>
        </w:rPr>
        <w:t>p</w:t>
      </w:r>
      <w:r w:rsidRPr="00587177">
        <w:rPr>
          <w:sz w:val="16"/>
          <w:szCs w:val="16"/>
        </w:rPr>
        <w:t>age 337</w:t>
      </w:r>
      <w:r w:rsidR="0050251A" w:rsidRPr="00587177">
        <w:rPr>
          <w:sz w:val="16"/>
          <w:szCs w:val="16"/>
        </w:rPr>
        <w:t>.</w:t>
      </w:r>
    </w:p>
  </w:footnote>
  <w:footnote w:id="7">
    <w:p w14:paraId="7DA6412C" w14:textId="6CD49B90" w:rsidR="00D71132" w:rsidRPr="00D71132" w:rsidRDefault="00D71132" w:rsidP="00D71132">
      <w:pPr>
        <w:spacing w:line="240" w:lineRule="auto"/>
        <w:rPr>
          <w:rFonts w:cstheme="minorHAnsi"/>
          <w:sz w:val="16"/>
          <w:szCs w:val="16"/>
        </w:rPr>
      </w:pPr>
      <w:r>
        <w:rPr>
          <w:rStyle w:val="FootnoteReference"/>
        </w:rPr>
        <w:footnoteRef/>
      </w:r>
      <w:r>
        <w:t xml:space="preserve"> </w:t>
      </w:r>
      <w:r w:rsidRPr="0050251A">
        <w:rPr>
          <w:sz w:val="16"/>
          <w:szCs w:val="16"/>
        </w:rPr>
        <w:t xml:space="preserve">E, </w:t>
      </w:r>
      <w:r w:rsidRPr="0050251A">
        <w:rPr>
          <w:rFonts w:cstheme="minorHAnsi"/>
          <w:sz w:val="16"/>
          <w:szCs w:val="16"/>
        </w:rPr>
        <w:t xml:space="preserve">Segal. </w:t>
      </w:r>
      <w:r w:rsidRPr="0050251A">
        <w:rPr>
          <w:rFonts w:cstheme="minorHAnsi"/>
          <w:i/>
          <w:sz w:val="16"/>
          <w:szCs w:val="16"/>
        </w:rPr>
        <w:t>Introducing Judaism</w:t>
      </w:r>
      <w:r w:rsidRPr="0050251A">
        <w:rPr>
          <w:rFonts w:cstheme="minorHAnsi"/>
          <w:sz w:val="16"/>
          <w:szCs w:val="16"/>
        </w:rPr>
        <w:t xml:space="preserve"> (London: Routledge, 2009), Page </w:t>
      </w:r>
      <w:r>
        <w:rPr>
          <w:rFonts w:cstheme="minorHAnsi"/>
          <w:sz w:val="16"/>
          <w:szCs w:val="16"/>
        </w:rPr>
        <w:t>46.</w:t>
      </w:r>
    </w:p>
  </w:footnote>
  <w:footnote w:id="8">
    <w:p w14:paraId="721F6180" w14:textId="13B15BAE" w:rsidR="00112BD0" w:rsidRPr="0050251A" w:rsidRDefault="00112BD0" w:rsidP="0050251A">
      <w:pPr>
        <w:spacing w:line="240" w:lineRule="auto"/>
        <w:rPr>
          <w:rFonts w:cstheme="minorHAnsi"/>
          <w:sz w:val="16"/>
          <w:szCs w:val="16"/>
        </w:rPr>
      </w:pPr>
      <w:r w:rsidRPr="0050251A">
        <w:rPr>
          <w:rStyle w:val="FootnoteReference"/>
          <w:sz w:val="16"/>
          <w:szCs w:val="16"/>
        </w:rPr>
        <w:footnoteRef/>
      </w:r>
      <w:r w:rsidRPr="0050251A">
        <w:rPr>
          <w:sz w:val="16"/>
          <w:szCs w:val="16"/>
        </w:rPr>
        <w:t xml:space="preserve"> </w:t>
      </w:r>
      <w:r w:rsidR="0050251A" w:rsidRPr="0050251A">
        <w:rPr>
          <w:sz w:val="16"/>
          <w:szCs w:val="16"/>
        </w:rPr>
        <w:t xml:space="preserve">E, </w:t>
      </w:r>
      <w:r w:rsidR="003A68C6" w:rsidRPr="0050251A">
        <w:rPr>
          <w:rFonts w:cstheme="minorHAnsi"/>
          <w:sz w:val="16"/>
          <w:szCs w:val="16"/>
        </w:rPr>
        <w:t xml:space="preserve">Segal. </w:t>
      </w:r>
      <w:r w:rsidR="003A68C6" w:rsidRPr="0050251A">
        <w:rPr>
          <w:rFonts w:cstheme="minorHAnsi"/>
          <w:i/>
          <w:sz w:val="16"/>
          <w:szCs w:val="16"/>
        </w:rPr>
        <w:t>Introducing Judaism</w:t>
      </w:r>
      <w:r w:rsidR="003A68C6" w:rsidRPr="0050251A">
        <w:rPr>
          <w:rFonts w:cstheme="minorHAnsi"/>
          <w:sz w:val="16"/>
          <w:szCs w:val="16"/>
        </w:rPr>
        <w:t xml:space="preserve"> (London: Routledge, 2009), Page</w:t>
      </w:r>
      <w:r w:rsidR="00977ADA" w:rsidRPr="0050251A">
        <w:rPr>
          <w:rFonts w:cstheme="minorHAnsi"/>
          <w:sz w:val="16"/>
          <w:szCs w:val="16"/>
        </w:rPr>
        <w:t xml:space="preserve"> 50. </w:t>
      </w:r>
    </w:p>
  </w:footnote>
  <w:footnote w:id="9">
    <w:p w14:paraId="44CF11AE" w14:textId="1D838C5B" w:rsidR="0050251A" w:rsidRPr="0050251A" w:rsidRDefault="009E7BE3" w:rsidP="0050251A">
      <w:pPr>
        <w:spacing w:line="240" w:lineRule="auto"/>
        <w:rPr>
          <w:rFonts w:cstheme="minorHAnsi"/>
          <w:sz w:val="16"/>
          <w:szCs w:val="16"/>
        </w:rPr>
      </w:pPr>
      <w:r w:rsidRPr="0050251A">
        <w:rPr>
          <w:rStyle w:val="FootnoteReference"/>
          <w:sz w:val="16"/>
          <w:szCs w:val="16"/>
        </w:rPr>
        <w:footnoteRef/>
      </w:r>
      <w:r w:rsidRPr="0050251A">
        <w:rPr>
          <w:sz w:val="16"/>
          <w:szCs w:val="16"/>
        </w:rPr>
        <w:t xml:space="preserve"> </w:t>
      </w:r>
      <w:r w:rsidR="0050251A" w:rsidRPr="0050251A">
        <w:rPr>
          <w:sz w:val="16"/>
          <w:szCs w:val="16"/>
        </w:rPr>
        <w:t xml:space="preserve">S, </w:t>
      </w:r>
      <w:proofErr w:type="spellStart"/>
      <w:r w:rsidR="0050251A" w:rsidRPr="0050251A">
        <w:rPr>
          <w:rFonts w:cstheme="minorHAnsi"/>
          <w:sz w:val="16"/>
          <w:szCs w:val="16"/>
        </w:rPr>
        <w:t>Schama</w:t>
      </w:r>
      <w:proofErr w:type="spellEnd"/>
      <w:r w:rsidR="0050251A" w:rsidRPr="0050251A">
        <w:rPr>
          <w:rFonts w:cstheme="minorHAnsi"/>
          <w:sz w:val="16"/>
          <w:szCs w:val="16"/>
        </w:rPr>
        <w:t xml:space="preserve">. </w:t>
      </w:r>
      <w:r w:rsidR="0050251A" w:rsidRPr="0050251A">
        <w:rPr>
          <w:rFonts w:cstheme="minorHAnsi"/>
          <w:i/>
          <w:sz w:val="16"/>
          <w:szCs w:val="16"/>
        </w:rPr>
        <w:t>The Story of the Jews</w:t>
      </w:r>
      <w:r w:rsidR="0050251A" w:rsidRPr="0050251A">
        <w:rPr>
          <w:rFonts w:cstheme="minorHAnsi"/>
          <w:sz w:val="16"/>
          <w:szCs w:val="16"/>
        </w:rPr>
        <w:t xml:space="preserve">, (BBC 2, 2013). Episode 2. </w:t>
      </w:r>
    </w:p>
    <w:p w14:paraId="4ED1988A" w14:textId="32E636BF" w:rsidR="009E7BE3" w:rsidRDefault="009E7BE3">
      <w:pPr>
        <w:pStyle w:val="FootnoteText"/>
      </w:pPr>
    </w:p>
  </w:footnote>
  <w:footnote w:id="10">
    <w:p w14:paraId="51252A55" w14:textId="02A87608" w:rsidR="00D71132" w:rsidRPr="00BA5050" w:rsidRDefault="00D71132" w:rsidP="00BA5050">
      <w:pPr>
        <w:spacing w:line="240" w:lineRule="auto"/>
        <w:rPr>
          <w:rFonts w:cstheme="minorHAnsi"/>
          <w:sz w:val="16"/>
          <w:szCs w:val="16"/>
        </w:rPr>
      </w:pPr>
      <w:r w:rsidRPr="00BA5050">
        <w:rPr>
          <w:rStyle w:val="FootnoteReference"/>
          <w:sz w:val="16"/>
          <w:szCs w:val="16"/>
        </w:rPr>
        <w:footnoteRef/>
      </w:r>
      <w:r w:rsidRPr="00BA5050">
        <w:rPr>
          <w:sz w:val="16"/>
          <w:szCs w:val="16"/>
        </w:rPr>
        <w:t xml:space="preserve"> E, </w:t>
      </w:r>
      <w:r w:rsidRPr="00BA5050">
        <w:rPr>
          <w:rFonts w:cstheme="minorHAnsi"/>
          <w:sz w:val="16"/>
          <w:szCs w:val="16"/>
        </w:rPr>
        <w:t xml:space="preserve">Segal. </w:t>
      </w:r>
      <w:r w:rsidRPr="00BA5050">
        <w:rPr>
          <w:rFonts w:cstheme="minorHAnsi"/>
          <w:i/>
          <w:sz w:val="16"/>
          <w:szCs w:val="16"/>
        </w:rPr>
        <w:t>Introducing Judaism</w:t>
      </w:r>
      <w:r w:rsidRPr="00BA5050">
        <w:rPr>
          <w:rFonts w:cstheme="minorHAnsi"/>
          <w:sz w:val="16"/>
          <w:szCs w:val="16"/>
        </w:rPr>
        <w:t xml:space="preserve"> (London: Routledge, 2009), Page 40.</w:t>
      </w:r>
    </w:p>
  </w:footnote>
  <w:footnote w:id="11">
    <w:p w14:paraId="7302DA18" w14:textId="443414A5" w:rsidR="00D05223" w:rsidRPr="00BA5050" w:rsidRDefault="00D05223" w:rsidP="00BA5050">
      <w:pPr>
        <w:pStyle w:val="FootnoteText"/>
        <w:rPr>
          <w:sz w:val="16"/>
          <w:szCs w:val="16"/>
        </w:rPr>
      </w:pPr>
      <w:r w:rsidRPr="00BA5050">
        <w:rPr>
          <w:rStyle w:val="FootnoteReference"/>
          <w:sz w:val="16"/>
          <w:szCs w:val="16"/>
        </w:rPr>
        <w:footnoteRef/>
      </w:r>
      <w:r w:rsidRPr="00BA5050">
        <w:rPr>
          <w:sz w:val="16"/>
          <w:szCs w:val="16"/>
        </w:rPr>
        <w:t xml:space="preserve"> </w:t>
      </w:r>
      <w:r w:rsidR="008617DB" w:rsidRPr="00BA5050">
        <w:rPr>
          <w:sz w:val="16"/>
          <w:szCs w:val="16"/>
        </w:rPr>
        <w:t xml:space="preserve">S, </w:t>
      </w:r>
      <w:proofErr w:type="spellStart"/>
      <w:r w:rsidR="008617DB" w:rsidRPr="00BA5050">
        <w:rPr>
          <w:rFonts w:cstheme="minorHAnsi"/>
          <w:sz w:val="16"/>
          <w:szCs w:val="16"/>
        </w:rPr>
        <w:t>Schama</w:t>
      </w:r>
      <w:proofErr w:type="spellEnd"/>
      <w:r w:rsidR="008617DB" w:rsidRPr="00BA5050">
        <w:rPr>
          <w:rFonts w:cstheme="minorHAnsi"/>
          <w:sz w:val="16"/>
          <w:szCs w:val="16"/>
        </w:rPr>
        <w:t xml:space="preserve">. </w:t>
      </w:r>
      <w:r w:rsidR="008617DB" w:rsidRPr="00BA5050">
        <w:rPr>
          <w:rFonts w:cstheme="minorHAnsi"/>
          <w:i/>
          <w:sz w:val="16"/>
          <w:szCs w:val="16"/>
        </w:rPr>
        <w:t>The Story of the Jews</w:t>
      </w:r>
      <w:r w:rsidR="008617DB" w:rsidRPr="00BA5050">
        <w:rPr>
          <w:rFonts w:cstheme="minorHAnsi"/>
          <w:sz w:val="16"/>
          <w:szCs w:val="16"/>
        </w:rPr>
        <w:t>, (BBC 2, 2013). Episode 2.</w:t>
      </w:r>
    </w:p>
  </w:footnote>
  <w:footnote w:id="12">
    <w:p w14:paraId="7796A797" w14:textId="1D04A886" w:rsidR="007458E3" w:rsidRPr="00BA5050" w:rsidRDefault="007458E3" w:rsidP="00BA5050">
      <w:pPr>
        <w:pStyle w:val="FootnoteText"/>
        <w:rPr>
          <w:sz w:val="16"/>
          <w:szCs w:val="16"/>
        </w:rPr>
      </w:pPr>
      <w:r w:rsidRPr="00BA5050">
        <w:rPr>
          <w:rStyle w:val="FootnoteReference"/>
          <w:sz w:val="16"/>
          <w:szCs w:val="16"/>
        </w:rPr>
        <w:footnoteRef/>
      </w:r>
      <w:r w:rsidRPr="00BA5050">
        <w:rPr>
          <w:sz w:val="16"/>
          <w:szCs w:val="16"/>
        </w:rPr>
        <w:t xml:space="preserve"> </w:t>
      </w:r>
      <w:r w:rsidR="00587177" w:rsidRPr="00BA5050">
        <w:rPr>
          <w:sz w:val="16"/>
          <w:szCs w:val="16"/>
        </w:rPr>
        <w:t xml:space="preserve">J.R. Baskin. </w:t>
      </w:r>
      <w:r w:rsidR="00587177" w:rsidRPr="00BA5050">
        <w:rPr>
          <w:i/>
          <w:sz w:val="16"/>
          <w:szCs w:val="16"/>
        </w:rPr>
        <w:t xml:space="preserve">Jewish women in historical perspective, </w:t>
      </w:r>
      <w:r w:rsidR="00587177" w:rsidRPr="00BA5050">
        <w:rPr>
          <w:sz w:val="16"/>
          <w:szCs w:val="16"/>
        </w:rPr>
        <w:t xml:space="preserve">(Detroit: Wayne State University Press), Page 74. </w:t>
      </w:r>
    </w:p>
    <w:p w14:paraId="36287701" w14:textId="08BC2A9B" w:rsidR="007458E3" w:rsidRDefault="007458E3">
      <w:pPr>
        <w:pStyle w:val="FootnoteText"/>
      </w:pPr>
    </w:p>
  </w:footnote>
  <w:footnote w:id="13">
    <w:p w14:paraId="3262BF04" w14:textId="77453009" w:rsidR="001C5A70" w:rsidRPr="00BA5050" w:rsidRDefault="001C5A70" w:rsidP="00BA5050">
      <w:pPr>
        <w:spacing w:line="240" w:lineRule="auto"/>
        <w:rPr>
          <w:sz w:val="16"/>
          <w:szCs w:val="16"/>
        </w:rPr>
      </w:pPr>
      <w:r w:rsidRPr="00BA5050">
        <w:rPr>
          <w:rStyle w:val="FootnoteReference"/>
          <w:sz w:val="16"/>
          <w:szCs w:val="16"/>
        </w:rPr>
        <w:footnoteRef/>
      </w:r>
      <w:r w:rsidRPr="00BA5050">
        <w:rPr>
          <w:sz w:val="16"/>
          <w:szCs w:val="16"/>
        </w:rPr>
        <w:t xml:space="preserve">  </w:t>
      </w:r>
      <w:r w:rsidR="002C0AE1">
        <w:rPr>
          <w:sz w:val="16"/>
          <w:szCs w:val="16"/>
        </w:rPr>
        <w:t xml:space="preserve">J </w:t>
      </w:r>
      <w:r w:rsidRPr="00BA5050">
        <w:rPr>
          <w:iCs/>
          <w:color w:val="000000"/>
          <w:sz w:val="16"/>
          <w:szCs w:val="16"/>
          <w:shd w:val="clear" w:color="auto" w:fill="FFFFFF"/>
        </w:rPr>
        <w:t xml:space="preserve">Wegner Romney, </w:t>
      </w:r>
      <w:r w:rsidRPr="00BA5050">
        <w:rPr>
          <w:i/>
          <w:iCs/>
          <w:color w:val="000000"/>
          <w:sz w:val="16"/>
          <w:szCs w:val="16"/>
          <w:shd w:val="clear" w:color="auto" w:fill="FFFFFF"/>
        </w:rPr>
        <w:t xml:space="preserve">Chattel or </w:t>
      </w:r>
      <w:proofErr w:type="gramStart"/>
      <w:r w:rsidRPr="00BA5050">
        <w:rPr>
          <w:i/>
          <w:iCs/>
          <w:color w:val="000000"/>
          <w:sz w:val="16"/>
          <w:szCs w:val="16"/>
          <w:shd w:val="clear" w:color="auto" w:fill="FFFFFF"/>
        </w:rPr>
        <w:t>person?:</w:t>
      </w:r>
      <w:proofErr w:type="gramEnd"/>
      <w:r w:rsidRPr="00BA5050">
        <w:rPr>
          <w:i/>
          <w:iCs/>
          <w:color w:val="000000"/>
          <w:sz w:val="16"/>
          <w:szCs w:val="16"/>
          <w:shd w:val="clear" w:color="auto" w:fill="FFFFFF"/>
        </w:rPr>
        <w:t xml:space="preserve"> The status of women in the Mishnah. </w:t>
      </w:r>
      <w:r w:rsidRPr="00BA5050">
        <w:rPr>
          <w:iCs/>
          <w:color w:val="000000"/>
          <w:sz w:val="16"/>
          <w:szCs w:val="16"/>
          <w:shd w:val="clear" w:color="auto" w:fill="FFFFFF"/>
        </w:rPr>
        <w:t>(London: Oxford University, 1980). Page 4.</w:t>
      </w:r>
    </w:p>
  </w:footnote>
  <w:footnote w:id="14">
    <w:p w14:paraId="44218C7C" w14:textId="1DC5863C" w:rsidR="00F66153" w:rsidRDefault="00F66153" w:rsidP="00BA5050">
      <w:pPr>
        <w:pStyle w:val="FootnoteText"/>
      </w:pPr>
      <w:r w:rsidRPr="00BA5050">
        <w:rPr>
          <w:rStyle w:val="FootnoteReference"/>
          <w:sz w:val="16"/>
          <w:szCs w:val="16"/>
        </w:rPr>
        <w:footnoteRef/>
      </w:r>
      <w:r w:rsidRPr="00BA5050">
        <w:rPr>
          <w:sz w:val="16"/>
          <w:szCs w:val="16"/>
        </w:rPr>
        <w:t xml:space="preserve"> </w:t>
      </w:r>
      <w:r w:rsidR="00BA5050" w:rsidRPr="00BA5050">
        <w:rPr>
          <w:sz w:val="16"/>
          <w:szCs w:val="16"/>
        </w:rPr>
        <w:t xml:space="preserve">J.R. Baskin. </w:t>
      </w:r>
      <w:r w:rsidR="00BA5050" w:rsidRPr="00BA5050">
        <w:rPr>
          <w:i/>
          <w:sz w:val="16"/>
          <w:szCs w:val="16"/>
        </w:rPr>
        <w:t xml:space="preserve">Jewish women in historical perspective, </w:t>
      </w:r>
      <w:r w:rsidR="00BA5050" w:rsidRPr="00BA5050">
        <w:rPr>
          <w:sz w:val="16"/>
          <w:szCs w:val="16"/>
        </w:rPr>
        <w:t>(Detroit: Wayne State University Press), Page 74.</w:t>
      </w:r>
    </w:p>
  </w:footnote>
  <w:footnote w:id="15">
    <w:p w14:paraId="022B59A2" w14:textId="7F4594FD" w:rsidR="00F64D94" w:rsidRPr="00F4372C" w:rsidRDefault="00F64D94" w:rsidP="00F4372C">
      <w:pPr>
        <w:pStyle w:val="FootnoteText"/>
        <w:rPr>
          <w:sz w:val="16"/>
          <w:szCs w:val="16"/>
        </w:rPr>
      </w:pPr>
      <w:r w:rsidRPr="00F4372C">
        <w:rPr>
          <w:rStyle w:val="FootnoteReference"/>
          <w:sz w:val="16"/>
          <w:szCs w:val="16"/>
        </w:rPr>
        <w:footnoteRef/>
      </w:r>
      <w:r w:rsidRPr="00F4372C">
        <w:rPr>
          <w:sz w:val="16"/>
          <w:szCs w:val="16"/>
        </w:rPr>
        <w:t xml:space="preserve"> </w:t>
      </w:r>
      <w:r w:rsidR="008617DB" w:rsidRPr="00F4372C">
        <w:rPr>
          <w:sz w:val="16"/>
          <w:szCs w:val="16"/>
        </w:rPr>
        <w:t xml:space="preserve">S, </w:t>
      </w:r>
      <w:proofErr w:type="spellStart"/>
      <w:r w:rsidR="008617DB" w:rsidRPr="00F4372C">
        <w:rPr>
          <w:rFonts w:cstheme="minorHAnsi"/>
          <w:sz w:val="16"/>
          <w:szCs w:val="16"/>
        </w:rPr>
        <w:t>Schama</w:t>
      </w:r>
      <w:proofErr w:type="spellEnd"/>
      <w:r w:rsidR="008617DB" w:rsidRPr="00F4372C">
        <w:rPr>
          <w:rFonts w:cstheme="minorHAnsi"/>
          <w:sz w:val="16"/>
          <w:szCs w:val="16"/>
        </w:rPr>
        <w:t xml:space="preserve">. </w:t>
      </w:r>
      <w:r w:rsidR="008617DB" w:rsidRPr="00F4372C">
        <w:rPr>
          <w:rFonts w:cstheme="minorHAnsi"/>
          <w:i/>
          <w:sz w:val="16"/>
          <w:szCs w:val="16"/>
        </w:rPr>
        <w:t>The Story of the Jews</w:t>
      </w:r>
      <w:r w:rsidR="008617DB" w:rsidRPr="00F4372C">
        <w:rPr>
          <w:rFonts w:cstheme="minorHAnsi"/>
          <w:sz w:val="16"/>
          <w:szCs w:val="16"/>
        </w:rPr>
        <w:t>, (BBC 2, 2013). Episode 2.</w:t>
      </w:r>
    </w:p>
  </w:footnote>
  <w:footnote w:id="16">
    <w:p w14:paraId="65BB11A0" w14:textId="3DEEAB02" w:rsidR="001F2B96" w:rsidRPr="00F4372C" w:rsidRDefault="001F2B96" w:rsidP="00F4372C">
      <w:pPr>
        <w:pStyle w:val="FootnoteText"/>
        <w:rPr>
          <w:sz w:val="16"/>
          <w:szCs w:val="16"/>
        </w:rPr>
      </w:pPr>
      <w:r w:rsidRPr="00F4372C">
        <w:rPr>
          <w:rStyle w:val="FootnoteReference"/>
          <w:sz w:val="16"/>
          <w:szCs w:val="16"/>
        </w:rPr>
        <w:footnoteRef/>
      </w:r>
      <w:r w:rsidRPr="00F4372C">
        <w:rPr>
          <w:sz w:val="16"/>
          <w:szCs w:val="16"/>
        </w:rPr>
        <w:t xml:space="preserve">  </w:t>
      </w:r>
      <w:r w:rsidR="00362B0F" w:rsidRPr="00F4372C">
        <w:rPr>
          <w:sz w:val="16"/>
          <w:szCs w:val="16"/>
        </w:rPr>
        <w:t xml:space="preserve">G, </w:t>
      </w:r>
      <w:r w:rsidR="00362B0F" w:rsidRPr="00F4372C">
        <w:rPr>
          <w:rFonts w:cstheme="minorHAnsi"/>
          <w:sz w:val="16"/>
          <w:szCs w:val="16"/>
        </w:rPr>
        <w:t xml:space="preserve">Robinson, </w:t>
      </w:r>
      <w:r w:rsidR="00362B0F" w:rsidRPr="00F4372C">
        <w:rPr>
          <w:rFonts w:cstheme="minorHAnsi"/>
          <w:i/>
          <w:sz w:val="16"/>
          <w:szCs w:val="16"/>
        </w:rPr>
        <w:t>Essential Judaism: A Complete Guide to Beliefs Customs &amp; Rituals</w:t>
      </w:r>
      <w:r w:rsidR="00362B0F" w:rsidRPr="00F4372C">
        <w:rPr>
          <w:rFonts w:cstheme="minorHAnsi"/>
          <w:sz w:val="16"/>
          <w:szCs w:val="16"/>
        </w:rPr>
        <w:t xml:space="preserve">.  (New York: ATRIA books, 2000). </w:t>
      </w:r>
      <w:r w:rsidRPr="00F4372C">
        <w:rPr>
          <w:sz w:val="16"/>
          <w:szCs w:val="16"/>
        </w:rPr>
        <w:t>Page 334</w:t>
      </w:r>
      <w:r w:rsidR="00362B0F" w:rsidRPr="00F4372C">
        <w:rPr>
          <w:sz w:val="16"/>
          <w:szCs w:val="16"/>
        </w:rPr>
        <w:t>.</w:t>
      </w:r>
    </w:p>
    <w:p w14:paraId="08E246AD" w14:textId="770FC29D" w:rsidR="001F2B96" w:rsidRPr="00F4372C" w:rsidRDefault="001F2B96" w:rsidP="00F4372C">
      <w:pPr>
        <w:pStyle w:val="FootnoteText"/>
        <w:rPr>
          <w:sz w:val="16"/>
          <w:szCs w:val="16"/>
        </w:rPr>
      </w:pPr>
    </w:p>
  </w:footnote>
  <w:footnote w:id="17">
    <w:p w14:paraId="538CBE38" w14:textId="317757AB" w:rsidR="00593B7D" w:rsidRDefault="00593B7D" w:rsidP="00F4372C">
      <w:pPr>
        <w:pStyle w:val="FootnoteText"/>
      </w:pPr>
      <w:r w:rsidRPr="00F4372C">
        <w:rPr>
          <w:rStyle w:val="FootnoteReference"/>
          <w:sz w:val="16"/>
          <w:szCs w:val="16"/>
        </w:rPr>
        <w:footnoteRef/>
      </w:r>
      <w:r w:rsidRPr="00F4372C">
        <w:rPr>
          <w:sz w:val="16"/>
          <w:szCs w:val="16"/>
        </w:rPr>
        <w:t xml:space="preserve"> J</w:t>
      </w:r>
      <w:r w:rsidR="00F4372C" w:rsidRPr="00F4372C">
        <w:rPr>
          <w:sz w:val="16"/>
          <w:szCs w:val="16"/>
        </w:rPr>
        <w:t xml:space="preserve">. </w:t>
      </w:r>
      <w:proofErr w:type="spellStart"/>
      <w:r w:rsidRPr="00F4372C">
        <w:rPr>
          <w:sz w:val="16"/>
          <w:szCs w:val="16"/>
        </w:rPr>
        <w:t>Neusner</w:t>
      </w:r>
      <w:proofErr w:type="spellEnd"/>
      <w:r w:rsidRPr="00F4372C">
        <w:rPr>
          <w:sz w:val="16"/>
          <w:szCs w:val="16"/>
        </w:rPr>
        <w:t xml:space="preserve">, </w:t>
      </w:r>
      <w:r w:rsidRPr="00F4372C">
        <w:rPr>
          <w:i/>
          <w:iCs/>
          <w:sz w:val="16"/>
          <w:szCs w:val="16"/>
        </w:rPr>
        <w:t xml:space="preserve">Rabbinic Judaism’s Generative </w:t>
      </w:r>
      <w:r w:rsidR="00F4372C" w:rsidRPr="00F4372C">
        <w:rPr>
          <w:i/>
          <w:iCs/>
          <w:sz w:val="16"/>
          <w:szCs w:val="16"/>
        </w:rPr>
        <w:t>Logic</w:t>
      </w:r>
      <w:r w:rsidR="00F4372C" w:rsidRPr="00F4372C">
        <w:rPr>
          <w:sz w:val="16"/>
          <w:szCs w:val="16"/>
        </w:rPr>
        <w:t xml:space="preserve">, (Binghamton, N.Y.: Global publications, 2002). </w:t>
      </w:r>
      <w:r w:rsidRPr="00F4372C">
        <w:rPr>
          <w:sz w:val="16"/>
          <w:szCs w:val="16"/>
        </w:rPr>
        <w:t>p. 68</w:t>
      </w:r>
      <w:r w:rsidR="00F4372C">
        <w:t xml:space="preserve">. </w:t>
      </w:r>
    </w:p>
  </w:footnote>
  <w:footnote w:id="18">
    <w:p w14:paraId="562B5C03" w14:textId="773775B8" w:rsidR="00AE3FF1" w:rsidRPr="008617DB" w:rsidRDefault="00AE3FF1" w:rsidP="008617DB">
      <w:pPr>
        <w:spacing w:line="240" w:lineRule="auto"/>
        <w:rPr>
          <w:rFonts w:cstheme="minorHAnsi"/>
          <w:color w:val="000000"/>
          <w:sz w:val="16"/>
          <w:szCs w:val="16"/>
          <w:shd w:val="clear" w:color="auto" w:fill="FFFFFF"/>
        </w:rPr>
      </w:pPr>
      <w:r w:rsidRPr="00EF2CBF">
        <w:rPr>
          <w:rStyle w:val="FootnoteReference"/>
          <w:sz w:val="16"/>
          <w:szCs w:val="16"/>
        </w:rPr>
        <w:footnoteRef/>
      </w:r>
      <w:r w:rsidRPr="00EF2CBF">
        <w:rPr>
          <w:sz w:val="16"/>
          <w:szCs w:val="16"/>
        </w:rPr>
        <w:t xml:space="preserve"> </w:t>
      </w:r>
      <w:proofErr w:type="spellStart"/>
      <w:r w:rsidRPr="00EF2CBF">
        <w:rPr>
          <w:rFonts w:cstheme="minorHAnsi"/>
          <w:color w:val="000000"/>
          <w:sz w:val="16"/>
          <w:szCs w:val="16"/>
          <w:shd w:val="clear" w:color="auto" w:fill="FFFFFF"/>
        </w:rPr>
        <w:t>Arnoff</w:t>
      </w:r>
      <w:proofErr w:type="spellEnd"/>
      <w:r w:rsidRPr="00EF2CBF">
        <w:rPr>
          <w:rFonts w:cstheme="minorHAnsi"/>
          <w:color w:val="000000"/>
          <w:sz w:val="16"/>
          <w:szCs w:val="16"/>
          <w:shd w:val="clear" w:color="auto" w:fill="FFFFFF"/>
        </w:rPr>
        <w:t xml:space="preserve"> H Stephen, </w:t>
      </w:r>
      <w:r w:rsidRPr="00EF2CBF">
        <w:rPr>
          <w:rFonts w:cstheme="minorHAnsi"/>
          <w:i/>
          <w:color w:val="000000"/>
          <w:sz w:val="16"/>
          <w:szCs w:val="16"/>
          <w:shd w:val="clear" w:color="auto" w:fill="FFFFFF"/>
        </w:rPr>
        <w:t xml:space="preserve">Seder </w:t>
      </w:r>
      <w:proofErr w:type="spellStart"/>
      <w:r w:rsidRPr="00EF2CBF">
        <w:rPr>
          <w:rFonts w:cstheme="minorHAnsi"/>
          <w:i/>
          <w:color w:val="000000"/>
          <w:sz w:val="16"/>
          <w:szCs w:val="16"/>
          <w:shd w:val="clear" w:color="auto" w:fill="FFFFFF"/>
        </w:rPr>
        <w:t>Nashim</w:t>
      </w:r>
      <w:proofErr w:type="spellEnd"/>
      <w:r w:rsidRPr="00EF2CBF">
        <w:rPr>
          <w:rFonts w:cstheme="minorHAnsi"/>
          <w:i/>
          <w:color w:val="000000"/>
          <w:sz w:val="16"/>
          <w:szCs w:val="16"/>
          <w:shd w:val="clear" w:color="auto" w:fill="FFFFFF"/>
        </w:rPr>
        <w:t xml:space="preserve"> (Women) </w:t>
      </w:r>
      <w:r w:rsidRPr="00EF2CBF">
        <w:rPr>
          <w:rFonts w:cstheme="minorHAnsi"/>
          <w:color w:val="000000"/>
          <w:sz w:val="16"/>
          <w:szCs w:val="16"/>
          <w:shd w:val="clear" w:color="auto" w:fill="FFFFFF"/>
        </w:rPr>
        <w:t xml:space="preserve">(2018) &lt; https://www.myjewishlearning.com/article/seder-nashim-women/ &gt; [accessed 26 </w:t>
      </w:r>
      <w:r w:rsidRPr="005E0564">
        <w:rPr>
          <w:rFonts w:cstheme="minorHAnsi"/>
          <w:color w:val="000000"/>
          <w:sz w:val="16"/>
          <w:szCs w:val="16"/>
          <w:shd w:val="clear" w:color="auto" w:fill="FFFFFF"/>
        </w:rPr>
        <w:t>September 2018].</w:t>
      </w:r>
    </w:p>
  </w:footnote>
  <w:footnote w:id="19">
    <w:p w14:paraId="2CBF78D8" w14:textId="5251848E" w:rsidR="004B7100" w:rsidRDefault="004B7100" w:rsidP="008617DB">
      <w:pPr>
        <w:pStyle w:val="FootnoteText"/>
      </w:pPr>
      <w:r>
        <w:rPr>
          <w:rStyle w:val="FootnoteReference"/>
        </w:rPr>
        <w:footnoteRef/>
      </w:r>
      <w:r>
        <w:t xml:space="preserve"> </w:t>
      </w:r>
      <w:r w:rsidR="002C0AE1">
        <w:t xml:space="preserve">J </w:t>
      </w:r>
      <w:proofErr w:type="gramStart"/>
      <w:r w:rsidRPr="005E0564">
        <w:rPr>
          <w:iCs/>
          <w:color w:val="000000"/>
          <w:sz w:val="16"/>
          <w:szCs w:val="16"/>
          <w:shd w:val="clear" w:color="auto" w:fill="FFFFFF"/>
        </w:rPr>
        <w:t>Wegner  Romney</w:t>
      </w:r>
      <w:proofErr w:type="gramEnd"/>
      <w:r w:rsidRPr="005E0564">
        <w:rPr>
          <w:iCs/>
          <w:color w:val="000000"/>
          <w:sz w:val="16"/>
          <w:szCs w:val="16"/>
          <w:shd w:val="clear" w:color="auto" w:fill="FFFFFF"/>
        </w:rPr>
        <w:t xml:space="preserve">, </w:t>
      </w:r>
      <w:r w:rsidRPr="005E0564">
        <w:rPr>
          <w:i/>
          <w:iCs/>
          <w:color w:val="000000"/>
          <w:sz w:val="16"/>
          <w:szCs w:val="16"/>
          <w:shd w:val="clear" w:color="auto" w:fill="FFFFFF"/>
        </w:rPr>
        <w:t xml:space="preserve">Chattel or person?: The status of women in the Mishnah. </w:t>
      </w:r>
      <w:r w:rsidRPr="005E0564">
        <w:rPr>
          <w:iCs/>
          <w:color w:val="000000"/>
          <w:sz w:val="16"/>
          <w:szCs w:val="16"/>
          <w:shd w:val="clear" w:color="auto" w:fill="FFFFFF"/>
        </w:rPr>
        <w:t>(London: Oxford University, 1980).</w:t>
      </w:r>
      <w:r>
        <w:rPr>
          <w:iCs/>
          <w:color w:val="000000"/>
          <w:sz w:val="16"/>
          <w:szCs w:val="16"/>
          <w:shd w:val="clear" w:color="auto" w:fill="FFFFFF"/>
        </w:rPr>
        <w:t xml:space="preserve"> Page 6. </w:t>
      </w:r>
    </w:p>
  </w:footnote>
  <w:footnote w:id="20">
    <w:p w14:paraId="0364581A" w14:textId="347EB8D7" w:rsidR="00FE7126" w:rsidRPr="008617DB" w:rsidRDefault="00FE7126" w:rsidP="008617DB">
      <w:pPr>
        <w:spacing w:line="240" w:lineRule="auto"/>
        <w:rPr>
          <w:iCs/>
          <w:color w:val="000000"/>
          <w:sz w:val="16"/>
          <w:szCs w:val="16"/>
          <w:shd w:val="clear" w:color="auto" w:fill="FFFFFF"/>
        </w:rPr>
      </w:pPr>
      <w:r>
        <w:rPr>
          <w:rStyle w:val="FootnoteReference"/>
        </w:rPr>
        <w:footnoteRef/>
      </w:r>
      <w:r>
        <w:t xml:space="preserve"> </w:t>
      </w:r>
      <w:r w:rsidR="002C0AE1">
        <w:t xml:space="preserve">J </w:t>
      </w:r>
      <w:proofErr w:type="gramStart"/>
      <w:r w:rsidRPr="005E0564">
        <w:rPr>
          <w:iCs/>
          <w:color w:val="000000"/>
          <w:sz w:val="16"/>
          <w:szCs w:val="16"/>
          <w:shd w:val="clear" w:color="auto" w:fill="FFFFFF"/>
        </w:rPr>
        <w:t>Wegner  Romney</w:t>
      </w:r>
      <w:proofErr w:type="gramEnd"/>
      <w:r w:rsidRPr="005E0564">
        <w:rPr>
          <w:iCs/>
          <w:color w:val="000000"/>
          <w:sz w:val="16"/>
          <w:szCs w:val="16"/>
          <w:shd w:val="clear" w:color="auto" w:fill="FFFFFF"/>
        </w:rPr>
        <w:t xml:space="preserve">, </w:t>
      </w:r>
      <w:r w:rsidRPr="005E0564">
        <w:rPr>
          <w:i/>
          <w:iCs/>
          <w:color w:val="000000"/>
          <w:sz w:val="16"/>
          <w:szCs w:val="16"/>
          <w:shd w:val="clear" w:color="auto" w:fill="FFFFFF"/>
        </w:rPr>
        <w:t xml:space="preserve">Chattel or person?: The status of women in the Mishnah. </w:t>
      </w:r>
      <w:r w:rsidRPr="005E0564">
        <w:rPr>
          <w:iCs/>
          <w:color w:val="000000"/>
          <w:sz w:val="16"/>
          <w:szCs w:val="16"/>
          <w:shd w:val="clear" w:color="auto" w:fill="FFFFFF"/>
        </w:rPr>
        <w:t>(London: Oxford University, 1980).</w:t>
      </w:r>
      <w:r>
        <w:rPr>
          <w:iCs/>
          <w:color w:val="000000"/>
          <w:sz w:val="16"/>
          <w:szCs w:val="16"/>
          <w:shd w:val="clear" w:color="auto" w:fill="FFFFFF"/>
        </w:rPr>
        <w:t xml:space="preserve"> Page 3. </w:t>
      </w:r>
    </w:p>
  </w:footnote>
  <w:footnote w:id="21">
    <w:p w14:paraId="73CD84A1" w14:textId="5CD19AAC" w:rsidR="005E0564" w:rsidRPr="005E0564" w:rsidRDefault="005E0564" w:rsidP="008617DB">
      <w:pPr>
        <w:spacing w:line="240" w:lineRule="auto"/>
        <w:rPr>
          <w:iCs/>
          <w:color w:val="000000"/>
          <w:sz w:val="16"/>
          <w:szCs w:val="16"/>
          <w:shd w:val="clear" w:color="auto" w:fill="FFFFFF"/>
        </w:rPr>
      </w:pPr>
      <w:r w:rsidRPr="005E0564">
        <w:rPr>
          <w:rStyle w:val="FootnoteReference"/>
          <w:sz w:val="16"/>
          <w:szCs w:val="16"/>
        </w:rPr>
        <w:footnoteRef/>
      </w:r>
      <w:r w:rsidRPr="005E0564">
        <w:rPr>
          <w:sz w:val="16"/>
          <w:szCs w:val="16"/>
        </w:rPr>
        <w:t xml:space="preserve"> </w:t>
      </w:r>
      <w:r w:rsidR="002C0AE1">
        <w:rPr>
          <w:sz w:val="16"/>
          <w:szCs w:val="16"/>
        </w:rPr>
        <w:t xml:space="preserve">J </w:t>
      </w:r>
      <w:r w:rsidRPr="005E0564">
        <w:rPr>
          <w:iCs/>
          <w:color w:val="000000"/>
          <w:sz w:val="16"/>
          <w:szCs w:val="16"/>
          <w:shd w:val="clear" w:color="auto" w:fill="FFFFFF"/>
        </w:rPr>
        <w:t xml:space="preserve">Wegner Romney, </w:t>
      </w:r>
      <w:r w:rsidRPr="005E0564">
        <w:rPr>
          <w:i/>
          <w:iCs/>
          <w:color w:val="000000"/>
          <w:sz w:val="16"/>
          <w:szCs w:val="16"/>
          <w:shd w:val="clear" w:color="auto" w:fill="FFFFFF"/>
        </w:rPr>
        <w:t xml:space="preserve">Chattel or </w:t>
      </w:r>
      <w:proofErr w:type="gramStart"/>
      <w:r w:rsidRPr="005E0564">
        <w:rPr>
          <w:i/>
          <w:iCs/>
          <w:color w:val="000000"/>
          <w:sz w:val="16"/>
          <w:szCs w:val="16"/>
          <w:shd w:val="clear" w:color="auto" w:fill="FFFFFF"/>
        </w:rPr>
        <w:t>person?:</w:t>
      </w:r>
      <w:proofErr w:type="gramEnd"/>
      <w:r w:rsidRPr="005E0564">
        <w:rPr>
          <w:i/>
          <w:iCs/>
          <w:color w:val="000000"/>
          <w:sz w:val="16"/>
          <w:szCs w:val="16"/>
          <w:shd w:val="clear" w:color="auto" w:fill="FFFFFF"/>
        </w:rPr>
        <w:t xml:space="preserve"> The status of women in the Mishnah. </w:t>
      </w:r>
      <w:r w:rsidRPr="005E0564">
        <w:rPr>
          <w:iCs/>
          <w:color w:val="000000"/>
          <w:sz w:val="16"/>
          <w:szCs w:val="16"/>
          <w:shd w:val="clear" w:color="auto" w:fill="FFFFFF"/>
        </w:rPr>
        <w:t>(London: Oxford University, 1980).</w:t>
      </w:r>
      <w:r>
        <w:rPr>
          <w:iCs/>
          <w:color w:val="000000"/>
          <w:sz w:val="16"/>
          <w:szCs w:val="16"/>
          <w:shd w:val="clear" w:color="auto" w:fill="FFFFFF"/>
        </w:rPr>
        <w:t xml:space="preserve"> Page 3. </w:t>
      </w:r>
    </w:p>
    <w:p w14:paraId="0F9C5077" w14:textId="566B073A" w:rsidR="005E0564" w:rsidRDefault="005E0564">
      <w:pPr>
        <w:pStyle w:val="FootnoteText"/>
      </w:pPr>
    </w:p>
  </w:footnote>
  <w:footnote w:id="22">
    <w:p w14:paraId="14FE7F34" w14:textId="469C0BFE" w:rsidR="00D4163B" w:rsidRPr="00BA5050" w:rsidRDefault="00D4163B" w:rsidP="00BA5050">
      <w:pPr>
        <w:spacing w:line="240" w:lineRule="auto"/>
        <w:rPr>
          <w:rFonts w:cstheme="minorHAnsi"/>
          <w:i/>
          <w:iCs/>
          <w:sz w:val="16"/>
          <w:szCs w:val="16"/>
          <w:shd w:val="clear" w:color="auto" w:fill="FFFFFF"/>
        </w:rPr>
      </w:pPr>
      <w:r w:rsidRPr="00511946">
        <w:rPr>
          <w:rStyle w:val="FootnoteReference"/>
          <w:rFonts w:cstheme="minorHAnsi"/>
          <w:sz w:val="16"/>
          <w:szCs w:val="16"/>
        </w:rPr>
        <w:footnoteRef/>
      </w:r>
      <w:r w:rsidRPr="00511946">
        <w:rPr>
          <w:rFonts w:cstheme="minorHAnsi"/>
          <w:sz w:val="16"/>
          <w:szCs w:val="16"/>
        </w:rPr>
        <w:t xml:space="preserve"> </w:t>
      </w:r>
      <w:r w:rsidRPr="00511946">
        <w:rPr>
          <w:rFonts w:cstheme="minorHAnsi"/>
          <w:sz w:val="16"/>
          <w:szCs w:val="16"/>
          <w:shd w:val="clear" w:color="auto" w:fill="FFFFFF"/>
        </w:rPr>
        <w:t>Baskin, Judith R, 'Chattel or Person: The Status of Women in the Mishnah', </w:t>
      </w:r>
      <w:r w:rsidRPr="00511946">
        <w:rPr>
          <w:rFonts w:cstheme="minorHAnsi"/>
          <w:i/>
          <w:iCs/>
          <w:sz w:val="16"/>
          <w:szCs w:val="16"/>
          <w:shd w:val="clear" w:color="auto" w:fill="FFFFFF"/>
        </w:rPr>
        <w:t>Book review</w:t>
      </w:r>
      <w:r w:rsidRPr="00511946">
        <w:rPr>
          <w:rFonts w:cstheme="minorHAnsi"/>
          <w:sz w:val="16"/>
          <w:szCs w:val="16"/>
          <w:shd w:val="clear" w:color="auto" w:fill="FFFFFF"/>
        </w:rPr>
        <w:t>, 42.4, (1988), 1, in </w:t>
      </w:r>
      <w:r w:rsidRPr="00511946">
        <w:rPr>
          <w:rFonts w:cstheme="minorHAnsi"/>
          <w:i/>
          <w:iCs/>
          <w:sz w:val="16"/>
          <w:szCs w:val="16"/>
          <w:shd w:val="clear" w:color="auto" w:fill="FFFFFF"/>
        </w:rPr>
        <w:t>ATLA Religion Database with ATLASerials &lt;https://web-b-ebscohost-com.ezproxy.uwtsd.ac.uk/ehost/detail/detail?vid=5&amp;sid=a2f47424-4f46-4fab-b29b-9ecd9243e03e%40sessionmgr102&amp;bdata=JnNpdGU9ZWhvc3QtbGl2ZQ%3d%3d#AN=ATLA0000645384&amp;db=rfh&gt; [accessed 28 September 2018].</w:t>
      </w:r>
    </w:p>
  </w:footnote>
  <w:footnote w:id="23">
    <w:p w14:paraId="69631AEC" w14:textId="13604710" w:rsidR="001C5A70" w:rsidRPr="00BA5050" w:rsidRDefault="001C5A70" w:rsidP="00BA5050">
      <w:pPr>
        <w:spacing w:line="240" w:lineRule="auto"/>
        <w:rPr>
          <w:rFonts w:cstheme="minorHAnsi"/>
          <w:sz w:val="16"/>
          <w:szCs w:val="16"/>
          <w:shd w:val="clear" w:color="auto" w:fill="FFFFFF"/>
        </w:rPr>
      </w:pPr>
      <w:r w:rsidRPr="00511946">
        <w:rPr>
          <w:rStyle w:val="FootnoteReference"/>
          <w:rFonts w:cstheme="minorHAnsi"/>
          <w:sz w:val="16"/>
          <w:szCs w:val="16"/>
        </w:rPr>
        <w:footnoteRef/>
      </w:r>
      <w:r w:rsidRPr="00511946">
        <w:rPr>
          <w:rFonts w:cstheme="minorHAnsi"/>
          <w:sz w:val="16"/>
          <w:szCs w:val="16"/>
        </w:rPr>
        <w:t xml:space="preserve"> </w:t>
      </w:r>
      <w:r w:rsidR="002C0AE1">
        <w:rPr>
          <w:rFonts w:cstheme="minorHAnsi"/>
          <w:sz w:val="16"/>
          <w:szCs w:val="16"/>
        </w:rPr>
        <w:t xml:space="preserve">L </w:t>
      </w:r>
      <w:proofErr w:type="spellStart"/>
      <w:r w:rsidR="007F6A6C" w:rsidRPr="00511946">
        <w:rPr>
          <w:rFonts w:cstheme="minorHAnsi"/>
          <w:sz w:val="16"/>
          <w:szCs w:val="16"/>
          <w:shd w:val="clear" w:color="auto" w:fill="FFFFFF"/>
        </w:rPr>
        <w:t>Rofes</w:t>
      </w:r>
      <w:proofErr w:type="spellEnd"/>
      <w:r w:rsidR="007F6A6C" w:rsidRPr="00511946">
        <w:rPr>
          <w:rFonts w:cstheme="minorHAnsi"/>
          <w:sz w:val="16"/>
          <w:szCs w:val="16"/>
          <w:shd w:val="clear" w:color="auto" w:fill="FFFFFF"/>
        </w:rPr>
        <w:t>, </w:t>
      </w:r>
      <w:r w:rsidR="007F6A6C" w:rsidRPr="00511946">
        <w:rPr>
          <w:rFonts w:cstheme="minorHAnsi"/>
          <w:i/>
          <w:iCs/>
          <w:sz w:val="16"/>
          <w:szCs w:val="16"/>
          <w:shd w:val="clear" w:color="auto" w:fill="FFFFFF"/>
        </w:rPr>
        <w:t xml:space="preserve">Why </w:t>
      </w:r>
      <w:proofErr w:type="gramStart"/>
      <w:r w:rsidR="007F6A6C" w:rsidRPr="00511946">
        <w:rPr>
          <w:rFonts w:cstheme="minorHAnsi"/>
          <w:i/>
          <w:iCs/>
          <w:sz w:val="16"/>
          <w:szCs w:val="16"/>
          <w:shd w:val="clear" w:color="auto" w:fill="FFFFFF"/>
        </w:rPr>
        <w:t>The</w:t>
      </w:r>
      <w:proofErr w:type="gramEnd"/>
      <w:r w:rsidR="007F6A6C" w:rsidRPr="00511946">
        <w:rPr>
          <w:rFonts w:cstheme="minorHAnsi"/>
          <w:i/>
          <w:iCs/>
          <w:sz w:val="16"/>
          <w:szCs w:val="16"/>
          <w:shd w:val="clear" w:color="auto" w:fill="FFFFFF"/>
        </w:rPr>
        <w:t xml:space="preserve"> Mishnah Is the Best Jewish Book You’ve Never Read</w:t>
      </w:r>
      <w:r w:rsidR="007F6A6C" w:rsidRPr="00511946">
        <w:rPr>
          <w:rFonts w:cstheme="minorHAnsi"/>
          <w:sz w:val="16"/>
          <w:szCs w:val="16"/>
          <w:shd w:val="clear" w:color="auto" w:fill="FFFFFF"/>
        </w:rPr>
        <w:t> (2018) &lt; https://www.myjewishlearning.com/article/why-the-mishnah-is-the-best-jewish-book-youve-never-read/ &gt; [accessed 26 September 2018].</w:t>
      </w:r>
    </w:p>
  </w:footnote>
  <w:footnote w:id="24">
    <w:p w14:paraId="1A0CAF7F" w14:textId="2B86EE3A" w:rsidR="001C5A70" w:rsidRDefault="001C5A70" w:rsidP="00BA5050">
      <w:pPr>
        <w:pStyle w:val="FootnoteText"/>
      </w:pPr>
      <w:r w:rsidRPr="00511946">
        <w:rPr>
          <w:rStyle w:val="FootnoteReference"/>
          <w:rFonts w:cstheme="minorHAnsi"/>
          <w:sz w:val="16"/>
          <w:szCs w:val="16"/>
        </w:rPr>
        <w:footnoteRef/>
      </w:r>
      <w:r w:rsidRPr="00511946">
        <w:rPr>
          <w:rFonts w:cstheme="minorHAnsi"/>
          <w:sz w:val="16"/>
          <w:szCs w:val="16"/>
        </w:rPr>
        <w:t xml:space="preserve"> </w:t>
      </w:r>
      <w:proofErr w:type="spellStart"/>
      <w:proofErr w:type="gramStart"/>
      <w:r w:rsidRPr="00511946">
        <w:rPr>
          <w:rFonts w:cstheme="minorHAnsi"/>
          <w:sz w:val="16"/>
          <w:szCs w:val="16"/>
        </w:rPr>
        <w:t>J</w:t>
      </w:r>
      <w:r w:rsidR="00511946" w:rsidRPr="00511946">
        <w:rPr>
          <w:rFonts w:cstheme="minorHAnsi"/>
          <w:sz w:val="16"/>
          <w:szCs w:val="16"/>
        </w:rPr>
        <w:t>,</w:t>
      </w:r>
      <w:r w:rsidRPr="00511946">
        <w:rPr>
          <w:rFonts w:cstheme="minorHAnsi"/>
          <w:sz w:val="16"/>
          <w:szCs w:val="16"/>
        </w:rPr>
        <w:t>Neusner</w:t>
      </w:r>
      <w:proofErr w:type="spellEnd"/>
      <w:proofErr w:type="gramEnd"/>
      <w:r w:rsidR="00511946" w:rsidRPr="00511946">
        <w:rPr>
          <w:rFonts w:cstheme="minorHAnsi"/>
          <w:sz w:val="16"/>
          <w:szCs w:val="16"/>
        </w:rPr>
        <w:t>.</w:t>
      </w:r>
      <w:r w:rsidRPr="00511946">
        <w:rPr>
          <w:rFonts w:cstheme="minorHAnsi"/>
          <w:sz w:val="16"/>
          <w:szCs w:val="16"/>
        </w:rPr>
        <w:t xml:space="preserve"> </w:t>
      </w:r>
      <w:r w:rsidR="00511946" w:rsidRPr="00511946">
        <w:rPr>
          <w:rFonts w:cstheme="minorHAnsi"/>
          <w:i/>
          <w:sz w:val="16"/>
          <w:szCs w:val="16"/>
        </w:rPr>
        <w:t>A</w:t>
      </w:r>
      <w:r w:rsidRPr="00511946">
        <w:rPr>
          <w:rFonts w:cstheme="minorHAnsi"/>
          <w:i/>
          <w:sz w:val="16"/>
          <w:szCs w:val="16"/>
        </w:rPr>
        <w:t xml:space="preserve">pproaches to </w:t>
      </w:r>
      <w:r w:rsidR="00511946" w:rsidRPr="00511946">
        <w:rPr>
          <w:rFonts w:cstheme="minorHAnsi"/>
          <w:i/>
          <w:sz w:val="16"/>
          <w:szCs w:val="16"/>
        </w:rPr>
        <w:t>A</w:t>
      </w:r>
      <w:r w:rsidRPr="00511946">
        <w:rPr>
          <w:rFonts w:cstheme="minorHAnsi"/>
          <w:i/>
          <w:sz w:val="16"/>
          <w:szCs w:val="16"/>
        </w:rPr>
        <w:t>ncient Judaism</w:t>
      </w:r>
      <w:r w:rsidRPr="00511946">
        <w:rPr>
          <w:rFonts w:cstheme="minorHAnsi"/>
          <w:sz w:val="16"/>
          <w:szCs w:val="16"/>
        </w:rPr>
        <w:t>,</w:t>
      </w:r>
      <w:r w:rsidR="00511946" w:rsidRPr="00511946">
        <w:rPr>
          <w:rFonts w:cstheme="minorHAnsi"/>
          <w:sz w:val="16"/>
          <w:szCs w:val="16"/>
        </w:rPr>
        <w:t xml:space="preserve"> (Atlanta: Scholars press, 1999) P</w:t>
      </w:r>
      <w:r w:rsidRPr="00511946">
        <w:rPr>
          <w:rFonts w:cstheme="minorHAnsi"/>
          <w:sz w:val="16"/>
          <w:szCs w:val="16"/>
        </w:rPr>
        <w:t>age 48</w:t>
      </w:r>
      <w:r w:rsidR="00511946" w:rsidRPr="00511946">
        <w:rPr>
          <w:rFonts w:cstheme="minorHAnsi"/>
          <w:sz w:val="16"/>
          <w:szCs w:val="16"/>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601AB7" w14:textId="564A1721" w:rsidR="00CE5F84" w:rsidRDefault="00CE5F84">
    <w:pPr>
      <w:pStyle w:val="Header"/>
    </w:pPr>
    <w:r>
      <w:t>Emily Ruth Davies Stephens (1600586)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4683"/>
    <w:rsid w:val="00007FAE"/>
    <w:rsid w:val="0001092C"/>
    <w:rsid w:val="000211AE"/>
    <w:rsid w:val="00021DD3"/>
    <w:rsid w:val="00023065"/>
    <w:rsid w:val="0003282B"/>
    <w:rsid w:val="00070E4C"/>
    <w:rsid w:val="0007627E"/>
    <w:rsid w:val="0009446B"/>
    <w:rsid w:val="000A6C88"/>
    <w:rsid w:val="00112BD0"/>
    <w:rsid w:val="0011332A"/>
    <w:rsid w:val="001360BD"/>
    <w:rsid w:val="00144353"/>
    <w:rsid w:val="0015000B"/>
    <w:rsid w:val="00153CEF"/>
    <w:rsid w:val="00180854"/>
    <w:rsid w:val="0018112D"/>
    <w:rsid w:val="001A7CC8"/>
    <w:rsid w:val="001B69C2"/>
    <w:rsid w:val="001C5A70"/>
    <w:rsid w:val="001F2B96"/>
    <w:rsid w:val="001F3CE4"/>
    <w:rsid w:val="002044A2"/>
    <w:rsid w:val="0022566A"/>
    <w:rsid w:val="00236372"/>
    <w:rsid w:val="00240A9E"/>
    <w:rsid w:val="00251DE1"/>
    <w:rsid w:val="002702F5"/>
    <w:rsid w:val="002A7A48"/>
    <w:rsid w:val="002B1AC1"/>
    <w:rsid w:val="002C0AE1"/>
    <w:rsid w:val="002C3F8C"/>
    <w:rsid w:val="002D3E72"/>
    <w:rsid w:val="002F611C"/>
    <w:rsid w:val="003106E7"/>
    <w:rsid w:val="00334E33"/>
    <w:rsid w:val="00362B0F"/>
    <w:rsid w:val="00380177"/>
    <w:rsid w:val="0038795C"/>
    <w:rsid w:val="003915B8"/>
    <w:rsid w:val="003A0AC8"/>
    <w:rsid w:val="003A2C40"/>
    <w:rsid w:val="003A38B6"/>
    <w:rsid w:val="003A521B"/>
    <w:rsid w:val="003A63A2"/>
    <w:rsid w:val="003A68C6"/>
    <w:rsid w:val="003D3127"/>
    <w:rsid w:val="0041188F"/>
    <w:rsid w:val="004447F4"/>
    <w:rsid w:val="0045127F"/>
    <w:rsid w:val="0049316A"/>
    <w:rsid w:val="004A553F"/>
    <w:rsid w:val="004B64EA"/>
    <w:rsid w:val="004B7100"/>
    <w:rsid w:val="004F78CA"/>
    <w:rsid w:val="00501633"/>
    <w:rsid w:val="0050251A"/>
    <w:rsid w:val="00511946"/>
    <w:rsid w:val="00522326"/>
    <w:rsid w:val="00537D36"/>
    <w:rsid w:val="00552629"/>
    <w:rsid w:val="00554124"/>
    <w:rsid w:val="00554864"/>
    <w:rsid w:val="00562BD7"/>
    <w:rsid w:val="00563A42"/>
    <w:rsid w:val="00587177"/>
    <w:rsid w:val="00593B7D"/>
    <w:rsid w:val="00594EC2"/>
    <w:rsid w:val="005A7DA2"/>
    <w:rsid w:val="005C3ED1"/>
    <w:rsid w:val="005D44E6"/>
    <w:rsid w:val="005E0564"/>
    <w:rsid w:val="005E562C"/>
    <w:rsid w:val="005F0C16"/>
    <w:rsid w:val="00605631"/>
    <w:rsid w:val="00612984"/>
    <w:rsid w:val="006333FD"/>
    <w:rsid w:val="006437C3"/>
    <w:rsid w:val="00650E84"/>
    <w:rsid w:val="00664F93"/>
    <w:rsid w:val="00670FB1"/>
    <w:rsid w:val="00682013"/>
    <w:rsid w:val="00694547"/>
    <w:rsid w:val="006B5AFD"/>
    <w:rsid w:val="006C1B49"/>
    <w:rsid w:val="00703E5B"/>
    <w:rsid w:val="00715FFB"/>
    <w:rsid w:val="00734CC0"/>
    <w:rsid w:val="007458E3"/>
    <w:rsid w:val="007702AE"/>
    <w:rsid w:val="00793B3E"/>
    <w:rsid w:val="007F5F70"/>
    <w:rsid w:val="007F6A6C"/>
    <w:rsid w:val="00804252"/>
    <w:rsid w:val="008255DD"/>
    <w:rsid w:val="00831280"/>
    <w:rsid w:val="0085248D"/>
    <w:rsid w:val="0085328E"/>
    <w:rsid w:val="0086141D"/>
    <w:rsid w:val="008617DB"/>
    <w:rsid w:val="008756D4"/>
    <w:rsid w:val="008B6E70"/>
    <w:rsid w:val="008C1C46"/>
    <w:rsid w:val="008D58C6"/>
    <w:rsid w:val="008E46A0"/>
    <w:rsid w:val="008F6BFD"/>
    <w:rsid w:val="00914454"/>
    <w:rsid w:val="009243AB"/>
    <w:rsid w:val="00925C2F"/>
    <w:rsid w:val="00945DDC"/>
    <w:rsid w:val="00977ADA"/>
    <w:rsid w:val="00992C82"/>
    <w:rsid w:val="009A1685"/>
    <w:rsid w:val="009A1C9F"/>
    <w:rsid w:val="009B4242"/>
    <w:rsid w:val="009B516A"/>
    <w:rsid w:val="009C53AD"/>
    <w:rsid w:val="009C7AE0"/>
    <w:rsid w:val="009E120C"/>
    <w:rsid w:val="009E7BE3"/>
    <w:rsid w:val="009F4C86"/>
    <w:rsid w:val="00A003D0"/>
    <w:rsid w:val="00A0239C"/>
    <w:rsid w:val="00A355E8"/>
    <w:rsid w:val="00A36013"/>
    <w:rsid w:val="00A41D5A"/>
    <w:rsid w:val="00A51F7F"/>
    <w:rsid w:val="00A62C3F"/>
    <w:rsid w:val="00A91DDA"/>
    <w:rsid w:val="00AA1319"/>
    <w:rsid w:val="00AE3FF1"/>
    <w:rsid w:val="00AF51F3"/>
    <w:rsid w:val="00B10646"/>
    <w:rsid w:val="00B3197A"/>
    <w:rsid w:val="00B47599"/>
    <w:rsid w:val="00B516DF"/>
    <w:rsid w:val="00B52829"/>
    <w:rsid w:val="00B63232"/>
    <w:rsid w:val="00B728E6"/>
    <w:rsid w:val="00B9116E"/>
    <w:rsid w:val="00BA5050"/>
    <w:rsid w:val="00BB4D0D"/>
    <w:rsid w:val="00BB63CB"/>
    <w:rsid w:val="00BE03E3"/>
    <w:rsid w:val="00BE5D0B"/>
    <w:rsid w:val="00C453C2"/>
    <w:rsid w:val="00C85F62"/>
    <w:rsid w:val="00C97A9C"/>
    <w:rsid w:val="00CA3413"/>
    <w:rsid w:val="00CE2A27"/>
    <w:rsid w:val="00CE5F84"/>
    <w:rsid w:val="00CF23A6"/>
    <w:rsid w:val="00D01CC0"/>
    <w:rsid w:val="00D05223"/>
    <w:rsid w:val="00D304C7"/>
    <w:rsid w:val="00D4163B"/>
    <w:rsid w:val="00D4641D"/>
    <w:rsid w:val="00D71132"/>
    <w:rsid w:val="00D816A4"/>
    <w:rsid w:val="00D845BB"/>
    <w:rsid w:val="00DA7CA3"/>
    <w:rsid w:val="00DD2434"/>
    <w:rsid w:val="00DD3246"/>
    <w:rsid w:val="00DD4A7D"/>
    <w:rsid w:val="00DF136D"/>
    <w:rsid w:val="00DF34CA"/>
    <w:rsid w:val="00DF697B"/>
    <w:rsid w:val="00E01A4D"/>
    <w:rsid w:val="00E2658D"/>
    <w:rsid w:val="00E358EE"/>
    <w:rsid w:val="00E45FDA"/>
    <w:rsid w:val="00E57D72"/>
    <w:rsid w:val="00E65FD3"/>
    <w:rsid w:val="00E8142A"/>
    <w:rsid w:val="00E845D3"/>
    <w:rsid w:val="00E93597"/>
    <w:rsid w:val="00EB0663"/>
    <w:rsid w:val="00EB3D2A"/>
    <w:rsid w:val="00ED4907"/>
    <w:rsid w:val="00EE4986"/>
    <w:rsid w:val="00F4372C"/>
    <w:rsid w:val="00F46F21"/>
    <w:rsid w:val="00F5314F"/>
    <w:rsid w:val="00F55366"/>
    <w:rsid w:val="00F63018"/>
    <w:rsid w:val="00F64D94"/>
    <w:rsid w:val="00F66153"/>
    <w:rsid w:val="00F840AF"/>
    <w:rsid w:val="00F90A11"/>
    <w:rsid w:val="00FA44F9"/>
    <w:rsid w:val="00FD0EFE"/>
    <w:rsid w:val="00FD3F9E"/>
    <w:rsid w:val="00FD4683"/>
    <w:rsid w:val="00FD711E"/>
    <w:rsid w:val="00FE7126"/>
    <w:rsid w:val="00FE7EE2"/>
    <w:rsid w:val="00FF0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1FA0F"/>
  <w15:chartTrackingRefBased/>
  <w15:docId w15:val="{3217A7B7-E915-44E0-BABF-1FC18FC81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5">
    <w:name w:val="heading 5"/>
    <w:basedOn w:val="Normal"/>
    <w:link w:val="Heading5Char"/>
    <w:uiPriority w:val="9"/>
    <w:qFormat/>
    <w:rsid w:val="00670FB1"/>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locked/>
    <w:rsid w:val="00FD4683"/>
  </w:style>
  <w:style w:type="paragraph" w:styleId="ListParagraph">
    <w:name w:val="List Paragraph"/>
    <w:basedOn w:val="Normal"/>
    <w:link w:val="ListParagraphChar"/>
    <w:qFormat/>
    <w:rsid w:val="00FD4683"/>
    <w:pPr>
      <w:spacing w:after="200" w:line="276" w:lineRule="auto"/>
      <w:ind w:left="720"/>
      <w:contextualSpacing/>
    </w:pPr>
  </w:style>
  <w:style w:type="paragraph" w:styleId="FootnoteText">
    <w:name w:val="footnote text"/>
    <w:basedOn w:val="Normal"/>
    <w:link w:val="FootnoteTextChar"/>
    <w:uiPriority w:val="99"/>
    <w:semiHidden/>
    <w:unhideWhenUsed/>
    <w:rsid w:val="00FD468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4683"/>
    <w:rPr>
      <w:sz w:val="20"/>
      <w:szCs w:val="20"/>
    </w:rPr>
  </w:style>
  <w:style w:type="character" w:styleId="FootnoteReference">
    <w:name w:val="footnote reference"/>
    <w:basedOn w:val="DefaultParagraphFont"/>
    <w:uiPriority w:val="99"/>
    <w:semiHidden/>
    <w:unhideWhenUsed/>
    <w:rsid w:val="00FD4683"/>
    <w:rPr>
      <w:vertAlign w:val="superscript"/>
    </w:rPr>
  </w:style>
  <w:style w:type="paragraph" w:styleId="Header">
    <w:name w:val="header"/>
    <w:basedOn w:val="Normal"/>
    <w:link w:val="HeaderChar"/>
    <w:uiPriority w:val="99"/>
    <w:unhideWhenUsed/>
    <w:rsid w:val="001F2B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2B96"/>
  </w:style>
  <w:style w:type="paragraph" w:styleId="Footer">
    <w:name w:val="footer"/>
    <w:basedOn w:val="Normal"/>
    <w:link w:val="FooterChar"/>
    <w:uiPriority w:val="99"/>
    <w:unhideWhenUsed/>
    <w:rsid w:val="001F2B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2B96"/>
  </w:style>
  <w:style w:type="character" w:styleId="Hyperlink">
    <w:name w:val="Hyperlink"/>
    <w:basedOn w:val="DefaultParagraphFont"/>
    <w:uiPriority w:val="99"/>
    <w:unhideWhenUsed/>
    <w:rsid w:val="0086141D"/>
    <w:rPr>
      <w:color w:val="0563C1" w:themeColor="hyperlink"/>
      <w:u w:val="single"/>
    </w:rPr>
  </w:style>
  <w:style w:type="character" w:customStyle="1" w:styleId="UnresolvedMention1">
    <w:name w:val="Unresolved Mention1"/>
    <w:basedOn w:val="DefaultParagraphFont"/>
    <w:uiPriority w:val="99"/>
    <w:semiHidden/>
    <w:unhideWhenUsed/>
    <w:rsid w:val="0086141D"/>
    <w:rPr>
      <w:color w:val="605E5C"/>
      <w:shd w:val="clear" w:color="auto" w:fill="E1DFDD"/>
    </w:rPr>
  </w:style>
  <w:style w:type="character" w:styleId="Strong">
    <w:name w:val="Strong"/>
    <w:basedOn w:val="DefaultParagraphFont"/>
    <w:uiPriority w:val="22"/>
    <w:qFormat/>
    <w:rsid w:val="00605631"/>
    <w:rPr>
      <w:b/>
      <w:bCs/>
    </w:rPr>
  </w:style>
  <w:style w:type="character" w:customStyle="1" w:styleId="Heading5Char">
    <w:name w:val="Heading 5 Char"/>
    <w:basedOn w:val="DefaultParagraphFont"/>
    <w:link w:val="Heading5"/>
    <w:uiPriority w:val="9"/>
    <w:rsid w:val="00670FB1"/>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838833">
      <w:bodyDiv w:val="1"/>
      <w:marLeft w:val="0"/>
      <w:marRight w:val="0"/>
      <w:marTop w:val="0"/>
      <w:marBottom w:val="0"/>
      <w:divBdr>
        <w:top w:val="none" w:sz="0" w:space="0" w:color="auto"/>
        <w:left w:val="none" w:sz="0" w:space="0" w:color="auto"/>
        <w:bottom w:val="none" w:sz="0" w:space="0" w:color="auto"/>
        <w:right w:val="none" w:sz="0" w:space="0" w:color="auto"/>
      </w:divBdr>
    </w:div>
    <w:div w:id="1287547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3F4243-5A4D-4D4B-99EE-F0D15A40F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11</Pages>
  <Words>2473</Words>
  <Characters>14099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14</cp:revision>
  <dcterms:created xsi:type="dcterms:W3CDTF">2018-10-03T20:48:00Z</dcterms:created>
  <dcterms:modified xsi:type="dcterms:W3CDTF">2018-10-03T22:10:00Z</dcterms:modified>
</cp:coreProperties>
</file>