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4B87E2" w14:textId="7CE3E624" w:rsidR="00E57DD6" w:rsidRDefault="00CD5BF6" w:rsidP="00E57DD6">
      <w:r>
        <w:rPr>
          <w:noProof/>
        </w:rPr>
        <w:drawing>
          <wp:inline distT="0" distB="0" distL="0" distR="0" wp14:anchorId="5D4D83A7" wp14:editId="34AC84C0">
            <wp:extent cx="2133600" cy="1577340"/>
            <wp:effectExtent l="0" t="0" r="0" b="3810"/>
            <wp:docPr id="1562957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33600" cy="1577340"/>
                    </a:xfrm>
                    <a:prstGeom prst="rect">
                      <a:avLst/>
                    </a:prstGeom>
                    <a:noFill/>
                    <a:ln>
                      <a:noFill/>
                    </a:ln>
                  </pic:spPr>
                </pic:pic>
              </a:graphicData>
            </a:graphic>
          </wp:inline>
        </w:drawing>
      </w:r>
    </w:p>
    <w:p w14:paraId="39B1FFFF" w14:textId="77777777" w:rsidR="007E2AA1" w:rsidRDefault="007E2AA1" w:rsidP="00E57DD6"/>
    <w:p w14:paraId="3840AE35" w14:textId="77777777" w:rsidR="005D7170" w:rsidRDefault="005D7170" w:rsidP="00E57DD6"/>
    <w:p w14:paraId="4671ADB6" w14:textId="77777777" w:rsidR="005D7170" w:rsidRDefault="005D7170" w:rsidP="00E57DD6"/>
    <w:p w14:paraId="3BBD67A9" w14:textId="77777777" w:rsidR="005D7170" w:rsidRDefault="005D7170" w:rsidP="00E57DD6"/>
    <w:p w14:paraId="28A09A20" w14:textId="77777777" w:rsidR="00F61A66" w:rsidRDefault="00F61A66" w:rsidP="00E57DD6"/>
    <w:p w14:paraId="7D510E30" w14:textId="77777777" w:rsidR="001F503E" w:rsidRPr="00F9238F" w:rsidRDefault="001F503E">
      <w:pPr>
        <w:rPr>
          <w:b/>
          <w:bCs/>
        </w:rPr>
      </w:pPr>
      <w:r w:rsidRPr="00F9238F">
        <w:rPr>
          <w:b/>
          <w:bCs/>
        </w:rPr>
        <w:t>STUDENT NAME</w:t>
      </w:r>
      <w:r>
        <w:rPr>
          <w:b/>
          <w:bCs/>
        </w:rPr>
        <w:t>: Teresa Sansone</w:t>
      </w:r>
    </w:p>
    <w:p w14:paraId="299A51E8" w14:textId="77777777" w:rsidR="001F503E" w:rsidRPr="00F9238F" w:rsidRDefault="001F503E">
      <w:pPr>
        <w:rPr>
          <w:b/>
          <w:bCs/>
        </w:rPr>
      </w:pPr>
      <w:r w:rsidRPr="00F9238F">
        <w:rPr>
          <w:b/>
          <w:bCs/>
        </w:rPr>
        <w:t>STUDENT NUMBER</w:t>
      </w:r>
      <w:r>
        <w:rPr>
          <w:b/>
          <w:bCs/>
        </w:rPr>
        <w:t>: 2422964</w:t>
      </w:r>
    </w:p>
    <w:p w14:paraId="2044FE89" w14:textId="77777777" w:rsidR="001F503E" w:rsidRPr="00F9238F" w:rsidRDefault="001F503E">
      <w:pPr>
        <w:rPr>
          <w:b/>
          <w:bCs/>
        </w:rPr>
      </w:pPr>
      <w:r w:rsidRPr="00F9238F">
        <w:rPr>
          <w:b/>
          <w:bCs/>
        </w:rPr>
        <w:t>LECTURER’S NAME</w:t>
      </w:r>
      <w:r>
        <w:rPr>
          <w:b/>
          <w:bCs/>
        </w:rPr>
        <w:t xml:space="preserve">: Amanda Jones </w:t>
      </w:r>
    </w:p>
    <w:p w14:paraId="11E58BAA" w14:textId="71F2AA59" w:rsidR="001F503E" w:rsidRDefault="001F503E">
      <w:pPr>
        <w:rPr>
          <w:b/>
          <w:bCs/>
        </w:rPr>
      </w:pPr>
      <w:r w:rsidRPr="00F9238F">
        <w:rPr>
          <w:b/>
          <w:bCs/>
        </w:rPr>
        <w:t>MODULE NUMBER</w:t>
      </w:r>
      <w:r>
        <w:rPr>
          <w:b/>
          <w:bCs/>
        </w:rPr>
        <w:t>:</w:t>
      </w:r>
      <w:r w:rsidRPr="005266CB">
        <w:rPr>
          <w:rFonts w:ascii="Segoe UI" w:eastAsia="Times New Roman" w:hAnsi="Segoe UI" w:cs="Segoe UI"/>
          <w:color w:val="1D2125"/>
          <w:sz w:val="36"/>
          <w:szCs w:val="36"/>
          <w:shd w:val="clear" w:color="auto" w:fill="FFFFFF"/>
        </w:rPr>
        <w:t xml:space="preserve"> </w:t>
      </w:r>
      <w:r>
        <w:rPr>
          <w:rFonts w:ascii="Segoe UI" w:eastAsia="Times New Roman" w:hAnsi="Segoe UI" w:cs="Segoe UI"/>
          <w:color w:val="1D2125"/>
          <w:sz w:val="36"/>
          <w:szCs w:val="36"/>
          <w:shd w:val="clear" w:color="auto" w:fill="FFFFFF"/>
        </w:rPr>
        <w:t xml:space="preserve">BMHP5021-Component </w:t>
      </w:r>
      <w:r w:rsidR="00071B15">
        <w:rPr>
          <w:rFonts w:ascii="Segoe UI" w:eastAsia="Times New Roman" w:hAnsi="Segoe UI" w:cs="Segoe UI"/>
          <w:color w:val="1D2125"/>
          <w:sz w:val="36"/>
          <w:szCs w:val="36"/>
          <w:shd w:val="clear" w:color="auto" w:fill="FFFFFF"/>
        </w:rPr>
        <w:t>2</w:t>
      </w:r>
    </w:p>
    <w:p w14:paraId="2E2BAD95" w14:textId="77777777" w:rsidR="001F503E" w:rsidRDefault="001F503E">
      <w:pPr>
        <w:rPr>
          <w:b/>
          <w:bCs/>
        </w:rPr>
      </w:pPr>
    </w:p>
    <w:p w14:paraId="6830372F" w14:textId="77777777" w:rsidR="001F503E" w:rsidRDefault="001F503E">
      <w:pPr>
        <w:rPr>
          <w:b/>
          <w:bCs/>
        </w:rPr>
      </w:pPr>
    </w:p>
    <w:p w14:paraId="56221562" w14:textId="77777777" w:rsidR="00F61A66" w:rsidRDefault="00F61A66" w:rsidP="00E57DD6"/>
    <w:p w14:paraId="296E1F40" w14:textId="77777777" w:rsidR="00B87412" w:rsidRDefault="00B87412" w:rsidP="00E57DD6"/>
    <w:p w14:paraId="3CA72468" w14:textId="77777777" w:rsidR="00B87412" w:rsidRDefault="00B87412" w:rsidP="00E57DD6"/>
    <w:p w14:paraId="0DA58932" w14:textId="77777777" w:rsidR="00B87412" w:rsidRDefault="00B87412" w:rsidP="00E57DD6"/>
    <w:p w14:paraId="140A0CD3" w14:textId="77777777" w:rsidR="00B87412" w:rsidRDefault="00B87412" w:rsidP="00E57DD6"/>
    <w:p w14:paraId="28BAFDCD" w14:textId="77777777" w:rsidR="00B87412" w:rsidRDefault="00B87412" w:rsidP="00E57DD6"/>
    <w:p w14:paraId="38E563C2" w14:textId="77777777" w:rsidR="00B87412" w:rsidRDefault="00B87412" w:rsidP="00E57DD6"/>
    <w:p w14:paraId="1315088D" w14:textId="77777777" w:rsidR="00B87412" w:rsidRDefault="00B87412" w:rsidP="00E57DD6"/>
    <w:p w14:paraId="79E70792" w14:textId="77777777" w:rsidR="00B87412" w:rsidRDefault="00B87412" w:rsidP="00E57DD6"/>
    <w:p w14:paraId="22BA63A7" w14:textId="77777777" w:rsidR="00B87412" w:rsidRDefault="00B87412" w:rsidP="00E57DD6"/>
    <w:p w14:paraId="5166A0DC" w14:textId="77777777" w:rsidR="00B87412" w:rsidRDefault="00B87412" w:rsidP="00E57DD6"/>
    <w:p w14:paraId="4F7A1D92" w14:textId="49481C98" w:rsidR="00210581" w:rsidRPr="000B1439" w:rsidRDefault="000B1439" w:rsidP="00210581">
      <w:pPr>
        <w:spacing w:before="100" w:beforeAutospacing="1" w:after="100" w:afterAutospacing="1" w:line="240" w:lineRule="auto"/>
        <w:rPr>
          <w:rFonts w:ascii="Arial" w:hAnsi="Arial" w:cs="Arial"/>
          <w:b/>
          <w:kern w:val="0"/>
          <w14:ligatures w14:val="none"/>
        </w:rPr>
      </w:pPr>
      <w:r>
        <w:rPr>
          <w:rFonts w:ascii="Arial" w:hAnsi="Arial" w:cs="Arial"/>
          <w:b/>
          <w:bCs/>
          <w:kern w:val="0"/>
          <w14:ligatures w14:val="none"/>
        </w:rPr>
        <w:t xml:space="preserve">     </w:t>
      </w:r>
      <w:r w:rsidR="00210581" w:rsidRPr="000B1439">
        <w:rPr>
          <w:rFonts w:ascii="Arial" w:hAnsi="Arial" w:cs="Arial"/>
          <w:b/>
          <w:kern w:val="0"/>
          <w14:ligatures w14:val="none"/>
        </w:rPr>
        <w:t>Table of Contents</w:t>
      </w:r>
    </w:p>
    <w:p w14:paraId="02020E4E" w14:textId="77777777" w:rsidR="00EA7F64" w:rsidRDefault="00EA7F64" w:rsidP="00210581">
      <w:pPr>
        <w:spacing w:before="100" w:beforeAutospacing="1" w:after="100" w:afterAutospacing="1" w:line="240" w:lineRule="auto"/>
        <w:rPr>
          <w:rFonts w:ascii="Times New Roman" w:hAnsi="Times New Roman" w:cs="Times New Roman"/>
          <w:b/>
          <w:bCs/>
          <w:kern w:val="0"/>
          <w14:ligatures w14:val="none"/>
        </w:rPr>
      </w:pPr>
    </w:p>
    <w:p w14:paraId="19E106EE" w14:textId="77777777" w:rsidR="00EA7F64" w:rsidRPr="00210581" w:rsidRDefault="00EA7F64" w:rsidP="00210581">
      <w:pPr>
        <w:spacing w:before="100" w:beforeAutospacing="1" w:after="100" w:afterAutospacing="1" w:line="240" w:lineRule="auto"/>
        <w:rPr>
          <w:rFonts w:ascii="Times New Roman" w:hAnsi="Times New Roman" w:cs="Times New Roman"/>
          <w:kern w:val="0"/>
          <w14:ligatures w14:val="none"/>
        </w:rPr>
      </w:pPr>
    </w:p>
    <w:p w14:paraId="0D021794" w14:textId="058EAA55" w:rsidR="00CA5141" w:rsidRPr="006440D5" w:rsidRDefault="00210581" w:rsidP="006440D5">
      <w:pPr>
        <w:numPr>
          <w:ilvl w:val="0"/>
          <w:numId w:val="1"/>
        </w:numPr>
        <w:spacing w:before="100" w:beforeAutospacing="1" w:after="100" w:afterAutospacing="1" w:line="360" w:lineRule="auto"/>
        <w:ind w:left="714" w:hanging="357"/>
        <w:rPr>
          <w:rFonts w:ascii="Arial" w:eastAsia="Times New Roman" w:hAnsi="Arial" w:cs="Arial"/>
          <w:kern w:val="0"/>
          <w14:ligatures w14:val="none"/>
        </w:rPr>
      </w:pPr>
      <w:r w:rsidRPr="001033DE">
        <w:rPr>
          <w:rFonts w:ascii="Arial" w:eastAsia="Times New Roman" w:hAnsi="Arial" w:cs="Arial"/>
          <w:kern w:val="0"/>
          <w14:ligatures w14:val="none"/>
        </w:rPr>
        <w:t>Introduction</w:t>
      </w:r>
      <w:r w:rsidR="001033DE">
        <w:rPr>
          <w:rFonts w:ascii="Arial" w:eastAsia="Times New Roman" w:hAnsi="Arial" w:cs="Arial"/>
          <w:kern w:val="0"/>
          <w14:ligatures w14:val="none"/>
        </w:rPr>
        <w:t>…………………………………</w:t>
      </w:r>
      <w:r w:rsidR="0056048B">
        <w:rPr>
          <w:rFonts w:ascii="Arial" w:eastAsia="Times New Roman" w:hAnsi="Arial" w:cs="Arial"/>
          <w:kern w:val="0"/>
          <w14:ligatures w14:val="none"/>
        </w:rPr>
        <w:t>3</w:t>
      </w:r>
    </w:p>
    <w:p w14:paraId="4E646F69" w14:textId="2CF310A8" w:rsidR="00210581" w:rsidRPr="006440D5" w:rsidRDefault="00210581" w:rsidP="006440D5">
      <w:pPr>
        <w:numPr>
          <w:ilvl w:val="0"/>
          <w:numId w:val="1"/>
        </w:numPr>
        <w:spacing w:before="100" w:beforeAutospacing="1" w:after="100" w:afterAutospacing="1" w:line="360" w:lineRule="auto"/>
        <w:ind w:left="714" w:hanging="357"/>
        <w:rPr>
          <w:rFonts w:ascii="Arial" w:eastAsia="Times New Roman" w:hAnsi="Arial" w:cs="Arial"/>
          <w:kern w:val="0"/>
          <w14:ligatures w14:val="none"/>
        </w:rPr>
      </w:pPr>
      <w:r w:rsidRPr="001033DE">
        <w:rPr>
          <w:rFonts w:ascii="Arial" w:eastAsia="Times New Roman" w:hAnsi="Arial" w:cs="Arial"/>
          <w:kern w:val="0"/>
          <w14:ligatures w14:val="none"/>
        </w:rPr>
        <w:t>The Early Help System</w:t>
      </w:r>
      <w:r w:rsidR="00B87412">
        <w:rPr>
          <w:rFonts w:ascii="Arial" w:eastAsia="Times New Roman" w:hAnsi="Arial" w:cs="Arial"/>
          <w:kern w:val="0"/>
          <w14:ligatures w14:val="none"/>
        </w:rPr>
        <w:t>…………………………………</w:t>
      </w:r>
      <w:r w:rsidR="00BC4B82">
        <w:rPr>
          <w:rFonts w:ascii="Arial" w:eastAsia="Times New Roman" w:hAnsi="Arial" w:cs="Arial"/>
          <w:kern w:val="0"/>
          <w14:ligatures w14:val="none"/>
        </w:rPr>
        <w:t>3</w:t>
      </w:r>
    </w:p>
    <w:p w14:paraId="7E12FA37" w14:textId="47CF7A1C" w:rsidR="00210581" w:rsidRPr="001033DE" w:rsidRDefault="00210581" w:rsidP="001033DE">
      <w:pPr>
        <w:numPr>
          <w:ilvl w:val="0"/>
          <w:numId w:val="1"/>
        </w:numPr>
        <w:spacing w:before="100" w:beforeAutospacing="1" w:after="100" w:afterAutospacing="1" w:line="360" w:lineRule="auto"/>
        <w:ind w:left="714" w:hanging="357"/>
        <w:rPr>
          <w:rFonts w:ascii="Arial" w:eastAsia="Times New Roman" w:hAnsi="Arial" w:cs="Arial"/>
          <w:kern w:val="0"/>
          <w14:ligatures w14:val="none"/>
        </w:rPr>
      </w:pPr>
      <w:r w:rsidRPr="001033DE">
        <w:rPr>
          <w:rFonts w:ascii="Arial" w:eastAsia="Times New Roman" w:hAnsi="Arial" w:cs="Arial"/>
          <w:kern w:val="0"/>
          <w14:ligatures w14:val="none"/>
        </w:rPr>
        <w:t>Multi-Agency Working</w:t>
      </w:r>
      <w:r w:rsidR="00B87412">
        <w:rPr>
          <w:rFonts w:ascii="Arial" w:eastAsia="Times New Roman" w:hAnsi="Arial" w:cs="Arial"/>
          <w:kern w:val="0"/>
          <w14:ligatures w14:val="none"/>
        </w:rPr>
        <w:t>…………………………………………</w:t>
      </w:r>
      <w:r w:rsidR="00BC4B82">
        <w:rPr>
          <w:rFonts w:ascii="Arial" w:eastAsia="Times New Roman" w:hAnsi="Arial" w:cs="Arial"/>
          <w:kern w:val="0"/>
          <w14:ligatures w14:val="none"/>
        </w:rPr>
        <w:t>4</w:t>
      </w:r>
    </w:p>
    <w:p w14:paraId="3915FF79" w14:textId="2EDC0310" w:rsidR="00210581" w:rsidRPr="001033DE" w:rsidRDefault="00210581" w:rsidP="001033DE">
      <w:pPr>
        <w:numPr>
          <w:ilvl w:val="0"/>
          <w:numId w:val="1"/>
        </w:numPr>
        <w:spacing w:before="100" w:beforeAutospacing="1" w:after="100" w:afterAutospacing="1" w:line="360" w:lineRule="auto"/>
        <w:ind w:left="714" w:hanging="357"/>
        <w:rPr>
          <w:rFonts w:ascii="Arial" w:eastAsia="Times New Roman" w:hAnsi="Arial" w:cs="Arial"/>
          <w:kern w:val="0"/>
          <w14:ligatures w14:val="none"/>
        </w:rPr>
      </w:pPr>
      <w:r w:rsidRPr="001033DE">
        <w:rPr>
          <w:rFonts w:ascii="Arial" w:eastAsia="Times New Roman" w:hAnsi="Arial" w:cs="Arial"/>
          <w:kern w:val="0"/>
          <w14:ligatures w14:val="none"/>
        </w:rPr>
        <w:t>Evaluation of Leeds City Council</w:t>
      </w:r>
      <w:r w:rsidR="00B87412">
        <w:rPr>
          <w:rFonts w:ascii="Arial" w:eastAsia="Times New Roman" w:hAnsi="Arial" w:cs="Arial"/>
          <w:kern w:val="0"/>
          <w14:ligatures w14:val="none"/>
        </w:rPr>
        <w:t>…………………………………</w:t>
      </w:r>
      <w:r w:rsidR="00BC4B82">
        <w:rPr>
          <w:rFonts w:ascii="Arial" w:eastAsia="Times New Roman" w:hAnsi="Arial" w:cs="Arial"/>
          <w:kern w:val="0"/>
          <w14:ligatures w14:val="none"/>
        </w:rPr>
        <w:t>..5</w:t>
      </w:r>
    </w:p>
    <w:p w14:paraId="1BF6A997" w14:textId="043DD2F3" w:rsidR="00210581" w:rsidRPr="001033DE" w:rsidRDefault="00210581" w:rsidP="001033DE">
      <w:pPr>
        <w:numPr>
          <w:ilvl w:val="0"/>
          <w:numId w:val="1"/>
        </w:numPr>
        <w:spacing w:before="100" w:beforeAutospacing="1" w:after="100" w:afterAutospacing="1" w:line="360" w:lineRule="auto"/>
        <w:ind w:left="714" w:hanging="357"/>
        <w:rPr>
          <w:rFonts w:ascii="Arial" w:eastAsia="Times New Roman" w:hAnsi="Arial" w:cs="Arial"/>
          <w:kern w:val="0"/>
          <w14:ligatures w14:val="none"/>
        </w:rPr>
      </w:pPr>
      <w:r w:rsidRPr="001033DE">
        <w:rPr>
          <w:rFonts w:ascii="Arial" w:eastAsia="Times New Roman" w:hAnsi="Arial" w:cs="Arial"/>
          <w:kern w:val="0"/>
          <w14:ligatures w14:val="none"/>
        </w:rPr>
        <w:t>Evaluation of Tower Hamlets Council</w:t>
      </w:r>
      <w:r w:rsidR="00B87412">
        <w:rPr>
          <w:rFonts w:ascii="Arial" w:eastAsia="Times New Roman" w:hAnsi="Arial" w:cs="Arial"/>
          <w:kern w:val="0"/>
          <w14:ligatures w14:val="none"/>
        </w:rPr>
        <w:t>…………………………………</w:t>
      </w:r>
      <w:r w:rsidR="00BC4B82">
        <w:rPr>
          <w:rFonts w:ascii="Arial" w:eastAsia="Times New Roman" w:hAnsi="Arial" w:cs="Arial"/>
          <w:kern w:val="0"/>
          <w14:ligatures w14:val="none"/>
        </w:rPr>
        <w:t>..</w:t>
      </w:r>
      <w:r w:rsidR="004F258A">
        <w:rPr>
          <w:rFonts w:ascii="Arial" w:eastAsia="Times New Roman" w:hAnsi="Arial" w:cs="Arial"/>
          <w:kern w:val="0"/>
          <w14:ligatures w14:val="none"/>
        </w:rPr>
        <w:t>6</w:t>
      </w:r>
    </w:p>
    <w:p w14:paraId="60D4B728" w14:textId="6BC6F787" w:rsidR="00210581" w:rsidRPr="001033DE" w:rsidRDefault="00210581" w:rsidP="001033DE">
      <w:pPr>
        <w:numPr>
          <w:ilvl w:val="0"/>
          <w:numId w:val="1"/>
        </w:numPr>
        <w:spacing w:before="100" w:beforeAutospacing="1" w:after="100" w:afterAutospacing="1" w:line="360" w:lineRule="auto"/>
        <w:ind w:left="714" w:hanging="357"/>
        <w:rPr>
          <w:rFonts w:ascii="Arial" w:eastAsia="Times New Roman" w:hAnsi="Arial" w:cs="Arial"/>
          <w:kern w:val="0"/>
          <w14:ligatures w14:val="none"/>
        </w:rPr>
      </w:pPr>
      <w:r w:rsidRPr="001033DE">
        <w:rPr>
          <w:rFonts w:ascii="Arial" w:eastAsia="Times New Roman" w:hAnsi="Arial" w:cs="Arial"/>
          <w:kern w:val="0"/>
          <w14:ligatures w14:val="none"/>
        </w:rPr>
        <w:t>Evaluation of Norfolk County Council</w:t>
      </w:r>
      <w:r w:rsidR="00B87412">
        <w:rPr>
          <w:rFonts w:ascii="Arial" w:eastAsia="Times New Roman" w:hAnsi="Arial" w:cs="Arial"/>
          <w:kern w:val="0"/>
          <w14:ligatures w14:val="none"/>
        </w:rPr>
        <w:t>………………………………………</w:t>
      </w:r>
      <w:r w:rsidR="006860D1">
        <w:rPr>
          <w:rFonts w:ascii="Arial" w:eastAsia="Times New Roman" w:hAnsi="Arial" w:cs="Arial"/>
          <w:kern w:val="0"/>
          <w14:ligatures w14:val="none"/>
        </w:rPr>
        <w:t>7</w:t>
      </w:r>
    </w:p>
    <w:p w14:paraId="5B83674D" w14:textId="30EB0728" w:rsidR="00210581" w:rsidRPr="001033DE" w:rsidRDefault="00210581" w:rsidP="001033DE">
      <w:pPr>
        <w:numPr>
          <w:ilvl w:val="0"/>
          <w:numId w:val="1"/>
        </w:numPr>
        <w:spacing w:before="100" w:beforeAutospacing="1" w:after="100" w:afterAutospacing="1" w:line="360" w:lineRule="auto"/>
        <w:ind w:left="714" w:hanging="357"/>
        <w:rPr>
          <w:rFonts w:ascii="Arial" w:eastAsia="Times New Roman" w:hAnsi="Arial" w:cs="Arial"/>
          <w:kern w:val="0"/>
          <w14:ligatures w14:val="none"/>
        </w:rPr>
      </w:pPr>
      <w:r w:rsidRPr="001033DE">
        <w:rPr>
          <w:rFonts w:ascii="Arial" w:eastAsia="Times New Roman" w:hAnsi="Arial" w:cs="Arial"/>
          <w:kern w:val="0"/>
          <w14:ligatures w14:val="none"/>
        </w:rPr>
        <w:t>Comparative</w:t>
      </w:r>
      <w:r>
        <w:rPr>
          <w:rFonts w:ascii="Arial" w:eastAsia="Times New Roman" w:hAnsi="Arial" w:cs="Arial"/>
          <w:kern w:val="0"/>
          <w14:ligatures w14:val="none"/>
        </w:rPr>
        <w:t xml:space="preserve"> </w:t>
      </w:r>
      <w:r w:rsidRPr="001033DE">
        <w:rPr>
          <w:rFonts w:ascii="Arial" w:eastAsia="Times New Roman" w:hAnsi="Arial" w:cs="Arial"/>
          <w:kern w:val="0"/>
          <w14:ligatures w14:val="none"/>
        </w:rPr>
        <w:t>Analysis</w:t>
      </w:r>
      <w:r w:rsidR="00B87412">
        <w:rPr>
          <w:rFonts w:ascii="Arial" w:eastAsia="Times New Roman" w:hAnsi="Arial" w:cs="Arial"/>
          <w:kern w:val="0"/>
          <w14:ligatures w14:val="none"/>
        </w:rPr>
        <w:t>…………………………………………………………………</w:t>
      </w:r>
      <w:r w:rsidR="006860D1">
        <w:rPr>
          <w:rFonts w:ascii="Arial" w:eastAsia="Times New Roman" w:hAnsi="Arial" w:cs="Arial"/>
          <w:kern w:val="0"/>
          <w14:ligatures w14:val="none"/>
        </w:rPr>
        <w:t>8</w:t>
      </w:r>
    </w:p>
    <w:p w14:paraId="5B1ED2C8" w14:textId="0F3EA2B4" w:rsidR="00210581" w:rsidRPr="001033DE" w:rsidRDefault="00210581" w:rsidP="001033DE">
      <w:pPr>
        <w:numPr>
          <w:ilvl w:val="0"/>
          <w:numId w:val="1"/>
        </w:numPr>
        <w:spacing w:before="100" w:beforeAutospacing="1" w:after="100" w:afterAutospacing="1" w:line="360" w:lineRule="auto"/>
        <w:ind w:left="714" w:hanging="357"/>
        <w:rPr>
          <w:rFonts w:ascii="Arial" w:eastAsia="Times New Roman" w:hAnsi="Arial" w:cs="Arial"/>
          <w:kern w:val="0"/>
          <w14:ligatures w14:val="none"/>
        </w:rPr>
      </w:pPr>
      <w:r w:rsidRPr="001033DE">
        <w:rPr>
          <w:rFonts w:ascii="Arial" w:eastAsia="Times New Roman" w:hAnsi="Arial" w:cs="Arial"/>
          <w:kern w:val="0"/>
          <w14:ligatures w14:val="none"/>
        </w:rPr>
        <w:t>Conclusion and Recommendations</w:t>
      </w:r>
      <w:r w:rsidR="00843255">
        <w:rPr>
          <w:rFonts w:ascii="Arial" w:eastAsia="Times New Roman" w:hAnsi="Arial" w:cs="Arial"/>
          <w:kern w:val="0"/>
          <w14:ligatures w14:val="none"/>
        </w:rPr>
        <w:t>……………………………………</w:t>
      </w:r>
      <w:r w:rsidR="0059789A">
        <w:rPr>
          <w:rFonts w:ascii="Arial" w:eastAsia="Times New Roman" w:hAnsi="Arial" w:cs="Arial"/>
          <w:kern w:val="0"/>
          <w14:ligatures w14:val="none"/>
        </w:rPr>
        <w:t>..</w:t>
      </w:r>
      <w:r w:rsidR="006860D1">
        <w:rPr>
          <w:rFonts w:ascii="Arial" w:eastAsia="Times New Roman" w:hAnsi="Arial" w:cs="Arial"/>
          <w:kern w:val="0"/>
          <w14:ligatures w14:val="none"/>
        </w:rPr>
        <w:t>..</w:t>
      </w:r>
      <w:r w:rsidR="007A0DFE">
        <w:rPr>
          <w:rFonts w:ascii="Arial" w:eastAsia="Times New Roman" w:hAnsi="Arial" w:cs="Arial"/>
          <w:kern w:val="0"/>
          <w14:ligatures w14:val="none"/>
        </w:rPr>
        <w:t>9</w:t>
      </w:r>
    </w:p>
    <w:p w14:paraId="48892C61" w14:textId="5CDE1A3E" w:rsidR="00210581" w:rsidRPr="001033DE" w:rsidRDefault="00210581" w:rsidP="001033DE">
      <w:pPr>
        <w:numPr>
          <w:ilvl w:val="0"/>
          <w:numId w:val="1"/>
        </w:numPr>
        <w:spacing w:before="100" w:beforeAutospacing="1" w:after="100" w:afterAutospacing="1" w:line="360" w:lineRule="auto"/>
        <w:ind w:left="714" w:hanging="357"/>
        <w:rPr>
          <w:rFonts w:ascii="Arial" w:eastAsia="Times New Roman" w:hAnsi="Arial" w:cs="Arial"/>
          <w:kern w:val="0"/>
          <w14:ligatures w14:val="none"/>
        </w:rPr>
      </w:pPr>
      <w:r w:rsidRPr="001033DE">
        <w:rPr>
          <w:rFonts w:ascii="Arial" w:eastAsia="Times New Roman" w:hAnsi="Arial" w:cs="Arial"/>
          <w:kern w:val="0"/>
          <w14:ligatures w14:val="none"/>
        </w:rPr>
        <w:t>References</w:t>
      </w:r>
      <w:r w:rsidR="00843255">
        <w:rPr>
          <w:rFonts w:ascii="Arial" w:eastAsia="Times New Roman" w:hAnsi="Arial" w:cs="Arial"/>
          <w:kern w:val="0"/>
          <w14:ligatures w14:val="none"/>
        </w:rPr>
        <w:t>………………………………………………………………………</w:t>
      </w:r>
      <w:r w:rsidR="003B0F3A">
        <w:rPr>
          <w:rFonts w:ascii="Arial" w:eastAsia="Times New Roman" w:hAnsi="Arial" w:cs="Arial"/>
          <w:kern w:val="0"/>
          <w14:ligatures w14:val="none"/>
        </w:rPr>
        <w:t>.</w:t>
      </w:r>
      <w:r w:rsidR="00156A9B">
        <w:rPr>
          <w:rFonts w:ascii="Arial" w:eastAsia="Times New Roman" w:hAnsi="Arial" w:cs="Arial"/>
          <w:kern w:val="0"/>
          <w14:ligatures w14:val="none"/>
        </w:rPr>
        <w:t>11</w:t>
      </w:r>
    </w:p>
    <w:p w14:paraId="0252E4B9" w14:textId="77777777" w:rsidR="00F61A66" w:rsidRDefault="00F61A66" w:rsidP="00E57DD6"/>
    <w:p w14:paraId="1AAEC698" w14:textId="77777777" w:rsidR="00F61A66" w:rsidRDefault="00F61A66" w:rsidP="00E57DD6"/>
    <w:p w14:paraId="74B2F69D" w14:textId="77777777" w:rsidR="00F61A66" w:rsidRDefault="00F61A66" w:rsidP="00E57DD6"/>
    <w:p w14:paraId="29C8F20D" w14:textId="77777777" w:rsidR="00F61A66" w:rsidRDefault="00F61A66" w:rsidP="00E57DD6"/>
    <w:p w14:paraId="542FDE0D" w14:textId="77777777" w:rsidR="00F61A66" w:rsidRDefault="00F61A66" w:rsidP="00E57DD6"/>
    <w:p w14:paraId="358AA15F" w14:textId="77777777" w:rsidR="00F61A66" w:rsidRDefault="00F61A66" w:rsidP="00E57DD6"/>
    <w:p w14:paraId="7A0D5F52" w14:textId="77777777" w:rsidR="00F61A66" w:rsidRDefault="00F61A66" w:rsidP="00E57DD6"/>
    <w:p w14:paraId="49F4C614" w14:textId="77777777" w:rsidR="007731BD" w:rsidRDefault="007731BD" w:rsidP="00E57DD6"/>
    <w:p w14:paraId="4E010A7A" w14:textId="77777777" w:rsidR="007731BD" w:rsidRDefault="007731BD" w:rsidP="00E57DD6"/>
    <w:p w14:paraId="0E02E62C" w14:textId="77777777" w:rsidR="007731BD" w:rsidRDefault="007731BD" w:rsidP="00E57DD6"/>
    <w:p w14:paraId="0E45BF4C" w14:textId="77777777" w:rsidR="007731BD" w:rsidRDefault="007731BD" w:rsidP="00E57DD6"/>
    <w:p w14:paraId="3CF18DC8" w14:textId="77777777" w:rsidR="007731BD" w:rsidRDefault="007731BD" w:rsidP="00E57DD6"/>
    <w:p w14:paraId="35B4E328" w14:textId="77777777" w:rsidR="007731BD" w:rsidRDefault="007731BD" w:rsidP="00E57DD6"/>
    <w:p w14:paraId="4E399CDC" w14:textId="77777777" w:rsidR="007731BD" w:rsidRDefault="007731BD" w:rsidP="00E57DD6"/>
    <w:p w14:paraId="1F19F511" w14:textId="77777777" w:rsidR="007731BD" w:rsidRDefault="007731BD" w:rsidP="00E57DD6"/>
    <w:p w14:paraId="4A594CBF" w14:textId="77777777" w:rsidR="00F61A66" w:rsidRDefault="00F61A66" w:rsidP="00E57DD6"/>
    <w:p w14:paraId="20A03767" w14:textId="77777777" w:rsidR="00F61A66" w:rsidRDefault="00F61A66" w:rsidP="00E57DD6"/>
    <w:p w14:paraId="12AB56EA" w14:textId="77777777" w:rsidR="00F61A66" w:rsidRPr="00D15AF2" w:rsidRDefault="00F61A66" w:rsidP="00E57DD6">
      <w:pPr>
        <w:rPr>
          <w:b/>
        </w:rPr>
      </w:pPr>
    </w:p>
    <w:p w14:paraId="56A8DB37" w14:textId="77777777" w:rsidR="00E57DD6" w:rsidRPr="00D15AF2" w:rsidRDefault="00E57DD6" w:rsidP="00F61A66">
      <w:pPr>
        <w:spacing w:line="360" w:lineRule="auto"/>
        <w:rPr>
          <w:rFonts w:ascii="Arial" w:hAnsi="Arial" w:cs="Arial"/>
          <w:b/>
          <w:sz w:val="22"/>
          <w:szCs w:val="22"/>
        </w:rPr>
      </w:pPr>
      <w:r w:rsidRPr="00D15AF2">
        <w:rPr>
          <w:rFonts w:ascii="Arial" w:hAnsi="Arial" w:cs="Arial"/>
          <w:b/>
          <w:sz w:val="22"/>
          <w:szCs w:val="22"/>
        </w:rPr>
        <w:t>Introduction</w:t>
      </w:r>
    </w:p>
    <w:p w14:paraId="26EEBF66" w14:textId="77777777" w:rsidR="00E57DD6" w:rsidRPr="00F61A66" w:rsidRDefault="00E57DD6" w:rsidP="00F61A66">
      <w:pPr>
        <w:spacing w:line="360" w:lineRule="auto"/>
        <w:rPr>
          <w:rFonts w:ascii="Arial" w:hAnsi="Arial" w:cs="Arial"/>
          <w:sz w:val="22"/>
          <w:szCs w:val="22"/>
        </w:rPr>
      </w:pPr>
    </w:p>
    <w:p w14:paraId="30316D8B"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 xml:space="preserve">Early Help is an important part of children and family services in England because it aims to provide support before difficulties become more serious. Families may experience several connected pressures, including financial problems, poor housing, school attendance difficulties, parental conflict, mental health concerns or challenges associated with caring for a child with additional needs. When these difficulties are recognised early, families may receive appropriate support without their circumstances necessarily escalating to statutory intervention. The national Early Help System Guide describes an effective system as one in which services, communities, professionals and families work together, with particular attention to family voice, the workforce, leadership and effective use of information (Department for Levelling Up, Housing and Communities, 2022). </w:t>
      </w:r>
    </w:p>
    <w:p w14:paraId="73443DE4" w14:textId="77777777" w:rsidR="00E57DD6" w:rsidRPr="00F61A66" w:rsidRDefault="00E57DD6" w:rsidP="00F61A66">
      <w:pPr>
        <w:spacing w:line="360" w:lineRule="auto"/>
        <w:rPr>
          <w:rFonts w:ascii="Arial" w:hAnsi="Arial" w:cs="Arial"/>
          <w:sz w:val="22"/>
          <w:szCs w:val="22"/>
        </w:rPr>
      </w:pPr>
    </w:p>
    <w:p w14:paraId="1C075036"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This report examines how Early Help and related family support are communicated through the websites of Leeds City Council, Tower Hamlets Council and Norfolk County Council. These three local authorities are compared in relation to clarity, accessibility, information about available services and the ease with which families can understand how to obtain support. The analysis also considers how effectively each website reflects national expectations for early intervention and multi-agency working. The report argues that good Early Help provision is not enough by itself; families must also be able to understand what help exists and how to access it.</w:t>
      </w:r>
    </w:p>
    <w:p w14:paraId="5F9CEF2C" w14:textId="77777777" w:rsidR="00E57DD6" w:rsidRPr="00D15AF2" w:rsidRDefault="00E57DD6" w:rsidP="00F61A66">
      <w:pPr>
        <w:spacing w:line="360" w:lineRule="auto"/>
        <w:rPr>
          <w:rFonts w:ascii="Arial" w:hAnsi="Arial" w:cs="Arial"/>
          <w:b/>
          <w:sz w:val="22"/>
          <w:szCs w:val="22"/>
        </w:rPr>
      </w:pPr>
    </w:p>
    <w:p w14:paraId="229056BC" w14:textId="77777777" w:rsidR="00E57DD6" w:rsidRPr="00D15AF2" w:rsidRDefault="00E57DD6" w:rsidP="00F61A66">
      <w:pPr>
        <w:spacing w:line="360" w:lineRule="auto"/>
        <w:rPr>
          <w:rFonts w:ascii="Arial" w:hAnsi="Arial" w:cs="Arial"/>
          <w:b/>
          <w:sz w:val="22"/>
          <w:szCs w:val="22"/>
        </w:rPr>
      </w:pPr>
      <w:r w:rsidRPr="00D15AF2">
        <w:rPr>
          <w:rFonts w:ascii="Arial" w:hAnsi="Arial" w:cs="Arial"/>
          <w:b/>
          <w:sz w:val="22"/>
          <w:szCs w:val="22"/>
        </w:rPr>
        <w:t>The Early Help System</w:t>
      </w:r>
    </w:p>
    <w:p w14:paraId="165C256B" w14:textId="77777777" w:rsidR="00E57DD6" w:rsidRPr="00F61A66" w:rsidRDefault="00E57DD6" w:rsidP="00F61A66">
      <w:pPr>
        <w:spacing w:line="360" w:lineRule="auto"/>
        <w:rPr>
          <w:rFonts w:ascii="Arial" w:hAnsi="Arial" w:cs="Arial"/>
          <w:sz w:val="22"/>
          <w:szCs w:val="22"/>
        </w:rPr>
      </w:pPr>
    </w:p>
    <w:p w14:paraId="68143968"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 xml:space="preserve">Early Help can be understood as support provided when difficulties first appear, rather than waiting until a child or family’s circumstances have reached crisis point. The purpose is preventative, but this does not mean that Early Help is limited to families experiencing minor difficulties. It can respond to different levels of need and may involve education, health, housing, family support and voluntary or community organisations. The Early Help System Guide therefore presents Early Help as a wider local system rather than the responsibility of one individual service (Department for Levelling Up, Housing and Communities, 2022). </w:t>
      </w:r>
    </w:p>
    <w:p w14:paraId="6AEB4C2E" w14:textId="77777777" w:rsidR="00E57DD6" w:rsidRPr="00F61A66" w:rsidRDefault="00E57DD6" w:rsidP="00F61A66">
      <w:pPr>
        <w:spacing w:line="360" w:lineRule="auto"/>
        <w:rPr>
          <w:rFonts w:ascii="Arial" w:hAnsi="Arial" w:cs="Arial"/>
          <w:sz w:val="22"/>
          <w:szCs w:val="22"/>
        </w:rPr>
      </w:pPr>
    </w:p>
    <w:p w14:paraId="5FD67526"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 xml:space="preserve">This whole-family approach is important because difficulties rarely exist separately. For example, financial hardship may contribute to housing insecurity, parental stress and deterioration in children’s emotional wellbeing. Treating only one issue may therefore fail to address the reasons why a family is struggling. The Supporting Families approach similarly emphasises coordinated, whole-family support and the importance of local services identifying need and working together rather than responding to difficulties independently (Department for Levelling Up, Housing and Communities, 2025). Norfolk itself has been identified in the national Supporting Families annual report as an example of movement away from fragmented and reactive services towards a more integrated approach to early intervention. </w:t>
      </w:r>
    </w:p>
    <w:p w14:paraId="415916FC" w14:textId="77777777" w:rsidR="00E57DD6" w:rsidRPr="00F61A66" w:rsidRDefault="00E57DD6" w:rsidP="00F61A66">
      <w:pPr>
        <w:spacing w:line="360" w:lineRule="auto"/>
        <w:rPr>
          <w:rFonts w:ascii="Arial" w:hAnsi="Arial" w:cs="Arial"/>
          <w:sz w:val="22"/>
          <w:szCs w:val="22"/>
        </w:rPr>
      </w:pPr>
    </w:p>
    <w:p w14:paraId="11D395C5"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There is also a legal and safeguarding context. Section 17 of the Children Act 1989 establishes local-authority responsibilities towards children in need, while the Children Act 2004 strengthened arrangements for cooperation between organisations concerned with children’s welfare (UK Parliament, 1989; UK Parliament, 2004).  Early Help should not replace statutory safeguarding intervention when a child is at risk of significant harm. Instead, a successful local system needs clear pathways between universal support, targeted help and statutory services.</w:t>
      </w:r>
    </w:p>
    <w:p w14:paraId="7D256055" w14:textId="77777777" w:rsidR="00E57DD6" w:rsidRPr="00D15AF2" w:rsidRDefault="00E57DD6" w:rsidP="00F61A66">
      <w:pPr>
        <w:spacing w:line="360" w:lineRule="auto"/>
        <w:rPr>
          <w:rFonts w:ascii="Arial" w:hAnsi="Arial" w:cs="Arial"/>
          <w:b/>
          <w:sz w:val="22"/>
          <w:szCs w:val="22"/>
        </w:rPr>
      </w:pPr>
    </w:p>
    <w:p w14:paraId="1DED9ECF" w14:textId="77777777" w:rsidR="00E57DD6" w:rsidRPr="00D15AF2" w:rsidRDefault="00E57DD6" w:rsidP="00F61A66">
      <w:pPr>
        <w:spacing w:line="360" w:lineRule="auto"/>
        <w:rPr>
          <w:rFonts w:ascii="Arial" w:hAnsi="Arial" w:cs="Arial"/>
          <w:b/>
          <w:sz w:val="22"/>
          <w:szCs w:val="22"/>
        </w:rPr>
      </w:pPr>
      <w:r w:rsidRPr="00D15AF2">
        <w:rPr>
          <w:rFonts w:ascii="Arial" w:hAnsi="Arial" w:cs="Arial"/>
          <w:b/>
          <w:sz w:val="22"/>
          <w:szCs w:val="22"/>
        </w:rPr>
        <w:t>Multi-agency Working</w:t>
      </w:r>
    </w:p>
    <w:p w14:paraId="3FF21D54" w14:textId="77777777" w:rsidR="00E57DD6" w:rsidRPr="00F61A66" w:rsidRDefault="00E57DD6" w:rsidP="00F61A66">
      <w:pPr>
        <w:spacing w:line="360" w:lineRule="auto"/>
        <w:rPr>
          <w:rFonts w:ascii="Arial" w:hAnsi="Arial" w:cs="Arial"/>
          <w:sz w:val="22"/>
          <w:szCs w:val="22"/>
        </w:rPr>
      </w:pPr>
    </w:p>
    <w:p w14:paraId="465BE6D9"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 xml:space="preserve">Multi-agency working means professionals and organisations combining their knowledge and responsibilities to provide coordinated support. Depending on a family’s circumstances, this can involve schools, health professionals, social workers, police, housing teams, youth services, mental health services and voluntary organisations. Working Together to Safeguard Children 2026 places multi-agency cooperation at the centre of helping, protecting and promoting children’s welfare (Department for Education, 2026). </w:t>
      </w:r>
    </w:p>
    <w:p w14:paraId="4EB3E9AC" w14:textId="77777777" w:rsidR="00E57DD6" w:rsidRPr="00F61A66" w:rsidRDefault="00E57DD6" w:rsidP="00F61A66">
      <w:pPr>
        <w:spacing w:line="360" w:lineRule="auto"/>
        <w:rPr>
          <w:rFonts w:ascii="Arial" w:hAnsi="Arial" w:cs="Arial"/>
          <w:sz w:val="22"/>
          <w:szCs w:val="22"/>
        </w:rPr>
      </w:pPr>
    </w:p>
    <w:p w14:paraId="67185954"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This approach has important advantages. A teacher may identify declining attendance, while a health professional may know about emotional or developmental concerns and a housing service may be aware of instability within the home. Looking at these matters separately can produce an incomplete picture. Effective information sharing and coordinated assessment can help practitioners understand the family’s circumstances more fully and avoid unnecessary duplication.</w:t>
      </w:r>
    </w:p>
    <w:p w14:paraId="2C27D04C" w14:textId="77777777" w:rsidR="00E57DD6" w:rsidRPr="00F61A66" w:rsidRDefault="00E57DD6" w:rsidP="00F61A66">
      <w:pPr>
        <w:spacing w:line="360" w:lineRule="auto"/>
        <w:rPr>
          <w:rFonts w:ascii="Arial" w:hAnsi="Arial" w:cs="Arial"/>
          <w:sz w:val="22"/>
          <w:szCs w:val="22"/>
        </w:rPr>
      </w:pPr>
    </w:p>
    <w:p w14:paraId="0E6EB2DA"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 xml:space="preserve">However, multi-agency working is not automatically effective simply because several organisations are involved. Poor communication, unclear professional responsibilities and delays in information sharing can create gaps in support. Practitioners must also consider confidentiality and share information appropriately. Government information-sharing guidance recognises that practitioners working across education, health, social care, justice and other services need to make appropriate decisions about sharing information when safeguarding children (Department for Education, 2024). </w:t>
      </w:r>
    </w:p>
    <w:p w14:paraId="47D0145C" w14:textId="77777777" w:rsidR="00E57DD6" w:rsidRPr="00F61A66" w:rsidRDefault="00E57DD6" w:rsidP="00F61A66">
      <w:pPr>
        <w:spacing w:line="360" w:lineRule="auto"/>
        <w:rPr>
          <w:rFonts w:ascii="Arial" w:hAnsi="Arial" w:cs="Arial"/>
          <w:sz w:val="22"/>
          <w:szCs w:val="22"/>
        </w:rPr>
      </w:pPr>
    </w:p>
    <w:p w14:paraId="14A9EBFC"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The family’s involvement is equally important. Early Help should be something carried out with families rather than simply done to them. This makes understandable public information particularly important. If a website uses complicated professional terminology or makes referral pathways difficult to locate, families may be less able to participate in seeking help.</w:t>
      </w:r>
    </w:p>
    <w:p w14:paraId="55CEDEDD" w14:textId="77777777" w:rsidR="00E57DD6" w:rsidRPr="00D15AF2" w:rsidRDefault="00E57DD6" w:rsidP="00F61A66">
      <w:pPr>
        <w:spacing w:line="360" w:lineRule="auto"/>
        <w:rPr>
          <w:rFonts w:ascii="Arial" w:hAnsi="Arial" w:cs="Arial"/>
          <w:b/>
          <w:sz w:val="22"/>
          <w:szCs w:val="22"/>
        </w:rPr>
      </w:pPr>
    </w:p>
    <w:p w14:paraId="7C48A696" w14:textId="77777777" w:rsidR="00E57DD6" w:rsidRPr="00D15AF2" w:rsidRDefault="00E57DD6" w:rsidP="00F61A66">
      <w:pPr>
        <w:spacing w:line="360" w:lineRule="auto"/>
        <w:rPr>
          <w:rFonts w:ascii="Arial" w:hAnsi="Arial" w:cs="Arial"/>
          <w:b/>
          <w:sz w:val="22"/>
          <w:szCs w:val="22"/>
        </w:rPr>
      </w:pPr>
      <w:r w:rsidRPr="00D15AF2">
        <w:rPr>
          <w:rFonts w:ascii="Arial" w:hAnsi="Arial" w:cs="Arial"/>
          <w:b/>
          <w:sz w:val="22"/>
          <w:szCs w:val="22"/>
        </w:rPr>
        <w:t>Evaluation of Leeds City Council</w:t>
      </w:r>
    </w:p>
    <w:p w14:paraId="0A2BD4B0" w14:textId="77777777" w:rsidR="00E57DD6" w:rsidRPr="00F61A66" w:rsidRDefault="00E57DD6" w:rsidP="00F61A66">
      <w:pPr>
        <w:spacing w:line="360" w:lineRule="auto"/>
        <w:rPr>
          <w:rFonts w:ascii="Arial" w:hAnsi="Arial" w:cs="Arial"/>
          <w:sz w:val="22"/>
          <w:szCs w:val="22"/>
        </w:rPr>
      </w:pPr>
    </w:p>
    <w:p w14:paraId="4E8B11B8"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 xml:space="preserve">Leeds City Council provides detailed information about its Early Help approach. One strength is that its website explains the principle in straightforward terms: support should begin early enough to prevent problems worsening where possible. It also makes clear that Early Help is voluntary and that consent should normally be sought from children, young people and families (Leeds City Council, 2025). </w:t>
      </w:r>
    </w:p>
    <w:p w14:paraId="48339902" w14:textId="77777777" w:rsidR="00E57DD6" w:rsidRPr="00F61A66" w:rsidRDefault="00E57DD6" w:rsidP="00F61A66">
      <w:pPr>
        <w:spacing w:line="360" w:lineRule="auto"/>
        <w:rPr>
          <w:rFonts w:ascii="Arial" w:hAnsi="Arial" w:cs="Arial"/>
          <w:sz w:val="22"/>
          <w:szCs w:val="22"/>
        </w:rPr>
      </w:pPr>
    </w:p>
    <w:p w14:paraId="7E81C168"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 xml:space="preserve">The website is particularly strong in explaining different levels of support. Its graduated model moves from “getting help” through increasing levels of assistance and finally to support where risk is present. This gives professionals and families some understanding that Early Help is not one fixed intervention. Leeds also explains that universal services, including schools and GPs, contribute alongside more targeted provision and Family Hubs (Leeds City Council, 2025). </w:t>
      </w:r>
    </w:p>
    <w:p w14:paraId="52E5B142" w14:textId="77777777" w:rsidR="00E57DD6" w:rsidRPr="00F61A66" w:rsidRDefault="00E57DD6" w:rsidP="00F61A66">
      <w:pPr>
        <w:spacing w:line="360" w:lineRule="auto"/>
        <w:rPr>
          <w:rFonts w:ascii="Arial" w:hAnsi="Arial" w:cs="Arial"/>
          <w:sz w:val="22"/>
          <w:szCs w:val="22"/>
        </w:rPr>
      </w:pPr>
    </w:p>
    <w:p w14:paraId="50CE2231"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Another strength is the amount of practical family information available. The council’s family-services pages connect users with children’s centres, Family Hubs, parenting programmes, housing assistance, financial support and services addressing parental conflict (Leeds City Council, 2026).  This demonstrates a whole-family perspective because it recognises that children’s outcomes can be affected by wider social and economic circumstances.</w:t>
      </w:r>
    </w:p>
    <w:p w14:paraId="0F029D40" w14:textId="77777777" w:rsidR="00E57DD6" w:rsidRPr="00F61A66" w:rsidRDefault="00E57DD6" w:rsidP="00F61A66">
      <w:pPr>
        <w:spacing w:line="360" w:lineRule="auto"/>
        <w:rPr>
          <w:rFonts w:ascii="Arial" w:hAnsi="Arial" w:cs="Arial"/>
          <w:sz w:val="22"/>
          <w:szCs w:val="22"/>
        </w:rPr>
      </w:pPr>
    </w:p>
    <w:p w14:paraId="725765DB"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The Common Assessment Framework information is also useful in demonstrating how professionals can develop a shared understanding of family strengths and needs. Leeds explains that using a common approach and language can make cooperation between different services easier (Leeds City Council, 2026).  This supports the principles of coordinated working expected nationally.</w:t>
      </w:r>
    </w:p>
    <w:p w14:paraId="1DEB78F3" w14:textId="77777777" w:rsidR="00E57DD6" w:rsidRPr="00F61A66" w:rsidRDefault="00E57DD6" w:rsidP="00F61A66">
      <w:pPr>
        <w:spacing w:line="360" w:lineRule="auto"/>
        <w:rPr>
          <w:rFonts w:ascii="Arial" w:hAnsi="Arial" w:cs="Arial"/>
          <w:sz w:val="22"/>
          <w:szCs w:val="22"/>
        </w:rPr>
      </w:pPr>
    </w:p>
    <w:p w14:paraId="6D8BB573"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Nevertheless, the amount of information can also be a weakness. Families unfamiliar with social-care terminology may need to move between several pages before understanding which route applies to them. Terms relating to frameworks, targeted services and safeguarding pathways are useful for practitioners but may make the site feel more complicated for a parent simply asking, “Where can I get help?” Leeds could therefore strengthen accessibility by providing a prominent family-focused starting point containing a short explanation, a small number of choices and one clearly visible route to further assistance.</w:t>
      </w:r>
    </w:p>
    <w:p w14:paraId="23BCFF4E" w14:textId="77777777" w:rsidR="00E57DD6" w:rsidRPr="00F61A66" w:rsidRDefault="00E57DD6" w:rsidP="00F61A66">
      <w:pPr>
        <w:spacing w:line="360" w:lineRule="auto"/>
        <w:rPr>
          <w:rFonts w:ascii="Arial" w:hAnsi="Arial" w:cs="Arial"/>
          <w:sz w:val="22"/>
          <w:szCs w:val="22"/>
        </w:rPr>
      </w:pPr>
    </w:p>
    <w:p w14:paraId="249B16D9" w14:textId="77777777" w:rsidR="00E57DD6" w:rsidRPr="00D15AF2" w:rsidRDefault="00E57DD6" w:rsidP="00F61A66">
      <w:pPr>
        <w:spacing w:line="360" w:lineRule="auto"/>
        <w:rPr>
          <w:rFonts w:ascii="Arial" w:hAnsi="Arial" w:cs="Arial"/>
          <w:b/>
          <w:sz w:val="22"/>
          <w:szCs w:val="22"/>
        </w:rPr>
      </w:pPr>
      <w:r w:rsidRPr="00D15AF2">
        <w:rPr>
          <w:rFonts w:ascii="Arial" w:hAnsi="Arial" w:cs="Arial"/>
          <w:b/>
          <w:sz w:val="22"/>
          <w:szCs w:val="22"/>
        </w:rPr>
        <w:t>Evaluation of Tower Hamlets Council</w:t>
      </w:r>
    </w:p>
    <w:p w14:paraId="6CC84F8E" w14:textId="77777777" w:rsidR="00E57DD6" w:rsidRPr="00F61A66" w:rsidRDefault="00E57DD6" w:rsidP="00F61A66">
      <w:pPr>
        <w:spacing w:line="360" w:lineRule="auto"/>
        <w:rPr>
          <w:rFonts w:ascii="Arial" w:hAnsi="Arial" w:cs="Arial"/>
          <w:sz w:val="22"/>
          <w:szCs w:val="22"/>
        </w:rPr>
      </w:pPr>
    </w:p>
    <w:p w14:paraId="5BA0FAC9" w14:textId="6A2BFC6F"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Tower Hamlets provides a particularly family</w:t>
      </w:r>
      <w:r w:rsidR="003D7085">
        <w:rPr>
          <w:rFonts w:ascii="Arial" w:hAnsi="Arial" w:cs="Arial"/>
          <w:sz w:val="22"/>
          <w:szCs w:val="22"/>
        </w:rPr>
        <w:t xml:space="preserve"> </w:t>
      </w:r>
      <w:r w:rsidRPr="00F61A66">
        <w:rPr>
          <w:rFonts w:ascii="Arial" w:hAnsi="Arial" w:cs="Arial"/>
          <w:sz w:val="22"/>
          <w:szCs w:val="22"/>
        </w:rPr>
        <w:t xml:space="preserve">focused explanation of Early Help. Its website explains that support is intended to help children, young people and families when challenges first emerge and to prevent problems becoming more serious. It also clearly states that the service covers families from pregnancy until age 19, extending to 25 for young people with SEND (Tower Hamlets Council, 2026). </w:t>
      </w:r>
    </w:p>
    <w:p w14:paraId="49C1E921" w14:textId="77777777" w:rsidR="00E57DD6" w:rsidRPr="00F61A66" w:rsidRDefault="00E57DD6" w:rsidP="00F61A66">
      <w:pPr>
        <w:spacing w:line="360" w:lineRule="auto"/>
        <w:rPr>
          <w:rFonts w:ascii="Arial" w:hAnsi="Arial" w:cs="Arial"/>
          <w:sz w:val="22"/>
          <w:szCs w:val="22"/>
        </w:rPr>
      </w:pPr>
    </w:p>
    <w:p w14:paraId="2F197759"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A major strength is its explanation of universal and targeted support. Rather than assuming that users understand professional language, the site provides examples of circumstances that may result in additional help, including poor school attendance, parental mental health difficulties, SEND, parental conflict and language barriers. It also gives recognisable examples of support such as parent groups and debt or budgeting sessions (Tower Hamlets Council, 2026).  This makes the information easier to relate to everyday family circumstances.</w:t>
      </w:r>
    </w:p>
    <w:p w14:paraId="7F045B6F" w14:textId="77777777" w:rsidR="00E57DD6" w:rsidRPr="00F61A66" w:rsidRDefault="00E57DD6" w:rsidP="00F61A66">
      <w:pPr>
        <w:spacing w:line="360" w:lineRule="auto"/>
        <w:rPr>
          <w:rFonts w:ascii="Arial" w:hAnsi="Arial" w:cs="Arial"/>
          <w:sz w:val="22"/>
          <w:szCs w:val="22"/>
        </w:rPr>
      </w:pPr>
    </w:p>
    <w:p w14:paraId="6534A3D0"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 xml:space="preserve">Its Best Start Family Hub model is another strength. The council states that there are four Best Start Family Hubs and eight Children and Family Centres, with support including health, play, family support, employment and training. The hubs are intended to bring universal and targeted services together and encourage early identification of difficulties (Tower Hamlets Council, 2026).  This reflects the wider national direction towards bringing family services together in accessible community settings. Best Start Family Hubs nationally are intended to make health, education and family support easier to access in one connected system (Department for Education, 2026). </w:t>
      </w:r>
    </w:p>
    <w:p w14:paraId="2F7D5162" w14:textId="77777777" w:rsidR="00E57DD6" w:rsidRPr="00F61A66" w:rsidRDefault="00E57DD6" w:rsidP="00F61A66">
      <w:pPr>
        <w:spacing w:line="360" w:lineRule="auto"/>
        <w:rPr>
          <w:rFonts w:ascii="Arial" w:hAnsi="Arial" w:cs="Arial"/>
          <w:sz w:val="22"/>
          <w:szCs w:val="22"/>
        </w:rPr>
      </w:pPr>
    </w:p>
    <w:p w14:paraId="75A7E8E0"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Tower Hamlets also communicates multi-agency working particularly clearly. Its Multi-Agency Support Team includes Children’s Services, health, education, police, probation, housing, Early Help, youth offending services, CAMHS and voluntary-sector involvement (Tower Hamlets Council, 2026).  Families are therefore shown that complex needs may require coordinated rather than isolated professional responses.</w:t>
      </w:r>
    </w:p>
    <w:p w14:paraId="459DD621" w14:textId="77777777" w:rsidR="00E57DD6" w:rsidRPr="00F61A66" w:rsidRDefault="00E57DD6" w:rsidP="00F61A66">
      <w:pPr>
        <w:spacing w:line="360" w:lineRule="auto"/>
        <w:rPr>
          <w:rFonts w:ascii="Arial" w:hAnsi="Arial" w:cs="Arial"/>
          <w:sz w:val="22"/>
          <w:szCs w:val="22"/>
        </w:rPr>
      </w:pPr>
    </w:p>
    <w:p w14:paraId="532C9A76"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A limitation is that the range of Family Hub, MAST, Early Help and Children and Family Centre information can still require navigation across different sections. Someone experiencing stress may not distinguish immediately between these service names. A simpler visual pathway showing “I need advice”, “my family needs extra support” and “I am worried a child is unsafe” could improve navigation while retaining the detailed information already available.</w:t>
      </w:r>
    </w:p>
    <w:p w14:paraId="712E7EF9" w14:textId="77777777" w:rsidR="00E57DD6" w:rsidRPr="00F61A66" w:rsidRDefault="00E57DD6" w:rsidP="00F61A66">
      <w:pPr>
        <w:spacing w:line="360" w:lineRule="auto"/>
        <w:rPr>
          <w:rFonts w:ascii="Arial" w:hAnsi="Arial" w:cs="Arial"/>
          <w:sz w:val="22"/>
          <w:szCs w:val="22"/>
        </w:rPr>
      </w:pPr>
    </w:p>
    <w:p w14:paraId="1FCA1C0E" w14:textId="77777777" w:rsidR="00E57DD6" w:rsidRPr="00D15AF2" w:rsidRDefault="00E57DD6" w:rsidP="00F61A66">
      <w:pPr>
        <w:spacing w:line="360" w:lineRule="auto"/>
        <w:rPr>
          <w:rFonts w:ascii="Arial" w:hAnsi="Arial" w:cs="Arial"/>
          <w:b/>
          <w:sz w:val="22"/>
          <w:szCs w:val="22"/>
        </w:rPr>
      </w:pPr>
      <w:r w:rsidRPr="00D15AF2">
        <w:rPr>
          <w:rFonts w:ascii="Arial" w:hAnsi="Arial" w:cs="Arial"/>
          <w:b/>
          <w:sz w:val="22"/>
          <w:szCs w:val="22"/>
        </w:rPr>
        <w:t>Evaluation of Norfolk County Council</w:t>
      </w:r>
    </w:p>
    <w:p w14:paraId="27A319D5" w14:textId="77777777" w:rsidR="00E57DD6" w:rsidRPr="00F61A66" w:rsidRDefault="00E57DD6" w:rsidP="00F61A66">
      <w:pPr>
        <w:spacing w:line="360" w:lineRule="auto"/>
        <w:rPr>
          <w:rFonts w:ascii="Arial" w:hAnsi="Arial" w:cs="Arial"/>
          <w:sz w:val="22"/>
          <w:szCs w:val="22"/>
        </w:rPr>
      </w:pPr>
    </w:p>
    <w:p w14:paraId="3722C491"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Norfolk’s approach also demonstrates a strong emphasis on prevention and coordinated family support. Families can access Early Help for difficulties affecting wellbeing and family life, while the Family Hub model provides connections to advice, groups, workshops and professionals. Support is available through physical community provision as well as online routes, which can increase choice for families (Norfolk County Council, 2026).</w:t>
      </w:r>
    </w:p>
    <w:p w14:paraId="4BDBAD64" w14:textId="77777777" w:rsidR="00E57DD6" w:rsidRPr="00F61A66" w:rsidRDefault="00E57DD6" w:rsidP="00F61A66">
      <w:pPr>
        <w:spacing w:line="360" w:lineRule="auto"/>
        <w:rPr>
          <w:rFonts w:ascii="Arial" w:hAnsi="Arial" w:cs="Arial"/>
          <w:sz w:val="22"/>
          <w:szCs w:val="22"/>
        </w:rPr>
      </w:pPr>
    </w:p>
    <w:p w14:paraId="4597B071"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A significant strength of Norfolk is its emphasis on providing help at the lowest appropriate level. Local safeguarding information describes universal and community-based Early Help as preventative support designed to strengthen resilience and reduce escalation. Best Start Family Hubs form part of this pathway and support families from pregnancy to 19, or 25 for young people with SEND (Norfolk Safeguarding Children Partnership, 2026).  This reflects the preventative principles contained within the national Early Help framework.</w:t>
      </w:r>
    </w:p>
    <w:p w14:paraId="6758B418" w14:textId="77777777" w:rsidR="00E57DD6" w:rsidRPr="00F61A66" w:rsidRDefault="00E57DD6" w:rsidP="00F61A66">
      <w:pPr>
        <w:spacing w:line="360" w:lineRule="auto"/>
        <w:rPr>
          <w:rFonts w:ascii="Arial" w:hAnsi="Arial" w:cs="Arial"/>
          <w:sz w:val="22"/>
          <w:szCs w:val="22"/>
        </w:rPr>
      </w:pPr>
    </w:p>
    <w:p w14:paraId="5101DCC7"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Norfolk also demonstrates development in integrated practice. National evaluation of the Supporting Families programme describes Norfolk’s historical movement away from fragmented, reactive family services towards a more proactive and holistic early-intervention system (Department for Levelling Up, Housing and Communities, 2025).  This provides useful evidence that the local approach forms part of broader service transformation rather than simply website signposting.</w:t>
      </w:r>
    </w:p>
    <w:p w14:paraId="4F7F92E3" w14:textId="77777777" w:rsidR="00E57DD6" w:rsidRPr="00F61A66" w:rsidRDefault="00E57DD6" w:rsidP="00F61A66">
      <w:pPr>
        <w:spacing w:line="360" w:lineRule="auto"/>
        <w:rPr>
          <w:rFonts w:ascii="Arial" w:hAnsi="Arial" w:cs="Arial"/>
          <w:sz w:val="22"/>
          <w:szCs w:val="22"/>
        </w:rPr>
      </w:pPr>
    </w:p>
    <w:p w14:paraId="6C32EB13"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The main weakness is accessibility of the pathway from a family’s perspective. Some of the most detailed information about thresholds, requests for support and coordinated practice is presented in material primarily aimed at professionals. Families may therefore find the system less immediately understandable than Tower Hamlets’ direct explanation of common problems and types of help. Norfolk could improve this by placing a simplified family journey at the centre of its Early Help pages and separating professional referral information from basic public guidance.</w:t>
      </w:r>
    </w:p>
    <w:p w14:paraId="78712538" w14:textId="77777777" w:rsidR="00E57DD6" w:rsidRPr="00F61A66" w:rsidRDefault="00E57DD6" w:rsidP="00F61A66">
      <w:pPr>
        <w:spacing w:line="360" w:lineRule="auto"/>
        <w:rPr>
          <w:rFonts w:ascii="Arial" w:hAnsi="Arial" w:cs="Arial"/>
          <w:sz w:val="22"/>
          <w:szCs w:val="22"/>
        </w:rPr>
      </w:pPr>
    </w:p>
    <w:p w14:paraId="27ADD626" w14:textId="77777777" w:rsidR="00E57DD6" w:rsidRPr="00D15AF2" w:rsidRDefault="00E57DD6" w:rsidP="00F61A66">
      <w:pPr>
        <w:spacing w:line="360" w:lineRule="auto"/>
        <w:rPr>
          <w:rFonts w:ascii="Arial" w:hAnsi="Arial" w:cs="Arial"/>
          <w:b/>
          <w:sz w:val="22"/>
          <w:szCs w:val="22"/>
        </w:rPr>
      </w:pPr>
      <w:r w:rsidRPr="00D15AF2">
        <w:rPr>
          <w:rFonts w:ascii="Arial" w:hAnsi="Arial" w:cs="Arial"/>
          <w:b/>
          <w:sz w:val="22"/>
          <w:szCs w:val="22"/>
        </w:rPr>
        <w:t>Comparative Analysis</w:t>
      </w:r>
    </w:p>
    <w:p w14:paraId="52FD2C92" w14:textId="77777777" w:rsidR="00E57DD6" w:rsidRPr="00F61A66" w:rsidRDefault="00E57DD6" w:rsidP="00F61A66">
      <w:pPr>
        <w:spacing w:line="360" w:lineRule="auto"/>
        <w:rPr>
          <w:rFonts w:ascii="Arial" w:hAnsi="Arial" w:cs="Arial"/>
          <w:sz w:val="22"/>
          <w:szCs w:val="22"/>
        </w:rPr>
      </w:pPr>
    </w:p>
    <w:p w14:paraId="55A3C2CA"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All three local authorities demonstrate the main principle that earlier intervention can prevent difficulties escalating, but they communicate this in different ways.</w:t>
      </w:r>
    </w:p>
    <w:p w14:paraId="0674B2DA" w14:textId="77777777" w:rsidR="00E57DD6" w:rsidRPr="00F61A66" w:rsidRDefault="00E57DD6" w:rsidP="00F61A66">
      <w:pPr>
        <w:spacing w:line="360" w:lineRule="auto"/>
        <w:rPr>
          <w:rFonts w:ascii="Arial" w:hAnsi="Arial" w:cs="Arial"/>
          <w:sz w:val="22"/>
          <w:szCs w:val="22"/>
        </w:rPr>
      </w:pPr>
    </w:p>
    <w:p w14:paraId="45FE0526"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Leeds provides the strongest explanation of the graduated structure of Early Help and gives considerable detail about how services and practitioners fit together. Its strength is depth, although this can also create a heavier information burden for families. Norfolk similarly demonstrates a developed whole-system approach, but parts of its pathway are easier to understand from a professional perspective than from the viewpoint of a parent seeking immediate assistance.</w:t>
      </w:r>
    </w:p>
    <w:p w14:paraId="3D18663C" w14:textId="77777777" w:rsidR="00E57DD6" w:rsidRPr="00F61A66" w:rsidRDefault="00E57DD6" w:rsidP="00F61A66">
      <w:pPr>
        <w:spacing w:line="360" w:lineRule="auto"/>
        <w:rPr>
          <w:rFonts w:ascii="Arial" w:hAnsi="Arial" w:cs="Arial"/>
          <w:sz w:val="22"/>
          <w:szCs w:val="22"/>
        </w:rPr>
      </w:pPr>
    </w:p>
    <w:p w14:paraId="6C16E70F"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Tower Hamlets is the strongest of the three in overall public communication. Its pages explain what Early Help means, who can receive it, examples of circumstances in which support may be useful, what services families may receive and how multi-agency support operates. Importantly, it translates professional concepts into examples that families can recognise. This is significant because accessibility is not simply about having information online; information must enable people to understand their options and act upon them.</w:t>
      </w:r>
    </w:p>
    <w:p w14:paraId="45AB0D6E" w14:textId="77777777" w:rsidR="00E57DD6" w:rsidRPr="00F61A66" w:rsidRDefault="00E57DD6" w:rsidP="00F61A66">
      <w:pPr>
        <w:spacing w:line="360" w:lineRule="auto"/>
        <w:rPr>
          <w:rFonts w:ascii="Arial" w:hAnsi="Arial" w:cs="Arial"/>
          <w:sz w:val="22"/>
          <w:szCs w:val="22"/>
        </w:rPr>
      </w:pPr>
    </w:p>
    <w:p w14:paraId="4E2F0CDA"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However, none of the three websites is without limitations. The national Early Help System Guide places family voice and experience at the centre of system development (Department for Levelling Up, Housing and Communities, 2022).  Therefore, website quality should be considered not only by how much information is provided but also by whether families with different literacy levels, disabilities, language needs and digital abilities can successfully navigate it.</w:t>
      </w:r>
    </w:p>
    <w:p w14:paraId="7E0CE381" w14:textId="77777777" w:rsidR="00E57DD6" w:rsidRPr="00D15AF2" w:rsidRDefault="00E57DD6" w:rsidP="00F61A66">
      <w:pPr>
        <w:spacing w:line="360" w:lineRule="auto"/>
        <w:rPr>
          <w:rFonts w:ascii="Arial" w:hAnsi="Arial" w:cs="Arial"/>
          <w:b/>
          <w:sz w:val="22"/>
          <w:szCs w:val="22"/>
        </w:rPr>
      </w:pPr>
    </w:p>
    <w:p w14:paraId="4F80C3AC" w14:textId="77777777" w:rsidR="00E57DD6" w:rsidRPr="00D15AF2" w:rsidRDefault="00E57DD6" w:rsidP="00F61A66">
      <w:pPr>
        <w:spacing w:line="360" w:lineRule="auto"/>
        <w:rPr>
          <w:rFonts w:ascii="Arial" w:hAnsi="Arial" w:cs="Arial"/>
          <w:b/>
          <w:sz w:val="22"/>
          <w:szCs w:val="22"/>
        </w:rPr>
      </w:pPr>
      <w:r w:rsidRPr="00D15AF2">
        <w:rPr>
          <w:rFonts w:ascii="Arial" w:hAnsi="Arial" w:cs="Arial"/>
          <w:b/>
          <w:sz w:val="22"/>
          <w:szCs w:val="22"/>
        </w:rPr>
        <w:t>Conclusion and Recommendations</w:t>
      </w:r>
    </w:p>
    <w:p w14:paraId="19DF8869" w14:textId="77777777" w:rsidR="00E57DD6" w:rsidRPr="00F61A66" w:rsidRDefault="00E57DD6" w:rsidP="00F61A66">
      <w:pPr>
        <w:spacing w:line="360" w:lineRule="auto"/>
        <w:rPr>
          <w:rFonts w:ascii="Arial" w:hAnsi="Arial" w:cs="Arial"/>
          <w:sz w:val="22"/>
          <w:szCs w:val="22"/>
        </w:rPr>
      </w:pPr>
    </w:p>
    <w:p w14:paraId="2F80DF57"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Early Help is most effective when families receive appropriate assistance before difficulties escalate and when agencies work together rather than responding independently. The analysis demonstrates that Leeds, Tower Hamlets and Norfolk all communicate important elements of prevention, whole-family support and multi-agency working.</w:t>
      </w:r>
    </w:p>
    <w:p w14:paraId="7E04D31C" w14:textId="77777777" w:rsidR="00E57DD6" w:rsidRPr="00F61A66" w:rsidRDefault="00E57DD6" w:rsidP="00F61A66">
      <w:pPr>
        <w:spacing w:line="360" w:lineRule="auto"/>
        <w:rPr>
          <w:rFonts w:ascii="Arial" w:hAnsi="Arial" w:cs="Arial"/>
          <w:sz w:val="22"/>
          <w:szCs w:val="22"/>
        </w:rPr>
      </w:pPr>
    </w:p>
    <w:p w14:paraId="1A23D674"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Of the three websites, Tower Hamlets appears to communicate Early Help most effectively to families because it combines a straightforward definition with examples of family difficulties, available support, Family Hub provision, contact routes and an understandable explanation of multi-agency involvement. Leeds provides particularly strong detail about its graduated Early Help model, while Norfolk demonstrates a well-developed preventative and integrated system, but both could make the initial family journey simpler.</w:t>
      </w:r>
    </w:p>
    <w:p w14:paraId="6BE6EE97" w14:textId="77777777" w:rsidR="00E57DD6" w:rsidRPr="00F61A66" w:rsidRDefault="00E57DD6" w:rsidP="00F61A66">
      <w:pPr>
        <w:spacing w:line="360" w:lineRule="auto"/>
        <w:rPr>
          <w:rFonts w:ascii="Arial" w:hAnsi="Arial" w:cs="Arial"/>
          <w:sz w:val="22"/>
          <w:szCs w:val="22"/>
        </w:rPr>
      </w:pPr>
    </w:p>
    <w:p w14:paraId="155BF784"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 xml:space="preserve">All three authorities could improve their websites further by creating one highly visible starting point for families, reducing professional terminology, separating family and practitioner information, providing clearer step-by-step pathways and ensuring accessible alternatives for people who struggle with digital services. Information should also be regularly reviewed so that service details, referral routes and safeguarding contacts remain current. These improvements would support the wider principle within Working Together to Safeguard Children 2026 that effective support depends on organisations working together to help, protect and promote children’s welfare (Department for Education, 2026). </w:t>
      </w:r>
    </w:p>
    <w:p w14:paraId="04334292" w14:textId="77777777" w:rsidR="00E57DD6" w:rsidRPr="00F61A66" w:rsidRDefault="00E57DD6" w:rsidP="00F61A66">
      <w:pPr>
        <w:spacing w:line="360" w:lineRule="auto"/>
        <w:rPr>
          <w:rFonts w:ascii="Arial" w:hAnsi="Arial" w:cs="Arial"/>
          <w:sz w:val="22"/>
          <w:szCs w:val="22"/>
        </w:rPr>
      </w:pPr>
    </w:p>
    <w:p w14:paraId="424F0F33" w14:textId="77777777" w:rsidR="00E928BD" w:rsidRDefault="00E928BD" w:rsidP="00F61A66">
      <w:pPr>
        <w:spacing w:line="360" w:lineRule="auto"/>
        <w:rPr>
          <w:rFonts w:ascii="Arial" w:hAnsi="Arial" w:cs="Arial"/>
          <w:sz w:val="22"/>
          <w:szCs w:val="22"/>
        </w:rPr>
      </w:pPr>
    </w:p>
    <w:p w14:paraId="1D467F3A" w14:textId="77777777" w:rsidR="00E928BD" w:rsidRDefault="00E928BD" w:rsidP="00F61A66">
      <w:pPr>
        <w:spacing w:line="360" w:lineRule="auto"/>
        <w:rPr>
          <w:rFonts w:ascii="Arial" w:hAnsi="Arial" w:cs="Arial"/>
          <w:sz w:val="22"/>
          <w:szCs w:val="22"/>
        </w:rPr>
      </w:pPr>
    </w:p>
    <w:p w14:paraId="35644FA4" w14:textId="77777777" w:rsidR="00E108D8" w:rsidRDefault="00E108D8" w:rsidP="00F61A66">
      <w:pPr>
        <w:spacing w:line="360" w:lineRule="auto"/>
        <w:rPr>
          <w:rFonts w:ascii="Arial" w:hAnsi="Arial" w:cs="Arial"/>
          <w:sz w:val="22"/>
          <w:szCs w:val="22"/>
        </w:rPr>
      </w:pPr>
    </w:p>
    <w:p w14:paraId="719C532B" w14:textId="77777777" w:rsidR="00E108D8" w:rsidRDefault="00E108D8" w:rsidP="00F61A66">
      <w:pPr>
        <w:spacing w:line="360" w:lineRule="auto"/>
        <w:rPr>
          <w:rFonts w:ascii="Arial" w:hAnsi="Arial" w:cs="Arial"/>
          <w:sz w:val="22"/>
          <w:szCs w:val="22"/>
        </w:rPr>
      </w:pPr>
    </w:p>
    <w:p w14:paraId="5D405165" w14:textId="77777777" w:rsidR="00E108D8" w:rsidRDefault="00E108D8" w:rsidP="00F61A66">
      <w:pPr>
        <w:spacing w:line="360" w:lineRule="auto"/>
        <w:rPr>
          <w:rFonts w:ascii="Arial" w:hAnsi="Arial" w:cs="Arial"/>
          <w:sz w:val="22"/>
          <w:szCs w:val="22"/>
        </w:rPr>
      </w:pPr>
    </w:p>
    <w:p w14:paraId="42644583" w14:textId="77777777" w:rsidR="00E108D8" w:rsidRDefault="00E108D8" w:rsidP="00F61A66">
      <w:pPr>
        <w:spacing w:line="360" w:lineRule="auto"/>
        <w:rPr>
          <w:rFonts w:ascii="Arial" w:hAnsi="Arial" w:cs="Arial"/>
          <w:sz w:val="22"/>
          <w:szCs w:val="22"/>
        </w:rPr>
      </w:pPr>
    </w:p>
    <w:p w14:paraId="6AC30A89" w14:textId="77777777" w:rsidR="00E108D8" w:rsidRDefault="00E108D8" w:rsidP="00F61A66">
      <w:pPr>
        <w:spacing w:line="360" w:lineRule="auto"/>
        <w:rPr>
          <w:rFonts w:ascii="Arial" w:hAnsi="Arial" w:cs="Arial"/>
          <w:sz w:val="22"/>
          <w:szCs w:val="22"/>
        </w:rPr>
      </w:pPr>
    </w:p>
    <w:p w14:paraId="3670B855" w14:textId="77777777" w:rsidR="00E108D8" w:rsidRDefault="00E108D8" w:rsidP="00F61A66">
      <w:pPr>
        <w:spacing w:line="360" w:lineRule="auto"/>
        <w:rPr>
          <w:rFonts w:ascii="Arial" w:hAnsi="Arial" w:cs="Arial"/>
          <w:sz w:val="22"/>
          <w:szCs w:val="22"/>
        </w:rPr>
      </w:pPr>
    </w:p>
    <w:p w14:paraId="79E5EA7E" w14:textId="77777777" w:rsidR="00E108D8" w:rsidRDefault="00E108D8" w:rsidP="00F61A66">
      <w:pPr>
        <w:spacing w:line="360" w:lineRule="auto"/>
        <w:rPr>
          <w:rFonts w:ascii="Arial" w:hAnsi="Arial" w:cs="Arial"/>
          <w:sz w:val="22"/>
          <w:szCs w:val="22"/>
        </w:rPr>
      </w:pPr>
    </w:p>
    <w:p w14:paraId="398AEA1E" w14:textId="77777777" w:rsidR="00E108D8" w:rsidRDefault="00E108D8" w:rsidP="00F61A66">
      <w:pPr>
        <w:spacing w:line="360" w:lineRule="auto"/>
        <w:rPr>
          <w:rFonts w:ascii="Arial" w:hAnsi="Arial" w:cs="Arial"/>
          <w:sz w:val="22"/>
          <w:szCs w:val="22"/>
        </w:rPr>
      </w:pPr>
    </w:p>
    <w:p w14:paraId="56A772D7" w14:textId="77777777" w:rsidR="00E108D8" w:rsidRDefault="00E108D8" w:rsidP="00F61A66">
      <w:pPr>
        <w:spacing w:line="360" w:lineRule="auto"/>
        <w:rPr>
          <w:rFonts w:ascii="Arial" w:hAnsi="Arial" w:cs="Arial"/>
          <w:sz w:val="22"/>
          <w:szCs w:val="22"/>
        </w:rPr>
      </w:pPr>
    </w:p>
    <w:p w14:paraId="623A1EC4" w14:textId="77777777" w:rsidR="00E108D8" w:rsidRDefault="00E108D8" w:rsidP="00F61A66">
      <w:pPr>
        <w:spacing w:line="360" w:lineRule="auto"/>
        <w:rPr>
          <w:rFonts w:ascii="Arial" w:hAnsi="Arial" w:cs="Arial"/>
          <w:sz w:val="22"/>
          <w:szCs w:val="22"/>
        </w:rPr>
      </w:pPr>
    </w:p>
    <w:p w14:paraId="2888B053" w14:textId="77777777" w:rsidR="00E108D8" w:rsidRDefault="00E108D8" w:rsidP="00F61A66">
      <w:pPr>
        <w:spacing w:line="360" w:lineRule="auto"/>
        <w:rPr>
          <w:rFonts w:ascii="Arial" w:hAnsi="Arial" w:cs="Arial"/>
          <w:sz w:val="22"/>
          <w:szCs w:val="22"/>
        </w:rPr>
      </w:pPr>
    </w:p>
    <w:p w14:paraId="3DFF7F09" w14:textId="77777777" w:rsidR="00E108D8" w:rsidRDefault="00E108D8" w:rsidP="00F61A66">
      <w:pPr>
        <w:spacing w:line="360" w:lineRule="auto"/>
        <w:rPr>
          <w:rFonts w:ascii="Arial" w:hAnsi="Arial" w:cs="Arial"/>
          <w:sz w:val="22"/>
          <w:szCs w:val="22"/>
        </w:rPr>
      </w:pPr>
    </w:p>
    <w:p w14:paraId="1BD2AEB5" w14:textId="77777777" w:rsidR="00E108D8" w:rsidRDefault="00E108D8" w:rsidP="00F61A66">
      <w:pPr>
        <w:spacing w:line="360" w:lineRule="auto"/>
        <w:rPr>
          <w:rFonts w:ascii="Arial" w:hAnsi="Arial" w:cs="Arial"/>
          <w:sz w:val="22"/>
          <w:szCs w:val="22"/>
        </w:rPr>
      </w:pPr>
    </w:p>
    <w:p w14:paraId="17442829" w14:textId="77777777" w:rsidR="00E108D8" w:rsidRDefault="00E108D8" w:rsidP="00F61A66">
      <w:pPr>
        <w:spacing w:line="360" w:lineRule="auto"/>
        <w:rPr>
          <w:rFonts w:ascii="Arial" w:hAnsi="Arial" w:cs="Arial"/>
          <w:sz w:val="22"/>
          <w:szCs w:val="22"/>
        </w:rPr>
      </w:pPr>
    </w:p>
    <w:p w14:paraId="2B53EB15" w14:textId="77777777" w:rsidR="00E108D8" w:rsidRDefault="00E108D8" w:rsidP="00F61A66">
      <w:pPr>
        <w:spacing w:line="360" w:lineRule="auto"/>
        <w:rPr>
          <w:rFonts w:ascii="Arial" w:hAnsi="Arial" w:cs="Arial"/>
          <w:sz w:val="22"/>
          <w:szCs w:val="22"/>
        </w:rPr>
      </w:pPr>
    </w:p>
    <w:p w14:paraId="1AC6DA53" w14:textId="77777777" w:rsidR="00E108D8" w:rsidRPr="00F61A66" w:rsidRDefault="00E108D8" w:rsidP="00F61A66">
      <w:pPr>
        <w:spacing w:line="360" w:lineRule="auto"/>
        <w:rPr>
          <w:rFonts w:ascii="Arial" w:hAnsi="Arial" w:cs="Arial"/>
          <w:sz w:val="22"/>
          <w:szCs w:val="22"/>
        </w:rPr>
      </w:pPr>
    </w:p>
    <w:p w14:paraId="3D8D96AF" w14:textId="77777777" w:rsidR="00E57DD6" w:rsidRPr="00BA1821" w:rsidRDefault="00E57DD6" w:rsidP="00F61A66">
      <w:pPr>
        <w:spacing w:line="360" w:lineRule="auto"/>
        <w:rPr>
          <w:rFonts w:ascii="Arial" w:hAnsi="Arial" w:cs="Arial"/>
          <w:b/>
          <w:sz w:val="22"/>
          <w:szCs w:val="22"/>
        </w:rPr>
      </w:pPr>
      <w:r w:rsidRPr="00BA1821">
        <w:rPr>
          <w:rFonts w:ascii="Arial" w:hAnsi="Arial" w:cs="Arial"/>
          <w:b/>
          <w:sz w:val="22"/>
          <w:szCs w:val="22"/>
        </w:rPr>
        <w:t>References</w:t>
      </w:r>
    </w:p>
    <w:p w14:paraId="7BDA8186" w14:textId="77777777" w:rsidR="00E57DD6" w:rsidRPr="00F61A66" w:rsidRDefault="00E57DD6" w:rsidP="00F61A66">
      <w:pPr>
        <w:spacing w:line="360" w:lineRule="auto"/>
        <w:rPr>
          <w:rFonts w:ascii="Arial" w:hAnsi="Arial" w:cs="Arial"/>
          <w:sz w:val="22"/>
          <w:szCs w:val="22"/>
        </w:rPr>
      </w:pPr>
    </w:p>
    <w:p w14:paraId="08A7FC9A"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Department for Education (2024) Information sharing advice for safeguarding practitioners. London: Department for Education.</w:t>
      </w:r>
    </w:p>
    <w:p w14:paraId="2F924A48" w14:textId="77777777" w:rsidR="00E57DD6" w:rsidRPr="00F61A66" w:rsidRDefault="00E57DD6" w:rsidP="00F61A66">
      <w:pPr>
        <w:spacing w:line="360" w:lineRule="auto"/>
        <w:rPr>
          <w:rFonts w:ascii="Arial" w:hAnsi="Arial" w:cs="Arial"/>
          <w:sz w:val="22"/>
          <w:szCs w:val="22"/>
        </w:rPr>
      </w:pPr>
    </w:p>
    <w:p w14:paraId="1A3877B0"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Department for Education (2026) Best Start Family Hubs. London: Department for Education.</w:t>
      </w:r>
    </w:p>
    <w:p w14:paraId="03545204" w14:textId="77777777" w:rsidR="00E57DD6" w:rsidRPr="00F61A66" w:rsidRDefault="00E57DD6" w:rsidP="00F61A66">
      <w:pPr>
        <w:spacing w:line="360" w:lineRule="auto"/>
        <w:rPr>
          <w:rFonts w:ascii="Arial" w:hAnsi="Arial" w:cs="Arial"/>
          <w:sz w:val="22"/>
          <w:szCs w:val="22"/>
        </w:rPr>
      </w:pPr>
    </w:p>
    <w:p w14:paraId="54DB03F9"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Department for Education (2026) Working Together to Safeguard Children 2026: A guide to multi-agency working to help, protect and promote the welfare of children. London: Department for Education.</w:t>
      </w:r>
    </w:p>
    <w:p w14:paraId="71343ADA" w14:textId="77777777" w:rsidR="00E57DD6" w:rsidRPr="00F61A66" w:rsidRDefault="00E57DD6" w:rsidP="00F61A66">
      <w:pPr>
        <w:spacing w:line="360" w:lineRule="auto"/>
        <w:rPr>
          <w:rFonts w:ascii="Arial" w:hAnsi="Arial" w:cs="Arial"/>
          <w:sz w:val="22"/>
          <w:szCs w:val="22"/>
        </w:rPr>
      </w:pPr>
    </w:p>
    <w:p w14:paraId="7BC2B467"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Department for Levelling Up, Housing and Communities (2022) Early Help System Guide. London: Department for Levelling Up, Housing and Communities.</w:t>
      </w:r>
    </w:p>
    <w:p w14:paraId="778FD351" w14:textId="77777777" w:rsidR="00E57DD6" w:rsidRPr="00F61A66" w:rsidRDefault="00E57DD6" w:rsidP="00F61A66">
      <w:pPr>
        <w:spacing w:line="360" w:lineRule="auto"/>
        <w:rPr>
          <w:rFonts w:ascii="Arial" w:hAnsi="Arial" w:cs="Arial"/>
          <w:sz w:val="22"/>
          <w:szCs w:val="22"/>
        </w:rPr>
      </w:pPr>
    </w:p>
    <w:p w14:paraId="63AACD06"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Department for Levelling Up, Housing and Communities (2025) Supporting Families – Whole Family Working: Informing Future System Reform: Annual Report of the Supporting Families Programme 2024 to 2025. London: Department for Levelling Up, Housing and Communities.</w:t>
      </w:r>
    </w:p>
    <w:p w14:paraId="2A885019" w14:textId="77777777" w:rsidR="00E57DD6" w:rsidRPr="00F61A66" w:rsidRDefault="00E57DD6" w:rsidP="00F61A66">
      <w:pPr>
        <w:spacing w:line="360" w:lineRule="auto"/>
        <w:rPr>
          <w:rFonts w:ascii="Arial" w:hAnsi="Arial" w:cs="Arial"/>
          <w:sz w:val="22"/>
          <w:szCs w:val="22"/>
        </w:rPr>
      </w:pPr>
    </w:p>
    <w:p w14:paraId="4A759EA8"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Leeds City Council (2025) One minute guide: Early Help. Leeds: Leeds City Council.</w:t>
      </w:r>
    </w:p>
    <w:p w14:paraId="1D546920" w14:textId="77777777" w:rsidR="00E57DD6" w:rsidRPr="00F61A66" w:rsidRDefault="00E57DD6" w:rsidP="00F61A66">
      <w:pPr>
        <w:spacing w:line="360" w:lineRule="auto"/>
        <w:rPr>
          <w:rFonts w:ascii="Arial" w:hAnsi="Arial" w:cs="Arial"/>
          <w:sz w:val="22"/>
          <w:szCs w:val="22"/>
        </w:rPr>
      </w:pPr>
    </w:p>
    <w:p w14:paraId="4A51BF26"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Leeds City Council (2026) Children and families: services for families. Leeds: Leeds City Council.</w:t>
      </w:r>
    </w:p>
    <w:p w14:paraId="3D1EFC6E" w14:textId="77777777" w:rsidR="00E57DD6" w:rsidRPr="00F61A66" w:rsidRDefault="00E57DD6" w:rsidP="00F61A66">
      <w:pPr>
        <w:spacing w:line="360" w:lineRule="auto"/>
        <w:rPr>
          <w:rFonts w:ascii="Arial" w:hAnsi="Arial" w:cs="Arial"/>
          <w:sz w:val="22"/>
          <w:szCs w:val="22"/>
        </w:rPr>
      </w:pPr>
    </w:p>
    <w:p w14:paraId="68C6E9D1"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Norfolk County Council (2026) Early help for children and families. Norwich: Norfolk County Council.</w:t>
      </w:r>
    </w:p>
    <w:p w14:paraId="3204D94F" w14:textId="77777777" w:rsidR="00E57DD6" w:rsidRPr="00F61A66" w:rsidRDefault="00E57DD6" w:rsidP="00F61A66">
      <w:pPr>
        <w:spacing w:line="360" w:lineRule="auto"/>
        <w:rPr>
          <w:rFonts w:ascii="Arial" w:hAnsi="Arial" w:cs="Arial"/>
          <w:sz w:val="22"/>
          <w:szCs w:val="22"/>
        </w:rPr>
      </w:pPr>
    </w:p>
    <w:p w14:paraId="7F117221"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Tower Hamlets Council (2026) About Early Help. London: London Borough of Tower Hamlets.</w:t>
      </w:r>
    </w:p>
    <w:p w14:paraId="5B54524C" w14:textId="77777777" w:rsidR="00E57DD6" w:rsidRPr="00F61A66" w:rsidRDefault="00E57DD6" w:rsidP="00F61A66">
      <w:pPr>
        <w:spacing w:line="360" w:lineRule="auto"/>
        <w:rPr>
          <w:rFonts w:ascii="Arial" w:hAnsi="Arial" w:cs="Arial"/>
          <w:sz w:val="22"/>
          <w:szCs w:val="22"/>
        </w:rPr>
      </w:pPr>
    </w:p>
    <w:p w14:paraId="4CE6269E"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UK Parliament (1989) Children Act 1989. London: The Stationery Office.</w:t>
      </w:r>
    </w:p>
    <w:p w14:paraId="346462A7" w14:textId="77777777" w:rsidR="00E57DD6" w:rsidRPr="00F61A66" w:rsidRDefault="00E57DD6" w:rsidP="00F61A66">
      <w:pPr>
        <w:spacing w:line="360" w:lineRule="auto"/>
        <w:rPr>
          <w:rFonts w:ascii="Arial" w:hAnsi="Arial" w:cs="Arial"/>
          <w:sz w:val="22"/>
          <w:szCs w:val="22"/>
        </w:rPr>
      </w:pPr>
    </w:p>
    <w:p w14:paraId="0A295FB0" w14:textId="77777777" w:rsidR="00E57DD6" w:rsidRPr="00F61A66" w:rsidRDefault="00E57DD6" w:rsidP="00F61A66">
      <w:pPr>
        <w:spacing w:line="360" w:lineRule="auto"/>
        <w:rPr>
          <w:rFonts w:ascii="Arial" w:hAnsi="Arial" w:cs="Arial"/>
          <w:sz w:val="22"/>
          <w:szCs w:val="22"/>
        </w:rPr>
      </w:pPr>
      <w:r w:rsidRPr="00F61A66">
        <w:rPr>
          <w:rFonts w:ascii="Arial" w:hAnsi="Arial" w:cs="Arial"/>
          <w:sz w:val="22"/>
          <w:szCs w:val="22"/>
        </w:rPr>
        <w:t>UK Parliament (2004) Children Act 2004. London: The Stationery Office.</w:t>
      </w:r>
    </w:p>
    <w:p w14:paraId="70488D32" w14:textId="77777777" w:rsidR="00E57DD6" w:rsidRPr="00F61A66" w:rsidRDefault="00E57DD6" w:rsidP="00F61A66">
      <w:pPr>
        <w:spacing w:line="360" w:lineRule="auto"/>
        <w:rPr>
          <w:rFonts w:ascii="Arial" w:hAnsi="Arial" w:cs="Arial"/>
          <w:sz w:val="22"/>
          <w:szCs w:val="22"/>
        </w:rPr>
      </w:pPr>
    </w:p>
    <w:p w14:paraId="4D713849" w14:textId="24B20BF3" w:rsidR="00E57DD6" w:rsidRDefault="00E57DD6" w:rsidP="00F61A66">
      <w:pPr>
        <w:spacing w:line="360" w:lineRule="auto"/>
      </w:pPr>
    </w:p>
    <w:sectPr w:rsidR="00E57DD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2E7061" w14:textId="77777777" w:rsidR="00C41E46" w:rsidRDefault="00C41E46" w:rsidP="00AB1740">
      <w:pPr>
        <w:spacing w:after="0" w:line="240" w:lineRule="auto"/>
      </w:pPr>
      <w:r>
        <w:separator/>
      </w:r>
    </w:p>
  </w:endnote>
  <w:endnote w:type="continuationSeparator" w:id="0">
    <w:p w14:paraId="0750102F" w14:textId="77777777" w:rsidR="00C41E46" w:rsidRDefault="00C41E46" w:rsidP="00AB1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19851449"/>
      <w:docPartObj>
        <w:docPartGallery w:val="Page Numbers (Bottom of Page)"/>
        <w:docPartUnique/>
      </w:docPartObj>
    </w:sdtPr>
    <w:sdtContent>
      <w:p w14:paraId="2921AB02" w14:textId="1DC5C2A7" w:rsidR="000969D8" w:rsidRDefault="000969D8">
        <w:pPr>
          <w:pStyle w:val="Footer"/>
          <w:jc w:val="right"/>
        </w:pPr>
        <w:r>
          <w:fldChar w:fldCharType="begin"/>
        </w:r>
        <w:r>
          <w:instrText>PAGE   \* MERGEFORMAT</w:instrText>
        </w:r>
        <w:r>
          <w:fldChar w:fldCharType="separate"/>
        </w:r>
        <w:r>
          <w:t>2</w:t>
        </w:r>
        <w:r>
          <w:fldChar w:fldCharType="end"/>
        </w:r>
      </w:p>
    </w:sdtContent>
  </w:sdt>
  <w:p w14:paraId="0E115C4B" w14:textId="77777777" w:rsidR="00AB1740" w:rsidRDefault="00AB17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5EC31FC" w14:textId="77777777" w:rsidR="00C41E46" w:rsidRDefault="00C41E46" w:rsidP="00AB1740">
      <w:pPr>
        <w:spacing w:after="0" w:line="240" w:lineRule="auto"/>
      </w:pPr>
      <w:r>
        <w:separator/>
      </w:r>
    </w:p>
  </w:footnote>
  <w:footnote w:type="continuationSeparator" w:id="0">
    <w:p w14:paraId="425E4CD0" w14:textId="77777777" w:rsidR="00C41E46" w:rsidRDefault="00C41E46" w:rsidP="00AB1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F424A3" w14:textId="0DCBF9CC" w:rsidR="001E18D4" w:rsidRDefault="001E18D4">
    <w:pPr>
      <w:pStyle w:val="Header"/>
      <w:jc w:val="right"/>
    </w:pPr>
  </w:p>
  <w:p w14:paraId="1D84E28F" w14:textId="77777777" w:rsidR="00AB1740" w:rsidRDefault="00AB17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A9F5A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463345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DD6"/>
    <w:rsid w:val="0000135A"/>
    <w:rsid w:val="00061AB8"/>
    <w:rsid w:val="00071B15"/>
    <w:rsid w:val="00087095"/>
    <w:rsid w:val="000969D8"/>
    <w:rsid w:val="000A1145"/>
    <w:rsid w:val="000B1439"/>
    <w:rsid w:val="001033DE"/>
    <w:rsid w:val="00115C3E"/>
    <w:rsid w:val="00156A9B"/>
    <w:rsid w:val="001900B9"/>
    <w:rsid w:val="001E18D4"/>
    <w:rsid w:val="001E6FAA"/>
    <w:rsid w:val="001F503E"/>
    <w:rsid w:val="00210581"/>
    <w:rsid w:val="0022118A"/>
    <w:rsid w:val="00286819"/>
    <w:rsid w:val="002D2711"/>
    <w:rsid w:val="003467C0"/>
    <w:rsid w:val="00392B7B"/>
    <w:rsid w:val="00395E67"/>
    <w:rsid w:val="003B0F3A"/>
    <w:rsid w:val="003B6659"/>
    <w:rsid w:val="003D7085"/>
    <w:rsid w:val="003E47A6"/>
    <w:rsid w:val="00425CC5"/>
    <w:rsid w:val="004F258A"/>
    <w:rsid w:val="00504313"/>
    <w:rsid w:val="00506712"/>
    <w:rsid w:val="00552853"/>
    <w:rsid w:val="00555CD4"/>
    <w:rsid w:val="0056048B"/>
    <w:rsid w:val="0059789A"/>
    <w:rsid w:val="005D7170"/>
    <w:rsid w:val="006440D5"/>
    <w:rsid w:val="00682BF0"/>
    <w:rsid w:val="006860D1"/>
    <w:rsid w:val="006B7B4B"/>
    <w:rsid w:val="006C3AFE"/>
    <w:rsid w:val="0070640D"/>
    <w:rsid w:val="00714E18"/>
    <w:rsid w:val="00725C3B"/>
    <w:rsid w:val="00747912"/>
    <w:rsid w:val="00754FCC"/>
    <w:rsid w:val="0077127A"/>
    <w:rsid w:val="007731BD"/>
    <w:rsid w:val="0077507B"/>
    <w:rsid w:val="007820BC"/>
    <w:rsid w:val="007A0DFE"/>
    <w:rsid w:val="007E2AA1"/>
    <w:rsid w:val="00820ADB"/>
    <w:rsid w:val="00843255"/>
    <w:rsid w:val="00866749"/>
    <w:rsid w:val="008B109A"/>
    <w:rsid w:val="008E1788"/>
    <w:rsid w:val="009216F1"/>
    <w:rsid w:val="009A08EC"/>
    <w:rsid w:val="00A12431"/>
    <w:rsid w:val="00A26D54"/>
    <w:rsid w:val="00AB1740"/>
    <w:rsid w:val="00AF51EF"/>
    <w:rsid w:val="00AF70AF"/>
    <w:rsid w:val="00B22C83"/>
    <w:rsid w:val="00B87412"/>
    <w:rsid w:val="00BA1821"/>
    <w:rsid w:val="00BA1AA7"/>
    <w:rsid w:val="00BC4B82"/>
    <w:rsid w:val="00BD5DBD"/>
    <w:rsid w:val="00BF2A3F"/>
    <w:rsid w:val="00C41E46"/>
    <w:rsid w:val="00C80B9C"/>
    <w:rsid w:val="00CA1216"/>
    <w:rsid w:val="00CA5141"/>
    <w:rsid w:val="00CD5BF6"/>
    <w:rsid w:val="00D02E62"/>
    <w:rsid w:val="00D15AF2"/>
    <w:rsid w:val="00D24DB4"/>
    <w:rsid w:val="00DB31A7"/>
    <w:rsid w:val="00DF1E3B"/>
    <w:rsid w:val="00E072BA"/>
    <w:rsid w:val="00E108D8"/>
    <w:rsid w:val="00E268ED"/>
    <w:rsid w:val="00E57DD6"/>
    <w:rsid w:val="00E760E2"/>
    <w:rsid w:val="00E838C6"/>
    <w:rsid w:val="00E928BD"/>
    <w:rsid w:val="00EA7F64"/>
    <w:rsid w:val="00EB77F9"/>
    <w:rsid w:val="00EE2A6A"/>
    <w:rsid w:val="00F149D9"/>
    <w:rsid w:val="00F61A66"/>
    <w:rsid w:val="00F9040C"/>
    <w:rsid w:val="00F97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FB31C4"/>
  <w15:chartTrackingRefBased/>
  <w15:docId w15:val="{ADDBC1A2-ADFD-7B4D-91F9-6DD3BB2BC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D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7D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7D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7D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7D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7D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7D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7D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7D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D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7D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7D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7D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7D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7D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7D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7D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7DD6"/>
    <w:rPr>
      <w:rFonts w:eastAsiaTheme="majorEastAsia" w:cstheme="majorBidi"/>
      <w:color w:val="272727" w:themeColor="text1" w:themeTint="D8"/>
    </w:rPr>
  </w:style>
  <w:style w:type="paragraph" w:styleId="Title">
    <w:name w:val="Title"/>
    <w:basedOn w:val="Normal"/>
    <w:next w:val="Normal"/>
    <w:link w:val="TitleChar"/>
    <w:uiPriority w:val="10"/>
    <w:qFormat/>
    <w:rsid w:val="00E57D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D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7D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D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7DD6"/>
    <w:pPr>
      <w:spacing w:before="160"/>
      <w:jc w:val="center"/>
    </w:pPr>
    <w:rPr>
      <w:i/>
      <w:iCs/>
      <w:color w:val="404040" w:themeColor="text1" w:themeTint="BF"/>
    </w:rPr>
  </w:style>
  <w:style w:type="character" w:customStyle="1" w:styleId="QuoteChar">
    <w:name w:val="Quote Char"/>
    <w:basedOn w:val="DefaultParagraphFont"/>
    <w:link w:val="Quote"/>
    <w:uiPriority w:val="29"/>
    <w:rsid w:val="00E57DD6"/>
    <w:rPr>
      <w:i/>
      <w:iCs/>
      <w:color w:val="404040" w:themeColor="text1" w:themeTint="BF"/>
    </w:rPr>
  </w:style>
  <w:style w:type="paragraph" w:styleId="ListParagraph">
    <w:name w:val="List Paragraph"/>
    <w:basedOn w:val="Normal"/>
    <w:uiPriority w:val="34"/>
    <w:qFormat/>
    <w:rsid w:val="00E57DD6"/>
    <w:pPr>
      <w:ind w:left="720"/>
      <w:contextualSpacing/>
    </w:pPr>
  </w:style>
  <w:style w:type="character" w:styleId="IntenseEmphasis">
    <w:name w:val="Intense Emphasis"/>
    <w:basedOn w:val="DefaultParagraphFont"/>
    <w:uiPriority w:val="21"/>
    <w:qFormat/>
    <w:rsid w:val="00E57DD6"/>
    <w:rPr>
      <w:i/>
      <w:iCs/>
      <w:color w:val="2F5496" w:themeColor="accent1" w:themeShade="BF"/>
    </w:rPr>
  </w:style>
  <w:style w:type="paragraph" w:styleId="IntenseQuote">
    <w:name w:val="Intense Quote"/>
    <w:basedOn w:val="Normal"/>
    <w:next w:val="Normal"/>
    <w:link w:val="IntenseQuoteChar"/>
    <w:uiPriority w:val="30"/>
    <w:qFormat/>
    <w:rsid w:val="00E57D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7DD6"/>
    <w:rPr>
      <w:i/>
      <w:iCs/>
      <w:color w:val="2F5496" w:themeColor="accent1" w:themeShade="BF"/>
    </w:rPr>
  </w:style>
  <w:style w:type="character" w:styleId="IntenseReference">
    <w:name w:val="Intense Reference"/>
    <w:basedOn w:val="DefaultParagraphFont"/>
    <w:uiPriority w:val="32"/>
    <w:qFormat/>
    <w:rsid w:val="00E57DD6"/>
    <w:rPr>
      <w:b/>
      <w:bCs/>
      <w:smallCaps/>
      <w:color w:val="2F5496" w:themeColor="accent1" w:themeShade="BF"/>
      <w:spacing w:val="5"/>
    </w:rPr>
  </w:style>
  <w:style w:type="paragraph" w:styleId="Header">
    <w:name w:val="header"/>
    <w:basedOn w:val="Normal"/>
    <w:link w:val="HeaderChar"/>
    <w:uiPriority w:val="99"/>
    <w:unhideWhenUsed/>
    <w:rsid w:val="00AB17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740"/>
  </w:style>
  <w:style w:type="paragraph" w:styleId="Footer">
    <w:name w:val="footer"/>
    <w:basedOn w:val="Normal"/>
    <w:link w:val="FooterChar"/>
    <w:uiPriority w:val="99"/>
    <w:unhideWhenUsed/>
    <w:rsid w:val="00AB1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740"/>
  </w:style>
  <w:style w:type="paragraph" w:customStyle="1" w:styleId="p1">
    <w:name w:val="p1"/>
    <w:basedOn w:val="Normal"/>
    <w:rsid w:val="00210581"/>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10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2638</Words>
  <Characters>15043</Characters>
  <Application>Microsoft Office Word</Application>
  <DocSecurity>0</DocSecurity>
  <Lines>125</Lines>
  <Paragraphs>35</Paragraphs>
  <ScaleCrop>false</ScaleCrop>
  <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sansone</dc:creator>
  <cp:keywords/>
  <dc:description/>
  <cp:lastModifiedBy>teresa sansone</cp:lastModifiedBy>
  <cp:revision>2</cp:revision>
  <dcterms:created xsi:type="dcterms:W3CDTF">2026-08-20T14:22:00Z</dcterms:created>
  <dcterms:modified xsi:type="dcterms:W3CDTF">2026-08-20T14:22:00Z</dcterms:modified>
</cp:coreProperties>
</file>