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C9B0DB4" w14:textId="64879242" w:rsidR="007948F5" w:rsidRPr="00947DCD" w:rsidRDefault="007948F5" w:rsidP="00947DCD">
      <w:pPr>
        <w:shd w:val="clear" w:color="auto" w:fill="9CC2E5" w:themeFill="accent5" w:themeFillTint="99"/>
        <w:jc w:val="both"/>
        <w:rPr>
          <w:rFonts w:asciiTheme="majorHAnsi" w:hAnsiTheme="majorHAnsi"/>
          <w:b/>
          <w:bCs/>
          <w:sz w:val="24"/>
          <w:szCs w:val="24"/>
        </w:rPr>
      </w:pPr>
      <w:r w:rsidRPr="00947DCD">
        <w:rPr>
          <w:rFonts w:asciiTheme="majorHAnsi" w:hAnsiTheme="majorHAnsi"/>
          <w:b/>
          <w:bCs/>
          <w:sz w:val="24"/>
          <w:szCs w:val="24"/>
        </w:rPr>
        <w:t>BIBLIOGRAPHIC TRANSCRIPT</w:t>
      </w:r>
    </w:p>
    <w:p w14:paraId="6F429274" w14:textId="2326AED4" w:rsidR="002D6F1B" w:rsidRDefault="005A47DE" w:rsidP="007948F5">
      <w:pPr>
        <w:jc w:val="both"/>
        <w:rPr>
          <w:rFonts w:asciiTheme="majorHAnsi" w:hAnsiTheme="majorHAnsi"/>
        </w:rPr>
      </w:pPr>
      <w:r w:rsidRPr="007948F5">
        <w:rPr>
          <w:rFonts w:asciiTheme="majorHAnsi" w:hAnsiTheme="majorHAnsi"/>
        </w:rPr>
        <w:t xml:space="preserve">THE | ALCHEMIST. | VVritten | By | BEN JONSON. | ------ </w:t>
      </w:r>
      <w:r w:rsidRPr="007948F5">
        <w:rPr>
          <w:rFonts w:asciiTheme="majorHAnsi" w:hAnsiTheme="majorHAnsi"/>
          <w:i/>
          <w:iCs/>
        </w:rPr>
        <w:t>Neque, me vt miretur turba, laboro:</w:t>
      </w:r>
      <w:r w:rsidRPr="007948F5">
        <w:rPr>
          <w:rFonts w:asciiTheme="majorHAnsi" w:hAnsiTheme="majorHAnsi"/>
        </w:rPr>
        <w:t xml:space="preserve"> | </w:t>
      </w:r>
      <w:r w:rsidRPr="007948F5">
        <w:rPr>
          <w:rFonts w:asciiTheme="majorHAnsi" w:hAnsiTheme="majorHAnsi"/>
          <w:i/>
          <w:iCs/>
        </w:rPr>
        <w:t>Contentus paucis lectoribus</w:t>
      </w:r>
      <w:r w:rsidRPr="007948F5">
        <w:rPr>
          <w:rFonts w:asciiTheme="majorHAnsi" w:hAnsiTheme="majorHAnsi"/>
        </w:rPr>
        <w:t xml:space="preserve"> | [rule] | LONDON, | Printed by </w:t>
      </w:r>
      <w:r w:rsidRPr="007948F5">
        <w:rPr>
          <w:rFonts w:asciiTheme="majorHAnsi" w:hAnsiTheme="majorHAnsi"/>
          <w:i/>
          <w:iCs/>
        </w:rPr>
        <w:t>Thomas Snodham</w:t>
      </w:r>
      <w:r w:rsidRPr="007948F5">
        <w:rPr>
          <w:rFonts w:asciiTheme="majorHAnsi" w:hAnsiTheme="majorHAnsi"/>
        </w:rPr>
        <w:t xml:space="preserve">, for </w:t>
      </w:r>
      <w:r w:rsidRPr="007948F5">
        <w:rPr>
          <w:rFonts w:asciiTheme="majorHAnsi" w:hAnsiTheme="majorHAnsi"/>
          <w:i/>
          <w:iCs/>
        </w:rPr>
        <w:t>Walter Barre</w:t>
      </w:r>
      <w:r w:rsidRPr="007948F5">
        <w:rPr>
          <w:rFonts w:asciiTheme="majorHAnsi" w:hAnsiTheme="majorHAnsi"/>
        </w:rPr>
        <w:t xml:space="preserve">, | and are to be sold by </w:t>
      </w:r>
      <w:r w:rsidRPr="007948F5">
        <w:rPr>
          <w:rFonts w:asciiTheme="majorHAnsi" w:hAnsiTheme="majorHAnsi"/>
          <w:i/>
          <w:iCs/>
        </w:rPr>
        <w:t>John Stepneth</w:t>
      </w:r>
      <w:r w:rsidRPr="007948F5">
        <w:rPr>
          <w:rFonts w:asciiTheme="majorHAnsi" w:hAnsiTheme="majorHAnsi"/>
        </w:rPr>
        <w:t>, at the | West-end of Paules. | 1612. [printed in quarto form]</w:t>
      </w:r>
      <w:r w:rsidRPr="007948F5">
        <w:rPr>
          <w:rStyle w:val="FootnoteReference"/>
          <w:rFonts w:asciiTheme="majorHAnsi" w:hAnsiTheme="majorHAnsi"/>
        </w:rPr>
        <w:footnoteReference w:id="1"/>
      </w:r>
    </w:p>
    <w:p w14:paraId="1E0DD30F" w14:textId="77777777" w:rsidR="00505F71" w:rsidRPr="007948F5" w:rsidRDefault="00505F71" w:rsidP="007948F5">
      <w:pPr>
        <w:jc w:val="both"/>
        <w:rPr>
          <w:rFonts w:asciiTheme="majorHAnsi" w:hAnsiTheme="majorHAnsi"/>
        </w:rPr>
      </w:pPr>
    </w:p>
    <w:p w14:paraId="4B3EAEF8" w14:textId="6A21813D" w:rsidR="007948F5" w:rsidRPr="00947DCD" w:rsidRDefault="007948F5" w:rsidP="00947DCD">
      <w:pPr>
        <w:shd w:val="clear" w:color="auto" w:fill="9CC2E5" w:themeFill="accent5" w:themeFillTint="99"/>
        <w:rPr>
          <w:b/>
          <w:bCs/>
          <w:sz w:val="24"/>
          <w:szCs w:val="24"/>
        </w:rPr>
      </w:pPr>
      <w:r w:rsidRPr="00947DCD">
        <w:rPr>
          <w:b/>
          <w:bCs/>
          <w:sz w:val="24"/>
          <w:szCs w:val="24"/>
        </w:rPr>
        <w:t>EARLY TEXTUAL HIST</w:t>
      </w:r>
      <w:r w:rsidR="00947DCD" w:rsidRPr="00947DCD">
        <w:rPr>
          <w:b/>
          <w:bCs/>
          <w:sz w:val="24"/>
          <w:szCs w:val="24"/>
        </w:rPr>
        <w:t>ORY AND PERFORMANCE</w:t>
      </w:r>
    </w:p>
    <w:p w14:paraId="32BE42E3" w14:textId="19E46C2B" w:rsidR="005D35C9" w:rsidRDefault="00CF4446" w:rsidP="0071050E">
      <w:r>
        <w:t xml:space="preserve">Ben Jonson’s seminal work </w:t>
      </w:r>
      <w:r w:rsidR="00CA6C9B">
        <w:rPr>
          <w:i/>
          <w:iCs/>
        </w:rPr>
        <w:t xml:space="preserve">The Alchemist </w:t>
      </w:r>
      <w:r w:rsidR="00454510">
        <w:t>first appears in the Stationer’s Register on the 3</w:t>
      </w:r>
      <w:r w:rsidR="00454510" w:rsidRPr="00454510">
        <w:rPr>
          <w:vertAlign w:val="superscript"/>
        </w:rPr>
        <w:t>rd</w:t>
      </w:r>
      <w:r w:rsidR="00454510">
        <w:t xml:space="preserve"> October </w:t>
      </w:r>
      <w:r w:rsidR="009B3C1E">
        <w:t xml:space="preserve">1610, there being </w:t>
      </w:r>
      <w:r w:rsidR="00946F2C">
        <w:t>copyrighted</w:t>
      </w:r>
      <w:r w:rsidR="009B3C1E">
        <w:t xml:space="preserve"> by publisher Walter Burre </w:t>
      </w:r>
      <w:r w:rsidR="00707C23">
        <w:t xml:space="preserve">along with three other texts, one of which being another of Jonson’s works, </w:t>
      </w:r>
      <w:r w:rsidR="00540F56">
        <w:rPr>
          <w:i/>
          <w:iCs/>
        </w:rPr>
        <w:t>Volpone</w:t>
      </w:r>
      <w:r w:rsidR="00540F56">
        <w:t>.</w:t>
      </w:r>
      <w:r w:rsidR="00540F56">
        <w:rPr>
          <w:rStyle w:val="FootnoteReference"/>
        </w:rPr>
        <w:footnoteReference w:id="2"/>
      </w:r>
      <w:r w:rsidR="000F2E72">
        <w:t xml:space="preserve"> </w:t>
      </w:r>
      <w:r w:rsidR="003916FC">
        <w:t xml:space="preserve">Jonson had found previous success with his comedies </w:t>
      </w:r>
      <w:r w:rsidR="003916FC">
        <w:rPr>
          <w:i/>
          <w:iCs/>
        </w:rPr>
        <w:t>Volpone</w:t>
      </w:r>
      <w:r w:rsidR="007C5123">
        <w:rPr>
          <w:i/>
          <w:iCs/>
        </w:rPr>
        <w:t xml:space="preserve">, Poetaster, </w:t>
      </w:r>
      <w:r w:rsidR="007C5123">
        <w:t xml:space="preserve">and </w:t>
      </w:r>
      <w:r w:rsidR="007C5123">
        <w:rPr>
          <w:i/>
          <w:iCs/>
        </w:rPr>
        <w:t xml:space="preserve">Every Man </w:t>
      </w:r>
      <w:r w:rsidR="00456977">
        <w:rPr>
          <w:i/>
          <w:iCs/>
        </w:rPr>
        <w:t xml:space="preserve">in </w:t>
      </w:r>
      <w:r w:rsidR="007C5123">
        <w:rPr>
          <w:i/>
          <w:iCs/>
        </w:rPr>
        <w:t>His Humour</w:t>
      </w:r>
      <w:r w:rsidR="00456977">
        <w:t xml:space="preserve"> and</w:t>
      </w:r>
      <w:r w:rsidR="009D4AEF">
        <w:t xml:space="preserve"> had </w:t>
      </w:r>
      <w:r w:rsidR="00827C0A">
        <w:t>prior</w:t>
      </w:r>
      <w:r w:rsidR="009D4AEF">
        <w:t xml:space="preserve"> experience working with The Kin</w:t>
      </w:r>
      <w:r w:rsidR="005D35C9">
        <w:t>g</w:t>
      </w:r>
      <w:r w:rsidR="009D4AEF">
        <w:t xml:space="preserve">’s </w:t>
      </w:r>
      <w:r w:rsidR="005D35C9">
        <w:t xml:space="preserve">Men who staged </w:t>
      </w:r>
      <w:r w:rsidR="00C73191">
        <w:t>this, along with many of Jonson’s other plays,</w:t>
      </w:r>
      <w:r w:rsidR="003A7F08">
        <w:rPr>
          <w:i/>
          <w:iCs/>
        </w:rPr>
        <w:t xml:space="preserve"> </w:t>
      </w:r>
      <w:r w:rsidR="005D35C9">
        <w:t xml:space="preserve">throughout </w:t>
      </w:r>
      <w:r w:rsidR="005D568B">
        <w:t>the majority</w:t>
      </w:r>
      <w:r w:rsidR="005D35C9">
        <w:t xml:space="preserve"> of its early</w:t>
      </w:r>
      <w:r w:rsidR="00C73191">
        <w:t xml:space="preserve"> history.</w:t>
      </w:r>
      <w:r w:rsidR="005D35C9">
        <w:t xml:space="preserve"> </w:t>
      </w:r>
      <w:r w:rsidR="002434B3">
        <w:t>Despite this, i</w:t>
      </w:r>
      <w:r w:rsidR="0071050E">
        <w:t xml:space="preserve">t was not until 1612 that </w:t>
      </w:r>
      <w:r w:rsidR="005D35C9">
        <w:rPr>
          <w:i/>
          <w:iCs/>
        </w:rPr>
        <w:t xml:space="preserve">The Alchemist </w:t>
      </w:r>
      <w:r w:rsidR="0071050E">
        <w:t>was first published as a single issue in quarto form by printer Thomas Snodham</w:t>
      </w:r>
      <w:r w:rsidR="005D35C9">
        <w:t xml:space="preserve">, under the copyright of Walter Burre and </w:t>
      </w:r>
      <w:r w:rsidR="0071050E">
        <w:t xml:space="preserve">for distribution by </w:t>
      </w:r>
      <w:r w:rsidR="005D568B">
        <w:t xml:space="preserve">bookseller </w:t>
      </w:r>
      <w:r w:rsidR="0071050E">
        <w:t>John Stepneth.</w:t>
      </w:r>
      <w:r w:rsidR="0071050E" w:rsidRPr="005858C1">
        <w:rPr>
          <w:rStyle w:val="FootnoteReference"/>
        </w:rPr>
        <w:t xml:space="preserve"> </w:t>
      </w:r>
      <w:r w:rsidR="0071050E">
        <w:rPr>
          <w:rStyle w:val="FootnoteReference"/>
        </w:rPr>
        <w:footnoteReference w:id="3"/>
      </w:r>
      <w:r w:rsidR="0071050E">
        <w:t xml:space="preserve"> </w:t>
      </w:r>
      <w:r w:rsidR="0071050E">
        <w:rPr>
          <w:rStyle w:val="FootnoteReference"/>
        </w:rPr>
        <w:footnoteReference w:id="4"/>
      </w:r>
      <w:r w:rsidR="0071050E">
        <w:t xml:space="preserve"> </w:t>
      </w:r>
      <w:r w:rsidR="005D35C9">
        <w:t xml:space="preserve">This initial quarto consisted of </w:t>
      </w:r>
      <w:r w:rsidR="003E1175">
        <w:t xml:space="preserve">48 unnumbered leaves and </w:t>
      </w:r>
      <w:r w:rsidR="000F5CEF">
        <w:t xml:space="preserve">begins with a dedication to </w:t>
      </w:r>
      <w:r w:rsidR="009A1338">
        <w:t>‘Mary, Lady Wroth’.</w:t>
      </w:r>
      <w:r w:rsidR="009A1338">
        <w:rPr>
          <w:rStyle w:val="FootnoteReference"/>
        </w:rPr>
        <w:footnoteReference w:id="5"/>
      </w:r>
      <w:r w:rsidR="009A1338">
        <w:t xml:space="preserve"> </w:t>
      </w:r>
      <w:r w:rsidR="002E6C86">
        <w:t xml:space="preserve">Mary Wroth was a </w:t>
      </w:r>
      <w:r w:rsidR="00F059B9">
        <w:t>poet in her own right</w:t>
      </w:r>
      <w:r w:rsidR="00D00756">
        <w:t>,</w:t>
      </w:r>
      <w:r w:rsidR="00F059B9">
        <w:t xml:space="preserve"> heralding from</w:t>
      </w:r>
      <w:r w:rsidR="000E4029">
        <w:t xml:space="preserve"> a</w:t>
      </w:r>
      <w:r w:rsidR="00F059B9">
        <w:t xml:space="preserve"> noble </w:t>
      </w:r>
      <w:r w:rsidR="000E4029">
        <w:t xml:space="preserve">and literary family including her </w:t>
      </w:r>
      <w:r w:rsidR="00A02E84">
        <w:t xml:space="preserve">aunt, </w:t>
      </w:r>
      <w:r w:rsidR="008A7CDC">
        <w:t xml:space="preserve">writer and patron </w:t>
      </w:r>
      <w:r w:rsidR="00A02E84">
        <w:t>Mary Herbert, and her uncle,</w:t>
      </w:r>
      <w:r w:rsidR="008A7CDC">
        <w:t xml:space="preserve"> poet-courtier Sir Philip Sidney.</w:t>
      </w:r>
      <w:r w:rsidR="00373311">
        <w:t xml:space="preserve"> This is followed by an open letter to the reader, </w:t>
      </w:r>
      <w:r w:rsidR="000858F2">
        <w:t xml:space="preserve">and a </w:t>
      </w:r>
      <w:r w:rsidR="009C6CB0">
        <w:t>poem</w:t>
      </w:r>
      <w:r w:rsidR="000858F2">
        <w:t xml:space="preserve"> entitled </w:t>
      </w:r>
      <w:r w:rsidR="00B65EC7">
        <w:t>‘</w:t>
      </w:r>
      <w:r w:rsidR="000858F2">
        <w:t>To my friend, Mr Ben Jonson</w:t>
      </w:r>
      <w:r w:rsidR="000C3F23">
        <w:t>, upon his Alchemist</w:t>
      </w:r>
      <w:r w:rsidR="00B65EC7">
        <w:t>’</w:t>
      </w:r>
      <w:r w:rsidR="000C3F23">
        <w:t xml:space="preserve"> by George Lucy</w:t>
      </w:r>
      <w:r w:rsidR="008D35C5">
        <w:t>.</w:t>
      </w:r>
      <w:r w:rsidR="008D35C5">
        <w:rPr>
          <w:rStyle w:val="FootnoteReference"/>
        </w:rPr>
        <w:footnoteReference w:id="6"/>
      </w:r>
      <w:r w:rsidR="00D8781C">
        <w:t xml:space="preserve"> </w:t>
      </w:r>
      <w:r w:rsidR="00D47A65">
        <w:t xml:space="preserve">Lucy’s poem </w:t>
      </w:r>
      <w:r w:rsidR="000D4C9B">
        <w:t xml:space="preserve">is equal parts congratulatory and cautious, </w:t>
      </w:r>
      <w:r w:rsidR="003C4FA6">
        <w:t xml:space="preserve">praising Jonson’s work while simultaneously expounding the dangers of </w:t>
      </w:r>
      <w:r w:rsidR="00D60349">
        <w:t>over confidence in one’s w</w:t>
      </w:r>
      <w:r w:rsidR="003A7F08">
        <w:t>riting</w:t>
      </w:r>
      <w:r w:rsidR="00A03041">
        <w:t>, crea</w:t>
      </w:r>
      <w:r w:rsidR="00CB711A">
        <w:t xml:space="preserve">ting a somewhat tongue-in-cheek </w:t>
      </w:r>
      <w:r w:rsidR="0057086E">
        <w:t xml:space="preserve">tone and laying the ground for the comedy to follow. </w:t>
      </w:r>
    </w:p>
    <w:p w14:paraId="0177B091" w14:textId="63F2C337" w:rsidR="00835645" w:rsidRDefault="0071050E" w:rsidP="00D101DE">
      <w:r>
        <w:t>The play was again published in 1616</w:t>
      </w:r>
      <w:r w:rsidR="005D35C9">
        <w:t>, this time as</w:t>
      </w:r>
      <w:r>
        <w:t xml:space="preserve"> part of a folio collection of Jonson’s works by printer and publisher William Stansby to be sold by Richard Meighen.</w:t>
      </w:r>
      <w:r>
        <w:rPr>
          <w:rStyle w:val="FootnoteReference"/>
        </w:rPr>
        <w:footnoteReference w:id="7"/>
      </w:r>
      <w:r>
        <w:t xml:space="preserve"> Stansby later had the copyrights of Thomas Snodham written over to him on the 23</w:t>
      </w:r>
      <w:r w:rsidRPr="00767D09">
        <w:rPr>
          <w:vertAlign w:val="superscript"/>
        </w:rPr>
        <w:t>rd</w:t>
      </w:r>
      <w:r>
        <w:t xml:space="preserve"> February 1625 by Snodham’s widow.</w:t>
      </w:r>
      <w:r>
        <w:rPr>
          <w:rStyle w:val="FootnoteReference"/>
        </w:rPr>
        <w:footnoteReference w:id="8"/>
      </w:r>
      <w:r>
        <w:t xml:space="preserve"> Then on the 4th July 1635 had the copies of Walter Burre, including </w:t>
      </w:r>
      <w:r>
        <w:rPr>
          <w:i/>
          <w:iCs/>
        </w:rPr>
        <w:t>The Alchemist</w:t>
      </w:r>
      <w:r>
        <w:t>, signed over to him and dated back to 10</w:t>
      </w:r>
      <w:r w:rsidRPr="000D0B8F">
        <w:rPr>
          <w:vertAlign w:val="superscript"/>
        </w:rPr>
        <w:t>th</w:t>
      </w:r>
      <w:r>
        <w:t xml:space="preserve"> June 1621.</w:t>
      </w:r>
      <w:r>
        <w:rPr>
          <w:rStyle w:val="FootnoteReference"/>
        </w:rPr>
        <w:footnoteReference w:id="9"/>
      </w:r>
      <w:r>
        <w:t xml:space="preserve"> This was in direct response to Burre’s widow signing away three of Jonson’s plays to John Spencer, Burre’s apprentice of 9 years, on the 3</w:t>
      </w:r>
      <w:r w:rsidRPr="00A61BA1">
        <w:rPr>
          <w:vertAlign w:val="superscript"/>
        </w:rPr>
        <w:t>rd</w:t>
      </w:r>
      <w:r>
        <w:t xml:space="preserve"> July 1630.</w:t>
      </w:r>
      <w:r>
        <w:rPr>
          <w:rStyle w:val="FootnoteReference"/>
        </w:rPr>
        <w:footnoteReference w:id="10"/>
      </w:r>
      <w:r>
        <w:t xml:space="preserve"> </w:t>
      </w:r>
      <w:r>
        <w:rPr>
          <w:rStyle w:val="FootnoteReference"/>
        </w:rPr>
        <w:footnoteReference w:id="11"/>
      </w:r>
      <w:r>
        <w:t xml:space="preserve"> Jonson’s works were, again, published as a </w:t>
      </w:r>
      <w:r w:rsidR="00C918DB">
        <w:t xml:space="preserve">posthumous </w:t>
      </w:r>
      <w:r>
        <w:t>folio in 1640 - now printed by the new owner of William Stansby’s business, Richard Bishop, and sold by Andrew Crooke.</w:t>
      </w:r>
      <w:r>
        <w:rPr>
          <w:rStyle w:val="FootnoteReference"/>
        </w:rPr>
        <w:footnoteReference w:id="12"/>
      </w:r>
      <w:r>
        <w:t xml:space="preserve"> </w:t>
      </w:r>
      <w:r>
        <w:rPr>
          <w:rStyle w:val="FootnoteReference"/>
        </w:rPr>
        <w:footnoteReference w:id="13"/>
      </w:r>
      <w:r w:rsidR="00141020">
        <w:t xml:space="preserve"> This</w:t>
      </w:r>
      <w:r w:rsidR="00134E9F">
        <w:t xml:space="preserve"> edition is considered to be subpar, despite its contents being more extensive </w:t>
      </w:r>
      <w:r w:rsidR="00134E9F">
        <w:lastRenderedPageBreak/>
        <w:t xml:space="preserve">than the previous, due to its </w:t>
      </w:r>
      <w:r w:rsidR="004C1776">
        <w:t xml:space="preserve">incomplete nature </w:t>
      </w:r>
      <w:r w:rsidR="00444BAA">
        <w:t xml:space="preserve">and the belief that Jonson’s executor </w:t>
      </w:r>
      <w:r w:rsidR="006B6288">
        <w:t xml:space="preserve">chose to publish all of the unfinished and unpolished </w:t>
      </w:r>
      <w:r w:rsidR="00B61354">
        <w:t>works.</w:t>
      </w:r>
      <w:r w:rsidR="00B61354">
        <w:rPr>
          <w:rStyle w:val="FootnoteReference"/>
        </w:rPr>
        <w:footnoteReference w:id="14"/>
      </w:r>
      <w:r w:rsidR="0036026F">
        <w:t xml:space="preserve"> </w:t>
      </w:r>
      <w:r w:rsidR="00C73191">
        <w:t xml:space="preserve">Moreover, the </w:t>
      </w:r>
      <w:r w:rsidR="005C4C7C">
        <w:t xml:space="preserve">folio contained two volumes, a decision not uncommon but that can be seen as a ploy to </w:t>
      </w:r>
      <w:r w:rsidR="00B013A8">
        <w:t xml:space="preserve">gain more money rather than for the good of the text and the ease of the reader. </w:t>
      </w:r>
      <w:r>
        <w:t>A third folio was</w:t>
      </w:r>
      <w:r w:rsidR="00C72E2A">
        <w:t xml:space="preserve"> published</w:t>
      </w:r>
      <w:r w:rsidR="00FC49BB">
        <w:t xml:space="preserve"> by Henry Herringman, </w:t>
      </w:r>
      <w:r w:rsidR="00CC4B41">
        <w:t>along with five other publishers</w:t>
      </w:r>
      <w:r w:rsidR="000C4E56">
        <w:t>,</w:t>
      </w:r>
      <w:r w:rsidR="00CC4B41">
        <w:t xml:space="preserve"> </w:t>
      </w:r>
      <w:r>
        <w:t>in 1692</w:t>
      </w:r>
      <w:r w:rsidR="000C4E56">
        <w:t xml:space="preserve"> and </w:t>
      </w:r>
      <w:r w:rsidR="00C72E2A">
        <w:t xml:space="preserve">printed </w:t>
      </w:r>
      <w:r>
        <w:t xml:space="preserve">by Thomas Hodgkin, combining the previous </w:t>
      </w:r>
      <w:r w:rsidR="000C4E56">
        <w:t xml:space="preserve">folio’s two </w:t>
      </w:r>
      <w:r>
        <w:t>volumes</w:t>
      </w:r>
      <w:r w:rsidR="000C4E56">
        <w:t xml:space="preserve"> into a single </w:t>
      </w:r>
      <w:r w:rsidR="0036026F">
        <w:t>piece</w:t>
      </w:r>
      <w:r>
        <w:t>.</w:t>
      </w:r>
      <w:r>
        <w:rPr>
          <w:rStyle w:val="FootnoteReference"/>
        </w:rPr>
        <w:footnoteReference w:id="15"/>
      </w:r>
      <w:r>
        <w:t xml:space="preserve"> </w:t>
      </w:r>
      <w:r>
        <w:rPr>
          <w:rStyle w:val="FootnoteReference"/>
        </w:rPr>
        <w:footnoteReference w:id="16"/>
      </w:r>
      <w:r w:rsidR="0036026F">
        <w:t xml:space="preserve"> </w:t>
      </w:r>
      <w:r w:rsidR="0036026F">
        <w:rPr>
          <w:rStyle w:val="FootnoteReference"/>
        </w:rPr>
        <w:footnoteReference w:id="17"/>
      </w:r>
      <w:r w:rsidR="003F4BD7">
        <w:t xml:space="preserve"> </w:t>
      </w:r>
      <w:r w:rsidR="00CC6A35">
        <w:t xml:space="preserve">This version of the text was far more commercial, </w:t>
      </w:r>
      <w:r w:rsidR="00C761BB">
        <w:t xml:space="preserve">being sold by ‘most booksellers in London’ </w:t>
      </w:r>
      <w:r w:rsidR="00A81F67">
        <w:t xml:space="preserve">and being advertised in </w:t>
      </w:r>
      <w:r w:rsidR="00D510EE">
        <w:t>The Gentleman’s Journal.</w:t>
      </w:r>
      <w:r w:rsidR="00D510EE">
        <w:rPr>
          <w:rStyle w:val="FootnoteReference"/>
        </w:rPr>
        <w:footnoteReference w:id="18"/>
      </w:r>
      <w:r w:rsidR="00467018">
        <w:t xml:space="preserve"> Due to this, there is heavy criticism of this folio edition too</w:t>
      </w:r>
      <w:r w:rsidR="00CC5983">
        <w:t>.</w:t>
      </w:r>
    </w:p>
    <w:p w14:paraId="723324EE" w14:textId="4D385BEF" w:rsidR="002D6F1B" w:rsidRPr="00733563" w:rsidRDefault="000F2E72" w:rsidP="00EA11E1">
      <w:r>
        <w:t xml:space="preserve">While the play was first run by the King’s </w:t>
      </w:r>
      <w:r w:rsidR="005D35C9">
        <w:t>Majesty’s</w:t>
      </w:r>
      <w:r>
        <w:t xml:space="preserve"> Servants </w:t>
      </w:r>
      <w:r w:rsidR="00F0678B">
        <w:t xml:space="preserve">at the </w:t>
      </w:r>
      <w:r w:rsidR="004709A4">
        <w:t>Blackfriars</w:t>
      </w:r>
      <w:r w:rsidR="00F0678B">
        <w:t xml:space="preserve"> playhouse </w:t>
      </w:r>
      <w:r w:rsidR="00383DDF">
        <w:t>sometime</w:t>
      </w:r>
      <w:r w:rsidR="00317D04">
        <w:t xml:space="preserve"> between February and July 1</w:t>
      </w:r>
      <w:r w:rsidR="0094680A">
        <w:t>6</w:t>
      </w:r>
      <w:r w:rsidR="00317D04">
        <w:t>10 – theatres having closed for the rest of the year due to</w:t>
      </w:r>
      <w:r w:rsidR="00B013A8">
        <w:t xml:space="preserve"> </w:t>
      </w:r>
      <w:r w:rsidR="00914E98">
        <w:t>frequent</w:t>
      </w:r>
      <w:r w:rsidR="00317D04">
        <w:t xml:space="preserve"> outbreaks of plague</w:t>
      </w:r>
      <w:r w:rsidR="005A62B4">
        <w:t xml:space="preserve"> – the first documented performance was launched </w:t>
      </w:r>
      <w:r w:rsidR="0094680A">
        <w:t>at an Oxford theatre in September 1610.</w:t>
      </w:r>
      <w:r w:rsidR="004709A4">
        <w:rPr>
          <w:rStyle w:val="FootnoteReference"/>
        </w:rPr>
        <w:footnoteReference w:id="19"/>
      </w:r>
      <w:r w:rsidR="0094680A">
        <w:t xml:space="preserve"> </w:t>
      </w:r>
      <w:r w:rsidR="0096501C">
        <w:t xml:space="preserve">The play was likely written with Blackfriars and similar venues in mind, its design </w:t>
      </w:r>
      <w:r w:rsidR="005C2190">
        <w:t xml:space="preserve">echoing a room in London with </w:t>
      </w:r>
      <w:r w:rsidR="00B95A09">
        <w:t xml:space="preserve">a crowded audience and a small stage occupied by </w:t>
      </w:r>
      <w:r w:rsidR="003C08D0">
        <w:t>elite patrons viewing the performance.</w:t>
      </w:r>
      <w:r w:rsidR="003C08D0">
        <w:rPr>
          <w:rStyle w:val="FootnoteReference"/>
        </w:rPr>
        <w:footnoteReference w:id="20"/>
      </w:r>
      <w:r w:rsidR="003C08D0">
        <w:t xml:space="preserve"> </w:t>
      </w:r>
      <w:r w:rsidR="00A74096">
        <w:t xml:space="preserve">This layout, while fairly common for playhouses, was </w:t>
      </w:r>
      <w:r w:rsidR="00710A49">
        <w:t xml:space="preserve">a relatively unique one to write for </w:t>
      </w:r>
      <w:r w:rsidR="00252699">
        <w:t>– the majority of plays taking place outside of London, either due to the Greco-Roman revival or</w:t>
      </w:r>
      <w:r w:rsidR="00733563">
        <w:t xml:space="preserve">, specifically with satires, to remove the social commentary from its true setting. Jonson, however, was quick to assert that despite its farcical and satirical nature, </w:t>
      </w:r>
      <w:r w:rsidR="00733563">
        <w:rPr>
          <w:i/>
          <w:iCs/>
        </w:rPr>
        <w:t>The Alchemist</w:t>
      </w:r>
      <w:r w:rsidR="00733563">
        <w:t xml:space="preserve"> is not a specific </w:t>
      </w:r>
      <w:r w:rsidR="00FE1340">
        <w:t xml:space="preserve">commentary, and therefore its London setting was free from the dangers of scrutiny </w:t>
      </w:r>
      <w:r w:rsidR="002B70A2">
        <w:t xml:space="preserve">that Jonson had come under with previous works. </w:t>
      </w:r>
    </w:p>
    <w:p w14:paraId="3803B719" w14:textId="4F7365C7" w:rsidR="005E32B0" w:rsidRDefault="005B2DA5" w:rsidP="00EA11E1">
      <w:r>
        <w:t xml:space="preserve">Following its </w:t>
      </w:r>
      <w:r w:rsidR="00524BE0">
        <w:t xml:space="preserve">publishing, </w:t>
      </w:r>
      <w:r w:rsidR="00524BE0">
        <w:rPr>
          <w:i/>
          <w:iCs/>
        </w:rPr>
        <w:t>The Alchemist</w:t>
      </w:r>
      <w:r w:rsidR="00524BE0">
        <w:t xml:space="preserve"> is </w:t>
      </w:r>
      <w:r w:rsidR="00E87458">
        <w:t>next recorded being played</w:t>
      </w:r>
      <w:r w:rsidR="00D65707">
        <w:t xml:space="preserve"> at court during a run of six plays in the winter of 1612-1613.</w:t>
      </w:r>
      <w:r w:rsidR="00D65707">
        <w:rPr>
          <w:rStyle w:val="FootnoteReference"/>
        </w:rPr>
        <w:footnoteReference w:id="21"/>
      </w:r>
      <w:r w:rsidR="00EB0A75">
        <w:t xml:space="preserve"> It</w:t>
      </w:r>
      <w:r w:rsidR="003F5DF4">
        <w:t xml:space="preserve"> is</w:t>
      </w:r>
      <w:r w:rsidR="00EB0A75">
        <w:t xml:space="preserve"> of note that </w:t>
      </w:r>
      <w:r w:rsidR="00D266DE">
        <w:t xml:space="preserve">play runs in Jacobean and Caroline Britain consisted of a revolving series of plays </w:t>
      </w:r>
      <w:r w:rsidR="000628EA">
        <w:t xml:space="preserve">across a week or weeks </w:t>
      </w:r>
      <w:r w:rsidR="00D266DE">
        <w:t xml:space="preserve">as opposed to </w:t>
      </w:r>
      <w:r w:rsidR="000628EA">
        <w:t>a single show running each day.</w:t>
      </w:r>
      <w:r w:rsidR="00BA2D31">
        <w:rPr>
          <w:rStyle w:val="FootnoteReference"/>
        </w:rPr>
        <w:footnoteReference w:id="22"/>
      </w:r>
      <w:r w:rsidR="000F243A">
        <w:t xml:space="preserve"> </w:t>
      </w:r>
      <w:r w:rsidR="00805EF0">
        <w:t>The 1616 version of the text contains a rare surviving list of ‘principal comedians’, presumably th</w:t>
      </w:r>
      <w:r w:rsidR="00D51140">
        <w:t>ese actors</w:t>
      </w:r>
      <w:r w:rsidR="00805EF0">
        <w:t xml:space="preserve"> performed in the earliest versions of the play</w:t>
      </w:r>
      <w:r w:rsidR="00D51140">
        <w:t xml:space="preserve"> as well as in </w:t>
      </w:r>
      <w:r w:rsidR="005E32B0">
        <w:t>shows contemporary with the publishing</w:t>
      </w:r>
      <w:r w:rsidR="00805EF0">
        <w:t>.</w:t>
      </w:r>
      <w:r w:rsidR="00805EF0">
        <w:rPr>
          <w:rStyle w:val="FootnoteReference"/>
        </w:rPr>
        <w:footnoteReference w:id="23"/>
      </w:r>
      <w:r w:rsidR="00805EF0">
        <w:t xml:space="preserve"> Actors such as John Lowin were frequent </w:t>
      </w:r>
      <w:r w:rsidR="005E32B0">
        <w:t>players</w:t>
      </w:r>
      <w:r w:rsidR="00805EF0">
        <w:t xml:space="preserve"> in Jonson’s </w:t>
      </w:r>
      <w:r w:rsidR="005E32B0">
        <w:t>works</w:t>
      </w:r>
      <w:r w:rsidR="00805EF0">
        <w:t xml:space="preserve"> and characters were likely written with actors somewhat in mind. While </w:t>
      </w:r>
      <w:r w:rsidR="005E32B0">
        <w:t xml:space="preserve">the casting choices </w:t>
      </w:r>
      <w:r w:rsidR="00805EF0">
        <w:t xml:space="preserve">were not recorded formally, annotations found hand-written in a copy of the play suggest that Lowin, known as a tall, large man of formidable and proud stature, played Epicure Mammon for the duration of his time in the Kings </w:t>
      </w:r>
      <w:r w:rsidR="005D35C9">
        <w:t>Majesty’s</w:t>
      </w:r>
      <w:r w:rsidR="00805EF0">
        <w:t xml:space="preserve"> Servants, not changing roles between runs.</w:t>
      </w:r>
      <w:r w:rsidR="00805EF0">
        <w:rPr>
          <w:rStyle w:val="FootnoteReference"/>
        </w:rPr>
        <w:footnoteReference w:id="24"/>
      </w:r>
      <w:r w:rsidR="005E32B0">
        <w:t xml:space="preserve"> This is likely due to the show-stealing potential of a character like Mammon and the </w:t>
      </w:r>
      <w:r w:rsidR="00332E99">
        <w:t>prowess Lowin held within his field</w:t>
      </w:r>
      <w:r w:rsidR="00153D96">
        <w:t>, as well as the assertion that the part was written for Lowin to play</w:t>
      </w:r>
      <w:r w:rsidR="00332E99">
        <w:t xml:space="preserve">. </w:t>
      </w:r>
    </w:p>
    <w:p w14:paraId="242521DF" w14:textId="52550257" w:rsidR="004A6185" w:rsidRPr="00145CA6" w:rsidRDefault="009552E3">
      <w:r>
        <w:rPr>
          <w:i/>
          <w:iCs/>
        </w:rPr>
        <w:t xml:space="preserve">The Alchemist </w:t>
      </w:r>
      <w:r>
        <w:t xml:space="preserve">was by all accounts </w:t>
      </w:r>
      <w:r w:rsidR="006C5A9E">
        <w:t>Jonson’s most performed drama in both the 17</w:t>
      </w:r>
      <w:r w:rsidR="006C5A9E" w:rsidRPr="006C5A9E">
        <w:rPr>
          <w:vertAlign w:val="superscript"/>
        </w:rPr>
        <w:t>th</w:t>
      </w:r>
      <w:r w:rsidR="006C5A9E">
        <w:t xml:space="preserve"> and 18</w:t>
      </w:r>
      <w:r w:rsidR="006C5A9E" w:rsidRPr="006C5A9E">
        <w:rPr>
          <w:vertAlign w:val="superscript"/>
        </w:rPr>
        <w:t>th</w:t>
      </w:r>
      <w:r w:rsidR="006C5A9E">
        <w:t xml:space="preserve"> Centuries</w:t>
      </w:r>
      <w:r>
        <w:t xml:space="preserve"> with</w:t>
      </w:r>
      <w:r w:rsidR="000F243A">
        <w:t xml:space="preserve"> further reports of the </w:t>
      </w:r>
      <w:r w:rsidR="004F66E5">
        <w:t>play being run on the 1</w:t>
      </w:r>
      <w:r w:rsidR="004F66E5" w:rsidRPr="004F66E5">
        <w:rPr>
          <w:vertAlign w:val="superscript"/>
        </w:rPr>
        <w:t>st</w:t>
      </w:r>
      <w:r w:rsidR="004F66E5">
        <w:t xml:space="preserve"> January </w:t>
      </w:r>
      <w:r w:rsidR="00AA3496">
        <w:t>1623</w:t>
      </w:r>
      <w:r w:rsidR="00A60B20">
        <w:t>;</w:t>
      </w:r>
      <w:r w:rsidR="00AA3496">
        <w:t xml:space="preserve"> 1</w:t>
      </w:r>
      <w:r w:rsidR="00AA3496" w:rsidRPr="00AA3496">
        <w:rPr>
          <w:vertAlign w:val="superscript"/>
        </w:rPr>
        <w:t>st</w:t>
      </w:r>
      <w:r w:rsidR="00AA3496">
        <w:t xml:space="preserve"> December 1631</w:t>
      </w:r>
      <w:r w:rsidR="00A60B20">
        <w:t>;</w:t>
      </w:r>
      <w:r w:rsidR="00AA3496">
        <w:t xml:space="preserve"> </w:t>
      </w:r>
      <w:r w:rsidR="00AA3496">
        <w:lastRenderedPageBreak/>
        <w:t>21</w:t>
      </w:r>
      <w:r w:rsidR="00AA3496" w:rsidRPr="00AA3496">
        <w:rPr>
          <w:vertAlign w:val="superscript"/>
        </w:rPr>
        <w:t>st</w:t>
      </w:r>
      <w:r w:rsidR="00AA3496">
        <w:t xml:space="preserve"> January 1638</w:t>
      </w:r>
      <w:r w:rsidR="00DC55E1">
        <w:t xml:space="preserve">; </w:t>
      </w:r>
      <w:r w:rsidR="00836788">
        <w:t xml:space="preserve">and </w:t>
      </w:r>
      <w:r w:rsidR="00DC55E1">
        <w:t>18</w:t>
      </w:r>
      <w:r w:rsidR="00DC55E1" w:rsidRPr="00DC55E1">
        <w:rPr>
          <w:vertAlign w:val="superscript"/>
        </w:rPr>
        <w:t>th</w:t>
      </w:r>
      <w:r w:rsidR="00DC55E1">
        <w:t xml:space="preserve"> May </w:t>
      </w:r>
      <w:r w:rsidR="00E2352B">
        <w:t>1639</w:t>
      </w:r>
      <w:r w:rsidR="00836788">
        <w:t>.</w:t>
      </w:r>
      <w:r w:rsidR="005D7101">
        <w:rPr>
          <w:rStyle w:val="FootnoteReference"/>
        </w:rPr>
        <w:footnoteReference w:id="25"/>
      </w:r>
      <w:r w:rsidR="007664F6">
        <w:t xml:space="preserve"> </w:t>
      </w:r>
      <w:r w:rsidR="00574789">
        <w:rPr>
          <w:rStyle w:val="FootnoteReference"/>
        </w:rPr>
        <w:footnoteReference w:id="26"/>
      </w:r>
      <w:r w:rsidR="00D07EEB">
        <w:t xml:space="preserve"> </w:t>
      </w:r>
      <w:r w:rsidR="00C747A3">
        <w:t>During the 16</w:t>
      </w:r>
      <w:r w:rsidR="005E0DCA">
        <w:t xml:space="preserve">38 run Jasper Mayne, a clergyman and dramatist, </w:t>
      </w:r>
      <w:r w:rsidR="00B549C5">
        <w:t>praised repeat viewings of</w:t>
      </w:r>
      <w:r w:rsidR="006B3252">
        <w:t xml:space="preserve"> the play </w:t>
      </w:r>
      <w:r w:rsidR="00B549C5">
        <w:t xml:space="preserve">as having </w:t>
      </w:r>
      <w:r w:rsidR="006B3252">
        <w:t>“laughed [one] into virtue”</w:t>
      </w:r>
      <w:r w:rsidR="00B549C5">
        <w:t>.</w:t>
      </w:r>
      <w:r w:rsidR="00B549C5">
        <w:rPr>
          <w:rStyle w:val="FootnoteReference"/>
        </w:rPr>
        <w:footnoteReference w:id="27"/>
      </w:r>
      <w:r w:rsidR="007473B4">
        <w:t xml:space="preserve"> </w:t>
      </w:r>
      <w:r w:rsidR="003D2B3F">
        <w:t xml:space="preserve">However there were also contemporary critics of the play, </w:t>
      </w:r>
      <w:r w:rsidR="002A2884">
        <w:t xml:space="preserve">with reports of audiences hissing and claims that the </w:t>
      </w:r>
      <w:r w:rsidR="009611E7">
        <w:t>characters were more caricature than literary.</w:t>
      </w:r>
      <w:r w:rsidR="009611E7">
        <w:rPr>
          <w:rStyle w:val="FootnoteReference"/>
        </w:rPr>
        <w:footnoteReference w:id="28"/>
      </w:r>
      <w:r w:rsidR="009611E7">
        <w:t xml:space="preserve"> </w:t>
      </w:r>
      <w:r w:rsidR="009611E7">
        <w:rPr>
          <w:rStyle w:val="FootnoteReference"/>
        </w:rPr>
        <w:footnoteReference w:id="29"/>
      </w:r>
      <w:r w:rsidR="00383B6D">
        <w:t xml:space="preserve"> Despite differing public opinions, </w:t>
      </w:r>
      <w:r w:rsidR="00574789">
        <w:t xml:space="preserve">the lasting effects of Jonson’s comedy can be seen in </w:t>
      </w:r>
      <w:r w:rsidR="00B26074">
        <w:t xml:space="preserve">further comedic folly as, in 1653, </w:t>
      </w:r>
      <w:r w:rsidR="005649B9">
        <w:t xml:space="preserve">Richard Brome’s </w:t>
      </w:r>
      <w:r w:rsidR="005649B9">
        <w:rPr>
          <w:i/>
          <w:iCs/>
        </w:rPr>
        <w:t xml:space="preserve">The City Wit </w:t>
      </w:r>
      <w:r w:rsidR="005649B9">
        <w:t xml:space="preserve">is described as having “Jonsonian structures and motifs” </w:t>
      </w:r>
      <w:r w:rsidR="006B3228">
        <w:t>directly lifted from</w:t>
      </w:r>
      <w:r w:rsidR="00725ADC">
        <w:t xml:space="preserve"> </w:t>
      </w:r>
      <w:r w:rsidR="009D51B0">
        <w:rPr>
          <w:i/>
          <w:iCs/>
        </w:rPr>
        <w:t>The Alchemist</w:t>
      </w:r>
      <w:r w:rsidR="00173CDC">
        <w:t xml:space="preserve"> and t</w:t>
      </w:r>
      <w:r w:rsidR="003B51E8">
        <w:t xml:space="preserve">here was consistent contemporary </w:t>
      </w:r>
      <w:r w:rsidR="00EA2942">
        <w:t xml:space="preserve">reference to </w:t>
      </w:r>
      <w:r w:rsidR="00EA2942">
        <w:rPr>
          <w:i/>
          <w:iCs/>
        </w:rPr>
        <w:t>The Alchemist</w:t>
      </w:r>
      <w:r w:rsidR="00EA2942">
        <w:t xml:space="preserve">’s characters, particularly Subtle, Face, and Dol, </w:t>
      </w:r>
      <w:r w:rsidR="00883A29">
        <w:t>until the end of the 17</w:t>
      </w:r>
      <w:r w:rsidR="00883A29" w:rsidRPr="00883A29">
        <w:rPr>
          <w:vertAlign w:val="superscript"/>
        </w:rPr>
        <w:t>th</w:t>
      </w:r>
      <w:r w:rsidR="00883A29">
        <w:t xml:space="preserve"> Century</w:t>
      </w:r>
      <w:r w:rsidR="00173CDC">
        <w:t>.</w:t>
      </w:r>
      <w:r w:rsidR="00173CDC">
        <w:rPr>
          <w:rStyle w:val="FootnoteReference"/>
        </w:rPr>
        <w:footnoteReference w:id="30"/>
      </w:r>
      <w:r w:rsidR="00173CDC">
        <w:t xml:space="preserve"> </w:t>
      </w:r>
      <w:r w:rsidR="00173CDC">
        <w:rPr>
          <w:rStyle w:val="FootnoteReference"/>
        </w:rPr>
        <w:footnoteReference w:id="31"/>
      </w:r>
    </w:p>
    <w:p w14:paraId="041AF8E0" w14:textId="5CD85FD4" w:rsidR="00505F71" w:rsidRDefault="009D51B0">
      <w:r>
        <w:rPr>
          <w:i/>
          <w:iCs/>
        </w:rPr>
        <w:t>The Alchemist</w:t>
      </w:r>
      <w:r w:rsidR="00030572">
        <w:t xml:space="preserve"> has had a </w:t>
      </w:r>
      <w:r w:rsidR="00322E1E">
        <w:t xml:space="preserve">consistent place in the discussion of renaissance drama since </w:t>
      </w:r>
      <w:r w:rsidR="00CF4446">
        <w:t xml:space="preserve">its </w:t>
      </w:r>
      <w:r w:rsidR="00C623BA">
        <w:t>completion and first performances in 1610</w:t>
      </w:r>
      <w:r w:rsidR="00CF4446">
        <w:t xml:space="preserve"> and is regarded as Jonson’s most popular work</w:t>
      </w:r>
      <w:r w:rsidR="00C623BA">
        <w:t>.</w:t>
      </w:r>
      <w:r w:rsidR="00C623BA">
        <w:rPr>
          <w:rStyle w:val="FootnoteReference"/>
        </w:rPr>
        <w:footnoteReference w:id="32"/>
      </w:r>
      <w:r w:rsidR="00CF4446">
        <w:t xml:space="preserve"> </w:t>
      </w:r>
      <w:r w:rsidR="008254A4">
        <w:t xml:space="preserve">In its earliest years, </w:t>
      </w:r>
      <w:r w:rsidR="00B56CE3">
        <w:t xml:space="preserve">its printed forms were as popular as </w:t>
      </w:r>
      <w:r w:rsidR="00F36E66">
        <w:t>its performances</w:t>
      </w:r>
      <w:r w:rsidR="00E163E3">
        <w:t xml:space="preserve">. Despite the drop in print quality and popularity following Jonson’s death in August 1638, the play went on to be </w:t>
      </w:r>
      <w:r w:rsidR="004A6185">
        <w:t xml:space="preserve">a </w:t>
      </w:r>
      <w:r w:rsidR="009A126E">
        <w:t xml:space="preserve">consistently esteemed and </w:t>
      </w:r>
      <w:r>
        <w:t>well-loved</w:t>
      </w:r>
      <w:r w:rsidR="009A126E">
        <w:t xml:space="preserve"> p</w:t>
      </w:r>
      <w:r w:rsidR="00153D96">
        <w:t>iece of comedy and drama</w:t>
      </w:r>
      <w:r w:rsidR="008723E8">
        <w:t xml:space="preserve"> performed throughout London and beyond. </w:t>
      </w:r>
    </w:p>
    <w:p w14:paraId="73E13E79" w14:textId="77777777" w:rsidR="00505F71" w:rsidRDefault="00505F71"/>
    <w:p w14:paraId="47F9A398" w14:textId="629D0A9B" w:rsidR="00BB22A7" w:rsidRPr="003A3D1C" w:rsidRDefault="00F22422" w:rsidP="003A3D1C">
      <w:pPr>
        <w:shd w:val="clear" w:color="auto" w:fill="9CC2E5" w:themeFill="accent5" w:themeFillTint="99"/>
        <w:rPr>
          <w:b/>
          <w:bCs/>
          <w:sz w:val="24"/>
          <w:szCs w:val="24"/>
        </w:rPr>
      </w:pPr>
      <w:r w:rsidRPr="003A3D1C">
        <w:rPr>
          <w:b/>
          <w:bCs/>
          <w:sz w:val="24"/>
          <w:szCs w:val="24"/>
        </w:rPr>
        <w:t>BIBLIOGRAPHY</w:t>
      </w:r>
    </w:p>
    <w:p w14:paraId="5EE64311" w14:textId="00524CA9" w:rsidR="00F22422" w:rsidRDefault="00F22422" w:rsidP="00F22422">
      <w:r>
        <w:t xml:space="preserve">Arber, </w:t>
      </w:r>
      <w:r w:rsidRPr="003A3D1C">
        <w:rPr>
          <w:i/>
          <w:iCs/>
        </w:rPr>
        <w:t>A Transcript of the Stationers' Registers, 1554-1640</w:t>
      </w:r>
      <w:r>
        <w:t xml:space="preserve">: 5 vols., </w:t>
      </w:r>
      <w:r w:rsidRPr="00505F71">
        <w:rPr>
          <w:i/>
          <w:iCs/>
        </w:rPr>
        <w:t>1640-1708</w:t>
      </w:r>
      <w:r>
        <w:t>: 3 vols.</w:t>
      </w:r>
    </w:p>
    <w:p w14:paraId="6CBF7FF8" w14:textId="77777777" w:rsidR="003A3D1C" w:rsidRDefault="003A3D1C" w:rsidP="003A3D1C">
      <w:r>
        <w:t xml:space="preserve">Early English Books Online, </w:t>
      </w:r>
      <w:r w:rsidRPr="003A3D1C">
        <w:rPr>
          <w:i/>
          <w:iCs/>
        </w:rPr>
        <w:t>The Alchemist. VVritten by Ben Ionson</w:t>
      </w:r>
      <w:r>
        <w:t>, &lt;https://www.proquest.com/eebo/docview/2240888531/99845007/371B650F2CFE449DPQ/1?accountid=130472&gt; [Accessed 15/01/2021]</w:t>
      </w:r>
    </w:p>
    <w:p w14:paraId="099D4B5A" w14:textId="77777777" w:rsidR="003A3D1C" w:rsidRPr="00403B94" w:rsidRDefault="003A3D1C" w:rsidP="003A3D1C">
      <w:r>
        <w:t xml:space="preserve">Early English Books Online, </w:t>
      </w:r>
      <w:r w:rsidRPr="003A3D1C">
        <w:rPr>
          <w:i/>
          <w:iCs/>
        </w:rPr>
        <w:t>The Works of Ben Jonson which were formerly printed in two volumes, are now reprinted in one: to which is added a comedy called The New Inn: with additions never before published</w:t>
      </w:r>
      <w:r>
        <w:t>, &lt;https://www.proquest.com/eebo/docview/2240949205/C73238A1ED6746DAPQ/1?accountid=130472&amp;imgSeq=1&gt; [Accessed 20/01/2021]</w:t>
      </w:r>
    </w:p>
    <w:p w14:paraId="37E895AD" w14:textId="4C7674E5" w:rsidR="00F22422" w:rsidRDefault="00F22422" w:rsidP="00F22422">
      <w:r>
        <w:t xml:space="preserve">Greg, W. W., </w:t>
      </w:r>
      <w:r w:rsidRPr="003A3D1C">
        <w:rPr>
          <w:i/>
          <w:iCs/>
        </w:rPr>
        <w:t>A Bibliography of the English Printed Drama to the Restoration</w:t>
      </w:r>
      <w:r w:rsidR="003A3D1C">
        <w:t>:</w:t>
      </w:r>
      <w:r>
        <w:t xml:space="preserve"> 4 vols.</w:t>
      </w:r>
      <w:r w:rsidR="00505F71">
        <w:t>,</w:t>
      </w:r>
      <w:r>
        <w:t xml:space="preserve"> (London: Oxford University Press for the Bibliographical Society, 1939-1959)</w:t>
      </w:r>
    </w:p>
    <w:p w14:paraId="01D74A40" w14:textId="7BA77C40" w:rsidR="00F22422" w:rsidRDefault="00F22422" w:rsidP="00F22422">
      <w:r>
        <w:t xml:space="preserve">Harp, R. L., Harp, R., and Stewart, S., </w:t>
      </w:r>
      <w:r w:rsidRPr="003A3D1C">
        <w:rPr>
          <w:i/>
          <w:iCs/>
        </w:rPr>
        <w:t>The Cambridge Companion to Ben Jonson</w:t>
      </w:r>
      <w:r>
        <w:t>, (Cambridge: Cambridge University Press, 2000)</w:t>
      </w:r>
    </w:p>
    <w:p w14:paraId="5961BED5" w14:textId="4C6017C0" w:rsidR="00F22422" w:rsidRDefault="00F22422" w:rsidP="00F22422">
      <w:r>
        <w:t xml:space="preserve">Lockwood, T., </w:t>
      </w:r>
      <w:r w:rsidRPr="003A3D1C">
        <w:rPr>
          <w:i/>
          <w:iCs/>
        </w:rPr>
        <w:t>The Works of Ben Jonson (1692): Textual Essay</w:t>
      </w:r>
      <w:r>
        <w:t>, &lt;https://universitypublishingonline.org/cambridge/benjonson/k/essays/Works_1692_textual_essay/1/&gt; [Accessed 20/01/2021]</w:t>
      </w:r>
    </w:p>
    <w:p w14:paraId="39BD47F4" w14:textId="0CFFB819" w:rsidR="00F22422" w:rsidRDefault="00F22422" w:rsidP="00F22422">
      <w:r>
        <w:t xml:space="preserve">Loewenstein, J., </w:t>
      </w:r>
      <w:r w:rsidRPr="003A3D1C">
        <w:rPr>
          <w:i/>
          <w:iCs/>
        </w:rPr>
        <w:t>Ben Jonson and Possessive Authorship</w:t>
      </w:r>
      <w:r>
        <w:t>, (Cambridge: Cambridge University Press, 2002)</w:t>
      </w:r>
    </w:p>
    <w:p w14:paraId="5EA2982C" w14:textId="79187364" w:rsidR="00F22422" w:rsidRDefault="00F22422" w:rsidP="00F22422">
      <w:r>
        <w:lastRenderedPageBreak/>
        <w:t xml:space="preserve">McKerrow, R. B., </w:t>
      </w:r>
      <w:r w:rsidRPr="003A3D1C">
        <w:rPr>
          <w:i/>
          <w:iCs/>
        </w:rPr>
        <w:t>A Dictionary of Printers and Booksellers in England, Scotland, and Ireland, and of Foreign Printers of English Books, 1557-1640</w:t>
      </w:r>
      <w:r>
        <w:t>, (Oxford: The Bibliographical Society, 1910; repr. 1968)</w:t>
      </w:r>
    </w:p>
    <w:p w14:paraId="15F79D67" w14:textId="2F739BA8" w:rsidR="00F22422" w:rsidRDefault="00F22422" w:rsidP="00F22422">
      <w:r>
        <w:t xml:space="preserve">Munro, L., </w:t>
      </w:r>
      <w:r w:rsidRPr="003A3D1C">
        <w:rPr>
          <w:i/>
          <w:iCs/>
        </w:rPr>
        <w:t>The Alchemist: Stage History</w:t>
      </w:r>
      <w:r>
        <w:t>, &lt;https://universitypublishingonline.org/cambridge/benjonson/k/essays/stage_history_Alchemist/&gt; [Accessed 15/01/2021]</w:t>
      </w:r>
    </w:p>
    <w:p w14:paraId="53705A3B" w14:textId="1CF03C8F" w:rsidR="00F22422" w:rsidRDefault="00F22422" w:rsidP="00F22422">
      <w:r>
        <w:t xml:space="preserve">Plomer, H. R., </w:t>
      </w:r>
      <w:r w:rsidRPr="003A3D1C">
        <w:rPr>
          <w:i/>
          <w:iCs/>
        </w:rPr>
        <w:t>A Dictionary of the Booksellers and Printers Who Were at Work in England, Scotland, and Ireland from 1641-1667</w:t>
      </w:r>
      <w:r>
        <w:t>, (Oxford: The Bibliograohical Society, 1907; repr. 1968)</w:t>
      </w:r>
    </w:p>
    <w:p w14:paraId="63C55459" w14:textId="77777777" w:rsidR="003A3D1C" w:rsidRPr="00403B94" w:rsidRDefault="003A3D1C"/>
    <w:sectPr w:rsidR="003A3D1C" w:rsidRPr="00403B9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D80EB78" w14:textId="77777777" w:rsidR="00022F0A" w:rsidRDefault="00022F0A" w:rsidP="00CA6C9B">
      <w:pPr>
        <w:spacing w:after="0" w:line="240" w:lineRule="auto"/>
      </w:pPr>
      <w:r>
        <w:separator/>
      </w:r>
    </w:p>
  </w:endnote>
  <w:endnote w:type="continuationSeparator" w:id="0">
    <w:p w14:paraId="42C0B95D" w14:textId="77777777" w:rsidR="00022F0A" w:rsidRDefault="00022F0A" w:rsidP="00CA6C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380FAE9" w14:textId="77777777" w:rsidR="00DF64D5" w:rsidRDefault="00DF64D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2173CD4" w14:textId="77777777" w:rsidR="00DF64D5" w:rsidRDefault="00DF64D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A3E4719" w14:textId="77777777" w:rsidR="00DF64D5" w:rsidRDefault="00DF64D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50991B8" w14:textId="77777777" w:rsidR="00022F0A" w:rsidRDefault="00022F0A" w:rsidP="00CA6C9B">
      <w:pPr>
        <w:spacing w:after="0" w:line="240" w:lineRule="auto"/>
      </w:pPr>
      <w:r>
        <w:separator/>
      </w:r>
    </w:p>
  </w:footnote>
  <w:footnote w:type="continuationSeparator" w:id="0">
    <w:p w14:paraId="0064D299" w14:textId="77777777" w:rsidR="00022F0A" w:rsidRDefault="00022F0A" w:rsidP="00CA6C9B">
      <w:pPr>
        <w:spacing w:after="0" w:line="240" w:lineRule="auto"/>
      </w:pPr>
      <w:r>
        <w:continuationSeparator/>
      </w:r>
    </w:p>
  </w:footnote>
  <w:footnote w:id="1">
    <w:p w14:paraId="3535489D" w14:textId="371259BA" w:rsidR="005A47DE" w:rsidRPr="00145CA6" w:rsidRDefault="005A47DE">
      <w:pPr>
        <w:pStyle w:val="FootnoteText"/>
      </w:pPr>
      <w:r w:rsidRPr="00145CA6">
        <w:rPr>
          <w:rStyle w:val="FootnoteReference"/>
        </w:rPr>
        <w:footnoteRef/>
      </w:r>
      <w:r w:rsidRPr="00145CA6">
        <w:t xml:space="preserve"> </w:t>
      </w:r>
      <w:r w:rsidR="00005416" w:rsidRPr="00145CA6">
        <w:t xml:space="preserve">Early English Books Online, </w:t>
      </w:r>
      <w:r w:rsidR="0065104A" w:rsidRPr="00145CA6">
        <w:rPr>
          <w:i/>
          <w:iCs/>
        </w:rPr>
        <w:t xml:space="preserve">The Alchemist. VVritten by Ben Ionson, </w:t>
      </w:r>
      <w:r w:rsidR="00AB6A7D" w:rsidRPr="00145CA6">
        <w:t xml:space="preserve">[Accessed 15/01/2021], </w:t>
      </w:r>
      <w:r w:rsidR="0065104A" w:rsidRPr="00145CA6">
        <w:t>p. 1</w:t>
      </w:r>
      <w:r w:rsidR="00E92E7D" w:rsidRPr="00145CA6">
        <w:t xml:space="preserve">. </w:t>
      </w:r>
    </w:p>
  </w:footnote>
  <w:footnote w:id="2">
    <w:p w14:paraId="57C1497D" w14:textId="79C2DD85" w:rsidR="00540F56" w:rsidRPr="00145CA6" w:rsidRDefault="00540F56">
      <w:pPr>
        <w:pStyle w:val="FootnoteText"/>
      </w:pPr>
      <w:r w:rsidRPr="00145CA6">
        <w:rPr>
          <w:rStyle w:val="FootnoteReference"/>
        </w:rPr>
        <w:footnoteRef/>
      </w:r>
      <w:r w:rsidRPr="00145CA6">
        <w:t xml:space="preserve"> Arber,</w:t>
      </w:r>
      <w:r w:rsidR="00377E12" w:rsidRPr="00145CA6">
        <w:t xml:space="preserve"> </w:t>
      </w:r>
      <w:r w:rsidR="00377E12" w:rsidRPr="00145CA6">
        <w:rPr>
          <w:i/>
          <w:iCs/>
        </w:rPr>
        <w:t>A Transcript of the Stationers' Registers</w:t>
      </w:r>
      <w:r w:rsidR="00377E12" w:rsidRPr="00145CA6">
        <w:t>,</w:t>
      </w:r>
      <w:r w:rsidRPr="00145CA6">
        <w:t xml:space="preserve"> </w:t>
      </w:r>
      <w:r w:rsidR="00377E12" w:rsidRPr="00145CA6">
        <w:t xml:space="preserve">p. </w:t>
      </w:r>
      <w:r w:rsidR="00325139" w:rsidRPr="00145CA6">
        <w:t>20</w:t>
      </w:r>
      <w:r w:rsidR="00725DE6" w:rsidRPr="00145CA6">
        <w:t>1</w:t>
      </w:r>
      <w:r w:rsidR="00325139" w:rsidRPr="00145CA6">
        <w:t xml:space="preserve">. </w:t>
      </w:r>
    </w:p>
  </w:footnote>
  <w:footnote w:id="3">
    <w:p w14:paraId="5C2E0FB5" w14:textId="7383BF2C" w:rsidR="0071050E" w:rsidRPr="00145CA6" w:rsidRDefault="0071050E" w:rsidP="0071050E">
      <w:pPr>
        <w:pStyle w:val="FootnoteText"/>
      </w:pPr>
      <w:r w:rsidRPr="00145CA6">
        <w:rPr>
          <w:rStyle w:val="FootnoteReference"/>
        </w:rPr>
        <w:footnoteRef/>
      </w:r>
      <w:r w:rsidRPr="00145CA6">
        <w:t xml:space="preserve"> </w:t>
      </w:r>
      <w:r w:rsidR="00377E12" w:rsidRPr="00145CA6">
        <w:t xml:space="preserve">Greg, W. W., </w:t>
      </w:r>
      <w:r w:rsidR="00377E12" w:rsidRPr="00145CA6">
        <w:rPr>
          <w:i/>
          <w:iCs/>
        </w:rPr>
        <w:t>A Bibliography of the English Printed Drama to the Restoration</w:t>
      </w:r>
      <w:r w:rsidR="00377E12" w:rsidRPr="00145CA6">
        <w:t>, 4 vols. (London: Oxford University Press for the Bibliographical Society, 1939-1959)</w:t>
      </w:r>
      <w:r w:rsidR="00E92E7D" w:rsidRPr="00145CA6">
        <w:t>, p.</w:t>
      </w:r>
      <w:r w:rsidR="001E629C" w:rsidRPr="00145CA6">
        <w:t xml:space="preserve"> </w:t>
      </w:r>
      <w:r w:rsidR="00F91AF4" w:rsidRPr="00145CA6">
        <w:t>440</w:t>
      </w:r>
      <w:r w:rsidR="00842F73" w:rsidRPr="00145CA6">
        <w:t>,</w:t>
      </w:r>
      <w:r w:rsidR="00531E8B" w:rsidRPr="00145CA6">
        <w:t xml:space="preserve"> </w:t>
      </w:r>
      <w:r w:rsidR="00B23A76" w:rsidRPr="00145CA6">
        <w:t>1499,</w:t>
      </w:r>
      <w:r w:rsidR="00842F73" w:rsidRPr="00145CA6">
        <w:t xml:space="preserve"> </w:t>
      </w:r>
      <w:r w:rsidR="001607F2" w:rsidRPr="00145CA6">
        <w:t>1546</w:t>
      </w:r>
      <w:r w:rsidR="00F555F1" w:rsidRPr="00145CA6">
        <w:t>, 1548</w:t>
      </w:r>
      <w:r w:rsidR="001E629C" w:rsidRPr="00145CA6">
        <w:t>.</w:t>
      </w:r>
    </w:p>
  </w:footnote>
  <w:footnote w:id="4">
    <w:p w14:paraId="6E1D86F7" w14:textId="619BF647" w:rsidR="0071050E" w:rsidRPr="00145CA6" w:rsidRDefault="0071050E" w:rsidP="0071050E">
      <w:pPr>
        <w:pStyle w:val="FootnoteText"/>
      </w:pPr>
      <w:r w:rsidRPr="00145CA6">
        <w:rPr>
          <w:rStyle w:val="FootnoteReference"/>
        </w:rPr>
        <w:footnoteRef/>
      </w:r>
      <w:r w:rsidRPr="00145CA6">
        <w:t xml:space="preserve"> McKerrow, </w:t>
      </w:r>
      <w:r w:rsidR="00E92E7D" w:rsidRPr="00145CA6">
        <w:t xml:space="preserve">R. B., </w:t>
      </w:r>
      <w:r w:rsidR="00E92E7D" w:rsidRPr="00145CA6">
        <w:rPr>
          <w:i/>
          <w:iCs/>
        </w:rPr>
        <w:t>A Dictionary of Printers and Booksellers in England, Scotland, and Ireland, and of Foreign Printers of English Books, 1557-1640</w:t>
      </w:r>
      <w:r w:rsidR="00E92E7D" w:rsidRPr="00145CA6">
        <w:t xml:space="preserve">, (Oxford: The Bibliographical Society, 1910; repr. 1968), p. </w:t>
      </w:r>
      <w:r w:rsidR="00020465" w:rsidRPr="00145CA6">
        <w:t xml:space="preserve">56, </w:t>
      </w:r>
      <w:r w:rsidR="00996A3E" w:rsidRPr="00145CA6">
        <w:t>250</w:t>
      </w:r>
      <w:r w:rsidR="00E248CD" w:rsidRPr="00145CA6">
        <w:t xml:space="preserve">, </w:t>
      </w:r>
      <w:r w:rsidR="00996A3E" w:rsidRPr="00145CA6">
        <w:t xml:space="preserve">251, </w:t>
      </w:r>
      <w:r w:rsidR="00020465" w:rsidRPr="00145CA6">
        <w:t>258.</w:t>
      </w:r>
    </w:p>
  </w:footnote>
  <w:footnote w:id="5">
    <w:p w14:paraId="74845ABA" w14:textId="71381831" w:rsidR="009A1338" w:rsidRPr="00145CA6" w:rsidRDefault="009A1338">
      <w:pPr>
        <w:pStyle w:val="FootnoteText"/>
      </w:pPr>
      <w:r w:rsidRPr="00145CA6">
        <w:rPr>
          <w:rStyle w:val="FootnoteReference"/>
        </w:rPr>
        <w:footnoteRef/>
      </w:r>
      <w:r w:rsidRPr="00145CA6">
        <w:t xml:space="preserve"> </w:t>
      </w:r>
      <w:r w:rsidR="00431369" w:rsidRPr="00145CA6">
        <w:rPr>
          <w:i/>
          <w:iCs/>
        </w:rPr>
        <w:t xml:space="preserve">The Alchemist. VVritten by Ben Ionson, </w:t>
      </w:r>
      <w:r w:rsidR="00431369" w:rsidRPr="00145CA6">
        <w:t xml:space="preserve">p. </w:t>
      </w:r>
      <w:r w:rsidR="00456537" w:rsidRPr="00145CA6">
        <w:t>2</w:t>
      </w:r>
      <w:r w:rsidR="00C55240" w:rsidRPr="00145CA6">
        <w:t>-3.</w:t>
      </w:r>
    </w:p>
  </w:footnote>
  <w:footnote w:id="6">
    <w:p w14:paraId="23899052" w14:textId="094714C5" w:rsidR="008D35C5" w:rsidRPr="00145CA6" w:rsidRDefault="008D35C5">
      <w:pPr>
        <w:pStyle w:val="FootnoteText"/>
      </w:pPr>
      <w:r w:rsidRPr="00145CA6">
        <w:rPr>
          <w:rStyle w:val="FootnoteReference"/>
        </w:rPr>
        <w:footnoteRef/>
      </w:r>
      <w:r w:rsidRPr="00145CA6">
        <w:t xml:space="preserve"> </w:t>
      </w:r>
      <w:r w:rsidR="00431369" w:rsidRPr="00145CA6">
        <w:rPr>
          <w:i/>
          <w:iCs/>
        </w:rPr>
        <w:t xml:space="preserve">The Alchemist. VVritten by Ben Ionson, </w:t>
      </w:r>
      <w:r w:rsidR="00431369" w:rsidRPr="00145CA6">
        <w:t xml:space="preserve">p. </w:t>
      </w:r>
      <w:r w:rsidR="00C55240" w:rsidRPr="00145CA6">
        <w:t>3-4.</w:t>
      </w:r>
    </w:p>
  </w:footnote>
  <w:footnote w:id="7">
    <w:p w14:paraId="3808D536" w14:textId="17BF0837" w:rsidR="0071050E" w:rsidRPr="00145CA6" w:rsidRDefault="0071050E" w:rsidP="0071050E">
      <w:pPr>
        <w:pStyle w:val="FootnoteText"/>
      </w:pPr>
      <w:r w:rsidRPr="00145CA6">
        <w:rPr>
          <w:rStyle w:val="FootnoteReference"/>
        </w:rPr>
        <w:footnoteRef/>
      </w:r>
      <w:r w:rsidRPr="00145CA6">
        <w:t xml:space="preserve"> Greg, </w:t>
      </w:r>
      <w:r w:rsidR="00136E21" w:rsidRPr="00145CA6">
        <w:t xml:space="preserve">p. </w:t>
      </w:r>
      <w:r w:rsidR="004B0950" w:rsidRPr="00145CA6">
        <w:t>441</w:t>
      </w:r>
      <w:r w:rsidR="002B253F" w:rsidRPr="00145CA6">
        <w:t>, 1547</w:t>
      </w:r>
      <w:r w:rsidR="001607F2" w:rsidRPr="00145CA6">
        <w:t>.</w:t>
      </w:r>
    </w:p>
  </w:footnote>
  <w:footnote w:id="8">
    <w:p w14:paraId="45DFAA9F" w14:textId="235CD5DC" w:rsidR="0071050E" w:rsidRPr="00145CA6" w:rsidRDefault="0071050E" w:rsidP="0071050E">
      <w:pPr>
        <w:pStyle w:val="FootnoteText"/>
      </w:pPr>
      <w:r w:rsidRPr="00145CA6">
        <w:rPr>
          <w:rStyle w:val="FootnoteReference"/>
        </w:rPr>
        <w:footnoteRef/>
      </w:r>
      <w:r w:rsidRPr="00145CA6">
        <w:t xml:space="preserve"> McKerrow, </w:t>
      </w:r>
      <w:r w:rsidR="00136E21" w:rsidRPr="00145CA6">
        <w:t xml:space="preserve">p. </w:t>
      </w:r>
      <w:r w:rsidR="00964949" w:rsidRPr="00145CA6">
        <w:t>250</w:t>
      </w:r>
      <w:r w:rsidR="00E248CD" w:rsidRPr="00145CA6">
        <w:t xml:space="preserve">, 251, </w:t>
      </w:r>
      <w:r w:rsidR="00710CBA" w:rsidRPr="00145CA6">
        <w:t>256</w:t>
      </w:r>
      <w:r w:rsidR="00E248CD" w:rsidRPr="00145CA6">
        <w:t>.</w:t>
      </w:r>
    </w:p>
  </w:footnote>
  <w:footnote w:id="9">
    <w:p w14:paraId="30A1694F" w14:textId="4F2734B7" w:rsidR="0071050E" w:rsidRPr="00145CA6" w:rsidRDefault="0071050E" w:rsidP="0071050E">
      <w:pPr>
        <w:pStyle w:val="FootnoteText"/>
      </w:pPr>
      <w:r w:rsidRPr="00145CA6">
        <w:rPr>
          <w:rStyle w:val="FootnoteReference"/>
        </w:rPr>
        <w:footnoteRef/>
      </w:r>
      <w:r w:rsidRPr="00145CA6">
        <w:t xml:space="preserve"> Arber, </w:t>
      </w:r>
      <w:r w:rsidR="00136E21" w:rsidRPr="00145CA6">
        <w:t xml:space="preserve">p. </w:t>
      </w:r>
      <w:r w:rsidR="00F32D67" w:rsidRPr="00145CA6">
        <w:t>316.</w:t>
      </w:r>
    </w:p>
  </w:footnote>
  <w:footnote w:id="10">
    <w:p w14:paraId="3B51C37B" w14:textId="0557FDB7" w:rsidR="0071050E" w:rsidRPr="00145CA6" w:rsidRDefault="0071050E" w:rsidP="0071050E">
      <w:pPr>
        <w:pStyle w:val="FootnoteText"/>
      </w:pPr>
      <w:r w:rsidRPr="00145CA6">
        <w:rPr>
          <w:rStyle w:val="FootnoteReference"/>
        </w:rPr>
        <w:footnoteRef/>
      </w:r>
      <w:r w:rsidRPr="00145CA6">
        <w:t xml:space="preserve"> Loewenstein, </w:t>
      </w:r>
      <w:r w:rsidR="00136E21" w:rsidRPr="00145CA6">
        <w:t xml:space="preserve">J., </w:t>
      </w:r>
      <w:r w:rsidR="00136E21" w:rsidRPr="00145CA6">
        <w:rPr>
          <w:i/>
          <w:iCs/>
        </w:rPr>
        <w:t xml:space="preserve">Ben Jonson </w:t>
      </w:r>
      <w:r w:rsidR="00FA3E5A" w:rsidRPr="00145CA6">
        <w:rPr>
          <w:i/>
          <w:iCs/>
        </w:rPr>
        <w:t>and</w:t>
      </w:r>
      <w:r w:rsidR="00136E21" w:rsidRPr="00145CA6">
        <w:rPr>
          <w:i/>
          <w:iCs/>
        </w:rPr>
        <w:t xml:space="preserve"> Possessive Authorship</w:t>
      </w:r>
      <w:r w:rsidR="00136E21" w:rsidRPr="00145CA6">
        <w:t xml:space="preserve">, (Cambridge: </w:t>
      </w:r>
      <w:r w:rsidR="00FA3E5A" w:rsidRPr="00145CA6">
        <w:t xml:space="preserve">Cambridge </w:t>
      </w:r>
      <w:r w:rsidR="00136E21" w:rsidRPr="00145CA6">
        <w:t xml:space="preserve">University Press, 2002), p. </w:t>
      </w:r>
      <w:r w:rsidR="0085747B" w:rsidRPr="00145CA6">
        <w:t>197.</w:t>
      </w:r>
    </w:p>
  </w:footnote>
  <w:footnote w:id="11">
    <w:p w14:paraId="4AC51FF9" w14:textId="08C800FE" w:rsidR="0071050E" w:rsidRPr="00145CA6" w:rsidRDefault="0071050E" w:rsidP="0071050E">
      <w:pPr>
        <w:pStyle w:val="FootnoteText"/>
      </w:pPr>
      <w:r w:rsidRPr="00145CA6">
        <w:rPr>
          <w:rStyle w:val="FootnoteReference"/>
        </w:rPr>
        <w:footnoteRef/>
      </w:r>
      <w:r w:rsidRPr="00145CA6">
        <w:t xml:space="preserve"> McKerrow, </w:t>
      </w:r>
      <w:r w:rsidR="00136E21" w:rsidRPr="00145CA6">
        <w:t xml:space="preserve">p. </w:t>
      </w:r>
      <w:r w:rsidR="00A2177B" w:rsidRPr="00145CA6">
        <w:t>2</w:t>
      </w:r>
      <w:r w:rsidR="00ED2790" w:rsidRPr="00145CA6">
        <w:t>52, 253</w:t>
      </w:r>
    </w:p>
  </w:footnote>
  <w:footnote w:id="12">
    <w:p w14:paraId="07686894" w14:textId="2A705410" w:rsidR="0071050E" w:rsidRPr="00145CA6" w:rsidRDefault="0071050E" w:rsidP="0071050E">
      <w:pPr>
        <w:pStyle w:val="FootnoteText"/>
      </w:pPr>
      <w:r w:rsidRPr="00145CA6">
        <w:rPr>
          <w:rStyle w:val="FootnoteReference"/>
        </w:rPr>
        <w:footnoteRef/>
      </w:r>
      <w:r w:rsidRPr="00145CA6">
        <w:t xml:space="preserve"> Greg, </w:t>
      </w:r>
      <w:r w:rsidR="00136E21" w:rsidRPr="00145CA6">
        <w:t xml:space="preserve">p. </w:t>
      </w:r>
      <w:r w:rsidR="004B0950" w:rsidRPr="00145CA6">
        <w:t>44</w:t>
      </w:r>
      <w:r w:rsidR="0096529D" w:rsidRPr="00145CA6">
        <w:t xml:space="preserve">1, </w:t>
      </w:r>
      <w:r w:rsidR="004B0950" w:rsidRPr="00145CA6">
        <w:t>442</w:t>
      </w:r>
      <w:r w:rsidR="00D44969" w:rsidRPr="00145CA6">
        <w:t>, 1495</w:t>
      </w:r>
      <w:r w:rsidR="004B0950" w:rsidRPr="00145CA6">
        <w:t xml:space="preserve">. </w:t>
      </w:r>
    </w:p>
  </w:footnote>
  <w:footnote w:id="13">
    <w:p w14:paraId="4B80B66E" w14:textId="665A52DE" w:rsidR="0071050E" w:rsidRPr="00145CA6" w:rsidRDefault="0071050E" w:rsidP="0071050E">
      <w:pPr>
        <w:pStyle w:val="FootnoteText"/>
      </w:pPr>
      <w:r w:rsidRPr="00145CA6">
        <w:rPr>
          <w:rStyle w:val="FootnoteReference"/>
        </w:rPr>
        <w:footnoteRef/>
      </w:r>
      <w:r w:rsidRPr="00145CA6">
        <w:t xml:space="preserve"> </w:t>
      </w:r>
      <w:r w:rsidR="00D34B13" w:rsidRPr="00145CA6">
        <w:t>Plo</w:t>
      </w:r>
      <w:r w:rsidR="00EB026C" w:rsidRPr="00145CA6">
        <w:t>mer</w:t>
      </w:r>
      <w:r w:rsidR="00D34B13" w:rsidRPr="00145CA6">
        <w:t xml:space="preserve">, </w:t>
      </w:r>
      <w:r w:rsidR="002F5E3D" w:rsidRPr="00145CA6">
        <w:t xml:space="preserve">H. R., </w:t>
      </w:r>
      <w:r w:rsidR="002F5E3D" w:rsidRPr="00145CA6">
        <w:rPr>
          <w:i/>
          <w:iCs/>
        </w:rPr>
        <w:t>A Dictionary of the Booksellers and Printers Who Were at Work in England, Scotland, and Ireland from 1641-1667</w:t>
      </w:r>
      <w:r w:rsidR="002F5E3D" w:rsidRPr="00145CA6">
        <w:t xml:space="preserve">, (Oxford: The Bibliographical Society, 1907; repr. 1968), </w:t>
      </w:r>
      <w:r w:rsidR="00D34B13" w:rsidRPr="00145CA6">
        <w:t>p. 25.</w:t>
      </w:r>
    </w:p>
  </w:footnote>
  <w:footnote w:id="14">
    <w:p w14:paraId="58CC98F1" w14:textId="2130EB96" w:rsidR="00B61354" w:rsidRPr="00145CA6" w:rsidRDefault="00B61354">
      <w:pPr>
        <w:pStyle w:val="FootnoteText"/>
      </w:pPr>
      <w:r w:rsidRPr="00145CA6">
        <w:rPr>
          <w:rStyle w:val="FootnoteReference"/>
        </w:rPr>
        <w:footnoteRef/>
      </w:r>
      <w:r w:rsidRPr="00145CA6">
        <w:t xml:space="preserve"> </w:t>
      </w:r>
      <w:r w:rsidR="00FA3E5A" w:rsidRPr="00145CA6">
        <w:t xml:space="preserve">Harp, R. L., Harp, R., and Stewart, S., </w:t>
      </w:r>
      <w:r w:rsidR="00FA3E5A" w:rsidRPr="00145CA6">
        <w:rPr>
          <w:i/>
          <w:iCs/>
        </w:rPr>
        <w:t>The Cambridge Companion to Ben Jonson</w:t>
      </w:r>
      <w:r w:rsidR="00FA3E5A" w:rsidRPr="00145CA6">
        <w:t>, (Cambridge: Cambridge University Press, 2000)</w:t>
      </w:r>
      <w:r w:rsidR="005D543D" w:rsidRPr="00145CA6">
        <w:t>, p. 181</w:t>
      </w:r>
    </w:p>
  </w:footnote>
  <w:footnote w:id="15">
    <w:p w14:paraId="23E36A70" w14:textId="4DC36B5B" w:rsidR="0071050E" w:rsidRPr="00145CA6" w:rsidRDefault="0071050E" w:rsidP="0071050E">
      <w:pPr>
        <w:pStyle w:val="FootnoteText"/>
      </w:pPr>
      <w:r w:rsidRPr="00145CA6">
        <w:rPr>
          <w:rStyle w:val="FootnoteReference"/>
        </w:rPr>
        <w:footnoteRef/>
      </w:r>
      <w:r w:rsidRPr="00145CA6">
        <w:t xml:space="preserve"> Greg, </w:t>
      </w:r>
      <w:r w:rsidR="00FA3E5A" w:rsidRPr="00145CA6">
        <w:t xml:space="preserve">p. </w:t>
      </w:r>
      <w:r w:rsidR="00F36384" w:rsidRPr="00145CA6">
        <w:t xml:space="preserve">442. </w:t>
      </w:r>
    </w:p>
  </w:footnote>
  <w:footnote w:id="16">
    <w:p w14:paraId="6677014F" w14:textId="6924C15C" w:rsidR="0071050E" w:rsidRPr="00145CA6" w:rsidRDefault="0071050E" w:rsidP="0071050E">
      <w:pPr>
        <w:pStyle w:val="FootnoteText"/>
      </w:pPr>
      <w:r w:rsidRPr="00145CA6">
        <w:rPr>
          <w:rStyle w:val="FootnoteReference"/>
        </w:rPr>
        <w:footnoteRef/>
      </w:r>
      <w:r w:rsidRPr="00145CA6">
        <w:t xml:space="preserve"> </w:t>
      </w:r>
      <w:r w:rsidR="0026033D" w:rsidRPr="00145CA6">
        <w:t xml:space="preserve">Early English Books Online, </w:t>
      </w:r>
      <w:r w:rsidR="0026033D" w:rsidRPr="00145CA6">
        <w:rPr>
          <w:i/>
          <w:iCs/>
        </w:rPr>
        <w:t>The Works of Ben Jonson which were formerly printed in two volumes, are now reprinted in one: to which is added a comedy called The New Inn: with additions never before published,</w:t>
      </w:r>
      <w:r w:rsidR="0026033D" w:rsidRPr="00145CA6">
        <w:t xml:space="preserve"> </w:t>
      </w:r>
      <w:r w:rsidRPr="00145CA6">
        <w:t xml:space="preserve"> </w:t>
      </w:r>
      <w:r w:rsidR="0026033D" w:rsidRPr="00145CA6">
        <w:t>[Accessed 20/01/2021]</w:t>
      </w:r>
      <w:r w:rsidR="005B1437" w:rsidRPr="00145CA6">
        <w:t>.</w:t>
      </w:r>
    </w:p>
  </w:footnote>
  <w:footnote w:id="17">
    <w:p w14:paraId="58768F1A" w14:textId="357269B3" w:rsidR="0036026F" w:rsidRPr="00145CA6" w:rsidRDefault="0036026F">
      <w:pPr>
        <w:pStyle w:val="FootnoteText"/>
      </w:pPr>
      <w:r w:rsidRPr="00145CA6">
        <w:rPr>
          <w:rStyle w:val="FootnoteReference"/>
        </w:rPr>
        <w:footnoteRef/>
      </w:r>
      <w:r w:rsidRPr="00145CA6">
        <w:t xml:space="preserve"> </w:t>
      </w:r>
      <w:r w:rsidR="006C63E6" w:rsidRPr="00145CA6">
        <w:t xml:space="preserve">Lockwood, T., </w:t>
      </w:r>
      <w:r w:rsidR="006C63E6" w:rsidRPr="00145CA6">
        <w:rPr>
          <w:i/>
          <w:iCs/>
        </w:rPr>
        <w:t>The Works of Ben Jonson (1692): Textual Essay,</w:t>
      </w:r>
      <w:r w:rsidR="00F854F2">
        <w:t xml:space="preserve"> p. </w:t>
      </w:r>
      <w:r w:rsidR="00437649">
        <w:t>3.</w:t>
      </w:r>
    </w:p>
  </w:footnote>
  <w:footnote w:id="18">
    <w:p w14:paraId="2E69DB0C" w14:textId="00625CE7" w:rsidR="00D510EE" w:rsidRDefault="00D510EE">
      <w:pPr>
        <w:pStyle w:val="FootnoteText"/>
      </w:pPr>
      <w:r>
        <w:rPr>
          <w:rStyle w:val="FootnoteReference"/>
        </w:rPr>
        <w:footnoteRef/>
      </w:r>
      <w:r>
        <w:t xml:space="preserve"> Lockwood</w:t>
      </w:r>
      <w:r w:rsidR="00F854F2">
        <w:t xml:space="preserve">, p. </w:t>
      </w:r>
      <w:r w:rsidR="00C641AF">
        <w:t>2.</w:t>
      </w:r>
    </w:p>
  </w:footnote>
  <w:footnote w:id="19">
    <w:p w14:paraId="31C059D9" w14:textId="5F1EC212" w:rsidR="004709A4" w:rsidRPr="00145CA6" w:rsidRDefault="004709A4">
      <w:pPr>
        <w:pStyle w:val="FootnoteText"/>
      </w:pPr>
      <w:r w:rsidRPr="00145CA6">
        <w:rPr>
          <w:rStyle w:val="FootnoteReference"/>
        </w:rPr>
        <w:footnoteRef/>
      </w:r>
      <w:r w:rsidRPr="00145CA6">
        <w:t xml:space="preserve"> </w:t>
      </w:r>
      <w:r w:rsidR="00BA7307" w:rsidRPr="00145CA6">
        <w:t xml:space="preserve">Munro, L., </w:t>
      </w:r>
      <w:r w:rsidR="00BA7307" w:rsidRPr="00145CA6">
        <w:rPr>
          <w:i/>
          <w:iCs/>
        </w:rPr>
        <w:t>The Alchemist: Stage History</w:t>
      </w:r>
      <w:r w:rsidR="00BA7307" w:rsidRPr="00145CA6">
        <w:t xml:space="preserve">, </w:t>
      </w:r>
      <w:r w:rsidR="00D91868">
        <w:t xml:space="preserve">p. </w:t>
      </w:r>
      <w:r w:rsidR="00341585">
        <w:t>1.</w:t>
      </w:r>
    </w:p>
  </w:footnote>
  <w:footnote w:id="20">
    <w:p w14:paraId="666A58DA" w14:textId="5795C7CE" w:rsidR="003C08D0" w:rsidRPr="00145CA6" w:rsidRDefault="003C08D0">
      <w:pPr>
        <w:pStyle w:val="FootnoteText"/>
      </w:pPr>
      <w:r w:rsidRPr="00145CA6">
        <w:rPr>
          <w:rStyle w:val="FootnoteReference"/>
        </w:rPr>
        <w:footnoteRef/>
      </w:r>
      <w:r w:rsidRPr="00145CA6">
        <w:t xml:space="preserve"> Munro</w:t>
      </w:r>
      <w:r w:rsidR="00F854F2">
        <w:t xml:space="preserve">, p. </w:t>
      </w:r>
      <w:r w:rsidR="003B115B">
        <w:t xml:space="preserve">1. </w:t>
      </w:r>
    </w:p>
  </w:footnote>
  <w:footnote w:id="21">
    <w:p w14:paraId="44AF0A00" w14:textId="3CCEECB5" w:rsidR="00D65707" w:rsidRPr="00145CA6" w:rsidRDefault="00D65707">
      <w:pPr>
        <w:pStyle w:val="FootnoteText"/>
      </w:pPr>
      <w:r w:rsidRPr="00145CA6">
        <w:rPr>
          <w:rStyle w:val="FootnoteReference"/>
        </w:rPr>
        <w:footnoteRef/>
      </w:r>
      <w:r w:rsidRPr="00145CA6">
        <w:t xml:space="preserve"> </w:t>
      </w:r>
      <w:r w:rsidR="004A5637" w:rsidRPr="00145CA6">
        <w:t>Munro</w:t>
      </w:r>
      <w:r w:rsidR="00F854F2">
        <w:t xml:space="preserve">, p. </w:t>
      </w:r>
      <w:r w:rsidR="00E10E6B">
        <w:t xml:space="preserve">2. </w:t>
      </w:r>
    </w:p>
  </w:footnote>
  <w:footnote w:id="22">
    <w:p w14:paraId="3DE7E537" w14:textId="2F86A4E2" w:rsidR="00BA2D31" w:rsidRPr="00145CA6" w:rsidRDefault="00BA2D31">
      <w:pPr>
        <w:pStyle w:val="FootnoteText"/>
      </w:pPr>
      <w:r w:rsidRPr="00145CA6">
        <w:rPr>
          <w:rStyle w:val="FootnoteReference"/>
        </w:rPr>
        <w:footnoteRef/>
      </w:r>
      <w:r w:rsidRPr="00145CA6">
        <w:t xml:space="preserve"> Munro</w:t>
      </w:r>
      <w:r w:rsidR="00F854F2">
        <w:t xml:space="preserve">, p. </w:t>
      </w:r>
      <w:r w:rsidR="00016A0C">
        <w:t xml:space="preserve">4. </w:t>
      </w:r>
    </w:p>
  </w:footnote>
  <w:footnote w:id="23">
    <w:p w14:paraId="068BA68D" w14:textId="7B06511F" w:rsidR="00805EF0" w:rsidRPr="00145CA6" w:rsidRDefault="00805EF0" w:rsidP="00805EF0">
      <w:pPr>
        <w:pStyle w:val="FootnoteText"/>
      </w:pPr>
      <w:r w:rsidRPr="00145CA6">
        <w:rPr>
          <w:rStyle w:val="FootnoteReference"/>
        </w:rPr>
        <w:footnoteRef/>
      </w:r>
      <w:r w:rsidRPr="00145CA6">
        <w:t xml:space="preserve"> Greg, </w:t>
      </w:r>
      <w:r w:rsidR="003D1249" w:rsidRPr="00145CA6">
        <w:t xml:space="preserve">p. 1265.  </w:t>
      </w:r>
    </w:p>
  </w:footnote>
  <w:footnote w:id="24">
    <w:p w14:paraId="36812180" w14:textId="00A40078" w:rsidR="00805EF0" w:rsidRPr="00145CA6" w:rsidRDefault="00805EF0" w:rsidP="00805EF0">
      <w:pPr>
        <w:pStyle w:val="FootnoteText"/>
      </w:pPr>
      <w:r w:rsidRPr="00145CA6">
        <w:rPr>
          <w:rStyle w:val="FootnoteReference"/>
        </w:rPr>
        <w:footnoteRef/>
      </w:r>
      <w:r w:rsidRPr="00145CA6">
        <w:t xml:space="preserve"> Munro</w:t>
      </w:r>
      <w:r w:rsidR="00F854F2">
        <w:t xml:space="preserve">, p. </w:t>
      </w:r>
      <w:r w:rsidR="00323727">
        <w:t xml:space="preserve">3. </w:t>
      </w:r>
    </w:p>
  </w:footnote>
  <w:footnote w:id="25">
    <w:p w14:paraId="5D1F3EFA" w14:textId="5F13C6BF" w:rsidR="005D7101" w:rsidRPr="00145CA6" w:rsidRDefault="005D7101">
      <w:pPr>
        <w:pStyle w:val="FootnoteText"/>
      </w:pPr>
      <w:r w:rsidRPr="00145CA6">
        <w:rPr>
          <w:rStyle w:val="FootnoteReference"/>
        </w:rPr>
        <w:footnoteRef/>
      </w:r>
      <w:r w:rsidRPr="00145CA6">
        <w:t xml:space="preserve"> Harp, Harp, Stewart, p. 195.</w:t>
      </w:r>
    </w:p>
  </w:footnote>
  <w:footnote w:id="26">
    <w:p w14:paraId="4E22C04F" w14:textId="306864F5" w:rsidR="00574789" w:rsidRPr="00145CA6" w:rsidRDefault="00574789">
      <w:pPr>
        <w:pStyle w:val="FootnoteText"/>
      </w:pPr>
      <w:r w:rsidRPr="00145CA6">
        <w:rPr>
          <w:rStyle w:val="FootnoteReference"/>
        </w:rPr>
        <w:footnoteRef/>
      </w:r>
      <w:r w:rsidRPr="00145CA6">
        <w:t xml:space="preserve"> Munro</w:t>
      </w:r>
      <w:r w:rsidR="00F854F2">
        <w:t xml:space="preserve">, p. </w:t>
      </w:r>
      <w:r w:rsidR="00740688">
        <w:t xml:space="preserve">2. </w:t>
      </w:r>
    </w:p>
  </w:footnote>
  <w:footnote w:id="27">
    <w:p w14:paraId="2522F317" w14:textId="14BC679A" w:rsidR="00B549C5" w:rsidRPr="00145CA6" w:rsidRDefault="00B549C5">
      <w:pPr>
        <w:pStyle w:val="FootnoteText"/>
      </w:pPr>
      <w:r w:rsidRPr="00145CA6">
        <w:rPr>
          <w:rStyle w:val="FootnoteReference"/>
        </w:rPr>
        <w:footnoteRef/>
      </w:r>
      <w:r w:rsidRPr="00145CA6">
        <w:t xml:space="preserve"> </w:t>
      </w:r>
      <w:r w:rsidR="00052C6F" w:rsidRPr="00145CA6">
        <w:t>Harp, Harp, Stewart, p. 194</w:t>
      </w:r>
      <w:r w:rsidR="005D7101" w:rsidRPr="00145CA6">
        <w:t>.</w:t>
      </w:r>
    </w:p>
  </w:footnote>
  <w:footnote w:id="28">
    <w:p w14:paraId="6C13E9B0" w14:textId="15B3FB4B" w:rsidR="009611E7" w:rsidRPr="00145CA6" w:rsidRDefault="009611E7">
      <w:pPr>
        <w:pStyle w:val="FootnoteText"/>
      </w:pPr>
      <w:r w:rsidRPr="00145CA6">
        <w:rPr>
          <w:rStyle w:val="FootnoteReference"/>
        </w:rPr>
        <w:footnoteRef/>
      </w:r>
      <w:r w:rsidRPr="00145CA6">
        <w:t xml:space="preserve"> Munro</w:t>
      </w:r>
      <w:r w:rsidR="00F854F2">
        <w:t xml:space="preserve">, p. </w:t>
      </w:r>
      <w:r w:rsidR="00457EEE">
        <w:t>2.</w:t>
      </w:r>
    </w:p>
  </w:footnote>
  <w:footnote w:id="29">
    <w:p w14:paraId="5D500773" w14:textId="5121541A" w:rsidR="009611E7" w:rsidRPr="00145CA6" w:rsidRDefault="009611E7">
      <w:pPr>
        <w:pStyle w:val="FootnoteText"/>
      </w:pPr>
      <w:r w:rsidRPr="00145CA6">
        <w:rPr>
          <w:rStyle w:val="FootnoteReference"/>
        </w:rPr>
        <w:footnoteRef/>
      </w:r>
      <w:r w:rsidRPr="00145CA6">
        <w:t xml:space="preserve"> Harp, Harp, Stewart, p. </w:t>
      </w:r>
      <w:r w:rsidR="00383B6D" w:rsidRPr="00145CA6">
        <w:t>194</w:t>
      </w:r>
      <w:r w:rsidR="00173CDC" w:rsidRPr="00145CA6">
        <w:t>.</w:t>
      </w:r>
    </w:p>
  </w:footnote>
  <w:footnote w:id="30">
    <w:p w14:paraId="23FB0AB0" w14:textId="4A364E10" w:rsidR="00173CDC" w:rsidRPr="00145CA6" w:rsidRDefault="00173CDC" w:rsidP="00173CDC">
      <w:pPr>
        <w:pStyle w:val="FootnoteText"/>
      </w:pPr>
      <w:r w:rsidRPr="00145CA6">
        <w:rPr>
          <w:rStyle w:val="FootnoteReference"/>
        </w:rPr>
        <w:footnoteRef/>
      </w:r>
      <w:r w:rsidRPr="00145CA6">
        <w:t xml:space="preserve"> Munro</w:t>
      </w:r>
      <w:r w:rsidR="00F854F2">
        <w:t xml:space="preserve">, p. </w:t>
      </w:r>
      <w:r w:rsidR="00186B80">
        <w:t>5.</w:t>
      </w:r>
    </w:p>
  </w:footnote>
  <w:footnote w:id="31">
    <w:p w14:paraId="26D2A437" w14:textId="08D5FBC0" w:rsidR="00173CDC" w:rsidRPr="00145CA6" w:rsidRDefault="00173CDC">
      <w:pPr>
        <w:pStyle w:val="FootnoteText"/>
      </w:pPr>
      <w:r w:rsidRPr="00145CA6">
        <w:rPr>
          <w:rStyle w:val="FootnoteReference"/>
        </w:rPr>
        <w:footnoteRef/>
      </w:r>
      <w:r w:rsidRPr="00145CA6">
        <w:t xml:space="preserve"> Harp, Harp, Stewart, p. 195. </w:t>
      </w:r>
    </w:p>
  </w:footnote>
  <w:footnote w:id="32">
    <w:p w14:paraId="18CA5A5C" w14:textId="71BC6524" w:rsidR="00C623BA" w:rsidRPr="00145CA6" w:rsidRDefault="00C623BA">
      <w:pPr>
        <w:pStyle w:val="FootnoteText"/>
        <w:rPr>
          <w:sz w:val="22"/>
          <w:szCs w:val="22"/>
        </w:rPr>
      </w:pPr>
      <w:r w:rsidRPr="00145CA6">
        <w:rPr>
          <w:rStyle w:val="FootnoteReference"/>
        </w:rPr>
        <w:footnoteRef/>
      </w:r>
      <w:r w:rsidRPr="00145CA6">
        <w:t xml:space="preserve"> Harp, Harp, Stewart, p. </w:t>
      </w:r>
      <w:r w:rsidR="00E8164E" w:rsidRPr="00145CA6">
        <w:t>194.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C28A458" w14:textId="77777777" w:rsidR="00DF64D5" w:rsidRDefault="00DF64D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BD9AA05" w14:textId="77777777" w:rsidR="00DF64D5" w:rsidRDefault="00DF64D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BE22863" w14:textId="77777777" w:rsidR="00DF64D5" w:rsidRDefault="00DF64D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6C0F"/>
    <w:rsid w:val="00002B71"/>
    <w:rsid w:val="00005416"/>
    <w:rsid w:val="00016A0C"/>
    <w:rsid w:val="00020465"/>
    <w:rsid w:val="00022F0A"/>
    <w:rsid w:val="00027B19"/>
    <w:rsid w:val="00030572"/>
    <w:rsid w:val="00052C6F"/>
    <w:rsid w:val="000628EA"/>
    <w:rsid w:val="00062EB1"/>
    <w:rsid w:val="000732C3"/>
    <w:rsid w:val="000747B1"/>
    <w:rsid w:val="000858F2"/>
    <w:rsid w:val="000A6147"/>
    <w:rsid w:val="000B7673"/>
    <w:rsid w:val="000C3F23"/>
    <w:rsid w:val="000C4E56"/>
    <w:rsid w:val="000D0B8F"/>
    <w:rsid w:val="000D4C9B"/>
    <w:rsid w:val="000E4029"/>
    <w:rsid w:val="000F243A"/>
    <w:rsid w:val="000F2E72"/>
    <w:rsid w:val="000F5CEF"/>
    <w:rsid w:val="00102262"/>
    <w:rsid w:val="00125DFC"/>
    <w:rsid w:val="0012745A"/>
    <w:rsid w:val="00134E9F"/>
    <w:rsid w:val="00136E21"/>
    <w:rsid w:val="00141020"/>
    <w:rsid w:val="00145CA6"/>
    <w:rsid w:val="00153D96"/>
    <w:rsid w:val="00156B1B"/>
    <w:rsid w:val="00160297"/>
    <w:rsid w:val="001607F2"/>
    <w:rsid w:val="00173CDC"/>
    <w:rsid w:val="00186B80"/>
    <w:rsid w:val="001D5966"/>
    <w:rsid w:val="001E41B8"/>
    <w:rsid w:val="001E629C"/>
    <w:rsid w:val="00201CD7"/>
    <w:rsid w:val="002152A0"/>
    <w:rsid w:val="00220C9E"/>
    <w:rsid w:val="002327C1"/>
    <w:rsid w:val="00232908"/>
    <w:rsid w:val="002434B3"/>
    <w:rsid w:val="00252699"/>
    <w:rsid w:val="0026033D"/>
    <w:rsid w:val="0026335E"/>
    <w:rsid w:val="00274B45"/>
    <w:rsid w:val="002872F2"/>
    <w:rsid w:val="002A2884"/>
    <w:rsid w:val="002A6A83"/>
    <w:rsid w:val="002B253F"/>
    <w:rsid w:val="002B70A2"/>
    <w:rsid w:val="002D594D"/>
    <w:rsid w:val="002D6F1B"/>
    <w:rsid w:val="002E6C86"/>
    <w:rsid w:val="002F5E3D"/>
    <w:rsid w:val="00317D04"/>
    <w:rsid w:val="00322E1E"/>
    <w:rsid w:val="00323727"/>
    <w:rsid w:val="00325139"/>
    <w:rsid w:val="00332E99"/>
    <w:rsid w:val="00341585"/>
    <w:rsid w:val="0036026F"/>
    <w:rsid w:val="00371392"/>
    <w:rsid w:val="00373311"/>
    <w:rsid w:val="00377E12"/>
    <w:rsid w:val="00383B6D"/>
    <w:rsid w:val="00383DDF"/>
    <w:rsid w:val="003916FC"/>
    <w:rsid w:val="003A221C"/>
    <w:rsid w:val="003A3D1C"/>
    <w:rsid w:val="003A7F08"/>
    <w:rsid w:val="003B115B"/>
    <w:rsid w:val="003B221F"/>
    <w:rsid w:val="003B51E8"/>
    <w:rsid w:val="003C08D0"/>
    <w:rsid w:val="003C4FA6"/>
    <w:rsid w:val="003C505F"/>
    <w:rsid w:val="003D1249"/>
    <w:rsid w:val="003D2B3F"/>
    <w:rsid w:val="003D62DB"/>
    <w:rsid w:val="003E1175"/>
    <w:rsid w:val="003F4BD7"/>
    <w:rsid w:val="003F5DF4"/>
    <w:rsid w:val="00403B94"/>
    <w:rsid w:val="00404BE6"/>
    <w:rsid w:val="0041307C"/>
    <w:rsid w:val="004241DE"/>
    <w:rsid w:val="00427C2D"/>
    <w:rsid w:val="00431369"/>
    <w:rsid w:val="0043371B"/>
    <w:rsid w:val="00437649"/>
    <w:rsid w:val="00444BAA"/>
    <w:rsid w:val="00454510"/>
    <w:rsid w:val="00456537"/>
    <w:rsid w:val="00456977"/>
    <w:rsid w:val="00457EEE"/>
    <w:rsid w:val="00461955"/>
    <w:rsid w:val="00463839"/>
    <w:rsid w:val="004658EF"/>
    <w:rsid w:val="00467018"/>
    <w:rsid w:val="004709A4"/>
    <w:rsid w:val="00471B51"/>
    <w:rsid w:val="004A5637"/>
    <w:rsid w:val="004A6185"/>
    <w:rsid w:val="004B0950"/>
    <w:rsid w:val="004C1776"/>
    <w:rsid w:val="004C1FE3"/>
    <w:rsid w:val="004F66E5"/>
    <w:rsid w:val="00505F71"/>
    <w:rsid w:val="00524BE0"/>
    <w:rsid w:val="00531E8B"/>
    <w:rsid w:val="00540F56"/>
    <w:rsid w:val="005649B9"/>
    <w:rsid w:val="0057086E"/>
    <w:rsid w:val="00574789"/>
    <w:rsid w:val="005858C1"/>
    <w:rsid w:val="005A47DE"/>
    <w:rsid w:val="005A62B4"/>
    <w:rsid w:val="005B1437"/>
    <w:rsid w:val="005B2DA5"/>
    <w:rsid w:val="005C2190"/>
    <w:rsid w:val="005C414A"/>
    <w:rsid w:val="005C4C7C"/>
    <w:rsid w:val="005D35C9"/>
    <w:rsid w:val="005D543D"/>
    <w:rsid w:val="005D568B"/>
    <w:rsid w:val="005D7101"/>
    <w:rsid w:val="005E0DCA"/>
    <w:rsid w:val="005E32B0"/>
    <w:rsid w:val="005E4456"/>
    <w:rsid w:val="006174A2"/>
    <w:rsid w:val="00646A0A"/>
    <w:rsid w:val="006505EA"/>
    <w:rsid w:val="0065104A"/>
    <w:rsid w:val="00677582"/>
    <w:rsid w:val="00683BB9"/>
    <w:rsid w:val="00687E8D"/>
    <w:rsid w:val="006B3228"/>
    <w:rsid w:val="006B3252"/>
    <w:rsid w:val="006B6288"/>
    <w:rsid w:val="006C5A9E"/>
    <w:rsid w:val="006C63E6"/>
    <w:rsid w:val="006E4958"/>
    <w:rsid w:val="00707C23"/>
    <w:rsid w:val="0071050E"/>
    <w:rsid w:val="00710A49"/>
    <w:rsid w:val="00710CBA"/>
    <w:rsid w:val="0071474D"/>
    <w:rsid w:val="00725ADC"/>
    <w:rsid w:val="00725DE6"/>
    <w:rsid w:val="00733563"/>
    <w:rsid w:val="00740688"/>
    <w:rsid w:val="007473B4"/>
    <w:rsid w:val="007664AC"/>
    <w:rsid w:val="007664F6"/>
    <w:rsid w:val="00767D09"/>
    <w:rsid w:val="0078205A"/>
    <w:rsid w:val="007948F5"/>
    <w:rsid w:val="007A5BC2"/>
    <w:rsid w:val="007B7CFB"/>
    <w:rsid w:val="007C5123"/>
    <w:rsid w:val="007F33F7"/>
    <w:rsid w:val="00805EF0"/>
    <w:rsid w:val="00807D5E"/>
    <w:rsid w:val="00811B8D"/>
    <w:rsid w:val="0081777C"/>
    <w:rsid w:val="008254A4"/>
    <w:rsid w:val="00827C0A"/>
    <w:rsid w:val="00835645"/>
    <w:rsid w:val="00836788"/>
    <w:rsid w:val="00842F73"/>
    <w:rsid w:val="0085146E"/>
    <w:rsid w:val="0085747B"/>
    <w:rsid w:val="008723E8"/>
    <w:rsid w:val="008767EB"/>
    <w:rsid w:val="00883A29"/>
    <w:rsid w:val="008A21CE"/>
    <w:rsid w:val="008A7CDC"/>
    <w:rsid w:val="008C1959"/>
    <w:rsid w:val="008C56A5"/>
    <w:rsid w:val="008D35C5"/>
    <w:rsid w:val="00914E98"/>
    <w:rsid w:val="00936540"/>
    <w:rsid w:val="00937097"/>
    <w:rsid w:val="0094680A"/>
    <w:rsid w:val="00946F2C"/>
    <w:rsid w:val="00947DCD"/>
    <w:rsid w:val="009552E3"/>
    <w:rsid w:val="00960DED"/>
    <w:rsid w:val="00960E41"/>
    <w:rsid w:val="009611E7"/>
    <w:rsid w:val="0096359B"/>
    <w:rsid w:val="00964949"/>
    <w:rsid w:val="0096501C"/>
    <w:rsid w:val="0096529D"/>
    <w:rsid w:val="00986E8F"/>
    <w:rsid w:val="00996A3E"/>
    <w:rsid w:val="009A126E"/>
    <w:rsid w:val="009A1338"/>
    <w:rsid w:val="009A1ACE"/>
    <w:rsid w:val="009B3C1E"/>
    <w:rsid w:val="009C6CB0"/>
    <w:rsid w:val="009D4AEF"/>
    <w:rsid w:val="009D51B0"/>
    <w:rsid w:val="009E3265"/>
    <w:rsid w:val="00A02DCF"/>
    <w:rsid w:val="00A02E84"/>
    <w:rsid w:val="00A03041"/>
    <w:rsid w:val="00A2177B"/>
    <w:rsid w:val="00A27B86"/>
    <w:rsid w:val="00A60B20"/>
    <w:rsid w:val="00A61BA1"/>
    <w:rsid w:val="00A6254C"/>
    <w:rsid w:val="00A65D88"/>
    <w:rsid w:val="00A74096"/>
    <w:rsid w:val="00A81F67"/>
    <w:rsid w:val="00A87F1E"/>
    <w:rsid w:val="00AA3496"/>
    <w:rsid w:val="00AB6A7D"/>
    <w:rsid w:val="00AD1BFF"/>
    <w:rsid w:val="00AF51CC"/>
    <w:rsid w:val="00B013A8"/>
    <w:rsid w:val="00B01A92"/>
    <w:rsid w:val="00B23A76"/>
    <w:rsid w:val="00B26074"/>
    <w:rsid w:val="00B549C5"/>
    <w:rsid w:val="00B56CE3"/>
    <w:rsid w:val="00B61354"/>
    <w:rsid w:val="00B65EC7"/>
    <w:rsid w:val="00B66CE2"/>
    <w:rsid w:val="00B95A09"/>
    <w:rsid w:val="00BA2D31"/>
    <w:rsid w:val="00BA7307"/>
    <w:rsid w:val="00BB22A7"/>
    <w:rsid w:val="00BD67F2"/>
    <w:rsid w:val="00C35200"/>
    <w:rsid w:val="00C55240"/>
    <w:rsid w:val="00C623BA"/>
    <w:rsid w:val="00C641AF"/>
    <w:rsid w:val="00C72C7C"/>
    <w:rsid w:val="00C72E2A"/>
    <w:rsid w:val="00C73191"/>
    <w:rsid w:val="00C747A3"/>
    <w:rsid w:val="00C75838"/>
    <w:rsid w:val="00C761BB"/>
    <w:rsid w:val="00C918DB"/>
    <w:rsid w:val="00C94E25"/>
    <w:rsid w:val="00CA6C9B"/>
    <w:rsid w:val="00CB711A"/>
    <w:rsid w:val="00CC04BF"/>
    <w:rsid w:val="00CC42BC"/>
    <w:rsid w:val="00CC4B41"/>
    <w:rsid w:val="00CC5983"/>
    <w:rsid w:val="00CC6A35"/>
    <w:rsid w:val="00CE082A"/>
    <w:rsid w:val="00CF4446"/>
    <w:rsid w:val="00D00756"/>
    <w:rsid w:val="00D07EEB"/>
    <w:rsid w:val="00D101DE"/>
    <w:rsid w:val="00D266DE"/>
    <w:rsid w:val="00D34B13"/>
    <w:rsid w:val="00D44969"/>
    <w:rsid w:val="00D463E5"/>
    <w:rsid w:val="00D47A65"/>
    <w:rsid w:val="00D510EE"/>
    <w:rsid w:val="00D51140"/>
    <w:rsid w:val="00D51DB4"/>
    <w:rsid w:val="00D60349"/>
    <w:rsid w:val="00D65707"/>
    <w:rsid w:val="00D86F55"/>
    <w:rsid w:val="00D8781C"/>
    <w:rsid w:val="00D9026F"/>
    <w:rsid w:val="00D91868"/>
    <w:rsid w:val="00DB3733"/>
    <w:rsid w:val="00DC55E1"/>
    <w:rsid w:val="00DE451E"/>
    <w:rsid w:val="00DE5D16"/>
    <w:rsid w:val="00DF092D"/>
    <w:rsid w:val="00DF64D5"/>
    <w:rsid w:val="00E05257"/>
    <w:rsid w:val="00E10E6B"/>
    <w:rsid w:val="00E163E3"/>
    <w:rsid w:val="00E2352B"/>
    <w:rsid w:val="00E248CD"/>
    <w:rsid w:val="00E336BC"/>
    <w:rsid w:val="00E54304"/>
    <w:rsid w:val="00E55688"/>
    <w:rsid w:val="00E8164E"/>
    <w:rsid w:val="00E82BD8"/>
    <w:rsid w:val="00E87458"/>
    <w:rsid w:val="00E92E7D"/>
    <w:rsid w:val="00E97F3C"/>
    <w:rsid w:val="00EA11E1"/>
    <w:rsid w:val="00EA2942"/>
    <w:rsid w:val="00EB026C"/>
    <w:rsid w:val="00EB0A75"/>
    <w:rsid w:val="00EB178A"/>
    <w:rsid w:val="00EC79FC"/>
    <w:rsid w:val="00ED2790"/>
    <w:rsid w:val="00EE3E10"/>
    <w:rsid w:val="00EE6C0F"/>
    <w:rsid w:val="00EF4FFF"/>
    <w:rsid w:val="00F059B9"/>
    <w:rsid w:val="00F060F2"/>
    <w:rsid w:val="00F0678B"/>
    <w:rsid w:val="00F22422"/>
    <w:rsid w:val="00F230A9"/>
    <w:rsid w:val="00F32D67"/>
    <w:rsid w:val="00F36384"/>
    <w:rsid w:val="00F36E66"/>
    <w:rsid w:val="00F37608"/>
    <w:rsid w:val="00F5554D"/>
    <w:rsid w:val="00F555F1"/>
    <w:rsid w:val="00F618A5"/>
    <w:rsid w:val="00F736D5"/>
    <w:rsid w:val="00F854F2"/>
    <w:rsid w:val="00F91AF4"/>
    <w:rsid w:val="00F92966"/>
    <w:rsid w:val="00FA23F2"/>
    <w:rsid w:val="00FA3E5A"/>
    <w:rsid w:val="00FC49BB"/>
    <w:rsid w:val="00FD3394"/>
    <w:rsid w:val="00FE1340"/>
    <w:rsid w:val="00FE5317"/>
    <w:rsid w:val="00FF5652"/>
    <w:rsid w:val="00FF56E4"/>
    <w:rsid w:val="00FF5924"/>
    <w:rsid w:val="00FF75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199681"/>
  <w15:chartTrackingRefBased/>
  <w15:docId w15:val="{6659E781-77F6-4CB3-8181-56801E814C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mbria" w:eastAsiaTheme="minorHAnsi" w:hAnsi="Cambria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27C1"/>
  </w:style>
  <w:style w:type="paragraph" w:styleId="Heading1">
    <w:name w:val="heading 1"/>
    <w:basedOn w:val="Normal"/>
    <w:next w:val="Normal"/>
    <w:link w:val="Heading1Char"/>
    <w:uiPriority w:val="9"/>
    <w:qFormat/>
    <w:rsid w:val="002327C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327C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2327C1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CA6C9B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A6C9B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CA6C9B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DF64D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F64D5"/>
  </w:style>
  <w:style w:type="paragraph" w:styleId="Footer">
    <w:name w:val="footer"/>
    <w:basedOn w:val="Normal"/>
    <w:link w:val="FooterChar"/>
    <w:uiPriority w:val="99"/>
    <w:unhideWhenUsed/>
    <w:rsid w:val="00DF64D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F64D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Custom 1">
      <a:majorFont>
        <a:latin typeface="Cambria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A11976-2FEA-4B60-9BF5-DD6149D019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2288</TotalTime>
  <Pages>4</Pages>
  <Words>1288</Words>
  <Characters>7345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Rose ☼</dc:creator>
  <cp:keywords/>
  <dc:description/>
  <cp:lastModifiedBy>Rose ☼</cp:lastModifiedBy>
  <cp:revision>325</cp:revision>
  <dcterms:created xsi:type="dcterms:W3CDTF">2021-01-19T05:51:00Z</dcterms:created>
  <dcterms:modified xsi:type="dcterms:W3CDTF">2021-01-22T15:45:00Z</dcterms:modified>
</cp:coreProperties>
</file>