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rPr>
      </w:pPr>
      <w:r w:rsidDel="00000000" w:rsidR="00000000" w:rsidRPr="00000000">
        <w:rPr>
          <w:rFonts w:ascii="Arial" w:cs="Arial" w:eastAsia="Arial" w:hAnsi="Arial"/>
          <w:rtl w:val="0"/>
        </w:rPr>
        <w:t xml:space="preserve">IN THE HIGH COURT OF ENGLAND AND WALES </w:t>
      </w:r>
    </w:p>
    <w:p w:rsidR="00000000" w:rsidDel="00000000" w:rsidP="00000000" w:rsidRDefault="00000000" w:rsidRPr="00000000" w14:paraId="00000002">
      <w:pPr>
        <w:spacing w:line="360" w:lineRule="auto"/>
        <w:rPr>
          <w:rFonts w:ascii="Arial" w:cs="Arial" w:eastAsia="Arial" w:hAnsi="Arial"/>
        </w:rPr>
      </w:pPr>
      <w:r w:rsidDel="00000000" w:rsidR="00000000" w:rsidRPr="00000000">
        <w:rPr>
          <w:rFonts w:ascii="Arial" w:cs="Arial" w:eastAsia="Arial" w:hAnsi="Arial"/>
          <w:rtl w:val="0"/>
        </w:rPr>
        <w:t xml:space="preserve">(CHANCERY DIVISION)</w:t>
      </w:r>
    </w:p>
    <w:p w:rsidR="00000000" w:rsidDel="00000000" w:rsidP="00000000" w:rsidRDefault="00000000" w:rsidRPr="00000000" w14:paraId="00000003">
      <w:pPr>
        <w:spacing w:line="360" w:lineRule="auto"/>
        <w:jc w:val="right"/>
        <w:rPr>
          <w:rFonts w:ascii="Arial" w:cs="Arial" w:eastAsia="Arial" w:hAnsi="Arial"/>
        </w:rPr>
      </w:pPr>
      <w:r w:rsidDel="00000000" w:rsidR="00000000" w:rsidRPr="00000000">
        <w:rPr>
          <w:rFonts w:ascii="Arial" w:cs="Arial" w:eastAsia="Arial" w:hAnsi="Arial"/>
          <w:rtl w:val="0"/>
        </w:rPr>
        <w:t xml:space="preserve">CLAIM NUMBER: 2024/840A3</w:t>
      </w:r>
    </w:p>
    <w:p w:rsidR="00000000" w:rsidDel="00000000" w:rsidP="00000000" w:rsidRDefault="00000000" w:rsidRPr="00000000" w14:paraId="00000004">
      <w:pPr>
        <w:spacing w:line="360" w:lineRule="auto"/>
        <w:rPr>
          <w:rFonts w:ascii="Arial" w:cs="Arial" w:eastAsia="Arial" w:hAnsi="Arial"/>
        </w:rPr>
      </w:pPr>
      <w:r w:rsidDel="00000000" w:rsidR="00000000" w:rsidRPr="00000000">
        <w:rPr>
          <w:rFonts w:ascii="Arial" w:cs="Arial" w:eastAsia="Arial" w:hAnsi="Arial"/>
          <w:rtl w:val="0"/>
        </w:rPr>
        <w:t xml:space="preserve">BETWEEN:</w:t>
      </w:r>
    </w:p>
    <w:tbl>
      <w:tblPr>
        <w:tblStyle w:val="Table1"/>
        <w:tblW w:w="9035.0" w:type="dxa"/>
        <w:jc w:val="left"/>
        <w:tblLayout w:type="fixed"/>
        <w:tblLook w:val="0400"/>
      </w:tblPr>
      <w:tblGrid>
        <w:gridCol w:w="1418"/>
        <w:gridCol w:w="6237"/>
        <w:gridCol w:w="1380"/>
        <w:tblGridChange w:id="0">
          <w:tblGrid>
            <w:gridCol w:w="1418"/>
            <w:gridCol w:w="6237"/>
            <w:gridCol w:w="1380"/>
          </w:tblGrid>
        </w:tblGridChange>
      </w:tblGrid>
      <w:tr>
        <w:trPr>
          <w:cantSplit w:val="0"/>
          <w:trHeight w:val="757" w:hRule="atLeast"/>
          <w:tblHeader w:val="0"/>
        </w:trPr>
        <w:tc>
          <w:tcPr/>
          <w:p w:rsidR="00000000" w:rsidDel="00000000" w:rsidP="00000000" w:rsidRDefault="00000000" w:rsidRPr="00000000" w14:paraId="00000005">
            <w:pPr>
              <w:spacing w:line="360" w:lineRule="auto"/>
              <w:jc w:val="center"/>
              <w:rPr>
                <w:rFonts w:ascii="Arial" w:cs="Arial" w:eastAsia="Arial" w:hAnsi="Arial"/>
              </w:rPr>
            </w:pPr>
            <w:r w:rsidDel="00000000" w:rsidR="00000000" w:rsidRPr="00000000">
              <w:rPr>
                <w:rtl w:val="0"/>
              </w:rPr>
            </w:r>
          </w:p>
        </w:tc>
        <w:tc>
          <w:tcPr>
            <w:shd w:fill="auto" w:val="clear"/>
          </w:tcPr>
          <w:p w:rsidR="00000000" w:rsidDel="00000000" w:rsidP="00000000" w:rsidRDefault="00000000" w:rsidRPr="00000000" w14:paraId="00000006">
            <w:pPr>
              <w:spacing w:line="360" w:lineRule="auto"/>
              <w:jc w:val="center"/>
              <w:rPr>
                <w:rFonts w:ascii="Arial" w:cs="Arial" w:eastAsia="Arial" w:hAnsi="Arial"/>
              </w:rPr>
            </w:pPr>
            <w:r w:rsidDel="00000000" w:rsidR="00000000" w:rsidRPr="00000000">
              <w:rPr>
                <w:rFonts w:ascii="Arial" w:cs="Arial" w:eastAsia="Arial" w:hAnsi="Arial"/>
                <w:rtl w:val="0"/>
              </w:rPr>
              <w:t xml:space="preserve">SARAH MORGAN</w:t>
            </w:r>
          </w:p>
        </w:tc>
        <w:tc>
          <w:tcPr>
            <w:shd w:fill="auto" w:val="clear"/>
          </w:tcPr>
          <w:p w:rsidR="00000000" w:rsidDel="00000000" w:rsidP="00000000" w:rsidRDefault="00000000" w:rsidRPr="00000000" w14:paraId="00000007">
            <w:pPr>
              <w:spacing w:line="360" w:lineRule="auto"/>
              <w:jc w:val="right"/>
              <w:rPr>
                <w:rFonts w:ascii="Arial" w:cs="Arial" w:eastAsia="Arial" w:hAnsi="Arial"/>
                <w:u w:val="single"/>
              </w:rPr>
            </w:pPr>
            <w:r w:rsidDel="00000000" w:rsidR="00000000" w:rsidRPr="00000000">
              <w:rPr>
                <w:rFonts w:ascii="Arial" w:cs="Arial" w:eastAsia="Arial" w:hAnsi="Arial"/>
                <w:u w:val="single"/>
                <w:rtl w:val="0"/>
              </w:rPr>
              <w:t xml:space="preserve">Claimant </w:t>
            </w:r>
          </w:p>
        </w:tc>
      </w:tr>
      <w:tr>
        <w:trPr>
          <w:cantSplit w:val="0"/>
          <w:trHeight w:val="757" w:hRule="atLeast"/>
          <w:tblHeader w:val="0"/>
        </w:trPr>
        <w:tc>
          <w:tcPr/>
          <w:p w:rsidR="00000000" w:rsidDel="00000000" w:rsidP="00000000" w:rsidRDefault="00000000" w:rsidRPr="00000000" w14:paraId="00000008">
            <w:pPr>
              <w:spacing w:line="360" w:lineRule="auto"/>
              <w:jc w:val="center"/>
              <w:rPr>
                <w:rFonts w:ascii="Arial" w:cs="Arial" w:eastAsia="Arial" w:hAnsi="Arial"/>
              </w:rPr>
            </w:pPr>
            <w:r w:rsidDel="00000000" w:rsidR="00000000" w:rsidRPr="00000000">
              <w:rPr>
                <w:rtl w:val="0"/>
              </w:rPr>
            </w:r>
          </w:p>
        </w:tc>
        <w:tc>
          <w:tcPr>
            <w:shd w:fill="auto" w:val="clear"/>
          </w:tcPr>
          <w:p w:rsidR="00000000" w:rsidDel="00000000" w:rsidP="00000000" w:rsidRDefault="00000000" w:rsidRPr="00000000" w14:paraId="00000009">
            <w:pPr>
              <w:spacing w:line="360" w:lineRule="auto"/>
              <w:jc w:val="center"/>
              <w:rPr>
                <w:rFonts w:ascii="Arial" w:cs="Arial" w:eastAsia="Arial" w:hAnsi="Arial"/>
              </w:rPr>
            </w:pPr>
            <w:r w:rsidDel="00000000" w:rsidR="00000000" w:rsidRPr="00000000">
              <w:rPr>
                <w:rFonts w:ascii="Arial" w:cs="Arial" w:eastAsia="Arial" w:hAnsi="Arial"/>
                <w:rtl w:val="0"/>
              </w:rPr>
              <w:t xml:space="preserve">-and-</w:t>
            </w:r>
          </w:p>
        </w:tc>
        <w:tc>
          <w:tcPr>
            <w:shd w:fill="auto" w:val="clear"/>
          </w:tcPr>
          <w:p w:rsidR="00000000" w:rsidDel="00000000" w:rsidP="00000000" w:rsidRDefault="00000000" w:rsidRPr="00000000" w14:paraId="0000000A">
            <w:pPr>
              <w:spacing w:line="360" w:lineRule="auto"/>
              <w:jc w:val="right"/>
              <w:rPr>
                <w:rFonts w:ascii="Arial" w:cs="Arial" w:eastAsia="Arial" w:hAnsi="Arial"/>
              </w:rPr>
            </w:pPr>
            <w:r w:rsidDel="00000000" w:rsidR="00000000" w:rsidRPr="00000000">
              <w:rPr>
                <w:rtl w:val="0"/>
              </w:rPr>
            </w:r>
          </w:p>
        </w:tc>
      </w:tr>
      <w:tr>
        <w:trPr>
          <w:cantSplit w:val="0"/>
          <w:trHeight w:val="757" w:hRule="atLeast"/>
          <w:tblHeader w:val="0"/>
        </w:trPr>
        <w:tc>
          <w:tcPr/>
          <w:p w:rsidR="00000000" w:rsidDel="00000000" w:rsidP="00000000" w:rsidRDefault="00000000" w:rsidRPr="00000000" w14:paraId="0000000B">
            <w:pPr>
              <w:spacing w:line="360" w:lineRule="auto"/>
              <w:jc w:val="center"/>
              <w:rPr>
                <w:rFonts w:ascii="Arial" w:cs="Arial" w:eastAsia="Arial" w:hAnsi="Arial"/>
              </w:rPr>
            </w:pPr>
            <w:r w:rsidDel="00000000" w:rsidR="00000000" w:rsidRPr="00000000">
              <w:rPr>
                <w:rtl w:val="0"/>
              </w:rPr>
            </w:r>
          </w:p>
        </w:tc>
        <w:tc>
          <w:tcPr>
            <w:shd w:fill="auto" w:val="clear"/>
          </w:tcPr>
          <w:p w:rsidR="00000000" w:rsidDel="00000000" w:rsidP="00000000" w:rsidRDefault="00000000" w:rsidRPr="00000000" w14:paraId="0000000C">
            <w:pPr>
              <w:spacing w:line="360" w:lineRule="auto"/>
              <w:jc w:val="center"/>
              <w:rPr>
                <w:rFonts w:ascii="Arial" w:cs="Arial" w:eastAsia="Arial" w:hAnsi="Arial"/>
              </w:rPr>
            </w:pPr>
            <w:r w:rsidDel="00000000" w:rsidR="00000000" w:rsidRPr="00000000">
              <w:rPr>
                <w:rtl w:val="0"/>
              </w:rPr>
            </w:r>
          </w:p>
        </w:tc>
        <w:tc>
          <w:tcPr>
            <w:shd w:fill="auto" w:val="clear"/>
          </w:tcPr>
          <w:p w:rsidR="00000000" w:rsidDel="00000000" w:rsidP="00000000" w:rsidRDefault="00000000" w:rsidRPr="00000000" w14:paraId="0000000D">
            <w:pPr>
              <w:spacing w:line="360" w:lineRule="auto"/>
              <w:jc w:val="right"/>
              <w:rPr>
                <w:rFonts w:ascii="Arial" w:cs="Arial" w:eastAsia="Arial" w:hAnsi="Arial"/>
              </w:rPr>
            </w:pPr>
            <w:r w:rsidDel="00000000" w:rsidR="00000000" w:rsidRPr="00000000">
              <w:rPr>
                <w:rtl w:val="0"/>
              </w:rPr>
            </w:r>
          </w:p>
        </w:tc>
      </w:tr>
      <w:tr>
        <w:trPr>
          <w:cantSplit w:val="0"/>
          <w:trHeight w:val="757" w:hRule="atLeast"/>
          <w:tblHeader w:val="0"/>
        </w:trPr>
        <w:tc>
          <w:tcPr/>
          <w:p w:rsidR="00000000" w:rsidDel="00000000" w:rsidP="00000000" w:rsidRDefault="00000000" w:rsidRPr="00000000" w14:paraId="0000000E">
            <w:pPr>
              <w:spacing w:line="360" w:lineRule="auto"/>
              <w:jc w:val="center"/>
              <w:rPr>
                <w:rFonts w:ascii="Arial" w:cs="Arial" w:eastAsia="Arial" w:hAnsi="Arial"/>
              </w:rPr>
            </w:pPr>
            <w:r w:rsidDel="00000000" w:rsidR="00000000" w:rsidRPr="00000000">
              <w:rPr>
                <w:rtl w:val="0"/>
              </w:rPr>
            </w:r>
          </w:p>
        </w:tc>
        <w:tc>
          <w:tcPr>
            <w:shd w:fill="auto" w:val="clear"/>
          </w:tcPr>
          <w:p w:rsidR="00000000" w:rsidDel="00000000" w:rsidP="00000000" w:rsidRDefault="00000000" w:rsidRPr="00000000" w14:paraId="0000000F">
            <w:pPr>
              <w:spacing w:line="360" w:lineRule="auto"/>
              <w:jc w:val="center"/>
              <w:rPr>
                <w:rFonts w:ascii="Arial" w:cs="Arial" w:eastAsia="Arial" w:hAnsi="Arial"/>
              </w:rPr>
            </w:pPr>
            <w:r w:rsidDel="00000000" w:rsidR="00000000" w:rsidRPr="00000000">
              <w:rPr>
                <w:rFonts w:ascii="Arial" w:cs="Arial" w:eastAsia="Arial" w:hAnsi="Arial"/>
                <w:rtl w:val="0"/>
              </w:rPr>
              <w:t xml:space="preserve">JENNIFER WILLIAMS</w:t>
            </w:r>
          </w:p>
        </w:tc>
        <w:tc>
          <w:tcPr>
            <w:shd w:fill="auto" w:val="clear"/>
          </w:tcPr>
          <w:p w:rsidR="00000000" w:rsidDel="00000000" w:rsidP="00000000" w:rsidRDefault="00000000" w:rsidRPr="00000000" w14:paraId="00000010">
            <w:pPr>
              <w:spacing w:line="360" w:lineRule="auto"/>
              <w:jc w:val="right"/>
              <w:rPr>
                <w:rFonts w:ascii="Arial" w:cs="Arial" w:eastAsia="Arial" w:hAnsi="Arial"/>
              </w:rPr>
            </w:pPr>
            <w:r w:rsidDel="00000000" w:rsidR="00000000" w:rsidRPr="00000000">
              <w:rPr>
                <w:rFonts w:ascii="Arial" w:cs="Arial" w:eastAsia="Arial" w:hAnsi="Arial"/>
                <w:u w:val="single"/>
                <w:rtl w:val="0"/>
              </w:rPr>
              <w:t xml:space="preserve">Defendant</w:t>
            </w:r>
            <w:r w:rsidDel="00000000" w:rsidR="00000000" w:rsidRPr="00000000">
              <w:rPr>
                <w:rtl w:val="0"/>
              </w:rPr>
            </w:r>
          </w:p>
        </w:tc>
      </w:tr>
    </w:tbl>
    <w:p w:rsidR="00000000" w:rsidDel="00000000" w:rsidP="00000000" w:rsidRDefault="00000000" w:rsidRPr="00000000" w14:paraId="00000011">
      <w:pPr>
        <w:tabs>
          <w:tab w:val="left" w:leader="none" w:pos="2656"/>
        </w:tabs>
        <w:spacing w:line="360" w:lineRule="auto"/>
        <w:rPr>
          <w:rFonts w:ascii="Arial" w:cs="Arial" w:eastAsia="Arial" w:hAnsi="Arial"/>
          <w:b w:val="1"/>
        </w:rPr>
      </w:pPr>
      <w:r w:rsidDel="00000000" w:rsidR="00000000" w:rsidRPr="00000000">
        <w:rPr>
          <w:rFonts w:ascii="Arial" w:cs="Arial" w:eastAsia="Arial" w:hAnsi="Arial"/>
          <w:b w:val="1"/>
          <w:rtl w:val="0"/>
        </w:rPr>
        <w:tab/>
      </w:r>
    </w:p>
    <w:p w:rsidR="00000000" w:rsidDel="00000000" w:rsidP="00000000" w:rsidRDefault="00000000" w:rsidRPr="00000000" w14:paraId="00000012">
      <w:pPr>
        <w:pBdr>
          <w:top w:color="000000" w:space="1" w:sz="4" w:val="single"/>
          <w:bottom w:color="000000" w:space="1" w:sz="4" w:val="single"/>
        </w:pBdr>
        <w:spacing w:line="360" w:lineRule="auto"/>
        <w:jc w:val="center"/>
        <w:rPr>
          <w:rFonts w:ascii="Arial" w:cs="Arial" w:eastAsia="Arial" w:hAnsi="Arial"/>
          <w:b w:val="1"/>
          <w:sz w:val="14"/>
          <w:szCs w:val="14"/>
        </w:rPr>
      </w:pPr>
      <w:r w:rsidDel="00000000" w:rsidR="00000000" w:rsidRPr="00000000">
        <w:rPr>
          <w:rtl w:val="0"/>
        </w:rPr>
      </w:r>
    </w:p>
    <w:p w:rsidR="00000000" w:rsidDel="00000000" w:rsidP="00000000" w:rsidRDefault="00000000" w:rsidRPr="00000000" w14:paraId="00000013">
      <w:pPr>
        <w:pBdr>
          <w:top w:color="000000" w:space="1" w:sz="4" w:val="single"/>
          <w:bottom w:color="000000" w:space="1" w:sz="4" w:val="single"/>
        </w:pBd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Skeleton argument on behalf of Ms Sarah Morgan (Claimant)</w:t>
      </w:r>
    </w:p>
    <w:p w:rsidR="00000000" w:rsidDel="00000000" w:rsidP="00000000" w:rsidRDefault="00000000" w:rsidRPr="00000000" w14:paraId="00000014">
      <w:pPr>
        <w:pBdr>
          <w:top w:color="000000" w:space="1" w:sz="4" w:val="single"/>
          <w:bottom w:color="000000" w:space="1" w:sz="4" w:val="single"/>
        </w:pBdr>
        <w:jc w:val="center"/>
        <w:rPr>
          <w:rFonts w:ascii="Arial" w:cs="Arial" w:eastAsia="Arial" w:hAnsi="Arial"/>
          <w:b w:val="1"/>
          <w:sz w:val="14"/>
          <w:szCs w:val="14"/>
        </w:rPr>
      </w:pPr>
      <w:r w:rsidDel="00000000" w:rsidR="00000000" w:rsidRPr="00000000">
        <w:rPr>
          <w:rtl w:val="0"/>
        </w:rPr>
      </w:r>
    </w:p>
    <w:p w:rsidR="00000000" w:rsidDel="00000000" w:rsidP="00000000" w:rsidRDefault="00000000" w:rsidRPr="00000000" w14:paraId="00000015">
      <w:pPr>
        <w:pStyle w:val="Heading1"/>
        <w:numPr>
          <w:ilvl w:val="0"/>
          <w:numId w:val="2"/>
        </w:numPr>
        <w:spacing w:line="360" w:lineRule="auto"/>
        <w:ind w:left="432" w:hanging="432"/>
        <w:rPr/>
      </w:pPr>
      <w:r w:rsidDel="00000000" w:rsidR="00000000" w:rsidRPr="00000000">
        <w:rPr>
          <w:rtl w:val="0"/>
        </w:rPr>
        <w:t xml:space="preserve">Introduction</w:t>
      </w:r>
    </w:p>
    <w:p w:rsidR="00000000" w:rsidDel="00000000" w:rsidP="00000000" w:rsidRDefault="00000000" w:rsidRPr="00000000" w14:paraId="00000016">
      <w:pPr>
        <w:pStyle w:val="Heading2"/>
        <w:numPr>
          <w:ilvl w:val="1"/>
          <w:numId w:val="2"/>
        </w:numPr>
        <w:spacing w:line="360" w:lineRule="auto"/>
        <w:ind w:left="576" w:hanging="576"/>
        <w:rPr/>
      </w:pPr>
      <w:r w:rsidDel="00000000" w:rsidR="00000000" w:rsidRPr="00000000">
        <w:rPr>
          <w:rtl w:val="0"/>
        </w:rPr>
        <w:t xml:space="preserve">The basis of this Skeleton argument is guidance for Sarah Morgan and her claim to rights in a share in The Gatehouse property. The defendant Jennifer Williams denies any intentions to share any rights to the property should it be sold. While the claimant believes that due to Ms Williams’ actions and words thus leading her to believe she is entitled to a share of the property. </w:t>
      </w:r>
      <w:r w:rsidDel="00000000" w:rsidR="00000000" w:rsidRPr="00000000">
        <w:rPr>
          <w:rtl w:val="0"/>
        </w:rPr>
      </w:r>
    </w:p>
    <w:p w:rsidR="00000000" w:rsidDel="00000000" w:rsidP="00000000" w:rsidRDefault="00000000" w:rsidRPr="00000000" w14:paraId="00000017">
      <w:pPr>
        <w:pStyle w:val="Heading1"/>
        <w:numPr>
          <w:ilvl w:val="0"/>
          <w:numId w:val="2"/>
        </w:numPr>
        <w:spacing w:line="360" w:lineRule="auto"/>
        <w:ind w:left="432" w:hanging="432"/>
        <w:rPr/>
      </w:pPr>
      <w:r w:rsidDel="00000000" w:rsidR="00000000" w:rsidRPr="00000000">
        <w:rPr>
          <w:rtl w:val="0"/>
        </w:rPr>
        <w:t xml:space="preserve">The issues</w:t>
      </w:r>
    </w:p>
    <w:p w:rsidR="00000000" w:rsidDel="00000000" w:rsidP="00000000" w:rsidRDefault="00000000" w:rsidRPr="00000000" w14:paraId="00000018">
      <w:pPr>
        <w:pStyle w:val="Heading2"/>
        <w:numPr>
          <w:ilvl w:val="1"/>
          <w:numId w:val="2"/>
        </w:numPr>
        <w:spacing w:line="360" w:lineRule="auto"/>
        <w:ind w:left="576" w:hanging="576"/>
        <w:rPr/>
      </w:pPr>
      <w:r w:rsidDel="00000000" w:rsidR="00000000" w:rsidRPr="00000000">
        <w:rPr>
          <w:rtl w:val="0"/>
        </w:rPr>
        <w:t xml:space="preserve">The dispute that has risen in this case concerns whether or not  Ms Morgan is entitled to 50% of the property (The Gatehouse), this falls under the set of beliefs under a constructive trust. Ms Morgan entered her claim  due to the mutual intentions discussed in a conversation over text, thus leading Ms Morgan to believe they would share ownership of the property equally. These claims have been disputed by Ms Williams stating there was in fact no intention for Ms Morgan to have any benefits from the property and that she assumed under false pretences. </w:t>
      </w:r>
      <w:r w:rsidDel="00000000" w:rsidR="00000000" w:rsidRPr="00000000">
        <w:rPr>
          <w:rtl w:val="0"/>
        </w:rPr>
      </w:r>
    </w:p>
    <w:p w:rsidR="00000000" w:rsidDel="00000000" w:rsidP="00000000" w:rsidRDefault="00000000" w:rsidRPr="00000000" w14:paraId="00000019">
      <w:pPr>
        <w:pStyle w:val="Heading2"/>
        <w:spacing w:line="360" w:lineRule="auto"/>
        <w:ind w:left="680" w:firstLine="0"/>
        <w:rPr>
          <w:color w:val="002060"/>
        </w:rPr>
      </w:pPr>
      <w:r w:rsidDel="00000000" w:rsidR="00000000" w:rsidRPr="00000000">
        <w:rPr>
          <w:rtl w:val="0"/>
        </w:rPr>
      </w:r>
    </w:p>
    <w:p w:rsidR="00000000" w:rsidDel="00000000" w:rsidP="00000000" w:rsidRDefault="00000000" w:rsidRPr="00000000" w14:paraId="0000001A">
      <w:pPr>
        <w:pStyle w:val="Heading1"/>
        <w:numPr>
          <w:ilvl w:val="0"/>
          <w:numId w:val="2"/>
        </w:numPr>
        <w:spacing w:line="360" w:lineRule="auto"/>
        <w:ind w:left="432" w:hanging="432"/>
        <w:rPr/>
      </w:pPr>
      <w:r w:rsidDel="00000000" w:rsidR="00000000" w:rsidRPr="00000000">
        <w:rPr>
          <w:rtl w:val="0"/>
        </w:rPr>
        <w:t xml:space="preserve">The facts</w:t>
      </w:r>
    </w:p>
    <w:p w:rsidR="00000000" w:rsidDel="00000000" w:rsidP="00000000" w:rsidRDefault="00000000" w:rsidRPr="00000000" w14:paraId="0000001B">
      <w:pPr>
        <w:pStyle w:val="Heading2"/>
        <w:numPr>
          <w:ilvl w:val="1"/>
          <w:numId w:val="2"/>
        </w:numPr>
        <w:spacing w:line="360" w:lineRule="auto"/>
        <w:ind w:left="576"/>
        <w:rPr/>
      </w:pPr>
      <w:bookmarkStart w:colFirst="0" w:colLast="0" w:name="_heading=h.m381zatv7fo5" w:id="0"/>
      <w:bookmarkEnd w:id="0"/>
      <w:r w:rsidDel="00000000" w:rsidR="00000000" w:rsidRPr="00000000">
        <w:rPr>
          <w:rtl w:val="0"/>
        </w:rPr>
        <w:t xml:space="preserve">The issues being brought to light in this case involve the cohabitation between the Claimant Sarah Morgan and the Defendant Jennifer Williams, who beforehand cohabitated for a substantial period of time. During this period the pair jointly contributed towards the household finances, they also made joint decisions of improvements for the property in question while contributing to the home itself. However, despite that the property itself is registered entirely in Ms Williams name, Ms Morgan paid a significant amount from her savings for repairs to the house and upgrades after the storm damage, this totalled to £60,000. Although advice was given to Ms Morgan by her solicitor in 2014 to make their beneficial interests more formal through a trust, Ms Morgan did not proceed with this advice. The proof shown throughout text messages between Ms Morgan and Ms Williams shows an indication of assurance that the property would in fact be shared equally between both parties, Ms Williams now disputes these facts. </w:t>
      </w:r>
      <w:r w:rsidDel="00000000" w:rsidR="00000000" w:rsidRPr="00000000">
        <w:rPr>
          <w:rtl w:val="0"/>
        </w:rPr>
      </w:r>
    </w:p>
    <w:p w:rsidR="00000000" w:rsidDel="00000000" w:rsidP="00000000" w:rsidRDefault="00000000" w:rsidRPr="00000000" w14:paraId="0000001C">
      <w:pPr>
        <w:pStyle w:val="Heading2"/>
        <w:spacing w:line="360" w:lineRule="auto"/>
        <w:ind w:left="680" w:firstLine="0"/>
        <w:rPr>
          <w:color w:val="002060"/>
        </w:rPr>
      </w:pPr>
      <w:r w:rsidDel="00000000" w:rsidR="00000000" w:rsidRPr="00000000">
        <w:rPr>
          <w:rtl w:val="0"/>
        </w:rPr>
      </w:r>
    </w:p>
    <w:p w:rsidR="00000000" w:rsidDel="00000000" w:rsidP="00000000" w:rsidRDefault="00000000" w:rsidRPr="00000000" w14:paraId="0000001D">
      <w:pPr>
        <w:pStyle w:val="Heading1"/>
        <w:spacing w:line="360" w:lineRule="auto"/>
        <w:ind w:left="680" w:hanging="680"/>
        <w:rPr>
          <w:rFonts w:ascii="Arial" w:cs="Arial" w:eastAsia="Arial" w:hAnsi="Arial"/>
          <w:b w:val="1"/>
          <w:color w:val="000000"/>
          <w:sz w:val="24"/>
          <w:szCs w:val="24"/>
          <w:u w:val="none"/>
        </w:rPr>
      </w:pPr>
      <w:r w:rsidDel="00000000" w:rsidR="00000000" w:rsidRPr="00000000">
        <w:rPr>
          <w:rFonts w:ascii="Arial" w:cs="Arial" w:eastAsia="Arial" w:hAnsi="Arial"/>
          <w:b w:val="1"/>
          <w:color w:val="000000"/>
          <w:sz w:val="24"/>
          <w:szCs w:val="24"/>
          <w:u w:val="none"/>
          <w:rtl w:val="0"/>
        </w:rPr>
        <w:t xml:space="preserve">Claim arising under a constructive trust</w:t>
      </w:r>
    </w:p>
    <w:p w:rsidR="00000000" w:rsidDel="00000000" w:rsidP="00000000" w:rsidRDefault="00000000" w:rsidRPr="00000000" w14:paraId="0000001E">
      <w:pPr>
        <w:pStyle w:val="Heading1"/>
        <w:numPr>
          <w:ilvl w:val="0"/>
          <w:numId w:val="2"/>
        </w:numPr>
        <w:spacing w:line="360" w:lineRule="auto"/>
        <w:ind w:left="432" w:hanging="432"/>
        <w:rPr/>
      </w:pPr>
      <w:r w:rsidDel="00000000" w:rsidR="00000000" w:rsidRPr="00000000">
        <w:rPr>
          <w:rtl w:val="0"/>
        </w:rPr>
        <w:t xml:space="preserve">The law </w:t>
      </w:r>
    </w:p>
    <w:p w:rsidR="00000000" w:rsidDel="00000000" w:rsidP="00000000" w:rsidRDefault="00000000" w:rsidRPr="00000000" w14:paraId="0000001F">
      <w:pPr>
        <w:pStyle w:val="Heading2"/>
        <w:numPr>
          <w:ilvl w:val="1"/>
          <w:numId w:val="2"/>
        </w:numPr>
        <w:spacing w:line="360" w:lineRule="auto"/>
        <w:ind w:left="576" w:hanging="576"/>
        <w:rPr/>
      </w:pPr>
      <w:r w:rsidDel="00000000" w:rsidR="00000000" w:rsidRPr="00000000">
        <w:rPr>
          <w:rtl w:val="0"/>
        </w:rPr>
        <w:t xml:space="preserve">A doctrine of a constructive trust only arises when two or more parties have a mutual intention to share a property equally, but the property remains in only one party's name legally.  Price (2024) shows that while one party may hold to property fully in their own name if intention is shown, the law looks into how other finances have been shared between parties cases between cohabitating couples are looked at in court and could deem that each party are entitled to a share in the property based on contributions. Under the doctrine it imposes a beneficial interest with aims to ensure that fairness is imposed in the interest of the claimant who has relied on said intention.  The case of Oxley v Hiscock [2004] 2 FCR 295 shows that even without a written agreement with common intention shown a constructive trust could arise, with a mutual understanding that the property can in fact be shared equally due to contributions from both parties.</w:t>
      </w:r>
    </w:p>
    <w:p w:rsidR="00000000" w:rsidDel="00000000" w:rsidP="00000000" w:rsidRDefault="00000000" w:rsidRPr="00000000" w14:paraId="00000020">
      <w:pPr>
        <w:spacing w:line="360" w:lineRule="auto"/>
        <w:ind w:left="576" w:firstLine="0"/>
        <w:rPr/>
      </w:pPr>
      <w:r w:rsidDel="00000000" w:rsidR="00000000" w:rsidRPr="00000000">
        <w:rPr>
          <w:rtl w:val="0"/>
        </w:rPr>
      </w:r>
    </w:p>
    <w:p w:rsidR="00000000" w:rsidDel="00000000" w:rsidP="00000000" w:rsidRDefault="00000000" w:rsidRPr="00000000" w14:paraId="00000021">
      <w:pPr>
        <w:pStyle w:val="Heading1"/>
        <w:numPr>
          <w:ilvl w:val="0"/>
          <w:numId w:val="2"/>
        </w:numPr>
        <w:spacing w:line="360" w:lineRule="auto"/>
        <w:ind w:left="432" w:hanging="432"/>
        <w:rPr/>
      </w:pPr>
      <w:r w:rsidDel="00000000" w:rsidR="00000000" w:rsidRPr="00000000">
        <w:rPr>
          <w:rtl w:val="0"/>
        </w:rPr>
        <w:t xml:space="preserve">Submissions </w:t>
      </w:r>
    </w:p>
    <w:p w:rsidR="00000000" w:rsidDel="00000000" w:rsidP="00000000" w:rsidRDefault="00000000" w:rsidRPr="00000000" w14:paraId="00000022">
      <w:pPr>
        <w:pStyle w:val="Heading2"/>
        <w:numPr>
          <w:ilvl w:val="1"/>
          <w:numId w:val="2"/>
        </w:numPr>
        <w:spacing w:line="360" w:lineRule="auto"/>
        <w:ind w:left="576" w:hanging="576"/>
        <w:rPr/>
      </w:pPr>
      <w:r w:rsidDel="00000000" w:rsidR="00000000" w:rsidRPr="00000000">
        <w:rPr>
          <w:rtl w:val="0"/>
        </w:rPr>
        <w:t xml:space="preserve">The defendant Ms Williams showed a clear common intention through her text messages and in person that regardless of circumstances Ms Williams  would take care of Ms Morgan and not just to benefit Ms Morgan but also their two children. The argument states that trusts are founded on the shared intention that is shared through parties regarding property ownership, this is based on actions and words.  In the case of Lloyds Bank PLC v Rosset [1990] discussed that after the breakdown of a relationship, the claimant sought a declaration as she felt she was entitled the beneficial interest in regards to the property, while the court decided that she was not entitled as there had not been an express agreement, also she did not contribute to the purchase price. The ruling of the above case has been heavily criticised for failing to recognise that work done and contributed may generate equitable interest in family homes. </w:t>
      </w:r>
    </w:p>
    <w:p w:rsidR="00000000" w:rsidDel="00000000" w:rsidP="00000000" w:rsidRDefault="00000000" w:rsidRPr="00000000" w14:paraId="00000023">
      <w:pPr>
        <w:numPr>
          <w:ilvl w:val="1"/>
          <w:numId w:val="2"/>
        </w:numPr>
        <w:spacing w:line="360" w:lineRule="auto"/>
        <w:ind w:left="576"/>
        <w:rPr>
          <w:rFonts w:ascii="Arial" w:cs="Arial" w:eastAsia="Arial" w:hAnsi="Arial"/>
        </w:rPr>
      </w:pPr>
      <w:r w:rsidDel="00000000" w:rsidR="00000000" w:rsidRPr="00000000">
        <w:rPr>
          <w:rFonts w:ascii="Arial" w:cs="Arial" w:eastAsia="Arial" w:hAnsi="Arial"/>
          <w:rtl w:val="0"/>
        </w:rPr>
        <w:t xml:space="preserve">Continuing, the case of Stack v Dowden [2007] UKHL 17 laid down the doctrine for common interests in constructive trusts with the breakdown of a family home, the judge ruled that there had in fact been a common intention to share the beneficial ownership of the property through equal shares. While Ms Morgan did not contribute to the payment of the house she did however contribute towards upkeep of the property in question, while also raising the children she and Miss Williams had during their relationship. This was under the common interest shown between both parties.</w:t>
      </w:r>
    </w:p>
    <w:p w:rsidR="00000000" w:rsidDel="00000000" w:rsidP="00000000" w:rsidRDefault="00000000" w:rsidRPr="00000000" w14:paraId="00000024">
      <w:pPr>
        <w:numPr>
          <w:ilvl w:val="1"/>
          <w:numId w:val="2"/>
        </w:numPr>
        <w:spacing w:line="360" w:lineRule="auto"/>
        <w:ind w:left="576"/>
        <w:rPr>
          <w:rFonts w:ascii="Arial" w:cs="Arial" w:eastAsia="Arial" w:hAnsi="Arial"/>
          <w:u w:val="none"/>
        </w:rPr>
      </w:pPr>
      <w:r w:rsidDel="00000000" w:rsidR="00000000" w:rsidRPr="00000000">
        <w:rPr>
          <w:rFonts w:ascii="Arial" w:cs="Arial" w:eastAsia="Arial" w:hAnsi="Arial"/>
          <w:rtl w:val="0"/>
        </w:rPr>
        <w:t xml:space="preserve">In the case of Jones v Kernott [2010] EWCA civ 578 it was noted that in cases dealing with the ownership of properties, Ms Jones paid out for the property with her own funds which included mortgage payments and bills. Meanwhile Mr Kernott paid for some of the improvements to the property, after the couples split Mr Kernott made no further financial contributions, Mr Kernott seeked repayment from said contributions, the decision was that Mr Kernott would receive a  10% share based on contributions made during their relationship. This decision was overturned in the court of appeal, ordering a 50/50 split based on the optional agreement in place.</w:t>
      </w:r>
      <w:r w:rsidDel="00000000" w:rsidR="00000000" w:rsidRPr="00000000">
        <w:rPr>
          <w:rtl w:val="0"/>
        </w:rPr>
      </w:r>
    </w:p>
    <w:p w:rsidR="00000000" w:rsidDel="00000000" w:rsidP="00000000" w:rsidRDefault="00000000" w:rsidRPr="00000000" w14:paraId="00000025">
      <w:pPr>
        <w:pStyle w:val="Heading1"/>
        <w:numPr>
          <w:ilvl w:val="0"/>
          <w:numId w:val="2"/>
        </w:numPr>
        <w:spacing w:line="360" w:lineRule="auto"/>
        <w:ind w:left="432" w:hanging="432"/>
        <w:rPr/>
      </w:pPr>
      <w:r w:rsidDel="00000000" w:rsidR="00000000" w:rsidRPr="00000000">
        <w:rPr>
          <w:rtl w:val="0"/>
        </w:rPr>
        <w:t xml:space="preserve">Conclusions </w:t>
      </w:r>
    </w:p>
    <w:p w:rsidR="00000000" w:rsidDel="00000000" w:rsidP="00000000" w:rsidRDefault="00000000" w:rsidRPr="00000000" w14:paraId="00000026">
      <w:pPr>
        <w:pStyle w:val="Heading2"/>
        <w:spacing w:line="360" w:lineRule="auto"/>
        <w:ind w:left="0" w:firstLine="0"/>
        <w:rPr>
          <w:color w:val="002060"/>
        </w:rPr>
      </w:pPr>
      <w:r w:rsidDel="00000000" w:rsidR="00000000" w:rsidRPr="00000000">
        <w:rPr>
          <w:rtl w:val="0"/>
        </w:rPr>
        <w:t xml:space="preserve">6.1  </w:t>
      </w: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 The cases above show that my client has made worthwhile contributions toward     the family home, ensuring that the property stayed in an inhabitable state for them and their children. </w:t>
      </w:r>
      <w:r w:rsidDel="00000000" w:rsidR="00000000" w:rsidRPr="00000000">
        <w:rPr>
          <w:color w:val="70ad47"/>
          <w:rtl w:val="0"/>
        </w:rPr>
        <w:t xml:space="preserve"> </w:t>
      </w:r>
      <w:r w:rsidDel="00000000" w:rsidR="00000000" w:rsidRPr="00000000">
        <w:rPr>
          <w:rtl w:val="0"/>
        </w:rPr>
      </w:r>
    </w:p>
    <w:p w:rsidR="00000000" w:rsidDel="00000000" w:rsidP="00000000" w:rsidRDefault="00000000" w:rsidRPr="00000000" w14:paraId="00000027">
      <w:pPr>
        <w:pStyle w:val="Heading1"/>
        <w:spacing w:line="360" w:lineRule="auto"/>
        <w:ind w:left="680" w:hanging="680"/>
        <w:rPr>
          <w:rFonts w:ascii="Arial" w:cs="Arial" w:eastAsia="Arial" w:hAnsi="Arial"/>
          <w:b w:val="1"/>
          <w:color w:val="000000"/>
          <w:sz w:val="24"/>
          <w:szCs w:val="24"/>
          <w:u w:val="none"/>
        </w:rPr>
      </w:pPr>
      <w:r w:rsidDel="00000000" w:rsidR="00000000" w:rsidRPr="00000000">
        <w:rPr>
          <w:rFonts w:ascii="Arial" w:cs="Arial" w:eastAsia="Arial" w:hAnsi="Arial"/>
          <w:b w:val="1"/>
          <w:color w:val="000000"/>
          <w:sz w:val="24"/>
          <w:szCs w:val="24"/>
          <w:u w:val="none"/>
          <w:rtl w:val="0"/>
        </w:rPr>
        <w:t xml:space="preserve">Claim arising under a proprietary estoppel </w:t>
      </w:r>
    </w:p>
    <w:p w:rsidR="00000000" w:rsidDel="00000000" w:rsidP="00000000" w:rsidRDefault="00000000" w:rsidRPr="00000000" w14:paraId="00000028">
      <w:pPr>
        <w:pStyle w:val="Heading1"/>
        <w:numPr>
          <w:ilvl w:val="0"/>
          <w:numId w:val="2"/>
        </w:numPr>
        <w:spacing w:line="360" w:lineRule="auto"/>
        <w:ind w:left="432" w:hanging="432"/>
        <w:rPr/>
      </w:pPr>
      <w:r w:rsidDel="00000000" w:rsidR="00000000" w:rsidRPr="00000000">
        <w:rPr>
          <w:rtl w:val="0"/>
        </w:rPr>
        <w:t xml:space="preserve">The law </w:t>
      </w:r>
    </w:p>
    <w:p w:rsidR="00000000" w:rsidDel="00000000" w:rsidP="00000000" w:rsidRDefault="00000000" w:rsidRPr="00000000" w14:paraId="00000029">
      <w:pPr>
        <w:pStyle w:val="Heading2"/>
        <w:numPr>
          <w:ilvl w:val="1"/>
          <w:numId w:val="2"/>
        </w:numPr>
        <w:spacing w:line="360" w:lineRule="auto"/>
        <w:ind w:left="576" w:hanging="576"/>
        <w:rPr/>
      </w:pPr>
      <w:r w:rsidDel="00000000" w:rsidR="00000000" w:rsidRPr="00000000">
        <w:rPr>
          <w:rtl w:val="0"/>
        </w:rPr>
        <w:t xml:space="preserve">Proprietary estoppel is a mechanism which is used in and by the court to help prevent the holder of the legal rights from enforcing the rights where it would be considered unethical to do so. </w:t>
      </w:r>
    </w:p>
    <w:p w:rsidR="00000000" w:rsidDel="00000000" w:rsidP="00000000" w:rsidRDefault="00000000" w:rsidRPr="00000000" w14:paraId="0000002A">
      <w:pPr>
        <w:numPr>
          <w:ilvl w:val="1"/>
          <w:numId w:val="2"/>
        </w:numPr>
        <w:spacing w:line="360" w:lineRule="auto"/>
        <w:ind w:left="576"/>
        <w:rPr>
          <w:rFonts w:ascii="Arial" w:cs="Arial" w:eastAsia="Arial" w:hAnsi="Arial"/>
        </w:rPr>
      </w:pPr>
      <w:r w:rsidDel="00000000" w:rsidR="00000000" w:rsidRPr="00000000">
        <w:rPr>
          <w:rFonts w:ascii="Arial" w:cs="Arial" w:eastAsia="Arial" w:hAnsi="Arial"/>
          <w:rtl w:val="0"/>
        </w:rPr>
        <w:t xml:space="preserve">The courts look into the conditions that are met to consider proprietary estoppel, there must be an assurance that has been made which is clear-cut  and indisputable in which the claimant relied upon. this could be that the person has made significant life choices based on the assurance. </w:t>
      </w:r>
    </w:p>
    <w:p w:rsidR="00000000" w:rsidDel="00000000" w:rsidP="00000000" w:rsidRDefault="00000000" w:rsidRPr="00000000" w14:paraId="0000002B">
      <w:pPr>
        <w:numPr>
          <w:ilvl w:val="1"/>
          <w:numId w:val="2"/>
        </w:numPr>
        <w:spacing w:line="360" w:lineRule="auto"/>
        <w:ind w:left="576"/>
        <w:rPr>
          <w:rFonts w:ascii="Arial" w:cs="Arial" w:eastAsia="Arial" w:hAnsi="Arial"/>
          <w:u w:val="none"/>
        </w:rPr>
      </w:pPr>
      <w:r w:rsidDel="00000000" w:rsidR="00000000" w:rsidRPr="00000000">
        <w:rPr>
          <w:rFonts w:ascii="Arial" w:cs="Arial" w:eastAsia="Arial" w:hAnsi="Arial"/>
          <w:rtl w:val="0"/>
        </w:rPr>
        <w:t xml:space="preserve">Continuing, it must be shown that the claimant in some way has suffered detriment in some way, this can be in different forms such as making significant life choices based on the assurance which was given.</w:t>
      </w:r>
    </w:p>
    <w:p w:rsidR="00000000" w:rsidDel="00000000" w:rsidP="00000000" w:rsidRDefault="00000000" w:rsidRPr="00000000" w14:paraId="0000002C">
      <w:pPr>
        <w:numPr>
          <w:ilvl w:val="1"/>
          <w:numId w:val="2"/>
        </w:numPr>
        <w:spacing w:line="360" w:lineRule="auto"/>
        <w:ind w:left="576"/>
        <w:rPr>
          <w:rFonts w:ascii="Arial" w:cs="Arial" w:eastAsia="Arial" w:hAnsi="Arial"/>
          <w:u w:val="none"/>
        </w:rPr>
      </w:pPr>
      <w:r w:rsidDel="00000000" w:rsidR="00000000" w:rsidRPr="00000000">
        <w:rPr>
          <w:rFonts w:ascii="Arial" w:cs="Arial" w:eastAsia="Arial" w:hAnsi="Arial"/>
          <w:rtl w:val="0"/>
        </w:rPr>
        <w:t xml:space="preserve">In court it must be shown that the elements of said claim are able to be proved, it is unethical for the defendant to go back on the assurance in question.</w:t>
      </w:r>
      <w:r w:rsidDel="00000000" w:rsidR="00000000" w:rsidRPr="00000000">
        <w:rPr>
          <w:rtl w:val="0"/>
        </w:rPr>
      </w:r>
    </w:p>
    <w:p w:rsidR="00000000" w:rsidDel="00000000" w:rsidP="00000000" w:rsidRDefault="00000000" w:rsidRPr="00000000" w14:paraId="0000002D">
      <w:pPr>
        <w:pStyle w:val="Heading1"/>
        <w:numPr>
          <w:ilvl w:val="0"/>
          <w:numId w:val="2"/>
        </w:numPr>
        <w:spacing w:line="360" w:lineRule="auto"/>
        <w:ind w:left="432" w:hanging="432"/>
        <w:rPr/>
      </w:pPr>
      <w:r w:rsidDel="00000000" w:rsidR="00000000" w:rsidRPr="00000000">
        <w:rPr>
          <w:rtl w:val="0"/>
        </w:rPr>
        <w:t xml:space="preserve">Submissions </w:t>
      </w:r>
    </w:p>
    <w:p w:rsidR="00000000" w:rsidDel="00000000" w:rsidP="00000000" w:rsidRDefault="00000000" w:rsidRPr="00000000" w14:paraId="0000002E">
      <w:pPr>
        <w:pStyle w:val="Heading2"/>
        <w:numPr>
          <w:ilvl w:val="1"/>
          <w:numId w:val="2"/>
        </w:numPr>
        <w:spacing w:line="360" w:lineRule="auto"/>
        <w:ind w:left="576" w:hanging="576"/>
        <w:rPr/>
      </w:pPr>
      <w:r w:rsidDel="00000000" w:rsidR="00000000" w:rsidRPr="00000000">
        <w:rPr>
          <w:rtl w:val="0"/>
        </w:rPr>
        <w:t xml:space="preserve">It is alleged that Ms Williams had told Ms Morgan  “she need not be worried should they separate as they are equals and would divide everything 50/50”</w:t>
      </w:r>
      <w:r w:rsidDel="00000000" w:rsidR="00000000" w:rsidRPr="00000000">
        <w:rPr>
          <w:color w:val="70ad47"/>
          <w:rtl w:val="0"/>
        </w:rPr>
        <w:t xml:space="preserve">. </w:t>
      </w:r>
      <w:r w:rsidDel="00000000" w:rsidR="00000000" w:rsidRPr="00000000">
        <w:rPr>
          <w:rtl w:val="0"/>
        </w:rPr>
        <w:t xml:space="preserve">While Ms Williams  denies this, assurance was given to Ms Morgan that she did not need to worry.  Anaghara v Anaghara [2020] shows that due to clear assurances made to the claimant that she would have a place to live rent free, it shows clear reliance as due to the promise she did not seek to buy her own property instead she used money she was gifted to renovate the property in question and did not use the money for any other purpose.</w:t>
      </w:r>
    </w:p>
    <w:p w:rsidR="00000000" w:rsidDel="00000000" w:rsidP="00000000" w:rsidRDefault="00000000" w:rsidRPr="00000000" w14:paraId="0000002F">
      <w:pPr>
        <w:numPr>
          <w:ilvl w:val="1"/>
          <w:numId w:val="2"/>
        </w:numPr>
        <w:spacing w:line="360" w:lineRule="auto"/>
        <w:ind w:left="576"/>
        <w:rPr>
          <w:rFonts w:ascii="Arial" w:cs="Arial" w:eastAsia="Arial" w:hAnsi="Arial"/>
        </w:rPr>
      </w:pPr>
      <w:r w:rsidDel="00000000" w:rsidR="00000000" w:rsidRPr="00000000">
        <w:rPr>
          <w:rFonts w:ascii="Arial" w:cs="Arial" w:eastAsia="Arial" w:hAnsi="Arial"/>
          <w:rtl w:val="0"/>
        </w:rPr>
        <w:t xml:space="preserve">In Accordance with reliance, Spencer v Spencer [2023], the son relied on the promise from his parents, to note it was also in his fathers will at the time, at the time of his fathers death it came to light that Micheal had only been left a 5% share in the property going back on his earlier promise, the claim of proprietary estoppel on the grounds of this promise.</w:t>
      </w:r>
      <w:r w:rsidDel="00000000" w:rsidR="00000000" w:rsidRPr="00000000">
        <w:rPr>
          <w:rtl w:val="0"/>
        </w:rPr>
      </w:r>
    </w:p>
    <w:p w:rsidR="00000000" w:rsidDel="00000000" w:rsidP="00000000" w:rsidRDefault="00000000" w:rsidRPr="00000000" w14:paraId="00000030">
      <w:pPr>
        <w:numPr>
          <w:ilvl w:val="1"/>
          <w:numId w:val="2"/>
        </w:numPr>
        <w:spacing w:line="360" w:lineRule="auto"/>
        <w:ind w:left="576"/>
        <w:rPr>
          <w:rFonts w:ascii="Arial" w:cs="Arial" w:eastAsia="Arial" w:hAnsi="Arial"/>
        </w:rPr>
      </w:pPr>
      <w:r w:rsidDel="00000000" w:rsidR="00000000" w:rsidRPr="00000000">
        <w:rPr>
          <w:rFonts w:ascii="Arial" w:cs="Arial" w:eastAsia="Arial" w:hAnsi="Arial"/>
          <w:rtl w:val="0"/>
        </w:rPr>
        <w:t xml:space="preserve">In the case of Teasdale v Carter &amp; Teasdale [2023] EWHC 490 it shows not only assurance but detriment, the claimant was continuously promised a barn conversion that was situated on the family farm, she had even contributed financially toward the renovation, detriment was clear in this case as she contributed toward the mortgage and helped to make improvements to the property in question. </w:t>
      </w:r>
    </w:p>
    <w:p w:rsidR="00000000" w:rsidDel="00000000" w:rsidP="00000000" w:rsidRDefault="00000000" w:rsidRPr="00000000" w14:paraId="00000031">
      <w:pPr>
        <w:numPr>
          <w:ilvl w:val="1"/>
          <w:numId w:val="2"/>
        </w:numPr>
        <w:spacing w:line="360" w:lineRule="auto"/>
        <w:ind w:left="576"/>
        <w:rPr>
          <w:rFonts w:ascii="Arial" w:cs="Arial" w:eastAsia="Arial" w:hAnsi="Arial"/>
          <w:u w:val="none"/>
        </w:rPr>
      </w:pPr>
      <w:r w:rsidDel="00000000" w:rsidR="00000000" w:rsidRPr="00000000">
        <w:rPr>
          <w:rFonts w:ascii="Arial" w:cs="Arial" w:eastAsia="Arial" w:hAnsi="Arial"/>
          <w:rtl w:val="0"/>
        </w:rPr>
        <w:t xml:space="preserve">Detriment is shown on Ms Morgan’s  behalf due to her putting down money from her own savings to make repairs and improvements to the property . Habberfield v Habberfield [2019] shows the claim of proprietary estoppel based on assurances, with the assurance that she would own the property once her father had passed. Due to disagreements, she was cut out of the inheritance and offered a settlement but rejected the offer. A proprietary estoppel had risen due to the fact a settlement was offered but did not cancel out the estoppel. </w:t>
      </w:r>
      <w:r w:rsidDel="00000000" w:rsidR="00000000" w:rsidRPr="00000000">
        <w:rPr>
          <w:rtl w:val="0"/>
        </w:rPr>
      </w:r>
    </w:p>
    <w:p w:rsidR="00000000" w:rsidDel="00000000" w:rsidP="00000000" w:rsidRDefault="00000000" w:rsidRPr="00000000" w14:paraId="00000032">
      <w:pPr>
        <w:pStyle w:val="Heading1"/>
        <w:numPr>
          <w:ilvl w:val="0"/>
          <w:numId w:val="2"/>
        </w:numPr>
        <w:spacing w:line="360" w:lineRule="auto"/>
        <w:ind w:left="432" w:hanging="432"/>
        <w:rPr/>
      </w:pPr>
      <w:r w:rsidDel="00000000" w:rsidR="00000000" w:rsidRPr="00000000">
        <w:rPr>
          <w:rtl w:val="0"/>
        </w:rPr>
        <w:t xml:space="preserve">Conclusions </w:t>
      </w:r>
    </w:p>
    <w:p w:rsidR="00000000" w:rsidDel="00000000" w:rsidP="00000000" w:rsidRDefault="00000000" w:rsidRPr="00000000" w14:paraId="00000033">
      <w:pPr>
        <w:pStyle w:val="Heading2"/>
        <w:numPr>
          <w:ilvl w:val="1"/>
          <w:numId w:val="2"/>
        </w:numPr>
        <w:spacing w:line="360" w:lineRule="auto"/>
        <w:ind w:left="576" w:hanging="576"/>
        <w:rPr/>
      </w:pPr>
      <w:r w:rsidDel="00000000" w:rsidR="00000000" w:rsidRPr="00000000">
        <w:rPr>
          <w:rtl w:val="0"/>
        </w:rPr>
        <w:t xml:space="preserve">It is evident that Ms Morgan is eligible for a claim within the guidelines of proprietary estoppel based on the reliance given by Ms Williams. </w:t>
      </w:r>
    </w:p>
    <w:p w:rsidR="00000000" w:rsidDel="00000000" w:rsidP="00000000" w:rsidRDefault="00000000" w:rsidRPr="00000000" w14:paraId="00000034">
      <w:pPr>
        <w:pStyle w:val="Heading1"/>
        <w:numPr>
          <w:ilvl w:val="0"/>
          <w:numId w:val="2"/>
        </w:numPr>
        <w:spacing w:line="360" w:lineRule="auto"/>
        <w:ind w:left="432" w:hanging="432"/>
        <w:rPr/>
      </w:pPr>
      <w:r w:rsidDel="00000000" w:rsidR="00000000" w:rsidRPr="00000000">
        <w:rPr>
          <w:rtl w:val="0"/>
        </w:rPr>
        <w:t xml:space="preserve">Overall conclusions </w:t>
      </w:r>
    </w:p>
    <w:p w:rsidR="00000000" w:rsidDel="00000000" w:rsidP="00000000" w:rsidRDefault="00000000" w:rsidRPr="00000000" w14:paraId="00000035">
      <w:pPr>
        <w:pStyle w:val="Heading2"/>
        <w:numPr>
          <w:ilvl w:val="1"/>
          <w:numId w:val="2"/>
        </w:numPr>
        <w:spacing w:line="360" w:lineRule="auto"/>
        <w:ind w:left="576" w:hanging="576"/>
        <w:rPr/>
      </w:pPr>
      <w:r w:rsidDel="00000000" w:rsidR="00000000" w:rsidRPr="00000000">
        <w:rPr>
          <w:color w:val="70ad47"/>
          <w:rtl w:val="0"/>
        </w:rPr>
        <w:t xml:space="preserve"> </w:t>
      </w:r>
      <w:r w:rsidDel="00000000" w:rsidR="00000000" w:rsidRPr="00000000">
        <w:rPr>
          <w:rtl w:val="0"/>
        </w:rPr>
        <w:t xml:space="preserve">To summarise the facts set out in this case, Ms Morgan has a right to a fair share from the property in question, thus basing the case on not only assurance but due to the beneficial interest Ms Morgan has also shown with her contributions toward the property.</w:t>
      </w:r>
    </w:p>
    <w:p w:rsidR="00000000" w:rsidDel="00000000" w:rsidP="00000000" w:rsidRDefault="00000000" w:rsidRPr="00000000" w14:paraId="00000036">
      <w:pPr>
        <w:pStyle w:val="Heading2"/>
        <w:spacing w:line="360" w:lineRule="auto"/>
        <w:ind w:left="680" w:firstLine="0"/>
        <w:rPr>
          <w:color w:val="002060"/>
        </w:rPr>
      </w:pPr>
      <w:r w:rsidDel="00000000" w:rsidR="00000000" w:rsidRPr="00000000">
        <w:rPr>
          <w:rtl w:val="0"/>
        </w:rPr>
      </w:r>
    </w:p>
    <w:p w:rsidR="00000000" w:rsidDel="00000000" w:rsidP="00000000" w:rsidRDefault="00000000" w:rsidRPr="00000000" w14:paraId="00000037">
      <w:pPr>
        <w:spacing w:line="360" w:lineRule="auto"/>
        <w:jc w:val="right"/>
        <w:rPr>
          <w:rFonts w:ascii="Arial" w:cs="Arial" w:eastAsia="Arial" w:hAnsi="Arial"/>
          <w:b w:val="1"/>
        </w:rPr>
      </w:pPr>
      <w:r w:rsidDel="00000000" w:rsidR="00000000" w:rsidRPr="00000000">
        <w:rPr>
          <w:rFonts w:ascii="Arial" w:cs="Arial" w:eastAsia="Arial" w:hAnsi="Arial"/>
          <w:b w:val="1"/>
          <w:rtl w:val="0"/>
        </w:rPr>
        <w:t xml:space="preserve">Chloe Clark </w:t>
      </w:r>
    </w:p>
    <w:p w:rsidR="00000000" w:rsidDel="00000000" w:rsidP="00000000" w:rsidRDefault="00000000" w:rsidRPr="00000000" w14:paraId="00000038">
      <w:pPr>
        <w:spacing w:line="360" w:lineRule="auto"/>
        <w:jc w:val="right"/>
        <w:rPr>
          <w:rFonts w:ascii="Arial" w:cs="Arial" w:eastAsia="Arial" w:hAnsi="Arial"/>
          <w:b w:val="1"/>
        </w:rPr>
      </w:pPr>
      <w:r w:rsidDel="00000000" w:rsidR="00000000" w:rsidRPr="00000000">
        <w:rPr>
          <w:rFonts w:ascii="Arial" w:cs="Arial" w:eastAsia="Arial" w:hAnsi="Arial"/>
          <w:b w:val="1"/>
          <w:rtl w:val="0"/>
        </w:rPr>
        <w:t xml:space="preserve">Counsel for the Claimant </w:t>
      </w:r>
    </w:p>
    <w:p w:rsidR="00000000" w:rsidDel="00000000" w:rsidP="00000000" w:rsidRDefault="00000000" w:rsidRPr="00000000" w14:paraId="00000039">
      <w:pPr>
        <w:spacing w:line="360" w:lineRule="auto"/>
        <w:jc w:val="right"/>
        <w:rPr>
          <w:rFonts w:ascii="Arial" w:cs="Arial" w:eastAsia="Arial" w:hAnsi="Arial"/>
          <w:b w:val="1"/>
        </w:rPr>
      </w:pPr>
      <w:r w:rsidDel="00000000" w:rsidR="00000000" w:rsidRPr="00000000">
        <w:rPr>
          <w:rFonts w:ascii="Arial" w:cs="Arial" w:eastAsia="Arial" w:hAnsi="Arial"/>
          <w:b w:val="1"/>
          <w:rtl w:val="0"/>
        </w:rPr>
        <w:t xml:space="preserve">Work/chambers: University Trinity of St Davids Wales</w:t>
      </w:r>
    </w:p>
    <w:p w:rsidR="00000000" w:rsidDel="00000000" w:rsidP="00000000" w:rsidRDefault="00000000" w:rsidRPr="00000000" w14:paraId="0000003A">
      <w:pPr>
        <w:spacing w:line="360" w:lineRule="auto"/>
        <w:jc w:val="right"/>
        <w:rPr>
          <w:rFonts w:ascii="Arial" w:cs="Arial" w:eastAsia="Arial" w:hAnsi="Arial"/>
          <w:b w:val="1"/>
        </w:rPr>
      </w:pPr>
      <w:r w:rsidDel="00000000" w:rsidR="00000000" w:rsidRPr="00000000">
        <w:rPr>
          <w:rFonts w:ascii="Arial" w:cs="Arial" w:eastAsia="Arial" w:hAnsi="Arial"/>
          <w:b w:val="1"/>
          <w:rtl w:val="0"/>
        </w:rPr>
        <w:t xml:space="preserve">Date: 5/12/24</w:t>
      </w:r>
    </w:p>
    <w:p w:rsidR="00000000" w:rsidDel="00000000" w:rsidP="00000000" w:rsidRDefault="00000000" w:rsidRPr="00000000" w14:paraId="0000003B">
      <w:pPr>
        <w:spacing w:line="360" w:lineRule="auto"/>
        <w:rPr/>
      </w:pPr>
      <w:r w:rsidDel="00000000" w:rsidR="00000000" w:rsidRPr="00000000">
        <w:rPr>
          <w:rtl w:val="0"/>
        </w:rPr>
      </w:r>
    </w:p>
    <w:p w:rsidR="00000000" w:rsidDel="00000000" w:rsidP="00000000" w:rsidRDefault="00000000" w:rsidRPr="00000000" w14:paraId="0000003C">
      <w:pPr>
        <w:spacing w:line="360" w:lineRule="auto"/>
        <w:rPr/>
      </w:pPr>
      <w:r w:rsidDel="00000000" w:rsidR="00000000" w:rsidRPr="00000000">
        <w:rPr>
          <w:rtl w:val="0"/>
        </w:rPr>
      </w:r>
    </w:p>
    <w:p w:rsidR="00000000" w:rsidDel="00000000" w:rsidP="00000000" w:rsidRDefault="00000000" w:rsidRPr="00000000" w14:paraId="0000003D">
      <w:pPr>
        <w:spacing w:line="360" w:lineRule="auto"/>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3E">
      <w:pPr>
        <w:spacing w:line="360" w:lineRule="auto"/>
        <w:rPr>
          <w:rFonts w:ascii="Arial" w:cs="Arial" w:eastAsia="Arial" w:hAnsi="Arial"/>
          <w:b w:val="1"/>
        </w:rPr>
      </w:pPr>
      <w:r w:rsidDel="00000000" w:rsidR="00000000" w:rsidRPr="00000000">
        <w:rPr>
          <w:rFonts w:ascii="Arial" w:cs="Arial" w:eastAsia="Arial" w:hAnsi="Arial"/>
          <w:b w:val="1"/>
          <w:rtl w:val="0"/>
        </w:rPr>
        <w:t xml:space="preserve">Case note</w:t>
      </w:r>
    </w:p>
    <w:p w:rsidR="00000000" w:rsidDel="00000000" w:rsidP="00000000" w:rsidRDefault="00000000" w:rsidRPr="00000000" w14:paraId="0000003F">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0">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Guest v Guest [2022]</w:t>
      </w:r>
      <w:r w:rsidDel="00000000" w:rsidR="00000000" w:rsidRPr="00000000">
        <w:rPr>
          <w:rtl w:val="0"/>
        </w:rPr>
      </w:r>
    </w:p>
    <w:p w:rsidR="00000000" w:rsidDel="00000000" w:rsidP="00000000" w:rsidRDefault="00000000" w:rsidRPr="00000000" w14:paraId="00000041">
      <w:pPr>
        <w:spacing w:line="360" w:lineRule="auto"/>
        <w:jc w:val="center"/>
        <w:rPr>
          <w:rFonts w:ascii="Arial" w:cs="Arial" w:eastAsia="Arial" w:hAnsi="Arial"/>
          <w:b w:val="1"/>
        </w:rPr>
      </w:pPr>
      <w:r w:rsidDel="00000000" w:rsidR="00000000" w:rsidRPr="00000000">
        <w:rPr>
          <w:rFonts w:ascii="Arial" w:cs="Arial" w:eastAsia="Arial" w:hAnsi="Arial"/>
          <w:b w:val="1"/>
          <w:rtl w:val="0"/>
        </w:rPr>
        <w:t xml:space="preserve">UKSC 27</w:t>
      </w:r>
    </w:p>
    <w:p w:rsidR="00000000" w:rsidDel="00000000" w:rsidP="00000000" w:rsidRDefault="00000000" w:rsidRPr="00000000" w14:paraId="00000042">
      <w:pPr>
        <w:spacing w:line="360" w:lineRule="auto"/>
        <w:jc w:val="left"/>
        <w:rPr>
          <w:rFonts w:ascii="Arial" w:cs="Arial" w:eastAsia="Arial" w:hAnsi="Arial"/>
          <w:b w:val="1"/>
        </w:rPr>
      </w:pPr>
      <w:r w:rsidDel="00000000" w:rsidR="00000000" w:rsidRPr="00000000">
        <w:rPr>
          <w:rFonts w:ascii="Arial" w:cs="Arial" w:eastAsia="Arial" w:hAnsi="Arial"/>
          <w:b w:val="1"/>
          <w:rtl w:val="0"/>
        </w:rPr>
        <w:t xml:space="preserve">                                                         UK Supreme Court</w:t>
      </w:r>
    </w:p>
    <w:p w:rsidR="00000000" w:rsidDel="00000000" w:rsidP="00000000" w:rsidRDefault="00000000" w:rsidRPr="00000000" w14:paraId="00000043">
      <w:pPr>
        <w:spacing w:line="360" w:lineRule="auto"/>
        <w:jc w:val="center"/>
        <w:rPr>
          <w:rFonts w:ascii="Arial" w:cs="Arial" w:eastAsia="Arial" w:hAnsi="Arial"/>
          <w:b w:val="1"/>
          <w:color w:val="70ad47"/>
        </w:rPr>
      </w:pPr>
      <w:r w:rsidDel="00000000" w:rsidR="00000000" w:rsidRPr="00000000">
        <w:rPr>
          <w:rtl w:val="0"/>
        </w:rPr>
      </w:r>
    </w:p>
    <w:p w:rsidR="00000000" w:rsidDel="00000000" w:rsidP="00000000" w:rsidRDefault="00000000" w:rsidRPr="00000000" w14:paraId="00000044">
      <w:pPr>
        <w:spacing w:line="360" w:lineRule="auto"/>
        <w:jc w:val="center"/>
        <w:rPr>
          <w:rFonts w:ascii="Arial" w:cs="Arial" w:eastAsia="Arial" w:hAnsi="Arial"/>
          <w:b w:val="1"/>
          <w:color w:val="002060"/>
        </w:rPr>
      </w:pPr>
      <w:r w:rsidDel="00000000" w:rsidR="00000000" w:rsidRPr="00000000">
        <w:rPr>
          <w:rtl w:val="0"/>
        </w:rPr>
      </w:r>
    </w:p>
    <w:p w:rsidR="00000000" w:rsidDel="00000000" w:rsidP="00000000" w:rsidRDefault="00000000" w:rsidRPr="00000000" w14:paraId="00000045">
      <w:pPr>
        <w:spacing w:line="360" w:lineRule="auto"/>
        <w:jc w:val="center"/>
        <w:rPr>
          <w:rFonts w:ascii="Arial" w:cs="Arial" w:eastAsia="Arial" w:hAnsi="Arial"/>
          <w:b w:val="1"/>
          <w:color w:val="002060"/>
        </w:rPr>
      </w:pPr>
      <w:r w:rsidDel="00000000" w:rsidR="00000000" w:rsidRPr="00000000">
        <w:rPr>
          <w:rtl w:val="0"/>
        </w:rPr>
      </w:r>
    </w:p>
    <w:p w:rsidR="00000000" w:rsidDel="00000000" w:rsidP="00000000" w:rsidRDefault="00000000" w:rsidRPr="00000000" w14:paraId="00000046">
      <w:pPr>
        <w:spacing w:line="360" w:lineRule="auto"/>
        <w:rPr>
          <w:rFonts w:ascii="Arial" w:cs="Arial" w:eastAsia="Arial" w:hAnsi="Arial"/>
          <w:b w:val="1"/>
        </w:rPr>
      </w:pPr>
      <w:r w:rsidDel="00000000" w:rsidR="00000000" w:rsidRPr="00000000">
        <w:rPr>
          <w:rFonts w:ascii="Arial" w:cs="Arial" w:eastAsia="Arial" w:hAnsi="Arial"/>
          <w:b w:val="1"/>
          <w:rtl w:val="0"/>
        </w:rPr>
        <w:t xml:space="preserve">Parties</w:t>
      </w:r>
    </w:p>
    <w:p w:rsidR="00000000" w:rsidDel="00000000" w:rsidP="00000000" w:rsidRDefault="00000000" w:rsidRPr="00000000" w14:paraId="00000047">
      <w:pPr>
        <w:spacing w:line="360" w:lineRule="auto"/>
        <w:rPr>
          <w:rFonts w:ascii="Arial" w:cs="Arial" w:eastAsia="Arial" w:hAnsi="Arial"/>
        </w:rPr>
      </w:pPr>
      <w:r w:rsidDel="00000000" w:rsidR="00000000" w:rsidRPr="00000000">
        <w:rPr>
          <w:rFonts w:ascii="Arial" w:cs="Arial" w:eastAsia="Arial" w:hAnsi="Arial"/>
          <w:rtl w:val="0"/>
        </w:rPr>
        <w:t xml:space="preserve">Andrew Guest (Claimant)</w:t>
      </w:r>
    </w:p>
    <w:p w:rsidR="00000000" w:rsidDel="00000000" w:rsidP="00000000" w:rsidRDefault="00000000" w:rsidRPr="00000000" w14:paraId="00000048">
      <w:pPr>
        <w:spacing w:line="360" w:lineRule="auto"/>
        <w:rPr>
          <w:rFonts w:ascii="Arial" w:cs="Arial" w:eastAsia="Arial" w:hAnsi="Arial"/>
        </w:rPr>
      </w:pPr>
      <w:r w:rsidDel="00000000" w:rsidR="00000000" w:rsidRPr="00000000">
        <w:rPr>
          <w:rFonts w:ascii="Arial" w:cs="Arial" w:eastAsia="Arial" w:hAnsi="Arial"/>
          <w:rtl w:val="0"/>
        </w:rPr>
        <w:t xml:space="preserve">David </w:t>
      </w:r>
      <w:r w:rsidDel="00000000" w:rsidR="00000000" w:rsidRPr="00000000">
        <w:rPr>
          <w:rFonts w:ascii="Arial" w:cs="Arial" w:eastAsia="Arial" w:hAnsi="Arial"/>
          <w:rtl w:val="0"/>
        </w:rPr>
        <w:t xml:space="preserve">Guest</w:t>
      </w:r>
      <w:r w:rsidDel="00000000" w:rsidR="00000000" w:rsidRPr="00000000">
        <w:rPr>
          <w:rFonts w:ascii="Arial" w:cs="Arial" w:eastAsia="Arial" w:hAnsi="Arial"/>
          <w:rtl w:val="0"/>
        </w:rPr>
        <w:t xml:space="preserve"> (Defendant)</w:t>
      </w:r>
    </w:p>
    <w:p w:rsidR="00000000" w:rsidDel="00000000" w:rsidP="00000000" w:rsidRDefault="00000000" w:rsidRPr="00000000" w14:paraId="00000049">
      <w:pPr>
        <w:spacing w:line="360" w:lineRule="auto"/>
        <w:rPr>
          <w:rFonts w:ascii="Arial" w:cs="Arial" w:eastAsia="Arial" w:hAnsi="Arial"/>
        </w:rPr>
      </w:pPr>
      <w:r w:rsidDel="00000000" w:rsidR="00000000" w:rsidRPr="00000000">
        <w:rPr>
          <w:rFonts w:ascii="Arial" w:cs="Arial" w:eastAsia="Arial" w:hAnsi="Arial"/>
          <w:rtl w:val="0"/>
        </w:rPr>
        <w:t xml:space="preserve">Josephine Guest (Defendant)</w:t>
      </w:r>
    </w:p>
    <w:p w:rsidR="00000000" w:rsidDel="00000000" w:rsidP="00000000" w:rsidRDefault="00000000" w:rsidRPr="00000000" w14:paraId="0000004A">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4B">
      <w:pPr>
        <w:spacing w:line="360" w:lineRule="auto"/>
        <w:rPr>
          <w:rFonts w:ascii="Arial" w:cs="Arial" w:eastAsia="Arial" w:hAnsi="Arial"/>
          <w:b w:val="1"/>
        </w:rPr>
      </w:pPr>
      <w:r w:rsidDel="00000000" w:rsidR="00000000" w:rsidRPr="00000000">
        <w:rPr>
          <w:rFonts w:ascii="Arial" w:cs="Arial" w:eastAsia="Arial" w:hAnsi="Arial"/>
          <w:b w:val="1"/>
          <w:rtl w:val="0"/>
        </w:rPr>
        <w:t xml:space="preserve">Procedural History</w:t>
      </w:r>
    </w:p>
    <w:p w:rsidR="00000000" w:rsidDel="00000000" w:rsidP="00000000" w:rsidRDefault="00000000" w:rsidRPr="00000000" w14:paraId="0000004C">
      <w:pPr>
        <w:spacing w:line="360" w:lineRule="auto"/>
        <w:rPr>
          <w:rFonts w:ascii="Arial" w:cs="Arial" w:eastAsia="Arial" w:hAnsi="Arial"/>
        </w:rPr>
      </w:pPr>
      <w:r w:rsidDel="00000000" w:rsidR="00000000" w:rsidRPr="00000000">
        <w:rPr>
          <w:rFonts w:ascii="Arial" w:cs="Arial" w:eastAsia="Arial" w:hAnsi="Arial"/>
          <w:rtl w:val="0"/>
        </w:rPr>
        <w:t xml:space="preserve">Supreme Court </w:t>
      </w:r>
    </w:p>
    <w:p w:rsidR="00000000" w:rsidDel="00000000" w:rsidP="00000000" w:rsidRDefault="00000000" w:rsidRPr="00000000" w14:paraId="0000004D">
      <w:pPr>
        <w:spacing w:line="360" w:lineRule="auto"/>
        <w:rPr>
          <w:rFonts w:ascii="Arial" w:cs="Arial" w:eastAsia="Arial" w:hAnsi="Arial"/>
        </w:rPr>
      </w:pPr>
      <w:r w:rsidDel="00000000" w:rsidR="00000000" w:rsidRPr="00000000">
        <w:rPr>
          <w:rFonts w:ascii="Arial" w:cs="Arial" w:eastAsia="Arial" w:hAnsi="Arial"/>
          <w:rtl w:val="0"/>
        </w:rPr>
        <w:t xml:space="preserve">Defendants appealed in the Court of Appeal </w:t>
      </w:r>
    </w:p>
    <w:p w:rsidR="00000000" w:rsidDel="00000000" w:rsidP="00000000" w:rsidRDefault="00000000" w:rsidRPr="00000000" w14:paraId="0000004E">
      <w:pPr>
        <w:spacing w:line="360" w:lineRule="auto"/>
        <w:rPr>
          <w:rFonts w:ascii="Arial" w:cs="Arial" w:eastAsia="Arial" w:hAnsi="Arial"/>
          <w:color w:val="c00000"/>
        </w:rPr>
      </w:pPr>
      <w:r w:rsidDel="00000000" w:rsidR="00000000" w:rsidRPr="00000000">
        <w:rPr>
          <w:rFonts w:ascii="Arial" w:cs="Arial" w:eastAsia="Arial" w:hAnsi="Arial"/>
          <w:rtl w:val="0"/>
        </w:rPr>
        <w:t xml:space="preserve">The Supreme Court ruled in the Claimants favour.</w:t>
      </w:r>
      <w:r w:rsidDel="00000000" w:rsidR="00000000" w:rsidRPr="00000000">
        <w:rPr>
          <w:rtl w:val="0"/>
        </w:rPr>
      </w:r>
    </w:p>
    <w:p w:rsidR="00000000" w:rsidDel="00000000" w:rsidP="00000000" w:rsidRDefault="00000000" w:rsidRPr="00000000" w14:paraId="0000004F">
      <w:pPr>
        <w:pStyle w:val="Heading2"/>
        <w:spacing w:line="360" w:lineRule="auto"/>
        <w:ind w:left="680" w:hanging="680"/>
        <w:rPr>
          <w:color w:val="002060"/>
        </w:rPr>
      </w:pPr>
      <w:r w:rsidDel="00000000" w:rsidR="00000000" w:rsidRPr="00000000">
        <w:rPr>
          <w:rtl w:val="0"/>
        </w:rPr>
      </w:r>
    </w:p>
    <w:p w:rsidR="00000000" w:rsidDel="00000000" w:rsidP="00000000" w:rsidRDefault="00000000" w:rsidRPr="00000000" w14:paraId="00000050">
      <w:pPr>
        <w:spacing w:line="360" w:lineRule="auto"/>
        <w:rPr>
          <w:rFonts w:ascii="Arial" w:cs="Arial" w:eastAsia="Arial" w:hAnsi="Arial"/>
          <w:b w:val="1"/>
        </w:rPr>
      </w:pPr>
      <w:r w:rsidDel="00000000" w:rsidR="00000000" w:rsidRPr="00000000">
        <w:rPr>
          <w:rFonts w:ascii="Arial" w:cs="Arial" w:eastAsia="Arial" w:hAnsi="Arial"/>
          <w:b w:val="1"/>
          <w:rtl w:val="0"/>
        </w:rPr>
        <w:t xml:space="preserve">Material facts</w:t>
      </w:r>
    </w:p>
    <w:p w:rsidR="00000000" w:rsidDel="00000000" w:rsidP="00000000" w:rsidRDefault="00000000" w:rsidRPr="00000000" w14:paraId="00000051">
      <w:pPr>
        <w:spacing w:line="360" w:lineRule="auto"/>
        <w:rPr>
          <w:rFonts w:ascii="Arial" w:cs="Arial" w:eastAsia="Arial" w:hAnsi="Arial"/>
          <w:b w:val="1"/>
        </w:rPr>
      </w:pPr>
      <w:r w:rsidDel="00000000" w:rsidR="00000000" w:rsidRPr="00000000">
        <w:rPr>
          <w:rtl w:val="0"/>
        </w:rPr>
      </w:r>
    </w:p>
    <w:p w:rsidR="00000000" w:rsidDel="00000000" w:rsidP="00000000" w:rsidRDefault="00000000" w:rsidRPr="00000000" w14:paraId="00000052">
      <w:pPr>
        <w:spacing w:line="360" w:lineRule="auto"/>
        <w:rPr>
          <w:rFonts w:ascii="Arial" w:cs="Arial" w:eastAsia="Arial" w:hAnsi="Arial"/>
        </w:rPr>
      </w:pPr>
      <w:r w:rsidDel="00000000" w:rsidR="00000000" w:rsidRPr="00000000">
        <w:rPr>
          <w:rFonts w:ascii="Arial" w:cs="Arial" w:eastAsia="Arial" w:hAnsi="Arial"/>
          <w:rtl w:val="0"/>
        </w:rPr>
        <w:t xml:space="preserve">The claimant Mr A Guest took his claim to the court due to working on the family farm for 32 years being led to believe he would receive the farm upon the death of his parents.</w:t>
      </w:r>
    </w:p>
    <w:p w:rsidR="00000000" w:rsidDel="00000000" w:rsidP="00000000" w:rsidRDefault="00000000" w:rsidRPr="00000000" w14:paraId="00000053">
      <w:pPr>
        <w:pStyle w:val="Heading2"/>
        <w:spacing w:line="360" w:lineRule="auto"/>
        <w:ind w:left="680" w:hanging="680"/>
        <w:rPr/>
      </w:pPr>
      <w:r w:rsidDel="00000000" w:rsidR="00000000" w:rsidRPr="00000000">
        <w:rPr>
          <w:rtl w:val="0"/>
        </w:rPr>
        <w:t xml:space="preserve">The Defendants appealed the case in the court of appeal, arguing that the decision was not correct and went beyond its necessary means. </w:t>
      </w:r>
    </w:p>
    <w:p w:rsidR="00000000" w:rsidDel="00000000" w:rsidP="00000000" w:rsidRDefault="00000000" w:rsidRPr="00000000" w14:paraId="00000054">
      <w:pPr>
        <w:spacing w:line="360" w:lineRule="auto"/>
        <w:rPr>
          <w:rFonts w:ascii="Arial" w:cs="Arial" w:eastAsia="Arial" w:hAnsi="Arial"/>
        </w:rPr>
      </w:pPr>
      <w:r w:rsidDel="00000000" w:rsidR="00000000" w:rsidRPr="00000000">
        <w:rPr>
          <w:rFonts w:ascii="Arial" w:cs="Arial" w:eastAsia="Arial" w:hAnsi="Arial"/>
          <w:rtl w:val="0"/>
        </w:rPr>
        <w:t xml:space="preserve">The Supreme Court Ruled in the Claimants favour and ruled that he should receive a reduced payment in lump sum or the property be placed in a trust.</w:t>
      </w:r>
      <w:r w:rsidDel="00000000" w:rsidR="00000000" w:rsidRPr="00000000">
        <w:rPr>
          <w:rtl w:val="0"/>
        </w:rPr>
      </w:r>
    </w:p>
    <w:p w:rsidR="00000000" w:rsidDel="00000000" w:rsidP="00000000" w:rsidRDefault="00000000" w:rsidRPr="00000000" w14:paraId="00000055">
      <w:pPr>
        <w:spacing w:line="360" w:lineRule="auto"/>
        <w:rPr>
          <w:rFonts w:ascii="Arial" w:cs="Arial" w:eastAsia="Arial" w:hAnsi="Arial"/>
          <w:b w:val="1"/>
        </w:rPr>
      </w:pPr>
      <w:r w:rsidDel="00000000" w:rsidR="00000000" w:rsidRPr="00000000">
        <w:rPr>
          <w:rFonts w:ascii="Arial" w:cs="Arial" w:eastAsia="Arial" w:hAnsi="Arial"/>
          <w:b w:val="1"/>
          <w:rtl w:val="0"/>
        </w:rPr>
        <w:t xml:space="preserve">Legal questions for the court </w:t>
      </w:r>
    </w:p>
    <w:p w:rsidR="00000000" w:rsidDel="00000000" w:rsidP="00000000" w:rsidRDefault="00000000" w:rsidRPr="00000000" w14:paraId="00000056">
      <w:pPr>
        <w:numPr>
          <w:ilvl w:val="0"/>
          <w:numId w:val="1"/>
        </w:numPr>
        <w:spacing w:line="360" w:lineRule="auto"/>
        <w:ind w:left="720" w:hanging="360"/>
        <w:rPr>
          <w:rFonts w:ascii="Arial" w:cs="Arial" w:eastAsia="Arial" w:hAnsi="Arial"/>
          <w:b w:val="0"/>
          <w:i w:val="0"/>
          <w:smallCaps w:val="0"/>
          <w:strike w:val="0"/>
          <w:sz w:val="24"/>
          <w:szCs w:val="24"/>
          <w:u w:val="none"/>
          <w:shd w:fill="auto" w:val="clear"/>
          <w:vertAlign w:val="baseline"/>
        </w:rPr>
      </w:pPr>
      <w:r w:rsidDel="00000000" w:rsidR="00000000" w:rsidRPr="00000000">
        <w:rPr>
          <w:rFonts w:ascii="Arial" w:cs="Arial" w:eastAsia="Arial" w:hAnsi="Arial"/>
          <w:rtl w:val="0"/>
        </w:rPr>
        <w:t xml:space="preserve">For whether Andrew working on his parents farm was substantial enough for creating a claim.</w:t>
      </w:r>
    </w:p>
    <w:p w:rsidR="00000000" w:rsidDel="00000000" w:rsidP="00000000" w:rsidRDefault="00000000" w:rsidRPr="00000000" w14:paraId="00000057">
      <w:pPr>
        <w:numPr>
          <w:ilvl w:val="0"/>
          <w:numId w:val="1"/>
        </w:numPr>
        <w:spacing w:line="360" w:lineRule="auto"/>
        <w:ind w:left="720" w:hanging="360"/>
        <w:rPr>
          <w:rFonts w:ascii="Arial" w:cs="Arial" w:eastAsia="Arial" w:hAnsi="Arial"/>
          <w:u w:val="none"/>
        </w:rPr>
      </w:pPr>
      <w:r w:rsidDel="00000000" w:rsidR="00000000" w:rsidRPr="00000000">
        <w:rPr>
          <w:rFonts w:ascii="Arial" w:cs="Arial" w:eastAsia="Arial" w:hAnsi="Arial"/>
          <w:rtl w:val="0"/>
        </w:rPr>
        <w:t xml:space="preserve">The Claimant was led to believe by assurances made by his parents that he would inherit the farm.</w:t>
      </w:r>
      <w:r w:rsidDel="00000000" w:rsidR="00000000" w:rsidRPr="00000000">
        <w:rPr>
          <w:rtl w:val="0"/>
        </w:rPr>
      </w:r>
    </w:p>
    <w:p w:rsidR="00000000" w:rsidDel="00000000" w:rsidP="00000000" w:rsidRDefault="00000000" w:rsidRPr="00000000" w14:paraId="00000058">
      <w:pPr>
        <w:spacing w:line="360" w:lineRule="auto"/>
        <w:rPr>
          <w:rFonts w:ascii="Arial" w:cs="Arial" w:eastAsia="Arial" w:hAnsi="Arial"/>
          <w:color w:val="70ad47"/>
        </w:rPr>
      </w:pPr>
      <w:r w:rsidDel="00000000" w:rsidR="00000000" w:rsidRPr="00000000">
        <w:rPr>
          <w:rtl w:val="0"/>
        </w:rPr>
      </w:r>
    </w:p>
    <w:p w:rsidR="00000000" w:rsidDel="00000000" w:rsidP="00000000" w:rsidRDefault="00000000" w:rsidRPr="00000000" w14:paraId="00000059">
      <w:pPr>
        <w:spacing w:line="360" w:lineRule="auto"/>
        <w:rPr>
          <w:rFonts w:ascii="Arial" w:cs="Arial" w:eastAsia="Arial" w:hAnsi="Arial"/>
          <w:b w:val="1"/>
        </w:rPr>
      </w:pPr>
      <w:r w:rsidDel="00000000" w:rsidR="00000000" w:rsidRPr="00000000">
        <w:rPr>
          <w:rFonts w:ascii="Arial" w:cs="Arial" w:eastAsia="Arial" w:hAnsi="Arial"/>
          <w:b w:val="1"/>
          <w:rtl w:val="0"/>
        </w:rPr>
        <w:t xml:space="preserve">Appellant arguments</w:t>
      </w:r>
    </w:p>
    <w:p w:rsidR="00000000" w:rsidDel="00000000" w:rsidP="00000000" w:rsidRDefault="00000000" w:rsidRPr="00000000" w14:paraId="0000005A">
      <w:pPr>
        <w:pStyle w:val="Heading2"/>
        <w:spacing w:line="360" w:lineRule="auto"/>
        <w:ind w:left="0" w:firstLine="0"/>
        <w:rPr/>
      </w:pPr>
      <w:r w:rsidDel="00000000" w:rsidR="00000000" w:rsidRPr="00000000">
        <w:rPr>
          <w:rtl w:val="0"/>
        </w:rPr>
        <w:t xml:space="preserve">The Appellants argued that the claimant should only receive compensation based on the detriment suffered. </w:t>
      </w:r>
    </w:p>
    <w:p w:rsidR="00000000" w:rsidDel="00000000" w:rsidP="00000000" w:rsidRDefault="00000000" w:rsidRPr="00000000" w14:paraId="0000005B">
      <w:pPr>
        <w:spacing w:line="360" w:lineRule="auto"/>
        <w:rPr>
          <w:rFonts w:ascii="Arial" w:cs="Arial" w:eastAsia="Arial" w:hAnsi="Arial"/>
        </w:rPr>
      </w:pPr>
      <w:r w:rsidDel="00000000" w:rsidR="00000000" w:rsidRPr="00000000">
        <w:rPr>
          <w:rFonts w:ascii="Arial" w:cs="Arial" w:eastAsia="Arial" w:hAnsi="Arial"/>
          <w:rtl w:val="0"/>
        </w:rPr>
        <w:t xml:space="preserve">The promise was also based on the death of the second parent then he would receive his share of the property.</w:t>
      </w:r>
      <w:r w:rsidDel="00000000" w:rsidR="00000000" w:rsidRPr="00000000">
        <w:rPr>
          <w:rtl w:val="0"/>
        </w:rPr>
      </w:r>
    </w:p>
    <w:p w:rsidR="00000000" w:rsidDel="00000000" w:rsidP="00000000" w:rsidRDefault="00000000" w:rsidRPr="00000000" w14:paraId="0000005C">
      <w:pPr>
        <w:spacing w:line="360" w:lineRule="auto"/>
        <w:rPr>
          <w:rFonts w:ascii="Arial" w:cs="Arial" w:eastAsia="Arial" w:hAnsi="Arial"/>
          <w:b w:val="1"/>
        </w:rPr>
      </w:pPr>
      <w:r w:rsidDel="00000000" w:rsidR="00000000" w:rsidRPr="00000000">
        <w:rPr>
          <w:rFonts w:ascii="Arial" w:cs="Arial" w:eastAsia="Arial" w:hAnsi="Arial"/>
          <w:b w:val="1"/>
          <w:rtl w:val="0"/>
        </w:rPr>
        <w:t xml:space="preserve">Respondent’s arguments</w:t>
      </w:r>
    </w:p>
    <w:p w:rsidR="00000000" w:rsidDel="00000000" w:rsidP="00000000" w:rsidRDefault="00000000" w:rsidRPr="00000000" w14:paraId="0000005D">
      <w:pPr>
        <w:pStyle w:val="Heading2"/>
        <w:spacing w:line="360" w:lineRule="auto"/>
        <w:ind w:left="680" w:hanging="680"/>
        <w:rPr/>
      </w:pPr>
      <w:r w:rsidDel="00000000" w:rsidR="00000000" w:rsidRPr="00000000">
        <w:rPr>
          <w:rtl w:val="0"/>
        </w:rPr>
        <w:t xml:space="preserve">The respondents claim highlights that Mr A Guest was working on the family farm at a detriment to himself with the assurance of the farm being his if he worked for them.</w:t>
      </w:r>
    </w:p>
    <w:p w:rsidR="00000000" w:rsidDel="00000000" w:rsidP="00000000" w:rsidRDefault="00000000" w:rsidRPr="00000000" w14:paraId="0000005E">
      <w:pPr>
        <w:spacing w:line="360" w:lineRule="auto"/>
        <w:rPr/>
      </w:pPr>
      <w:r w:rsidDel="00000000" w:rsidR="00000000" w:rsidRPr="00000000">
        <w:rPr>
          <w:rtl w:val="0"/>
        </w:rPr>
      </w:r>
    </w:p>
    <w:p w:rsidR="00000000" w:rsidDel="00000000" w:rsidP="00000000" w:rsidRDefault="00000000" w:rsidRPr="00000000" w14:paraId="0000005F">
      <w:pPr>
        <w:spacing w:line="360" w:lineRule="auto"/>
        <w:rPr>
          <w:rFonts w:ascii="Arial" w:cs="Arial" w:eastAsia="Arial" w:hAnsi="Arial"/>
          <w:b w:val="1"/>
        </w:rPr>
      </w:pPr>
      <w:r w:rsidDel="00000000" w:rsidR="00000000" w:rsidRPr="00000000">
        <w:rPr>
          <w:rFonts w:ascii="Arial" w:cs="Arial" w:eastAsia="Arial" w:hAnsi="Arial"/>
          <w:b w:val="1"/>
          <w:rtl w:val="0"/>
        </w:rPr>
        <w:t xml:space="preserve">Decision of court</w:t>
      </w:r>
    </w:p>
    <w:p w:rsidR="00000000" w:rsidDel="00000000" w:rsidP="00000000" w:rsidRDefault="00000000" w:rsidRPr="00000000" w14:paraId="00000060">
      <w:pPr>
        <w:spacing w:line="360" w:lineRule="auto"/>
        <w:rPr>
          <w:rFonts w:ascii="Arial" w:cs="Arial" w:eastAsia="Arial" w:hAnsi="Arial"/>
        </w:rPr>
      </w:pPr>
      <w:r w:rsidDel="00000000" w:rsidR="00000000" w:rsidRPr="00000000">
        <w:rPr>
          <w:rFonts w:ascii="Arial" w:cs="Arial" w:eastAsia="Arial" w:hAnsi="Arial"/>
          <w:rtl w:val="0"/>
        </w:rPr>
        <w:t xml:space="preserve">The court ruled in favour of the claimant Mr A Guest and the appeal of the defendants was refused.</w:t>
      </w:r>
      <w:r w:rsidDel="00000000" w:rsidR="00000000" w:rsidRPr="00000000">
        <w:rPr>
          <w:rtl w:val="0"/>
        </w:rPr>
      </w:r>
    </w:p>
    <w:p w:rsidR="00000000" w:rsidDel="00000000" w:rsidP="00000000" w:rsidRDefault="00000000" w:rsidRPr="00000000" w14:paraId="00000061">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62">
      <w:pPr>
        <w:spacing w:line="360" w:lineRule="auto"/>
        <w:rPr>
          <w:rFonts w:ascii="Arial" w:cs="Arial" w:eastAsia="Arial" w:hAnsi="Arial"/>
          <w:b w:val="1"/>
        </w:rPr>
      </w:pPr>
      <w:r w:rsidDel="00000000" w:rsidR="00000000" w:rsidRPr="00000000">
        <w:rPr>
          <w:rFonts w:ascii="Arial" w:cs="Arial" w:eastAsia="Arial" w:hAnsi="Arial"/>
          <w:b w:val="1"/>
          <w:rtl w:val="0"/>
        </w:rPr>
        <w:t xml:space="preserve">Rule of law</w:t>
      </w:r>
    </w:p>
    <w:p w:rsidR="00000000" w:rsidDel="00000000" w:rsidP="00000000" w:rsidRDefault="00000000" w:rsidRPr="00000000" w14:paraId="00000063">
      <w:pPr>
        <w:spacing w:line="360" w:lineRule="auto"/>
        <w:rPr>
          <w:rFonts w:ascii="Arial" w:cs="Arial" w:eastAsia="Arial" w:hAnsi="Arial"/>
        </w:rPr>
      </w:pPr>
      <w:r w:rsidDel="00000000" w:rsidR="00000000" w:rsidRPr="00000000">
        <w:rPr>
          <w:rFonts w:ascii="Arial" w:cs="Arial" w:eastAsia="Arial" w:hAnsi="Arial"/>
          <w:rtl w:val="0"/>
        </w:rPr>
        <w:t xml:space="preserve">In the case of Guest v Guest [2022] the Supreme Court ruled that after a long running debate, they ruled that unjust enrichment could arise within the family setting, it was held that a family member providing a service could reasonably expect a form of compensation and claim damages if they were not fairly compensated. The case clarified that due to the lack of a contract this does not remove any of these claims and that one party could benefit unfairly from the contribution of another party.</w:t>
      </w:r>
      <w:r w:rsidDel="00000000" w:rsidR="00000000" w:rsidRPr="00000000">
        <w:rPr>
          <w:rtl w:val="0"/>
        </w:rPr>
      </w:r>
    </w:p>
    <w:p w:rsidR="00000000" w:rsidDel="00000000" w:rsidP="00000000" w:rsidRDefault="00000000" w:rsidRPr="00000000" w14:paraId="00000064">
      <w:pPr>
        <w:spacing w:line="360" w:lineRule="auto"/>
        <w:rPr>
          <w:rFonts w:ascii="Arial" w:cs="Arial" w:eastAsia="Arial" w:hAnsi="Arial"/>
          <w:color w:val="70ad47"/>
        </w:rPr>
      </w:pPr>
      <w:r w:rsidDel="00000000" w:rsidR="00000000" w:rsidRPr="00000000">
        <w:rPr>
          <w:rtl w:val="0"/>
        </w:rPr>
      </w:r>
    </w:p>
    <w:p w:rsidR="00000000" w:rsidDel="00000000" w:rsidP="00000000" w:rsidRDefault="00000000" w:rsidRPr="00000000" w14:paraId="00000065">
      <w:pPr>
        <w:spacing w:line="360" w:lineRule="auto"/>
        <w:rPr>
          <w:rFonts w:ascii="Arial" w:cs="Arial" w:eastAsia="Arial" w:hAnsi="Arial"/>
          <w:b w:val="1"/>
        </w:rPr>
      </w:pPr>
      <w:r w:rsidDel="00000000" w:rsidR="00000000" w:rsidRPr="00000000">
        <w:rPr>
          <w:rFonts w:ascii="Arial" w:cs="Arial" w:eastAsia="Arial" w:hAnsi="Arial"/>
          <w:b w:val="1"/>
          <w:rtl w:val="0"/>
        </w:rPr>
        <w:t xml:space="preserve">Reasoning</w:t>
      </w:r>
    </w:p>
    <w:p w:rsidR="00000000" w:rsidDel="00000000" w:rsidP="00000000" w:rsidRDefault="00000000" w:rsidRPr="00000000" w14:paraId="00000066">
      <w:pPr>
        <w:pStyle w:val="Heading2"/>
        <w:spacing w:line="360" w:lineRule="auto"/>
        <w:ind w:left="680" w:hanging="680"/>
        <w:rPr/>
      </w:pPr>
      <w:r w:rsidDel="00000000" w:rsidR="00000000" w:rsidRPr="00000000">
        <w:rPr>
          <w:rtl w:val="0"/>
        </w:rPr>
        <w:t xml:space="preserve">The court's reasoning was based on that there was enough inheritance for the farm to be split into equal parts for him and his younger brother, they ruled that there was enough reliance on the assurance that caused detriment as the claimant worked with them to develop the farm.</w:t>
      </w:r>
    </w:p>
    <w:p w:rsidR="00000000" w:rsidDel="00000000" w:rsidP="00000000" w:rsidRDefault="00000000" w:rsidRPr="00000000" w14:paraId="00000067">
      <w:pPr>
        <w:spacing w:line="360" w:lineRule="auto"/>
        <w:rPr>
          <w:rFonts w:ascii="Arial" w:cs="Arial" w:eastAsia="Arial" w:hAnsi="Arial"/>
          <w:color w:val="70ad47"/>
        </w:rPr>
      </w:pPr>
      <w:r w:rsidDel="00000000" w:rsidR="00000000" w:rsidRPr="00000000">
        <w:rPr>
          <w:rtl w:val="0"/>
        </w:rPr>
      </w:r>
    </w:p>
    <w:p w:rsidR="00000000" w:rsidDel="00000000" w:rsidP="00000000" w:rsidRDefault="00000000" w:rsidRPr="00000000" w14:paraId="00000068">
      <w:pPr>
        <w:spacing w:line="360" w:lineRule="auto"/>
        <w:rPr>
          <w:rFonts w:ascii="Arial" w:cs="Arial" w:eastAsia="Arial" w:hAnsi="Arial"/>
          <w:color w:val="70ad47"/>
        </w:rPr>
      </w:pPr>
      <w:r w:rsidDel="00000000" w:rsidR="00000000" w:rsidRPr="00000000">
        <w:rPr>
          <w:rtl w:val="0"/>
        </w:rPr>
      </w:r>
    </w:p>
    <w:p w:rsidR="00000000" w:rsidDel="00000000" w:rsidP="00000000" w:rsidRDefault="00000000" w:rsidRPr="00000000" w14:paraId="00000069">
      <w:pPr>
        <w:spacing w:line="360" w:lineRule="auto"/>
        <w:rPr>
          <w:rFonts w:ascii="Arial" w:cs="Arial" w:eastAsia="Arial" w:hAnsi="Arial"/>
          <w:color w:val="70ad47"/>
        </w:rPr>
      </w:pPr>
      <w:r w:rsidDel="00000000" w:rsidR="00000000" w:rsidRPr="00000000">
        <w:rPr>
          <w:rtl w:val="0"/>
        </w:rPr>
      </w:r>
    </w:p>
    <w:p w:rsidR="00000000" w:rsidDel="00000000" w:rsidP="00000000" w:rsidRDefault="00000000" w:rsidRPr="00000000" w14:paraId="0000006A">
      <w:pPr>
        <w:spacing w:line="36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6B">
      <w:pPr>
        <w:pStyle w:val="Heading1"/>
        <w:spacing w:line="360" w:lineRule="auto"/>
        <w:ind w:left="680" w:hanging="680"/>
        <w:rPr/>
      </w:pPr>
      <w:r w:rsidDel="00000000" w:rsidR="00000000" w:rsidRPr="00000000">
        <w:rPr>
          <w:rtl w:val="0"/>
        </w:rPr>
        <w:t xml:space="preserve">References</w:t>
      </w:r>
    </w:p>
    <w:p w:rsidR="00000000" w:rsidDel="00000000" w:rsidP="00000000" w:rsidRDefault="00000000" w:rsidRPr="00000000" w14:paraId="0000006C">
      <w:pPr>
        <w:spacing w:line="360" w:lineRule="auto"/>
        <w:rPr>
          <w:rFonts w:ascii="Arial" w:cs="Arial" w:eastAsia="Arial" w:hAnsi="Arial"/>
        </w:rPr>
      </w:pPr>
      <w:r w:rsidDel="00000000" w:rsidR="00000000" w:rsidRPr="00000000">
        <w:rPr>
          <w:rFonts w:ascii="Arial" w:cs="Arial" w:eastAsia="Arial" w:hAnsi="Arial"/>
          <w:rtl w:val="0"/>
        </w:rPr>
        <w:t xml:space="preserve">Price, S. (2024) Osbournes Law LLP. </w:t>
      </w:r>
      <w:r w:rsidDel="00000000" w:rsidR="00000000" w:rsidRPr="00000000">
        <w:rPr>
          <w:rFonts w:ascii="Arial" w:cs="Arial" w:eastAsia="Arial" w:hAnsi="Arial"/>
          <w:i w:val="1"/>
          <w:rtl w:val="0"/>
        </w:rPr>
        <w:t xml:space="preserve">‘Constructive Trusts.’  </w:t>
      </w:r>
      <w:r w:rsidDel="00000000" w:rsidR="00000000" w:rsidRPr="00000000">
        <w:rPr>
          <w:rFonts w:ascii="Arial" w:cs="Arial" w:eastAsia="Arial" w:hAnsi="Arial"/>
          <w:rtl w:val="0"/>
        </w:rPr>
        <w:t xml:space="preserve">Available at: </w:t>
      </w:r>
    </w:p>
    <w:p w:rsidR="00000000" w:rsidDel="00000000" w:rsidP="00000000" w:rsidRDefault="00000000" w:rsidRPr="00000000" w14:paraId="0000006D">
      <w:pPr>
        <w:spacing w:line="360" w:lineRule="auto"/>
        <w:rPr>
          <w:rFonts w:ascii="Arial" w:cs="Arial" w:eastAsia="Arial" w:hAnsi="Arial"/>
        </w:rPr>
      </w:pPr>
      <w:hyperlink r:id="rId7">
        <w:r w:rsidDel="00000000" w:rsidR="00000000" w:rsidRPr="00000000">
          <w:rPr>
            <w:rFonts w:ascii="Arial" w:cs="Arial" w:eastAsia="Arial" w:hAnsi="Arial"/>
            <w:color w:val="1155cc"/>
            <w:u w:val="single"/>
            <w:rtl w:val="0"/>
          </w:rPr>
          <w:t xml:space="preserve">https://osborneslaw.com/blog/constructive-trusts/#:~:text=A%20constructive%20trust%20arises%20by,of%20property%20occupied%20by%20cohabitees</w:t>
        </w:r>
      </w:hyperlink>
      <w:r w:rsidDel="00000000" w:rsidR="00000000" w:rsidRPr="00000000">
        <w:rPr>
          <w:rFonts w:ascii="Arial" w:cs="Arial" w:eastAsia="Arial" w:hAnsi="Arial"/>
          <w:rtl w:val="0"/>
        </w:rPr>
        <w:t xml:space="preserve">.</w:t>
      </w:r>
    </w:p>
    <w:p w:rsidR="00000000" w:rsidDel="00000000" w:rsidP="00000000" w:rsidRDefault="00000000" w:rsidRPr="00000000" w14:paraId="0000006E">
      <w:pPr>
        <w:spacing w:line="360" w:lineRule="auto"/>
        <w:rPr>
          <w:rFonts w:ascii="Arial" w:cs="Arial" w:eastAsia="Arial" w:hAnsi="Arial"/>
        </w:rPr>
      </w:pPr>
      <w:r w:rsidDel="00000000" w:rsidR="00000000" w:rsidRPr="00000000">
        <w:rPr>
          <w:rFonts w:ascii="Arial" w:cs="Arial" w:eastAsia="Arial" w:hAnsi="Arial"/>
          <w:rtl w:val="0"/>
        </w:rPr>
        <w:t xml:space="preserve">(Accessed: 4th November 2024)</w:t>
      </w:r>
      <w:r w:rsidDel="00000000" w:rsidR="00000000" w:rsidRPr="00000000">
        <w:rPr>
          <w:rtl w:val="0"/>
        </w:rPr>
      </w:r>
    </w:p>
    <w:p w:rsidR="00000000" w:rsidDel="00000000" w:rsidP="00000000" w:rsidRDefault="00000000" w:rsidRPr="00000000" w14:paraId="0000006F">
      <w:pPr>
        <w:spacing w:line="360" w:lineRule="auto"/>
        <w:rPr>
          <w:rFonts w:ascii="Arial" w:cs="Arial" w:eastAsia="Arial" w:hAnsi="Arial"/>
        </w:rPr>
      </w:pPr>
      <w:r w:rsidDel="00000000" w:rsidR="00000000" w:rsidRPr="00000000">
        <w:rPr>
          <w:rtl w:val="0"/>
        </w:rPr>
      </w:r>
    </w:p>
    <w:p w:rsidR="00000000" w:rsidDel="00000000" w:rsidP="00000000" w:rsidRDefault="00000000" w:rsidRPr="00000000" w14:paraId="00000070">
      <w:pPr>
        <w:spacing w:line="360" w:lineRule="auto"/>
        <w:rPr>
          <w:rFonts w:ascii="Arial" w:cs="Arial" w:eastAsia="Arial" w:hAnsi="Arial"/>
        </w:rPr>
      </w:pPr>
      <w:r w:rsidDel="00000000" w:rsidR="00000000" w:rsidRPr="00000000">
        <w:rPr>
          <w:rFonts w:ascii="Arial" w:cs="Arial" w:eastAsia="Arial" w:hAnsi="Arial"/>
          <w:rtl w:val="0"/>
        </w:rPr>
        <w:t xml:space="preserve">Guest v Guest [2022]  UKSC 27</w:t>
      </w:r>
    </w:p>
    <w:p w:rsidR="00000000" w:rsidDel="00000000" w:rsidP="00000000" w:rsidRDefault="00000000" w:rsidRPr="00000000" w14:paraId="00000071">
      <w:pPr>
        <w:spacing w:line="360" w:lineRule="auto"/>
        <w:rPr>
          <w:rFonts w:ascii="Arial" w:cs="Arial" w:eastAsia="Arial" w:hAnsi="Arial"/>
        </w:rPr>
      </w:pPr>
      <w:r w:rsidDel="00000000" w:rsidR="00000000" w:rsidRPr="00000000">
        <w:rPr>
          <w:rFonts w:ascii="Arial" w:cs="Arial" w:eastAsia="Arial" w:hAnsi="Arial"/>
          <w:rtl w:val="0"/>
        </w:rPr>
        <w:t xml:space="preserve">Anaghara v Anaghara [2020] EWHC 3091 (Ch)</w:t>
      </w:r>
    </w:p>
    <w:p w:rsidR="00000000" w:rsidDel="00000000" w:rsidP="00000000" w:rsidRDefault="00000000" w:rsidRPr="00000000" w14:paraId="00000072">
      <w:pPr>
        <w:spacing w:line="360" w:lineRule="auto"/>
        <w:rPr>
          <w:rFonts w:ascii="Arial" w:cs="Arial" w:eastAsia="Arial" w:hAnsi="Arial"/>
        </w:rPr>
      </w:pPr>
      <w:r w:rsidDel="00000000" w:rsidR="00000000" w:rsidRPr="00000000">
        <w:rPr>
          <w:rFonts w:ascii="Arial" w:cs="Arial" w:eastAsia="Arial" w:hAnsi="Arial"/>
          <w:rtl w:val="0"/>
        </w:rPr>
        <w:t xml:space="preserve">Habberfield v Habberfield [2019] EWCA Civ 890</w:t>
      </w:r>
    </w:p>
    <w:p w:rsidR="00000000" w:rsidDel="00000000" w:rsidP="00000000" w:rsidRDefault="00000000" w:rsidRPr="00000000" w14:paraId="00000073">
      <w:pPr>
        <w:spacing w:line="360" w:lineRule="auto"/>
        <w:rPr>
          <w:rFonts w:ascii="Arial" w:cs="Arial" w:eastAsia="Arial" w:hAnsi="Arial"/>
        </w:rPr>
      </w:pPr>
      <w:r w:rsidDel="00000000" w:rsidR="00000000" w:rsidRPr="00000000">
        <w:rPr>
          <w:rFonts w:ascii="Arial" w:cs="Arial" w:eastAsia="Arial" w:hAnsi="Arial"/>
          <w:rtl w:val="0"/>
        </w:rPr>
        <w:t xml:space="preserve">Teasedale v Carter and Teasedale [2023] EWHC 490 (Fam)</w:t>
      </w:r>
    </w:p>
    <w:p w:rsidR="00000000" w:rsidDel="00000000" w:rsidP="00000000" w:rsidRDefault="00000000" w:rsidRPr="00000000" w14:paraId="00000074">
      <w:pPr>
        <w:spacing w:line="360" w:lineRule="auto"/>
        <w:rPr>
          <w:rFonts w:ascii="Arial" w:cs="Arial" w:eastAsia="Arial" w:hAnsi="Arial"/>
        </w:rPr>
      </w:pPr>
      <w:r w:rsidDel="00000000" w:rsidR="00000000" w:rsidRPr="00000000">
        <w:rPr>
          <w:rFonts w:ascii="Arial" w:cs="Arial" w:eastAsia="Arial" w:hAnsi="Arial"/>
          <w:rtl w:val="0"/>
        </w:rPr>
        <w:t xml:space="preserve">Spencer v Spencer [2023] EWHC 2050</w:t>
      </w:r>
    </w:p>
    <w:p w:rsidR="00000000" w:rsidDel="00000000" w:rsidP="00000000" w:rsidRDefault="00000000" w:rsidRPr="00000000" w14:paraId="00000075">
      <w:pPr>
        <w:spacing w:line="360" w:lineRule="auto"/>
        <w:rPr>
          <w:rFonts w:ascii="Arial" w:cs="Arial" w:eastAsia="Arial" w:hAnsi="Arial"/>
        </w:rPr>
      </w:pPr>
      <w:r w:rsidDel="00000000" w:rsidR="00000000" w:rsidRPr="00000000">
        <w:rPr>
          <w:rFonts w:ascii="Arial" w:cs="Arial" w:eastAsia="Arial" w:hAnsi="Arial"/>
          <w:rtl w:val="0"/>
        </w:rPr>
        <w:t xml:space="preserve">Stack v Dowden [2007] 2 AC 432</w:t>
      </w:r>
    </w:p>
    <w:p w:rsidR="00000000" w:rsidDel="00000000" w:rsidP="00000000" w:rsidRDefault="00000000" w:rsidRPr="00000000" w14:paraId="00000076">
      <w:pPr>
        <w:spacing w:line="360" w:lineRule="auto"/>
        <w:rPr>
          <w:rFonts w:ascii="Arial" w:cs="Arial" w:eastAsia="Arial" w:hAnsi="Arial"/>
        </w:rPr>
      </w:pPr>
      <w:r w:rsidDel="00000000" w:rsidR="00000000" w:rsidRPr="00000000">
        <w:rPr>
          <w:rFonts w:ascii="Arial" w:cs="Arial" w:eastAsia="Arial" w:hAnsi="Arial"/>
          <w:rtl w:val="0"/>
        </w:rPr>
        <w:t xml:space="preserve">Lloyds Bank plc v Rosset [1991] 1 AC 107</w:t>
      </w:r>
    </w:p>
    <w:p w:rsidR="00000000" w:rsidDel="00000000" w:rsidP="00000000" w:rsidRDefault="00000000" w:rsidRPr="00000000" w14:paraId="00000077">
      <w:pPr>
        <w:spacing w:line="360" w:lineRule="auto"/>
        <w:rPr>
          <w:rFonts w:ascii="Arial" w:cs="Arial" w:eastAsia="Arial" w:hAnsi="Arial"/>
        </w:rPr>
      </w:pPr>
      <w:r w:rsidDel="00000000" w:rsidR="00000000" w:rsidRPr="00000000">
        <w:rPr>
          <w:rFonts w:ascii="Arial" w:cs="Arial" w:eastAsia="Arial" w:hAnsi="Arial"/>
          <w:rtl w:val="0"/>
        </w:rPr>
        <w:t xml:space="preserve">Oxley v Hiscock [2005] Fam 211</w:t>
      </w:r>
    </w:p>
    <w:p w:rsidR="00000000" w:rsidDel="00000000" w:rsidP="00000000" w:rsidRDefault="00000000" w:rsidRPr="00000000" w14:paraId="00000078">
      <w:pPr>
        <w:spacing w:line="360" w:lineRule="auto"/>
        <w:rPr>
          <w:rFonts w:ascii="Arial" w:cs="Arial" w:eastAsia="Arial" w:hAnsi="Arial"/>
        </w:rPr>
      </w:pPr>
      <w:r w:rsidDel="00000000" w:rsidR="00000000" w:rsidRPr="00000000">
        <w:rPr>
          <w:rtl w:val="0"/>
        </w:rPr>
      </w:r>
    </w:p>
    <w:sectPr>
      <w:footerReference r:id="rId8" w:type="default"/>
      <w:footerReference r:id="rId9"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432" w:hanging="432"/>
      </w:pPr>
      <w:rPr/>
    </w:lvl>
    <w:lvl w:ilvl="1">
      <w:start w:val="1"/>
      <w:numFmt w:val="decimal"/>
      <w:lvlText w:val="%1.%2"/>
      <w:lvlJc w:val="left"/>
      <w:pPr>
        <w:ind w:left="576" w:hanging="576"/>
      </w:pPr>
      <w:rPr>
        <w:color w:val="000000"/>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80" w:before="360" w:line="360" w:lineRule="auto"/>
      <w:ind w:left="680" w:hanging="680"/>
    </w:pPr>
    <w:rPr>
      <w:rFonts w:ascii="Arial" w:cs="Arial" w:eastAsia="Arial" w:hAnsi="Arial"/>
      <w:b w:val="1"/>
    </w:rPr>
  </w:style>
  <w:style w:type="paragraph" w:styleId="Heading2">
    <w:name w:val="heading 2"/>
    <w:basedOn w:val="Normal"/>
    <w:next w:val="Normal"/>
    <w:pPr>
      <w:keepNext w:val="1"/>
      <w:spacing w:after="80" w:before="160" w:line="360" w:lineRule="auto"/>
      <w:ind w:left="680" w:hanging="680"/>
    </w:pPr>
    <w:rPr>
      <w:rFonts w:ascii="Arial" w:cs="Arial" w:eastAsia="Arial" w:hAnsi="Arial"/>
    </w:rPr>
  </w:style>
  <w:style w:type="paragraph" w:styleId="Heading3">
    <w:name w:val="heading 3"/>
    <w:basedOn w:val="Normal"/>
    <w:next w:val="Normal"/>
    <w:pPr>
      <w:keepNext w:val="1"/>
      <w:keepLines w:val="1"/>
      <w:spacing w:after="80" w:before="160" w:lineRule="auto"/>
      <w:ind w:left="720" w:hanging="720"/>
    </w:pPr>
    <w:rPr>
      <w:color w:val="2f5496"/>
      <w:sz w:val="28"/>
      <w:szCs w:val="28"/>
    </w:rPr>
  </w:style>
  <w:style w:type="paragraph" w:styleId="Heading4">
    <w:name w:val="heading 4"/>
    <w:basedOn w:val="Normal"/>
    <w:next w:val="Normal"/>
    <w:pPr>
      <w:keepNext w:val="1"/>
      <w:keepLines w:val="1"/>
      <w:spacing w:after="40" w:before="80" w:line="360" w:lineRule="auto"/>
      <w:ind w:left="1020" w:hanging="340"/>
    </w:pPr>
    <w:rPr>
      <w:rFonts w:ascii="Arial" w:cs="Arial" w:eastAsia="Arial" w:hAnsi="Arial"/>
    </w:rPr>
  </w:style>
  <w:style w:type="paragraph" w:styleId="Heading5">
    <w:name w:val="heading 5"/>
    <w:basedOn w:val="Normal"/>
    <w:next w:val="Normal"/>
    <w:pPr>
      <w:keepNext w:val="1"/>
      <w:keepLines w:val="1"/>
      <w:spacing w:after="40" w:before="80" w:lineRule="auto"/>
      <w:ind w:left="1008" w:hanging="1008"/>
    </w:pPr>
    <w:rPr>
      <w:color w:val="2f5496"/>
    </w:rPr>
  </w:style>
  <w:style w:type="paragraph" w:styleId="Heading6">
    <w:name w:val="heading 6"/>
    <w:basedOn w:val="Normal"/>
    <w:next w:val="Normal"/>
    <w:pPr>
      <w:keepNext w:val="1"/>
      <w:keepLines w:val="1"/>
      <w:spacing w:before="40" w:lineRule="auto"/>
      <w:ind w:left="1152" w:hanging="1152"/>
    </w:pPr>
    <w:rPr>
      <w:i w:val="1"/>
      <w:color w:val="595959"/>
    </w:rPr>
  </w:style>
  <w:style w:type="paragraph" w:styleId="Title">
    <w:name w:val="Title"/>
    <w:basedOn w:val="Normal"/>
    <w:next w:val="Normal"/>
    <w:pPr>
      <w:spacing w:after="80" w:lineRule="auto"/>
    </w:pPr>
    <w:rPr>
      <w:rFonts w:ascii="Arial" w:cs="Arial" w:eastAsia="Arial" w:hAnsi="Arial"/>
      <w:sz w:val="56"/>
      <w:szCs w:val="56"/>
    </w:rPr>
  </w:style>
  <w:style w:type="paragraph" w:styleId="Normal" w:default="1">
    <w:name w:val="Normal"/>
    <w:qFormat w:val="1"/>
    <w:rsid w:val="00BA0A8D"/>
    <w:rPr>
      <w:rFonts w:ascii="Times New Roman" w:cs="Times New Roman" w:eastAsia="Times New Roman" w:hAnsi="Times New Roman"/>
      <w:kern w:val="0"/>
      <w:lang w:eastAsia="en-GB"/>
    </w:rPr>
  </w:style>
  <w:style w:type="paragraph" w:styleId="Heading1">
    <w:name w:val="heading 1"/>
    <w:basedOn w:val="Normal"/>
    <w:next w:val="Normal"/>
    <w:link w:val="Heading1Char"/>
    <w:uiPriority w:val="9"/>
    <w:qFormat w:val="1"/>
    <w:rsid w:val="005F216E"/>
    <w:pPr>
      <w:numPr>
        <w:numId w:val="7"/>
      </w:numPr>
      <w:snapToGrid w:val="0"/>
      <w:spacing w:after="80" w:before="360" w:line="360" w:lineRule="auto"/>
      <w:ind w:left="680" w:hanging="680"/>
      <w:outlineLvl w:val="0"/>
    </w:pPr>
    <w:rPr>
      <w:rFonts w:asciiTheme="majorHAnsi" w:cstheme="majorBidi" w:eastAsiaTheme="majorEastAsia" w:hAnsiTheme="majorHAnsi"/>
      <w:b w:val="1"/>
      <w:szCs w:val="40"/>
    </w:rPr>
  </w:style>
  <w:style w:type="paragraph" w:styleId="Heading2">
    <w:name w:val="heading 2"/>
    <w:aliases w:val="Main body"/>
    <w:basedOn w:val="Normal"/>
    <w:next w:val="Normal"/>
    <w:link w:val="Heading2Char"/>
    <w:uiPriority w:val="9"/>
    <w:unhideWhenUsed w:val="1"/>
    <w:qFormat w:val="1"/>
    <w:rsid w:val="005F216E"/>
    <w:pPr>
      <w:keepNext w:val="1"/>
      <w:numPr>
        <w:ilvl w:val="1"/>
        <w:numId w:val="7"/>
      </w:numPr>
      <w:spacing w:after="80" w:before="160" w:line="360" w:lineRule="auto"/>
      <w:ind w:left="680" w:hanging="680"/>
      <w:outlineLvl w:val="1"/>
    </w:pPr>
    <w:rPr>
      <w:rFonts w:ascii="Arial" w:hAnsi="Arial" w:cstheme="majorBidi" w:eastAsiaTheme="majorEastAsia"/>
      <w:szCs w:val="32"/>
    </w:rPr>
  </w:style>
  <w:style w:type="paragraph" w:styleId="Heading3">
    <w:name w:val="heading 3"/>
    <w:basedOn w:val="Normal"/>
    <w:next w:val="Normal"/>
    <w:link w:val="Heading3Char"/>
    <w:uiPriority w:val="9"/>
    <w:unhideWhenUsed w:val="1"/>
    <w:rsid w:val="002F7D75"/>
    <w:pPr>
      <w:keepNext w:val="1"/>
      <w:keepLines w:val="1"/>
      <w:numPr>
        <w:ilvl w:val="2"/>
        <w:numId w:val="7"/>
      </w:numPr>
      <w:spacing w:after="80" w:before="160"/>
      <w:outlineLvl w:val="2"/>
    </w:pPr>
    <w:rPr>
      <w:rFonts w:cstheme="majorBidi" w:eastAsiaTheme="majorEastAsia"/>
      <w:color w:val="2f5496" w:themeColor="accent1" w:themeShade="0000BF"/>
      <w:sz w:val="28"/>
      <w:szCs w:val="28"/>
    </w:rPr>
  </w:style>
  <w:style w:type="paragraph" w:styleId="Heading4">
    <w:name w:val="heading 4"/>
    <w:aliases w:val="bullet list"/>
    <w:basedOn w:val="Normal"/>
    <w:next w:val="Normal"/>
    <w:link w:val="Heading4Char"/>
    <w:uiPriority w:val="9"/>
    <w:unhideWhenUsed w:val="1"/>
    <w:qFormat w:val="1"/>
    <w:rsid w:val="00F6130D"/>
    <w:pPr>
      <w:keepNext w:val="1"/>
      <w:keepLines w:val="1"/>
      <w:numPr>
        <w:numId w:val="9"/>
      </w:numPr>
      <w:spacing w:after="40" w:before="80" w:line="360" w:lineRule="auto"/>
      <w:ind w:left="1020" w:hanging="340"/>
      <w:outlineLvl w:val="3"/>
    </w:pPr>
    <w:rPr>
      <w:rFonts w:asciiTheme="majorHAnsi" w:cstheme="majorBidi" w:eastAsiaTheme="majorEastAsia" w:hAnsiTheme="majorHAnsi"/>
      <w:iCs w:val="1"/>
    </w:rPr>
  </w:style>
  <w:style w:type="paragraph" w:styleId="Heading5">
    <w:name w:val="heading 5"/>
    <w:basedOn w:val="Normal"/>
    <w:next w:val="Normal"/>
    <w:link w:val="Heading5Char"/>
    <w:uiPriority w:val="9"/>
    <w:unhideWhenUsed w:val="1"/>
    <w:rsid w:val="002F7D75"/>
    <w:pPr>
      <w:keepNext w:val="1"/>
      <w:keepLines w:val="1"/>
      <w:numPr>
        <w:ilvl w:val="4"/>
        <w:numId w:val="7"/>
      </w:numPr>
      <w:spacing w:after="40" w:before="80"/>
      <w:outlineLvl w:val="4"/>
    </w:pPr>
    <w:rPr>
      <w:rFonts w:cstheme="majorBidi" w:eastAsiaTheme="majorEastAsia"/>
      <w:color w:val="2f5496" w:themeColor="accent1" w:themeShade="0000BF"/>
    </w:rPr>
  </w:style>
  <w:style w:type="paragraph" w:styleId="Heading6">
    <w:name w:val="heading 6"/>
    <w:basedOn w:val="Normal"/>
    <w:next w:val="Normal"/>
    <w:link w:val="Heading6Char"/>
    <w:uiPriority w:val="9"/>
    <w:semiHidden w:val="1"/>
    <w:unhideWhenUsed w:val="1"/>
    <w:qFormat w:val="1"/>
    <w:rsid w:val="002F7D75"/>
    <w:pPr>
      <w:keepNext w:val="1"/>
      <w:keepLines w:val="1"/>
      <w:numPr>
        <w:ilvl w:val="5"/>
        <w:numId w:val="7"/>
      </w:numPr>
      <w:spacing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2F7D75"/>
    <w:pPr>
      <w:keepNext w:val="1"/>
      <w:keepLines w:val="1"/>
      <w:numPr>
        <w:ilvl w:val="6"/>
        <w:numId w:val="7"/>
      </w:numPr>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2F7D75"/>
    <w:pPr>
      <w:keepNext w:val="1"/>
      <w:keepLines w:val="1"/>
      <w:numPr>
        <w:ilvl w:val="7"/>
        <w:numId w:val="7"/>
      </w:numPr>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2F7D75"/>
    <w:pPr>
      <w:keepNext w:val="1"/>
      <w:keepLines w:val="1"/>
      <w:numPr>
        <w:ilvl w:val="8"/>
        <w:numId w:val="7"/>
      </w:numPr>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F216E"/>
    <w:rPr>
      <w:rFonts w:asciiTheme="majorHAnsi" w:cstheme="majorBidi" w:eastAsiaTheme="majorEastAsia" w:hAnsiTheme="majorHAnsi"/>
      <w:b w:val="1"/>
      <w:kern w:val="0"/>
      <w:szCs w:val="40"/>
      <w:lang w:eastAsia="en-GB"/>
    </w:rPr>
  </w:style>
  <w:style w:type="character" w:styleId="Heading2Char" w:customStyle="1">
    <w:name w:val="Heading 2 Char"/>
    <w:aliases w:val="Main body Char"/>
    <w:basedOn w:val="DefaultParagraphFont"/>
    <w:link w:val="Heading2"/>
    <w:uiPriority w:val="9"/>
    <w:rsid w:val="005F216E"/>
    <w:rPr>
      <w:rFonts w:ascii="Arial" w:hAnsi="Arial" w:cstheme="majorBidi" w:eastAsiaTheme="majorEastAsia"/>
      <w:kern w:val="0"/>
      <w:szCs w:val="32"/>
      <w:lang w:eastAsia="en-GB"/>
    </w:rPr>
  </w:style>
  <w:style w:type="character" w:styleId="Heading3Char" w:customStyle="1">
    <w:name w:val="Heading 3 Char"/>
    <w:basedOn w:val="DefaultParagraphFont"/>
    <w:link w:val="Heading3"/>
    <w:uiPriority w:val="9"/>
    <w:rsid w:val="002F7D75"/>
    <w:rPr>
      <w:rFonts w:cstheme="majorBidi" w:eastAsiaTheme="majorEastAsia"/>
      <w:color w:val="2f5496" w:themeColor="accent1" w:themeShade="0000BF"/>
      <w:sz w:val="28"/>
      <w:szCs w:val="28"/>
    </w:rPr>
  </w:style>
  <w:style w:type="character" w:styleId="Heading4Char" w:customStyle="1">
    <w:name w:val="Heading 4 Char"/>
    <w:aliases w:val="bullet list Char"/>
    <w:basedOn w:val="DefaultParagraphFont"/>
    <w:link w:val="Heading4"/>
    <w:uiPriority w:val="9"/>
    <w:rsid w:val="00F6130D"/>
    <w:rPr>
      <w:rFonts w:asciiTheme="majorHAnsi" w:cstheme="majorBidi" w:eastAsiaTheme="majorEastAsia" w:hAnsiTheme="majorHAnsi"/>
      <w:iCs w:val="1"/>
      <w:kern w:val="0"/>
      <w:lang w:eastAsia="en-GB"/>
    </w:rPr>
  </w:style>
  <w:style w:type="character" w:styleId="Heading5Char" w:customStyle="1">
    <w:name w:val="Heading 5 Char"/>
    <w:basedOn w:val="DefaultParagraphFont"/>
    <w:link w:val="Heading5"/>
    <w:uiPriority w:val="9"/>
    <w:rsid w:val="002F7D75"/>
    <w:rPr>
      <w:rFonts w:cstheme="majorBidi" w:eastAsiaTheme="majorEastAsia"/>
      <w:color w:val="2f5496" w:themeColor="accent1" w:themeShade="0000BF"/>
    </w:rPr>
  </w:style>
  <w:style w:type="character" w:styleId="Heading6Char" w:customStyle="1">
    <w:name w:val="Heading 6 Char"/>
    <w:basedOn w:val="DefaultParagraphFont"/>
    <w:link w:val="Heading6"/>
    <w:uiPriority w:val="9"/>
    <w:semiHidden w:val="1"/>
    <w:rsid w:val="002F7D75"/>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2F7D75"/>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2F7D75"/>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2F7D75"/>
    <w:rPr>
      <w:rFonts w:cstheme="majorBidi" w:eastAsiaTheme="majorEastAsia"/>
      <w:color w:val="272727" w:themeColor="text1" w:themeTint="0000D8"/>
    </w:rPr>
  </w:style>
  <w:style w:type="paragraph" w:styleId="Title">
    <w:name w:val="Title"/>
    <w:basedOn w:val="Normal"/>
    <w:next w:val="Normal"/>
    <w:link w:val="TitleChar"/>
    <w:uiPriority w:val="10"/>
    <w:rsid w:val="002F7D75"/>
    <w:pPr>
      <w:spacing w:after="80"/>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2F7D75"/>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rsid w:val="002F7D75"/>
    <w:pPr>
      <w:numPr>
        <w:ilvl w:val="1"/>
      </w:numPr>
      <w:spacing w:after="160"/>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2F7D75"/>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2F7D75"/>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2F7D75"/>
    <w:rPr>
      <w:i w:val="1"/>
      <w:iCs w:val="1"/>
      <w:color w:val="404040" w:themeColor="text1" w:themeTint="0000BF"/>
    </w:rPr>
  </w:style>
  <w:style w:type="paragraph" w:styleId="ListParagraph">
    <w:name w:val="List Paragraph"/>
    <w:basedOn w:val="Normal"/>
    <w:uiPriority w:val="34"/>
    <w:qFormat w:val="1"/>
    <w:rsid w:val="002F7D75"/>
    <w:pPr>
      <w:ind w:left="720"/>
      <w:contextualSpacing w:val="1"/>
    </w:pPr>
  </w:style>
  <w:style w:type="character" w:styleId="IntenseEmphasis">
    <w:name w:val="Intense Emphasis"/>
    <w:basedOn w:val="DefaultParagraphFont"/>
    <w:uiPriority w:val="21"/>
    <w:rsid w:val="002F7D75"/>
    <w:rPr>
      <w:i w:val="1"/>
      <w:iCs w:val="1"/>
      <w:color w:val="2f5496" w:themeColor="accent1" w:themeShade="0000BF"/>
    </w:rPr>
  </w:style>
  <w:style w:type="paragraph" w:styleId="IntenseQuote">
    <w:name w:val="Intense Quote"/>
    <w:basedOn w:val="Normal"/>
    <w:next w:val="Normal"/>
    <w:link w:val="IntenseQuoteChar"/>
    <w:uiPriority w:val="30"/>
    <w:rsid w:val="002F7D75"/>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2F7D75"/>
    <w:rPr>
      <w:i w:val="1"/>
      <w:iCs w:val="1"/>
      <w:color w:val="2f5496" w:themeColor="accent1" w:themeShade="0000BF"/>
    </w:rPr>
  </w:style>
  <w:style w:type="character" w:styleId="IntenseReference">
    <w:name w:val="Intense Reference"/>
    <w:basedOn w:val="DefaultParagraphFont"/>
    <w:uiPriority w:val="32"/>
    <w:rsid w:val="002F7D75"/>
    <w:rPr>
      <w:b w:val="1"/>
      <w:bCs w:val="1"/>
      <w:smallCaps w:val="1"/>
      <w:color w:val="2f5496" w:themeColor="accent1" w:themeShade="0000BF"/>
      <w:spacing w:val="5"/>
    </w:rPr>
  </w:style>
  <w:style w:type="numbering" w:styleId="CurrentList1" w:customStyle="1">
    <w:name w:val="Current List1"/>
    <w:uiPriority w:val="99"/>
    <w:rsid w:val="00BA0A8D"/>
    <w:pPr>
      <w:numPr>
        <w:numId w:val="8"/>
      </w:numPr>
    </w:pPr>
  </w:style>
  <w:style w:type="character" w:styleId="Hyperlink">
    <w:name w:val="Hyperlink"/>
    <w:basedOn w:val="DefaultParagraphFont"/>
    <w:uiPriority w:val="99"/>
    <w:unhideWhenUsed w:val="1"/>
    <w:rsid w:val="008143F1"/>
    <w:rPr>
      <w:color w:val="0563c1" w:themeColor="hyperlink"/>
      <w:u w:val="single"/>
    </w:rPr>
  </w:style>
  <w:style w:type="character" w:styleId="UnresolvedMention">
    <w:name w:val="Unresolved Mention"/>
    <w:basedOn w:val="DefaultParagraphFont"/>
    <w:uiPriority w:val="99"/>
    <w:semiHidden w:val="1"/>
    <w:unhideWhenUsed w:val="1"/>
    <w:rsid w:val="008143F1"/>
    <w:rPr>
      <w:color w:val="605e5c"/>
      <w:shd w:color="auto" w:fill="e1dfdd" w:val="clear"/>
    </w:rPr>
  </w:style>
  <w:style w:type="character" w:styleId="FollowedHyperlink">
    <w:name w:val="FollowedHyperlink"/>
    <w:basedOn w:val="DefaultParagraphFont"/>
    <w:uiPriority w:val="99"/>
    <w:semiHidden w:val="1"/>
    <w:unhideWhenUsed w:val="1"/>
    <w:rsid w:val="008143F1"/>
    <w:rPr>
      <w:color w:val="954f72" w:themeColor="followedHyperlink"/>
      <w:u w:val="single"/>
    </w:rPr>
  </w:style>
  <w:style w:type="character" w:styleId="SubtleEmphasis">
    <w:name w:val="Subtle Emphasis"/>
    <w:aliases w:val="Subtitle 1"/>
    <w:basedOn w:val="DefaultParagraphFont"/>
    <w:uiPriority w:val="19"/>
    <w:qFormat w:val="1"/>
    <w:rsid w:val="00F6130D"/>
    <w:rPr>
      <w:rFonts w:asciiTheme="majorHAnsi" w:hAnsiTheme="majorHAnsi"/>
      <w:b w:val="1"/>
      <w:iCs w:val="1"/>
      <w:color w:val="auto"/>
      <w:spacing w:val="0"/>
      <w:sz w:val="24"/>
      <w:u w:val="none"/>
    </w:rPr>
  </w:style>
  <w:style w:type="paragraph" w:styleId="Header">
    <w:name w:val="header"/>
    <w:basedOn w:val="Normal"/>
    <w:link w:val="HeaderChar"/>
    <w:uiPriority w:val="99"/>
    <w:unhideWhenUsed w:val="1"/>
    <w:rsid w:val="00A27820"/>
    <w:pPr>
      <w:tabs>
        <w:tab w:val="center" w:pos="4513"/>
        <w:tab w:val="right" w:pos="9026"/>
      </w:tabs>
    </w:pPr>
  </w:style>
  <w:style w:type="character" w:styleId="HeaderChar" w:customStyle="1">
    <w:name w:val="Header Char"/>
    <w:basedOn w:val="DefaultParagraphFont"/>
    <w:link w:val="Header"/>
    <w:uiPriority w:val="99"/>
    <w:rsid w:val="00A27820"/>
    <w:rPr>
      <w:rFonts w:ascii="Times New Roman" w:cs="Times New Roman" w:eastAsia="Times New Roman" w:hAnsi="Times New Roman"/>
      <w:kern w:val="0"/>
      <w:lang w:eastAsia="en-GB"/>
    </w:rPr>
  </w:style>
  <w:style w:type="paragraph" w:styleId="Footer">
    <w:name w:val="footer"/>
    <w:basedOn w:val="Normal"/>
    <w:link w:val="FooterChar"/>
    <w:uiPriority w:val="99"/>
    <w:unhideWhenUsed w:val="1"/>
    <w:rsid w:val="00A27820"/>
    <w:pPr>
      <w:tabs>
        <w:tab w:val="center" w:pos="4513"/>
        <w:tab w:val="right" w:pos="9026"/>
      </w:tabs>
    </w:pPr>
  </w:style>
  <w:style w:type="character" w:styleId="FooterChar" w:customStyle="1">
    <w:name w:val="Footer Char"/>
    <w:basedOn w:val="DefaultParagraphFont"/>
    <w:link w:val="Footer"/>
    <w:uiPriority w:val="99"/>
    <w:rsid w:val="00A27820"/>
    <w:rPr>
      <w:rFonts w:ascii="Times New Roman" w:cs="Times New Roman" w:eastAsia="Times New Roman" w:hAnsi="Times New Roman"/>
      <w:kern w:val="0"/>
      <w:lang w:eastAsia="en-GB"/>
    </w:rPr>
  </w:style>
  <w:style w:type="character" w:styleId="PageNumber">
    <w:name w:val="page number"/>
    <w:basedOn w:val="DefaultParagraphFont"/>
    <w:uiPriority w:val="99"/>
    <w:semiHidden w:val="1"/>
    <w:unhideWhenUsed w:val="1"/>
    <w:rsid w:val="00A27820"/>
  </w:style>
  <w:style w:type="paragraph" w:styleId="Subtitle">
    <w:name w:val="Subtitle"/>
    <w:basedOn w:val="Normal"/>
    <w:next w:val="Normal"/>
    <w:pPr>
      <w:spacing w:after="160" w:lineRule="auto"/>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osborneslaw.com/blog/constructive-trusts/#:~:text=A%20constructive%20trust%20arises%20by,of%20property%20occupied%20by%20cohabitees" TargetMode="Externa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Whzg26/phy/tSVQIQg539hiZyQ==">CgMxLjAyDmgubTM4MXphdHY3Zm81OAByITEtbEMxUENpaHdXYk1DODZqWkhhdzBncE9rbzV3VXYzXw==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2024-11-17T09:16:00Z</dcterms:created>
  <dc:creator>Martin Jones</dc:creator>
</cp:coreProperties>
</file>