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Heading1"/>
        <w:jc w:val="center"/>
        <w:rPr>
          <w:sz w:val="50"/>
          <w:szCs w:val="50"/>
        </w:rPr>
      </w:pPr>
      <w:bookmarkStart w:colFirst="0" w:colLast="0" w:name="_heading=h.gjdgxs" w:id="0"/>
      <w:bookmarkEnd w:id="0"/>
      <w:r w:rsidDel="00000000" w:rsidR="00000000" w:rsidRPr="00000000">
        <w:rPr>
          <w:rtl w:val="0"/>
        </w:rPr>
      </w:r>
    </w:p>
    <w:p w:rsidR="00000000" w:rsidDel="00000000" w:rsidP="00000000" w:rsidRDefault="00000000" w:rsidRPr="00000000" w14:paraId="00000002">
      <w:pPr>
        <w:pStyle w:val="Heading1"/>
        <w:jc w:val="center"/>
        <w:rPr>
          <w:sz w:val="50"/>
          <w:szCs w:val="50"/>
        </w:rPr>
      </w:pPr>
      <w:bookmarkStart w:colFirst="0" w:colLast="0" w:name="_heading=h.30j0zll" w:id="1"/>
      <w:bookmarkEnd w:id="1"/>
      <w:r w:rsidDel="00000000" w:rsidR="00000000" w:rsidRPr="00000000">
        <w:rPr>
          <w:rtl w:val="0"/>
        </w:rPr>
      </w:r>
    </w:p>
    <w:p w:rsidR="00000000" w:rsidDel="00000000" w:rsidP="00000000" w:rsidRDefault="00000000" w:rsidRPr="00000000" w14:paraId="00000003">
      <w:pPr>
        <w:pStyle w:val="Heading1"/>
        <w:jc w:val="center"/>
        <w:rPr>
          <w:sz w:val="50"/>
          <w:szCs w:val="50"/>
        </w:rPr>
      </w:pPr>
      <w:bookmarkStart w:colFirst="0" w:colLast="0" w:name="_heading=h.1fob9te" w:id="2"/>
      <w:bookmarkEnd w:id="2"/>
      <w:r w:rsidDel="00000000" w:rsidR="00000000" w:rsidRPr="00000000">
        <w:rPr>
          <w:rtl w:val="0"/>
        </w:rPr>
      </w:r>
    </w:p>
    <w:p w:rsidR="00000000" w:rsidDel="00000000" w:rsidP="00000000" w:rsidRDefault="00000000" w:rsidRPr="00000000" w14:paraId="00000004">
      <w:pPr>
        <w:pStyle w:val="Heading1"/>
        <w:jc w:val="center"/>
        <w:rPr>
          <w:sz w:val="50"/>
          <w:szCs w:val="50"/>
        </w:rPr>
      </w:pPr>
      <w:bookmarkStart w:colFirst="0" w:colLast="0" w:name="_heading=h.3znysh7" w:id="3"/>
      <w:bookmarkEnd w:id="3"/>
      <w:r w:rsidDel="00000000" w:rsidR="00000000" w:rsidRPr="00000000">
        <w:rPr>
          <w:rtl w:val="0"/>
        </w:rPr>
      </w:r>
    </w:p>
    <w:p w:rsidR="00000000" w:rsidDel="00000000" w:rsidP="00000000" w:rsidRDefault="00000000" w:rsidRPr="00000000" w14:paraId="00000005">
      <w:pPr>
        <w:pStyle w:val="Heading1"/>
        <w:jc w:val="left"/>
        <w:rPr>
          <w:sz w:val="50"/>
          <w:szCs w:val="50"/>
        </w:rPr>
      </w:pPr>
      <w:bookmarkStart w:colFirst="0" w:colLast="0" w:name="_heading=h.2et92p0" w:id="4"/>
      <w:bookmarkEnd w:id="4"/>
      <w:r w:rsidDel="00000000" w:rsidR="00000000" w:rsidRPr="00000000">
        <w:rPr>
          <w:rtl w:val="0"/>
        </w:rPr>
      </w:r>
    </w:p>
    <w:p w:rsidR="00000000" w:rsidDel="00000000" w:rsidP="00000000" w:rsidRDefault="00000000" w:rsidRPr="00000000" w14:paraId="00000006">
      <w:pPr>
        <w:jc w:val="center"/>
        <w:rPr>
          <w:b w:val="1"/>
          <w:sz w:val="48"/>
          <w:szCs w:val="48"/>
        </w:rPr>
      </w:pPr>
      <w:r w:rsidDel="00000000" w:rsidR="00000000" w:rsidRPr="00000000">
        <w:rPr>
          <w:rtl w:val="0"/>
        </w:rPr>
      </w:r>
    </w:p>
    <w:p w:rsidR="00000000" w:rsidDel="00000000" w:rsidP="00000000" w:rsidRDefault="00000000" w:rsidRPr="00000000" w14:paraId="00000007">
      <w:pPr>
        <w:jc w:val="center"/>
        <w:rPr>
          <w:b w:val="1"/>
          <w:sz w:val="48"/>
          <w:szCs w:val="48"/>
        </w:rPr>
      </w:pPr>
      <w:r w:rsidDel="00000000" w:rsidR="00000000" w:rsidRPr="00000000">
        <w:rPr>
          <w:b w:val="1"/>
          <w:sz w:val="48"/>
          <w:szCs w:val="48"/>
          <w:rtl w:val="0"/>
        </w:rPr>
        <w:t xml:space="preserve">Managing People</w:t>
      </w:r>
    </w:p>
    <w:p w:rsidR="00000000" w:rsidDel="00000000" w:rsidP="00000000" w:rsidRDefault="00000000" w:rsidRPr="00000000" w14:paraId="00000008">
      <w:pPr>
        <w:jc w:val="center"/>
        <w:rPr>
          <w:b w:val="1"/>
          <w:sz w:val="48"/>
          <w:szCs w:val="48"/>
        </w:rPr>
      </w:pPr>
      <w:r w:rsidDel="00000000" w:rsidR="00000000" w:rsidRPr="00000000">
        <w:rPr>
          <w:b w:val="1"/>
          <w:sz w:val="48"/>
          <w:szCs w:val="48"/>
          <w:rtl w:val="0"/>
        </w:rPr>
        <w:t xml:space="preserve">Assessment 2</w:t>
      </w:r>
    </w:p>
    <w:p w:rsidR="00000000" w:rsidDel="00000000" w:rsidP="00000000" w:rsidRDefault="00000000" w:rsidRPr="00000000" w14:paraId="00000009">
      <w:pPr>
        <w:jc w:val="center"/>
        <w:rPr>
          <w:b w:val="1"/>
          <w:sz w:val="48"/>
          <w:szCs w:val="48"/>
        </w:rPr>
      </w:pPr>
      <w:r w:rsidDel="00000000" w:rsidR="00000000" w:rsidRPr="00000000">
        <w:rPr>
          <w:rtl w:val="0"/>
        </w:rPr>
      </w:r>
    </w:p>
    <w:p w:rsidR="00000000" w:rsidDel="00000000" w:rsidP="00000000" w:rsidRDefault="00000000" w:rsidRPr="00000000" w14:paraId="0000000A">
      <w:pPr>
        <w:jc w:val="center"/>
        <w:rPr>
          <w:b w:val="1"/>
          <w:sz w:val="48"/>
          <w:szCs w:val="48"/>
        </w:rPr>
      </w:pPr>
      <w:r w:rsidDel="00000000" w:rsidR="00000000" w:rsidRPr="00000000">
        <w:rPr>
          <w:rtl w:val="0"/>
        </w:rPr>
      </w:r>
    </w:p>
    <w:p w:rsidR="00000000" w:rsidDel="00000000" w:rsidP="00000000" w:rsidRDefault="00000000" w:rsidRPr="00000000" w14:paraId="0000000B">
      <w:pPr>
        <w:jc w:val="center"/>
        <w:rPr>
          <w:b w:val="1"/>
          <w:sz w:val="48"/>
          <w:szCs w:val="48"/>
        </w:rPr>
      </w:pPr>
      <w:r w:rsidDel="00000000" w:rsidR="00000000" w:rsidRPr="00000000">
        <w:rPr>
          <w:rtl w:val="0"/>
        </w:rPr>
      </w:r>
    </w:p>
    <w:p w:rsidR="00000000" w:rsidDel="00000000" w:rsidP="00000000" w:rsidRDefault="00000000" w:rsidRPr="00000000" w14:paraId="0000000C">
      <w:pPr>
        <w:shd w:fill="ffffff" w:val="clear"/>
        <w:jc w:val="left"/>
        <w:rPr>
          <w:rFonts w:ascii="Arial" w:cs="Arial" w:eastAsia="Arial" w:hAnsi="Arial"/>
          <w:b w:val="1"/>
          <w:color w:val="222222"/>
          <w:sz w:val="22"/>
          <w:szCs w:val="22"/>
        </w:rPr>
      </w:pPr>
      <w:r w:rsidDel="00000000" w:rsidR="00000000" w:rsidRPr="00000000">
        <w:rPr>
          <w:rtl w:val="0"/>
        </w:rPr>
      </w:r>
    </w:p>
    <w:p w:rsidR="00000000" w:rsidDel="00000000" w:rsidP="00000000" w:rsidRDefault="00000000" w:rsidRPr="00000000" w14:paraId="0000000D">
      <w:pPr>
        <w:shd w:fill="ffffff" w:val="clear"/>
        <w:jc w:val="left"/>
        <w:rPr>
          <w:rFonts w:ascii="Arial" w:cs="Arial" w:eastAsia="Arial" w:hAnsi="Arial"/>
          <w:b w:val="1"/>
          <w:color w:val="222222"/>
          <w:sz w:val="22"/>
          <w:szCs w:val="22"/>
        </w:rPr>
      </w:pPr>
      <w:r w:rsidDel="00000000" w:rsidR="00000000" w:rsidRPr="00000000">
        <w:rPr>
          <w:rtl w:val="0"/>
        </w:rPr>
      </w:r>
    </w:p>
    <w:p w:rsidR="00000000" w:rsidDel="00000000" w:rsidP="00000000" w:rsidRDefault="00000000" w:rsidRPr="00000000" w14:paraId="0000000E">
      <w:pPr>
        <w:shd w:fill="ffffff" w:val="clear"/>
        <w:jc w:val="left"/>
        <w:rPr>
          <w:rFonts w:ascii="Arial" w:cs="Arial" w:eastAsia="Arial" w:hAnsi="Arial"/>
          <w:b w:val="1"/>
          <w:color w:val="222222"/>
          <w:sz w:val="22"/>
          <w:szCs w:val="22"/>
        </w:rPr>
      </w:pPr>
      <w:r w:rsidDel="00000000" w:rsidR="00000000" w:rsidRPr="00000000">
        <w:rPr>
          <w:rtl w:val="0"/>
        </w:rPr>
      </w:r>
    </w:p>
    <w:p w:rsidR="00000000" w:rsidDel="00000000" w:rsidP="00000000" w:rsidRDefault="00000000" w:rsidRPr="00000000" w14:paraId="0000000F">
      <w:pPr>
        <w:shd w:fill="ffffff" w:val="clear"/>
        <w:jc w:val="left"/>
        <w:rPr>
          <w:rFonts w:ascii="Arial" w:cs="Arial" w:eastAsia="Arial" w:hAnsi="Arial"/>
          <w:b w:val="1"/>
          <w:color w:val="222222"/>
          <w:sz w:val="22"/>
          <w:szCs w:val="22"/>
        </w:rPr>
      </w:pPr>
      <w:r w:rsidDel="00000000" w:rsidR="00000000" w:rsidRPr="00000000">
        <w:rPr>
          <w:rtl w:val="0"/>
        </w:rPr>
      </w:r>
    </w:p>
    <w:p w:rsidR="00000000" w:rsidDel="00000000" w:rsidP="00000000" w:rsidRDefault="00000000" w:rsidRPr="00000000" w14:paraId="00000010">
      <w:pPr>
        <w:shd w:fill="ffffff" w:val="clear"/>
        <w:jc w:val="left"/>
        <w:rPr>
          <w:rFonts w:ascii="Arial" w:cs="Arial" w:eastAsia="Arial" w:hAnsi="Arial"/>
          <w:b w:val="1"/>
          <w:color w:val="222222"/>
          <w:sz w:val="22"/>
          <w:szCs w:val="22"/>
        </w:rPr>
      </w:pPr>
      <w:r w:rsidDel="00000000" w:rsidR="00000000" w:rsidRPr="00000000">
        <w:rPr>
          <w:rtl w:val="0"/>
        </w:rPr>
      </w:r>
    </w:p>
    <w:p w:rsidR="00000000" w:rsidDel="00000000" w:rsidP="00000000" w:rsidRDefault="00000000" w:rsidRPr="00000000" w14:paraId="00000011">
      <w:pPr>
        <w:shd w:fill="ffffff" w:val="clear"/>
        <w:jc w:val="left"/>
        <w:rPr>
          <w:b w:val="1"/>
          <w:color w:val="222222"/>
        </w:rPr>
      </w:pPr>
      <w:r w:rsidDel="00000000" w:rsidR="00000000" w:rsidRPr="00000000">
        <w:rPr>
          <w:rtl w:val="0"/>
        </w:rPr>
      </w:r>
    </w:p>
    <w:p w:rsidR="00000000" w:rsidDel="00000000" w:rsidP="00000000" w:rsidRDefault="00000000" w:rsidRPr="00000000" w14:paraId="00000012">
      <w:pPr>
        <w:shd w:fill="ffffff" w:val="clear"/>
        <w:jc w:val="left"/>
        <w:rPr>
          <w:b w:val="1"/>
          <w:color w:val="222222"/>
        </w:rPr>
      </w:pPr>
      <w:r w:rsidDel="00000000" w:rsidR="00000000" w:rsidRPr="00000000">
        <w:rPr>
          <w:b w:val="1"/>
          <w:color w:val="222222"/>
          <w:rtl w:val="0"/>
        </w:rPr>
        <w:t xml:space="preserve">Lecturer name: Charles Oham</w:t>
      </w:r>
    </w:p>
    <w:p w:rsidR="00000000" w:rsidDel="00000000" w:rsidP="00000000" w:rsidRDefault="00000000" w:rsidRPr="00000000" w14:paraId="00000013">
      <w:pPr>
        <w:shd w:fill="ffffff" w:val="clear"/>
        <w:jc w:val="left"/>
        <w:rPr>
          <w:b w:val="1"/>
          <w:color w:val="222222"/>
        </w:rPr>
      </w:pPr>
      <w:r w:rsidDel="00000000" w:rsidR="00000000" w:rsidRPr="00000000">
        <w:rPr>
          <w:b w:val="1"/>
          <w:color w:val="222222"/>
          <w:rtl w:val="0"/>
        </w:rPr>
        <w:t xml:space="preserve">Student name: Georgiana Stan</w:t>
      </w:r>
    </w:p>
    <w:p w:rsidR="00000000" w:rsidDel="00000000" w:rsidP="00000000" w:rsidRDefault="00000000" w:rsidRPr="00000000" w14:paraId="00000014">
      <w:pPr>
        <w:shd w:fill="ffffff" w:val="clear"/>
        <w:jc w:val="left"/>
        <w:rPr>
          <w:b w:val="1"/>
          <w:color w:val="222222"/>
        </w:rPr>
      </w:pPr>
      <w:r w:rsidDel="00000000" w:rsidR="00000000" w:rsidRPr="00000000">
        <w:rPr>
          <w:b w:val="1"/>
          <w:color w:val="222222"/>
          <w:rtl w:val="0"/>
        </w:rPr>
        <w:t xml:space="preserve">Student number: 1915942 </w:t>
      </w:r>
    </w:p>
    <w:p w:rsidR="00000000" w:rsidDel="00000000" w:rsidP="00000000" w:rsidRDefault="00000000" w:rsidRPr="00000000" w14:paraId="00000015">
      <w:pPr>
        <w:jc w:val="left"/>
        <w:rPr/>
      </w:pPr>
      <w:r w:rsidDel="00000000" w:rsidR="00000000" w:rsidRPr="00000000">
        <w:rPr>
          <w:b w:val="1"/>
          <w:sz w:val="48"/>
          <w:szCs w:val="48"/>
          <w:rtl w:val="0"/>
        </w:rPr>
        <w:t xml:space="preserve"> </w:t>
      </w:r>
      <w:r w:rsidDel="00000000" w:rsidR="00000000" w:rsidRPr="00000000">
        <w:br w:type="page"/>
      </w:r>
      <w:r w:rsidDel="00000000" w:rsidR="00000000" w:rsidRPr="00000000">
        <w:rPr>
          <w:rtl w:val="0"/>
        </w:rPr>
      </w:r>
    </w:p>
    <w:p w:rsidR="00000000" w:rsidDel="00000000" w:rsidP="00000000" w:rsidRDefault="00000000" w:rsidRPr="00000000" w14:paraId="00000016">
      <w:pPr>
        <w:keepNext w:val="1"/>
        <w:keepLines w:val="1"/>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Calibri" w:cs="Calibri" w:eastAsia="Calibri" w:hAnsi="Calibri"/>
          <w:b w:val="1"/>
          <w:i w:val="0"/>
          <w:smallCaps w:val="0"/>
          <w:strike w:val="0"/>
          <w:color w:val="000000"/>
          <w:sz w:val="32"/>
          <w:szCs w:val="32"/>
          <w:u w:val="none"/>
          <w:shd w:fill="auto" w:val="clear"/>
          <w:vertAlign w:val="baseline"/>
        </w:rPr>
      </w:pPr>
      <w:bookmarkStart w:colFirst="0" w:colLast="0" w:name="_heading=h.4d34og8" w:id="5"/>
      <w:bookmarkEnd w:id="5"/>
      <w:r w:rsidDel="00000000" w:rsidR="00000000" w:rsidRPr="00000000">
        <w:rPr>
          <w:rFonts w:ascii="Calibri" w:cs="Calibri" w:eastAsia="Calibri" w:hAnsi="Calibri"/>
          <w:b w:val="1"/>
          <w:i w:val="0"/>
          <w:smallCaps w:val="0"/>
          <w:strike w:val="0"/>
          <w:color w:val="000000"/>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7">
          <w:pPr>
            <w:tabs>
              <w:tab w:val="right" w:pos="9025.511811023624"/>
            </w:tabs>
            <w:spacing w:before="80" w:line="240" w:lineRule="auto"/>
            <w:ind w:left="0" w:firstLine="0"/>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_heading=h.2s8eyo1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8">
          <w:pPr>
            <w:tabs>
              <w:tab w:val="right" w:pos="9025.511811023624"/>
            </w:tabs>
            <w:spacing w:before="200" w:line="240" w:lineRule="auto"/>
            <w:ind w:left="0" w:firstLine="0"/>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Employee Engagement Overview</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_heading=h.17dp8vu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9">
          <w:pPr>
            <w:tabs>
              <w:tab w:val="right" w:pos="9025.511811023624"/>
            </w:tabs>
            <w:spacing w:before="200" w:line="240" w:lineRule="auto"/>
            <w:ind w:left="0" w:firstLine="0"/>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Diagnostic tools to measure engagement</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_heading=h.3rdcrjn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A">
          <w:pPr>
            <w:tabs>
              <w:tab w:val="right" w:pos="9025.511811023624"/>
            </w:tabs>
            <w:spacing w:before="200" w:line="240" w:lineRule="auto"/>
            <w:ind w:left="0" w:firstLine="0"/>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Employee value proposition</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_heading=h.26in1rg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B">
          <w:pPr>
            <w:tabs>
              <w:tab w:val="right" w:pos="9025.511811023624"/>
            </w:tabs>
            <w:spacing w:before="200" w:line="240" w:lineRule="auto"/>
            <w:ind w:left="0" w:firstLine="0"/>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Strategies to raise levels of engagement</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_heading=h.lnxbz9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C">
          <w:pPr>
            <w:tabs>
              <w:tab w:val="right" w:pos="9025.511811023624"/>
            </w:tabs>
            <w:spacing w:before="200" w:line="240" w:lineRule="auto"/>
            <w:ind w:left="0" w:firstLine="0"/>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_heading=h.35nkun2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1D">
          <w:pPr>
            <w:tabs>
              <w:tab w:val="right" w:pos="9025.511811023624"/>
            </w:tabs>
            <w:spacing w:after="80" w:before="200" w:line="240" w:lineRule="auto"/>
            <w:ind w:left="0" w:firstLine="0"/>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r>
          <w:r w:rsidDel="00000000" w:rsidR="00000000" w:rsidRPr="00000000">
            <w:fldChar w:fldCharType="begin"/>
            <w:instrText xml:space="preserve"> PAGEREF _heading=h.1ksv4uv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9</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E">
      <w:pPr>
        <w:rPr/>
      </w:pPr>
      <w:r w:rsidDel="00000000" w:rsidR="00000000" w:rsidRPr="00000000">
        <w:br w:type="page"/>
      </w:r>
      <w:r w:rsidDel="00000000" w:rsidR="00000000" w:rsidRPr="00000000">
        <w:rPr>
          <w:rtl w:val="0"/>
        </w:rPr>
      </w:r>
    </w:p>
    <w:p w:rsidR="00000000" w:rsidDel="00000000" w:rsidP="00000000" w:rsidRDefault="00000000" w:rsidRPr="00000000" w14:paraId="0000001F">
      <w:pPr>
        <w:pStyle w:val="Heading1"/>
        <w:rPr/>
      </w:pPr>
      <w:bookmarkStart w:colFirst="0" w:colLast="0" w:name="_heading=h.2s8eyo1" w:id="6"/>
      <w:bookmarkEnd w:id="6"/>
      <w:r w:rsidDel="00000000" w:rsidR="00000000" w:rsidRPr="00000000">
        <w:rPr>
          <w:rtl w:val="0"/>
        </w:rPr>
        <w:t xml:space="preserve">Introduction</w:t>
      </w:r>
    </w:p>
    <w:p w:rsidR="00000000" w:rsidDel="00000000" w:rsidP="00000000" w:rsidRDefault="00000000" w:rsidRPr="00000000" w14:paraId="00000020">
      <w:pPr>
        <w:rPr/>
      </w:pPr>
      <w:r w:rsidDel="00000000" w:rsidR="00000000" w:rsidRPr="00000000">
        <w:rPr>
          <w:rtl w:val="0"/>
        </w:rPr>
        <w:t xml:space="preserve">Representative fulfilment is not the same as worker commitment. Worker satisfaction simply indicates how happy or fulfilled the employees are. It makes no mention of their level of motivation, inclusiveness, or enthusiastic accountability (Sun and Bunchapattanasakda, 2019). For some representatives, being satisfied entails collecting a check while doing as little labour as possible. Changes will not actually lead to expanded execution when associations focus on ways to further develop representative fulfilment. Occasionally, the factors that make employees "happy" in their jobs are the same conditions that perplex high-performing representatives. Top leaders are open to change, always looking for ways to improve and mix things up. They demand all representatives to be held accountable for communicating results, even if low entertainers avoid taking responsibility, adhere to the status quo, and resist change. This report will cover the diagnostic tools that measure the engagement, construct an employee value proposition from the ideas and analysis and lastly it will include strategies to raise levels of engagement.</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pStyle w:val="Heading1"/>
        <w:rPr/>
      </w:pPr>
      <w:bookmarkStart w:colFirst="0" w:colLast="0" w:name="_heading=h.17dp8vu" w:id="7"/>
      <w:bookmarkEnd w:id="7"/>
      <w:r w:rsidDel="00000000" w:rsidR="00000000" w:rsidRPr="00000000">
        <w:rPr>
          <w:rtl w:val="0"/>
        </w:rPr>
        <w:t xml:space="preserve">Employee Engagement Overview</w:t>
      </w:r>
    </w:p>
    <w:p w:rsidR="00000000" w:rsidDel="00000000" w:rsidP="00000000" w:rsidRDefault="00000000" w:rsidRPr="00000000" w14:paraId="00000023">
      <w:pPr>
        <w:rPr/>
      </w:pPr>
      <w:r w:rsidDel="00000000" w:rsidR="00000000" w:rsidRPr="00000000">
        <w:rPr>
          <w:rtl w:val="0"/>
        </w:rPr>
        <w:t xml:space="preserve">Representative involvement extends beyond drills, games, and special events. Execution is driven by representative dedication. Workers who are drawn in look at the entire business to figure out what motivates them, where they fit in, and how they fit in. This results in a more dynamic situation (Osborne and Hammoud, 2017). Associations having a large labour force outperformed their opponents. They have a greater earnings per share (EPS) and recover more quickly from downturns and financial challenges. Commitment is a crucial differentiator in terms of growth and development. Controlling representative commitment research is vital to more likely appreciate the wants of the organisation. This isn't the same as a fulfilment summary. In addition, worker expectations have shifted. Work for lifers is far less common than versatile expert occupations. Maintaining high performance is more difficult than in the past. An organisation with a good worker commitment strategy and a deeply drawn-in labour force will be able to retain top entertainers as well as attract new talent. With worker-driven civilizations, fruitful partnerships are based on regard (Osborne and Hammoud, 2017). </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pStyle w:val="Heading1"/>
        <w:rPr/>
      </w:pPr>
      <w:bookmarkStart w:colFirst="0" w:colLast="0" w:name="_heading=h.3rdcrjn" w:id="8"/>
      <w:bookmarkEnd w:id="8"/>
      <w:r w:rsidDel="00000000" w:rsidR="00000000" w:rsidRPr="00000000">
        <w:rPr>
          <w:rtl w:val="0"/>
        </w:rPr>
        <w:t xml:space="preserve">Diagnostic tools to measure engagement</w:t>
      </w:r>
    </w:p>
    <w:p w:rsidR="00000000" w:rsidDel="00000000" w:rsidP="00000000" w:rsidRDefault="00000000" w:rsidRPr="00000000" w14:paraId="00000026">
      <w:pPr>
        <w:rPr/>
      </w:pPr>
      <w:r w:rsidDel="00000000" w:rsidR="00000000" w:rsidRPr="00000000">
        <w:rPr>
          <w:rtl w:val="0"/>
        </w:rPr>
        <w:t xml:space="preserve">A representative commitment study is one of the greatest and most effective methods of estimating commitment. The beauty of overviews is that they can be quickly distributed to each representative, allowing Businesses to have a more exact understanding of their entire group's commitment. Organisations can also tailor questions to provide brief evaluations that can be led for longer periods of time. As their business grows and the company culture evolves, these tools can help them keep a pulse on representative dedication. More in-depth reviews can be saved for quarterly or yearly evaluations (Ababneh </w:t>
      </w:r>
      <w:r w:rsidDel="00000000" w:rsidR="00000000" w:rsidRPr="00000000">
        <w:rPr>
          <w:i w:val="1"/>
          <w:rtl w:val="0"/>
        </w:rPr>
        <w:t xml:space="preserve">et al.,</w:t>
      </w:r>
      <w:r w:rsidDel="00000000" w:rsidR="00000000" w:rsidRPr="00000000">
        <w:rPr>
          <w:rtl w:val="0"/>
        </w:rPr>
        <w:t xml:space="preserve"> 2019). These reviews should be truly approved and benchmarked against other organisations to see if they produce useful results. Without these, it's difficult to know what they are estimating and if the outcomes will be positive or bad (Ababneh et al., 2019). </w:t>
      </w:r>
      <w:r w:rsidDel="00000000" w:rsidR="00000000" w:rsidRPr="00000000">
        <w:rPr>
          <w:b w:val="1"/>
          <w:i w:val="1"/>
          <w:rtl w:val="0"/>
        </w:rPr>
        <w:t xml:space="preserve">Engagement surveys</w:t>
      </w:r>
      <w:r w:rsidDel="00000000" w:rsidR="00000000" w:rsidRPr="00000000">
        <w:rPr>
          <w:rtl w:val="0"/>
        </w:rPr>
        <w:t xml:space="preserve"> can accurately evaluate commitment, but such studies can only provide a sign of whether workers are locked in. In light of the fact that they require information, they struggle to explain why workers are locked in or removed. An association cannot nurture substantial exercises, planning projects, techniques, or drives to improve levels of commitment without proper data. An overview should include roughly 30 to 60 questions that cover a wide range of topics to gain a complete picture of employee commitment (Ababneh et al., 2019). There should also be open-ended questions to investigate potential commitment concerns in an organisation.</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While researching employees is a good place to start obtaining engagement information, the drawback is that they don't provide consistent, ongoing, or all-encompassing feedback. That is why businesses are replacing annual reports with customizable programming programmes that can assist in representative view of employee engagement throughout the year. </w:t>
      </w:r>
      <w:r w:rsidDel="00000000" w:rsidR="00000000" w:rsidRPr="00000000">
        <w:rPr>
          <w:b w:val="1"/>
          <w:i w:val="1"/>
          <w:rtl w:val="0"/>
        </w:rPr>
        <w:t xml:space="preserve">HR platforms</w:t>
      </w:r>
      <w:r w:rsidDel="00000000" w:rsidR="00000000" w:rsidRPr="00000000">
        <w:rPr>
          <w:rtl w:val="0"/>
        </w:rPr>
        <w:t xml:space="preserve"> provide tools for gathering feedback and measuring employee satisfaction, as well as allowing them to manage their employees and their data by storing review results in one place (Burnett and Lisk, 2019). Working with more subsequent talks and input among supervisors and representatives, board programming might be crucial. This ensures that everyone is happy, focused, and working together to achieve individual, divisional, and overall goals.</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With the rise of online media, businesses now have access to yet another incredible resource. </w:t>
      </w:r>
      <w:r w:rsidDel="00000000" w:rsidR="00000000" w:rsidRPr="00000000">
        <w:rPr>
          <w:b w:val="1"/>
          <w:i w:val="1"/>
          <w:rtl w:val="0"/>
        </w:rPr>
        <w:t xml:space="preserve">Social media reviews and audits</w:t>
      </w:r>
      <w:r w:rsidDel="00000000" w:rsidR="00000000" w:rsidRPr="00000000">
        <w:rPr>
          <w:rtl w:val="0"/>
        </w:rPr>
        <w:t xml:space="preserve">, for example, can be used to assess the engagement of representation. An internal web-based media network, similar to the company intranet, that allows employees to post ideas and participate in conversations is also beneficial (Jha </w:t>
      </w:r>
      <w:r w:rsidDel="00000000" w:rsidR="00000000" w:rsidRPr="00000000">
        <w:rPr>
          <w:i w:val="1"/>
          <w:rtl w:val="0"/>
        </w:rPr>
        <w:t xml:space="preserve">et al.,</w:t>
      </w:r>
      <w:r w:rsidDel="00000000" w:rsidR="00000000" w:rsidRPr="00000000">
        <w:rPr>
          <w:rtl w:val="0"/>
        </w:rPr>
        <w:t xml:space="preserve"> 2019). This allows administrators to better understand their groups and acquire a sense of their spirit as well as the overall culture of the company.</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Another important engagement diagnostic tool is the </w:t>
      </w:r>
      <w:r w:rsidDel="00000000" w:rsidR="00000000" w:rsidRPr="00000000">
        <w:rPr>
          <w:b w:val="1"/>
          <w:i w:val="1"/>
          <w:rtl w:val="0"/>
        </w:rPr>
        <w:t xml:space="preserve">exit interview. </w:t>
      </w:r>
      <w:r w:rsidDel="00000000" w:rsidR="00000000" w:rsidRPr="00000000">
        <w:rPr>
          <w:rtl w:val="0"/>
        </w:rPr>
        <w:t xml:space="preserve">It consists of appropriate questions more like a well-planned review that requires employees, particularly the higher authorities, to answer questions about why they choose to leave the company (Motyka, 2018). This crucial information can aid in identifying progress areas in order to attract and retain the best, most connected genius personnel. Many experts recommend conducting one written poll followed by a post-employment survey during the employee's last week at work and, if possible, a follow-up phone interview a month or more after the get-togethers have ended.</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And lastly, companies could diagnose the engagement using the</w:t>
      </w:r>
      <w:r w:rsidDel="00000000" w:rsidR="00000000" w:rsidRPr="00000000">
        <w:rPr>
          <w:b w:val="1"/>
          <w:i w:val="1"/>
          <w:rtl w:val="0"/>
        </w:rPr>
        <w:t xml:space="preserve"> employee lifecycle</w:t>
      </w:r>
      <w:r w:rsidDel="00000000" w:rsidR="00000000" w:rsidRPr="00000000">
        <w:rPr>
          <w:rtl w:val="0"/>
        </w:rPr>
        <w:t xml:space="preserve">. The stages followed by representatives during their residence are referred to as an employee lifecycle, and they begin with enrollment/obtaining and onboarding, followed by advancement, executive execution, upkeep, and off-boarding (Albrecht </w:t>
      </w:r>
      <w:r w:rsidDel="00000000" w:rsidR="00000000" w:rsidRPr="00000000">
        <w:rPr>
          <w:i w:val="1"/>
          <w:rtl w:val="0"/>
        </w:rPr>
        <w:t xml:space="preserve">et al.,</w:t>
      </w:r>
      <w:r w:rsidDel="00000000" w:rsidR="00000000" w:rsidRPr="00000000">
        <w:rPr>
          <w:rtl w:val="0"/>
        </w:rPr>
        <w:t xml:space="preserve"> 2018). Organisations can consistently gather worker criticism and build worker commitment projects throughout various phases of the representative experience to support the offer of their image and culture.</w:t>
      </w:r>
    </w:p>
    <w:p w:rsidR="00000000" w:rsidDel="00000000" w:rsidP="00000000" w:rsidRDefault="00000000" w:rsidRPr="00000000" w14:paraId="0000002F">
      <w:pPr>
        <w:rPr>
          <w:b w:val="1"/>
        </w:rPr>
      </w:pPr>
      <w:r w:rsidDel="00000000" w:rsidR="00000000" w:rsidRPr="00000000">
        <w:rPr>
          <w:rtl w:val="0"/>
        </w:rPr>
      </w:r>
    </w:p>
    <w:p w:rsidR="00000000" w:rsidDel="00000000" w:rsidP="00000000" w:rsidRDefault="00000000" w:rsidRPr="00000000" w14:paraId="00000030">
      <w:pPr>
        <w:pStyle w:val="Heading1"/>
        <w:rPr/>
      </w:pPr>
      <w:bookmarkStart w:colFirst="0" w:colLast="0" w:name="_heading=h.26in1rg" w:id="9"/>
      <w:bookmarkEnd w:id="9"/>
      <w:r w:rsidDel="00000000" w:rsidR="00000000" w:rsidRPr="00000000">
        <w:rPr>
          <w:rtl w:val="0"/>
        </w:rPr>
        <w:t xml:space="preserve">Employee value proposition</w:t>
      </w:r>
    </w:p>
    <w:p w:rsidR="00000000" w:rsidDel="00000000" w:rsidP="00000000" w:rsidRDefault="00000000" w:rsidRPr="00000000" w14:paraId="00000031">
      <w:pPr>
        <w:rPr/>
      </w:pPr>
      <w:r w:rsidDel="00000000" w:rsidR="00000000" w:rsidRPr="00000000">
        <w:rPr>
          <w:rtl w:val="0"/>
        </w:rPr>
        <w:t xml:space="preserve">An employee value proposition is the value that an organization provides to employees in exchange for the value they bring to the company. It's the benefits and incentives given to representatives in exchange for their responsibilities, as well as the skills and abilities they bring to the table (Clack, 2020). Remuneration, a combination of important and fun activities, dependability, area, and esteem, according to Gartner, are the five key components that make up an EVP. </w:t>
      </w:r>
    </w:p>
    <w:p w:rsidR="00000000" w:rsidDel="00000000" w:rsidP="00000000" w:rsidRDefault="00000000" w:rsidRPr="00000000" w14:paraId="00000032">
      <w:pPr>
        <w:rPr/>
      </w:pPr>
      <w:r w:rsidDel="00000000" w:rsidR="00000000" w:rsidRPr="00000000">
        <w:rPr>
          <w:rtl w:val="0"/>
        </w:rPr>
        <w:t xml:space="preserve">“</w:t>
      </w:r>
      <w:r w:rsidDel="00000000" w:rsidR="00000000" w:rsidRPr="00000000">
        <w:rPr>
          <w:i w:val="1"/>
          <w:rtl w:val="0"/>
        </w:rPr>
        <w:t xml:space="preserve">Imagine yourself in one of the world's best workplaces, surrounded by people who push you, encourage you, and inspire you to be extraordinary. The desire is to create a culture in which everyone can be their best selves and be accepted. When everyone is in, everyone's a winner.</w:t>
      </w:r>
      <w:r w:rsidDel="00000000" w:rsidR="00000000" w:rsidRPr="00000000">
        <w:rPr>
          <w:rtl w:val="0"/>
        </w:rPr>
        <w:t xml:space="preserve">” </w:t>
      </w:r>
    </w:p>
    <w:p w:rsidR="00000000" w:rsidDel="00000000" w:rsidP="00000000" w:rsidRDefault="00000000" w:rsidRPr="00000000" w14:paraId="00000033">
      <w:pPr>
        <w:rPr/>
      </w:pPr>
      <w:r w:rsidDel="00000000" w:rsidR="00000000" w:rsidRPr="00000000">
        <w:rPr>
          <w:rtl w:val="0"/>
        </w:rPr>
        <w:t xml:space="preserve">This value proposition is constructed on the basis of the company, most importantly it has the word encourage and inspire which balances good with the culture and winning, it provides employees with a mindset that shows the company’s importance and value for the employees (Bagienska, 2018). The value proposition not only concerns the objectives of the company but also considers the wants and requirements of the employees, which therefore makes it a very good EVP for the company. By adopting such EVP and promoting the same the company could gain employee engagement benefits. </w:t>
      </w:r>
    </w:p>
    <w:p w:rsidR="00000000" w:rsidDel="00000000" w:rsidP="00000000" w:rsidRDefault="00000000" w:rsidRPr="00000000" w14:paraId="00000034">
      <w:pPr>
        <w:rPr/>
      </w:pPr>
      <w:r w:rsidDel="00000000" w:rsidR="00000000" w:rsidRPr="00000000">
        <w:rPr>
          <w:rtl w:val="0"/>
        </w:rPr>
        <w:t xml:space="preserve">Use the various inside and outside correspondence channels currently being used by the organisation to disseminate the news. Inside, it can use organisation websites, bulletins, email, city centres, and inward specialist apparatuses to develop their EVP (Arasanmi and Krishna, 2019). It is obvious that the way EVP is communicated with the employees has an impact on the employee experience the organisations provide and, by extension, the employee offer.</w:t>
      </w:r>
    </w:p>
    <w:p w:rsidR="00000000" w:rsidDel="00000000" w:rsidP="00000000" w:rsidRDefault="00000000" w:rsidRPr="00000000" w14:paraId="00000035">
      <w:pPr>
        <w:rPr>
          <w:b w:val="1"/>
        </w:rPr>
      </w:pPr>
      <w:r w:rsidDel="00000000" w:rsidR="00000000" w:rsidRPr="00000000">
        <w:rPr>
          <w:rtl w:val="0"/>
        </w:rPr>
      </w:r>
    </w:p>
    <w:p w:rsidR="00000000" w:rsidDel="00000000" w:rsidP="00000000" w:rsidRDefault="00000000" w:rsidRPr="00000000" w14:paraId="00000036">
      <w:pPr>
        <w:pStyle w:val="Heading1"/>
        <w:rPr/>
      </w:pPr>
      <w:bookmarkStart w:colFirst="0" w:colLast="0" w:name="_heading=h.lnxbz9" w:id="10"/>
      <w:bookmarkEnd w:id="10"/>
      <w:r w:rsidDel="00000000" w:rsidR="00000000" w:rsidRPr="00000000">
        <w:rPr>
          <w:rtl w:val="0"/>
        </w:rPr>
        <w:t xml:space="preserve">Strategies to raise levels of engagement</w:t>
      </w:r>
    </w:p>
    <w:p w:rsidR="00000000" w:rsidDel="00000000" w:rsidP="00000000" w:rsidRDefault="00000000" w:rsidRPr="00000000" w14:paraId="00000037">
      <w:pPr>
        <w:rPr/>
      </w:pPr>
      <w:r w:rsidDel="00000000" w:rsidR="00000000" w:rsidRPr="00000000">
        <w:rPr>
          <w:rtl w:val="0"/>
        </w:rPr>
        <w:t xml:space="preserve">Staff commitment is difficult to perceive, for the most part, because it is a theoretical concept with real-world implications for a company's success. It has been demonstrated that a highly linked labour force can improve efficiency, increase output, and reduce turnover. To make long-term growth, organisations need a thorough and intelligent representative commitment strategy that is tailored to their team's specific needs. There are several strategies that raise the level of engagement and they are described below.</w:t>
      </w:r>
    </w:p>
    <w:p w:rsidR="00000000" w:rsidDel="00000000" w:rsidP="00000000" w:rsidRDefault="00000000" w:rsidRPr="00000000" w14:paraId="00000038">
      <w:pPr>
        <w:rPr>
          <w:b w:val="1"/>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t xml:space="preserve">The first and foremost important strategy to raise levels of employee engagement is to </w:t>
      </w:r>
      <w:r w:rsidDel="00000000" w:rsidR="00000000" w:rsidRPr="00000000">
        <w:rPr>
          <w:b w:val="1"/>
          <w:i w:val="1"/>
          <w:rtl w:val="0"/>
        </w:rPr>
        <w:t xml:space="preserve">establish a core value for the company</w:t>
      </w:r>
      <w:r w:rsidDel="00000000" w:rsidR="00000000" w:rsidRPr="00000000">
        <w:rPr>
          <w:rtl w:val="0"/>
        </w:rPr>
        <w:t xml:space="preserve">. Organizational basic values should reveal the most important item to the team and the aims that the company wants to achieve as they expand. Workers must develop a sense of belonging to the organisation in order to be truly drawn in, and having a set of values to follow will help them do so (Chanana, 2020). Business must create a lasting favourable work culture and encourage representatives to form a passionate relationship with the organisation by consistently raising the guiding concept to the entire group. </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Furthermore, </w:t>
      </w:r>
      <w:r w:rsidDel="00000000" w:rsidR="00000000" w:rsidRPr="00000000">
        <w:rPr>
          <w:b w:val="1"/>
          <w:i w:val="1"/>
          <w:rtl w:val="0"/>
        </w:rPr>
        <w:t xml:space="preserve">implementing training programmes, and activities that would develop the employees’ skills and abilities</w:t>
      </w:r>
      <w:r w:rsidDel="00000000" w:rsidR="00000000" w:rsidRPr="00000000">
        <w:rPr>
          <w:rtl w:val="0"/>
        </w:rPr>
        <w:t xml:space="preserve">, also increases the engagement levels. Allowing representatives to expand their range of abilities keeps them engaged, and giving them something to chase keeps them motivated (Cowan, 2017). However, learning and promotion goals demonstrate that the company values their employees as people who the organisations choose to invest time and money in, rather than just replacing representatives with applicants who have the skills they require.</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t xml:space="preserve">Representatives become committed when they believe their work is important to the organisation and helps the organization achieve its long-term goals. By expressing to the employees that they are being noticed and are a valuable asset by the efforts on a regular basis will make it through the long way to make them feel much more engaged in the work. Organisations could therefore increase the levels of engagement by </w:t>
      </w:r>
      <w:r w:rsidDel="00000000" w:rsidR="00000000" w:rsidRPr="00000000">
        <w:rPr>
          <w:b w:val="1"/>
          <w:i w:val="1"/>
          <w:rtl w:val="0"/>
        </w:rPr>
        <w:t xml:space="preserve">Awarding top performers</w:t>
      </w:r>
      <w:r w:rsidDel="00000000" w:rsidR="00000000" w:rsidRPr="00000000">
        <w:rPr>
          <w:rtl w:val="0"/>
        </w:rPr>
        <w:t xml:space="preserve"> with a monetary incentive, a free three-day weekend, a gift certificate to their favourite lunch location, or a back rub gift endorsement whatever works for the group and aligns with the core values (Matthews, 2018). Give representatives a chance to honour their colleagues; workers who feel respected and cherished by their co-workers are more likely to stick around.</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t xml:space="preserve">A highly effective worker commitment tactic is to </w:t>
      </w:r>
      <w:r w:rsidDel="00000000" w:rsidR="00000000" w:rsidRPr="00000000">
        <w:rPr>
          <w:b w:val="1"/>
          <w:i w:val="1"/>
          <w:rtl w:val="0"/>
        </w:rPr>
        <w:t xml:space="preserve">bring representatives into the transparency</w:t>
      </w:r>
      <w:r w:rsidDel="00000000" w:rsidR="00000000" w:rsidRPr="00000000">
        <w:rPr>
          <w:rtl w:val="0"/>
        </w:rPr>
        <w:t xml:space="preserve"> as frequently as possible. If the team doesn't have a clue what's going on behind the scenes, they won't be able to fully invest themselves and their energies in the organisation (Avidar, 2017). Also, if they get the impression that they are being deliberately excluded from the circle, they may come to distrust the executives and lose faith in authority. Obviously, the organization should be cautious as situations unfold or needs change, but it should intend to inform colleagues about decisions that directly affect them when they are in a position to do so. </w:t>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b w:val="1"/>
          <w:i w:val="1"/>
          <w:rtl w:val="0"/>
        </w:rPr>
        <w:t xml:space="preserve">The atmosphere in an organisation has a significant impact on employee commitment</w:t>
      </w:r>
      <w:r w:rsidDel="00000000" w:rsidR="00000000" w:rsidRPr="00000000">
        <w:rPr>
          <w:rtl w:val="0"/>
        </w:rPr>
        <w:t xml:space="preserve">. It is usually noticed that work areas are unusual in this day and age, and this is due in large part to their isolating nature. employees don't take into account correspondence or coordinated effort, two important aspects of business success (Holmberg-Wright </w:t>
      </w:r>
      <w:r w:rsidDel="00000000" w:rsidR="00000000" w:rsidRPr="00000000">
        <w:rPr>
          <w:i w:val="1"/>
          <w:rtl w:val="0"/>
        </w:rPr>
        <w:t xml:space="preserve">et al.,</w:t>
      </w:r>
      <w:r w:rsidDel="00000000" w:rsidR="00000000" w:rsidRPr="00000000">
        <w:rPr>
          <w:rtl w:val="0"/>
        </w:rPr>
        <w:t xml:space="preserve"> 2017). Reorganizing the workspace in a way that encourages more cross-correspondence among employees. By forming strong bonds with their peers, they will develop a sense of kinship and a sense of belonging, both of which are necessary for nurturing a draw in the labour force.</w:t>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pStyle w:val="Heading1"/>
        <w:rPr/>
      </w:pPr>
      <w:bookmarkStart w:colFirst="0" w:colLast="0" w:name="_heading=h.35nkun2" w:id="11"/>
      <w:bookmarkEnd w:id="11"/>
      <w:r w:rsidDel="00000000" w:rsidR="00000000" w:rsidRPr="00000000">
        <w:rPr>
          <w:rtl w:val="0"/>
        </w:rPr>
        <w:t xml:space="preserve">Conclusion</w:t>
      </w:r>
    </w:p>
    <w:p w:rsidR="00000000" w:rsidDel="00000000" w:rsidP="00000000" w:rsidRDefault="00000000" w:rsidRPr="00000000" w14:paraId="00000044">
      <w:pPr>
        <w:rPr/>
      </w:pPr>
      <w:r w:rsidDel="00000000" w:rsidR="00000000" w:rsidRPr="00000000">
        <w:rPr>
          <w:rtl w:val="0"/>
        </w:rPr>
        <w:t xml:space="preserve">Worker commitment is piquing the interest of bosses in a variety of fields. In some ways, it's an age-old ambition of managers' desire to find ways to boost employee motivation and win greater commitment to the job and the company. It's 'new' in the sense that the environment in which commitment is sought has changed in some way. Given the state of global competition and the lifting of the bar on proficiency standards, one component of this differentiation is the more severe punishment to be paid if labourers are less linked than competitors' workers. Another perspective is that the entire concept of the importance of work and normal business procedures has shifted, and there is now an open space regarding the personality of the relationship to work and association, which bosses believe can be loaded up with more complicated techniques.</w:t>
      </w:r>
      <w:r w:rsidDel="00000000" w:rsidR="00000000" w:rsidRPr="00000000">
        <w:br w:type="page"/>
      </w:r>
      <w:r w:rsidDel="00000000" w:rsidR="00000000" w:rsidRPr="00000000">
        <w:rPr>
          <w:rtl w:val="0"/>
        </w:rPr>
      </w:r>
    </w:p>
    <w:p w:rsidR="00000000" w:rsidDel="00000000" w:rsidP="00000000" w:rsidRDefault="00000000" w:rsidRPr="00000000" w14:paraId="00000045">
      <w:pPr>
        <w:pStyle w:val="Heading1"/>
        <w:rPr/>
      </w:pPr>
      <w:bookmarkStart w:colFirst="0" w:colLast="0" w:name="_heading=h.1ksv4uv" w:id="12"/>
      <w:bookmarkEnd w:id="12"/>
      <w:r w:rsidDel="00000000" w:rsidR="00000000" w:rsidRPr="00000000">
        <w:rPr>
          <w:rtl w:val="0"/>
        </w:rPr>
        <w:t xml:space="preserve">References</w:t>
      </w:r>
    </w:p>
    <w:p w:rsidR="00000000" w:rsidDel="00000000" w:rsidP="00000000" w:rsidRDefault="00000000" w:rsidRPr="00000000" w14:paraId="00000046">
      <w:pPr>
        <w:spacing w:after="200" w:lineRule="auto"/>
        <w:rPr>
          <w:color w:val="222222"/>
          <w:highlight w:val="white"/>
        </w:rPr>
      </w:pPr>
      <w:r w:rsidDel="00000000" w:rsidR="00000000" w:rsidRPr="00000000">
        <w:rPr>
          <w:color w:val="222222"/>
          <w:highlight w:val="white"/>
          <w:rtl w:val="0"/>
        </w:rPr>
        <w:t xml:space="preserve">Ababneh, O.M., LeFevre, M. and Bentley, T., 2019. Employee engagement: Development of a new measure. </w:t>
      </w:r>
      <w:r w:rsidDel="00000000" w:rsidR="00000000" w:rsidRPr="00000000">
        <w:rPr>
          <w:i w:val="1"/>
          <w:color w:val="222222"/>
          <w:highlight w:val="white"/>
          <w:rtl w:val="0"/>
        </w:rPr>
        <w:t xml:space="preserve">International Journal of Human Resources Development and Management</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19</w:t>
      </w:r>
      <w:r w:rsidDel="00000000" w:rsidR="00000000" w:rsidRPr="00000000">
        <w:rPr>
          <w:color w:val="222222"/>
          <w:highlight w:val="white"/>
          <w:rtl w:val="0"/>
        </w:rPr>
        <w:t xml:space="preserve">(2), pp.105-134.</w:t>
      </w:r>
    </w:p>
    <w:p w:rsidR="00000000" w:rsidDel="00000000" w:rsidP="00000000" w:rsidRDefault="00000000" w:rsidRPr="00000000" w14:paraId="00000047">
      <w:pPr>
        <w:spacing w:after="200" w:lineRule="auto"/>
        <w:rPr>
          <w:color w:val="222222"/>
          <w:highlight w:val="white"/>
        </w:rPr>
      </w:pPr>
      <w:r w:rsidDel="00000000" w:rsidR="00000000" w:rsidRPr="00000000">
        <w:rPr>
          <w:color w:val="222222"/>
          <w:highlight w:val="white"/>
          <w:rtl w:val="0"/>
        </w:rPr>
        <w:t xml:space="preserve">Albrecht, S., Breidahl, E. and Marty, A., 2018. Organizational resources, organizational engagement climate, and employee engagement. </w:t>
      </w:r>
      <w:r w:rsidDel="00000000" w:rsidR="00000000" w:rsidRPr="00000000">
        <w:rPr>
          <w:i w:val="1"/>
          <w:color w:val="222222"/>
          <w:highlight w:val="white"/>
          <w:rtl w:val="0"/>
        </w:rPr>
        <w:t xml:space="preserve">Career Development International</w:t>
      </w:r>
      <w:r w:rsidDel="00000000" w:rsidR="00000000" w:rsidRPr="00000000">
        <w:rPr>
          <w:color w:val="222222"/>
          <w:highlight w:val="white"/>
          <w:rtl w:val="0"/>
        </w:rPr>
        <w:t xml:space="preserve">.</w:t>
      </w:r>
    </w:p>
    <w:p w:rsidR="00000000" w:rsidDel="00000000" w:rsidP="00000000" w:rsidRDefault="00000000" w:rsidRPr="00000000" w14:paraId="00000048">
      <w:pPr>
        <w:spacing w:after="200" w:lineRule="auto"/>
        <w:rPr>
          <w:color w:val="222222"/>
          <w:highlight w:val="white"/>
        </w:rPr>
      </w:pPr>
      <w:r w:rsidDel="00000000" w:rsidR="00000000" w:rsidRPr="00000000">
        <w:rPr>
          <w:color w:val="222222"/>
          <w:highlight w:val="white"/>
          <w:rtl w:val="0"/>
        </w:rPr>
        <w:t xml:space="preserve">Arasanmi, C.N. and Krishna, A., 2019. Linking the employee value proposition (EVP) to employee behavioural outcomes. </w:t>
      </w:r>
      <w:r w:rsidDel="00000000" w:rsidR="00000000" w:rsidRPr="00000000">
        <w:rPr>
          <w:i w:val="1"/>
          <w:color w:val="222222"/>
          <w:highlight w:val="white"/>
          <w:rtl w:val="0"/>
        </w:rPr>
        <w:t xml:space="preserve">Industrial and Commercial Training</w:t>
      </w:r>
      <w:r w:rsidDel="00000000" w:rsidR="00000000" w:rsidRPr="00000000">
        <w:rPr>
          <w:color w:val="222222"/>
          <w:highlight w:val="white"/>
          <w:rtl w:val="0"/>
        </w:rPr>
        <w:t xml:space="preserve">.</w:t>
      </w:r>
    </w:p>
    <w:p w:rsidR="00000000" w:rsidDel="00000000" w:rsidP="00000000" w:rsidRDefault="00000000" w:rsidRPr="00000000" w14:paraId="00000049">
      <w:pPr>
        <w:spacing w:after="200" w:lineRule="auto"/>
        <w:rPr>
          <w:color w:val="222222"/>
          <w:highlight w:val="white"/>
        </w:rPr>
      </w:pPr>
      <w:r w:rsidDel="00000000" w:rsidR="00000000" w:rsidRPr="00000000">
        <w:rPr>
          <w:color w:val="222222"/>
          <w:highlight w:val="white"/>
          <w:rtl w:val="0"/>
        </w:rPr>
        <w:t xml:space="preserve">Avidar, R., 2017. Public relations and social businesses: The importance of enhancing engagement. </w:t>
      </w:r>
      <w:r w:rsidDel="00000000" w:rsidR="00000000" w:rsidRPr="00000000">
        <w:rPr>
          <w:i w:val="1"/>
          <w:color w:val="222222"/>
          <w:highlight w:val="white"/>
          <w:rtl w:val="0"/>
        </w:rPr>
        <w:t xml:space="preserve">Public Relations Review</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43</w:t>
      </w:r>
      <w:r w:rsidDel="00000000" w:rsidR="00000000" w:rsidRPr="00000000">
        <w:rPr>
          <w:color w:val="222222"/>
          <w:highlight w:val="white"/>
          <w:rtl w:val="0"/>
        </w:rPr>
        <w:t xml:space="preserve">(5), pp.955-962.</w:t>
      </w:r>
    </w:p>
    <w:p w:rsidR="00000000" w:rsidDel="00000000" w:rsidP="00000000" w:rsidRDefault="00000000" w:rsidRPr="00000000" w14:paraId="0000004A">
      <w:pPr>
        <w:spacing w:after="200" w:lineRule="auto"/>
        <w:rPr>
          <w:color w:val="222222"/>
          <w:highlight w:val="white"/>
        </w:rPr>
      </w:pPr>
      <w:r w:rsidDel="00000000" w:rsidR="00000000" w:rsidRPr="00000000">
        <w:rPr>
          <w:color w:val="222222"/>
          <w:highlight w:val="white"/>
          <w:rtl w:val="0"/>
        </w:rPr>
        <w:t xml:space="preserve">Bagienska, A., 2018. Employee Value Proposition as a tool of Employer Branding. </w:t>
      </w:r>
      <w:r w:rsidDel="00000000" w:rsidR="00000000" w:rsidRPr="00000000">
        <w:rPr>
          <w:i w:val="1"/>
          <w:color w:val="222222"/>
          <w:highlight w:val="white"/>
          <w:rtl w:val="0"/>
        </w:rPr>
        <w:t xml:space="preserve">Economic and Social Development: Book of Proceedings</w:t>
      </w:r>
      <w:r w:rsidDel="00000000" w:rsidR="00000000" w:rsidRPr="00000000">
        <w:rPr>
          <w:color w:val="222222"/>
          <w:highlight w:val="white"/>
          <w:rtl w:val="0"/>
        </w:rPr>
        <w:t xml:space="preserve">, pp.370-379.</w:t>
      </w:r>
    </w:p>
    <w:p w:rsidR="00000000" w:rsidDel="00000000" w:rsidP="00000000" w:rsidRDefault="00000000" w:rsidRPr="00000000" w14:paraId="0000004B">
      <w:pPr>
        <w:spacing w:after="200" w:lineRule="auto"/>
        <w:rPr>
          <w:color w:val="222222"/>
          <w:highlight w:val="white"/>
        </w:rPr>
      </w:pPr>
      <w:r w:rsidDel="00000000" w:rsidR="00000000" w:rsidRPr="00000000">
        <w:rPr>
          <w:color w:val="222222"/>
          <w:highlight w:val="white"/>
          <w:rtl w:val="0"/>
        </w:rPr>
        <w:t xml:space="preserve">Burnett, J.R. and Lisk, T.C., 2019. The future of employee engagement: Real-time monitoring and digital tools for engaging a workforce. </w:t>
      </w:r>
      <w:r w:rsidDel="00000000" w:rsidR="00000000" w:rsidRPr="00000000">
        <w:rPr>
          <w:i w:val="1"/>
          <w:color w:val="222222"/>
          <w:highlight w:val="white"/>
          <w:rtl w:val="0"/>
        </w:rPr>
        <w:t xml:space="preserve">International Studies of Management &amp; Organization</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49</w:t>
      </w:r>
      <w:r w:rsidDel="00000000" w:rsidR="00000000" w:rsidRPr="00000000">
        <w:rPr>
          <w:color w:val="222222"/>
          <w:highlight w:val="white"/>
          <w:rtl w:val="0"/>
        </w:rPr>
        <w:t xml:space="preserve">(1), pp.108-119.</w:t>
      </w:r>
    </w:p>
    <w:p w:rsidR="00000000" w:rsidDel="00000000" w:rsidP="00000000" w:rsidRDefault="00000000" w:rsidRPr="00000000" w14:paraId="0000004C">
      <w:pPr>
        <w:spacing w:after="200" w:lineRule="auto"/>
        <w:rPr>
          <w:color w:val="222222"/>
          <w:highlight w:val="white"/>
        </w:rPr>
      </w:pPr>
      <w:r w:rsidDel="00000000" w:rsidR="00000000" w:rsidRPr="00000000">
        <w:rPr>
          <w:color w:val="222222"/>
          <w:highlight w:val="white"/>
          <w:rtl w:val="0"/>
        </w:rPr>
        <w:t xml:space="preserve">Chanana, N., 2020. Employee engagement practices during COVID‐19 lockdown. </w:t>
      </w:r>
      <w:r w:rsidDel="00000000" w:rsidR="00000000" w:rsidRPr="00000000">
        <w:rPr>
          <w:i w:val="1"/>
          <w:color w:val="222222"/>
          <w:highlight w:val="white"/>
          <w:rtl w:val="0"/>
        </w:rPr>
        <w:t xml:space="preserve">Journal of Public Affairs</w:t>
      </w:r>
      <w:r w:rsidDel="00000000" w:rsidR="00000000" w:rsidRPr="00000000">
        <w:rPr>
          <w:color w:val="222222"/>
          <w:highlight w:val="white"/>
          <w:rtl w:val="0"/>
        </w:rPr>
        <w:t xml:space="preserve">, p.e2508.</w:t>
      </w:r>
    </w:p>
    <w:p w:rsidR="00000000" w:rsidDel="00000000" w:rsidP="00000000" w:rsidRDefault="00000000" w:rsidRPr="00000000" w14:paraId="0000004D">
      <w:pPr>
        <w:spacing w:after="200" w:lineRule="auto"/>
        <w:rPr>
          <w:color w:val="222222"/>
          <w:highlight w:val="white"/>
        </w:rPr>
      </w:pPr>
      <w:r w:rsidDel="00000000" w:rsidR="00000000" w:rsidRPr="00000000">
        <w:rPr>
          <w:color w:val="222222"/>
          <w:highlight w:val="white"/>
          <w:rtl w:val="0"/>
        </w:rPr>
        <w:t xml:space="preserve">Clack, L., 2020. Employee Engagement: Keys to Organizational Success. </w:t>
      </w:r>
      <w:r w:rsidDel="00000000" w:rsidR="00000000" w:rsidRPr="00000000">
        <w:rPr>
          <w:i w:val="1"/>
          <w:color w:val="222222"/>
          <w:highlight w:val="white"/>
          <w:rtl w:val="0"/>
        </w:rPr>
        <w:t xml:space="preserve">The Palgrave Handbook of Workplace Well-Being</w:t>
      </w:r>
      <w:r w:rsidDel="00000000" w:rsidR="00000000" w:rsidRPr="00000000">
        <w:rPr>
          <w:color w:val="222222"/>
          <w:highlight w:val="white"/>
          <w:rtl w:val="0"/>
        </w:rPr>
        <w:t xml:space="preserve">, pp.1-28.</w:t>
      </w:r>
    </w:p>
    <w:p w:rsidR="00000000" w:rsidDel="00000000" w:rsidP="00000000" w:rsidRDefault="00000000" w:rsidRPr="00000000" w14:paraId="0000004E">
      <w:pPr>
        <w:spacing w:after="200" w:lineRule="auto"/>
        <w:rPr>
          <w:color w:val="222222"/>
          <w:highlight w:val="white"/>
        </w:rPr>
      </w:pPr>
      <w:r w:rsidDel="00000000" w:rsidR="00000000" w:rsidRPr="00000000">
        <w:rPr>
          <w:color w:val="222222"/>
          <w:highlight w:val="white"/>
          <w:rtl w:val="0"/>
        </w:rPr>
        <w:t xml:space="preserve">Cowan, D., 2017. </w:t>
      </w:r>
      <w:r w:rsidDel="00000000" w:rsidR="00000000" w:rsidRPr="00000000">
        <w:rPr>
          <w:i w:val="1"/>
          <w:color w:val="222222"/>
          <w:highlight w:val="white"/>
          <w:rtl w:val="0"/>
        </w:rPr>
        <w:t xml:space="preserve">Strategic internal communication: how to build employee engagement and performance</w:t>
      </w:r>
      <w:r w:rsidDel="00000000" w:rsidR="00000000" w:rsidRPr="00000000">
        <w:rPr>
          <w:color w:val="222222"/>
          <w:highlight w:val="white"/>
          <w:rtl w:val="0"/>
        </w:rPr>
        <w:t xml:space="preserve">. Kogan Page Publishers.</w:t>
      </w:r>
    </w:p>
    <w:p w:rsidR="00000000" w:rsidDel="00000000" w:rsidP="00000000" w:rsidRDefault="00000000" w:rsidRPr="00000000" w14:paraId="0000004F">
      <w:pPr>
        <w:spacing w:after="200" w:lineRule="auto"/>
        <w:rPr>
          <w:color w:val="222222"/>
          <w:highlight w:val="white"/>
        </w:rPr>
      </w:pPr>
      <w:r w:rsidDel="00000000" w:rsidR="00000000" w:rsidRPr="00000000">
        <w:rPr>
          <w:color w:val="222222"/>
          <w:highlight w:val="white"/>
          <w:rtl w:val="0"/>
        </w:rPr>
        <w:t xml:space="preserve">Holmberg-Wright, K., Hribar, T. and Tsegai, J.D., 2017. More than money: Business strategies to engage millennials. </w:t>
      </w:r>
      <w:r w:rsidDel="00000000" w:rsidR="00000000" w:rsidRPr="00000000">
        <w:rPr>
          <w:i w:val="1"/>
          <w:color w:val="222222"/>
          <w:highlight w:val="white"/>
          <w:rtl w:val="0"/>
        </w:rPr>
        <w:t xml:space="preserve">Business Education Innovation Journal</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9</w:t>
      </w:r>
      <w:r w:rsidDel="00000000" w:rsidR="00000000" w:rsidRPr="00000000">
        <w:rPr>
          <w:color w:val="222222"/>
          <w:highlight w:val="white"/>
          <w:rtl w:val="0"/>
        </w:rPr>
        <w:t xml:space="preserve">(2), pp.14-23.</w:t>
      </w:r>
    </w:p>
    <w:p w:rsidR="00000000" w:rsidDel="00000000" w:rsidP="00000000" w:rsidRDefault="00000000" w:rsidRPr="00000000" w14:paraId="00000050">
      <w:pPr>
        <w:spacing w:after="200" w:lineRule="auto"/>
        <w:rPr>
          <w:color w:val="222222"/>
          <w:highlight w:val="white"/>
        </w:rPr>
      </w:pPr>
      <w:r w:rsidDel="00000000" w:rsidR="00000000" w:rsidRPr="00000000">
        <w:rPr>
          <w:color w:val="222222"/>
          <w:highlight w:val="white"/>
          <w:rtl w:val="0"/>
        </w:rPr>
        <w:t xml:space="preserve">Jha, N., Sareen, P. and Potnuru, R.K.G., 2019. Employee engagement for millennials: considering technology as an enabler. </w:t>
      </w:r>
      <w:r w:rsidDel="00000000" w:rsidR="00000000" w:rsidRPr="00000000">
        <w:rPr>
          <w:i w:val="1"/>
          <w:color w:val="222222"/>
          <w:highlight w:val="white"/>
          <w:rtl w:val="0"/>
        </w:rPr>
        <w:t xml:space="preserve">Development and Learning in Organizations: An International Journal</w:t>
      </w:r>
      <w:r w:rsidDel="00000000" w:rsidR="00000000" w:rsidRPr="00000000">
        <w:rPr>
          <w:color w:val="222222"/>
          <w:highlight w:val="white"/>
          <w:rtl w:val="0"/>
        </w:rPr>
        <w:t xml:space="preserve">.</w:t>
      </w:r>
    </w:p>
    <w:p w:rsidR="00000000" w:rsidDel="00000000" w:rsidP="00000000" w:rsidRDefault="00000000" w:rsidRPr="00000000" w14:paraId="00000051">
      <w:pPr>
        <w:spacing w:after="200" w:lineRule="auto"/>
        <w:rPr>
          <w:color w:val="222222"/>
          <w:highlight w:val="white"/>
        </w:rPr>
      </w:pPr>
      <w:r w:rsidDel="00000000" w:rsidR="00000000" w:rsidRPr="00000000">
        <w:rPr>
          <w:color w:val="222222"/>
          <w:highlight w:val="white"/>
          <w:rtl w:val="0"/>
        </w:rPr>
        <w:t xml:space="preserve">Matthews, G., 2018. Employee engagement: what’s your strategy?. </w:t>
      </w:r>
      <w:r w:rsidDel="00000000" w:rsidR="00000000" w:rsidRPr="00000000">
        <w:rPr>
          <w:i w:val="1"/>
          <w:color w:val="222222"/>
          <w:highlight w:val="white"/>
          <w:rtl w:val="0"/>
        </w:rPr>
        <w:t xml:space="preserve">Strategic HR Review</w:t>
      </w:r>
      <w:r w:rsidDel="00000000" w:rsidR="00000000" w:rsidRPr="00000000">
        <w:rPr>
          <w:color w:val="222222"/>
          <w:highlight w:val="white"/>
          <w:rtl w:val="0"/>
        </w:rPr>
        <w:t xml:space="preserve">.</w:t>
      </w:r>
    </w:p>
    <w:p w:rsidR="00000000" w:rsidDel="00000000" w:rsidP="00000000" w:rsidRDefault="00000000" w:rsidRPr="00000000" w14:paraId="00000052">
      <w:pPr>
        <w:spacing w:after="200" w:lineRule="auto"/>
        <w:rPr>
          <w:color w:val="222222"/>
          <w:highlight w:val="white"/>
        </w:rPr>
      </w:pPr>
      <w:r w:rsidDel="00000000" w:rsidR="00000000" w:rsidRPr="00000000">
        <w:rPr>
          <w:color w:val="222222"/>
          <w:highlight w:val="white"/>
          <w:rtl w:val="0"/>
        </w:rPr>
        <w:t xml:space="preserve">Motyka, B., 2018. Employee engagement and performance: a systematic literature review. </w:t>
      </w:r>
      <w:r w:rsidDel="00000000" w:rsidR="00000000" w:rsidRPr="00000000">
        <w:rPr>
          <w:i w:val="1"/>
          <w:color w:val="222222"/>
          <w:highlight w:val="white"/>
          <w:rtl w:val="0"/>
        </w:rPr>
        <w:t xml:space="preserve">International Journal of Management and Economics</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54</w:t>
      </w:r>
      <w:r w:rsidDel="00000000" w:rsidR="00000000" w:rsidRPr="00000000">
        <w:rPr>
          <w:color w:val="222222"/>
          <w:highlight w:val="white"/>
          <w:rtl w:val="0"/>
        </w:rPr>
        <w:t xml:space="preserve">(3), pp.227-244.</w:t>
      </w:r>
    </w:p>
    <w:p w:rsidR="00000000" w:rsidDel="00000000" w:rsidP="00000000" w:rsidRDefault="00000000" w:rsidRPr="00000000" w14:paraId="00000053">
      <w:pPr>
        <w:spacing w:after="200" w:lineRule="auto"/>
        <w:rPr>
          <w:color w:val="222222"/>
          <w:highlight w:val="white"/>
        </w:rPr>
      </w:pPr>
      <w:r w:rsidDel="00000000" w:rsidR="00000000" w:rsidRPr="00000000">
        <w:rPr>
          <w:color w:val="222222"/>
          <w:highlight w:val="white"/>
          <w:rtl w:val="0"/>
        </w:rPr>
        <w:t xml:space="preserve">Osborne, S. and Hammoud, M.S., 2017. Effective employee engagement in the workplace. </w:t>
      </w:r>
      <w:r w:rsidDel="00000000" w:rsidR="00000000" w:rsidRPr="00000000">
        <w:rPr>
          <w:i w:val="1"/>
          <w:color w:val="222222"/>
          <w:highlight w:val="white"/>
          <w:rtl w:val="0"/>
        </w:rPr>
        <w:t xml:space="preserve">International Journal of Applied Management and Technology</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16</w:t>
      </w:r>
      <w:r w:rsidDel="00000000" w:rsidR="00000000" w:rsidRPr="00000000">
        <w:rPr>
          <w:color w:val="222222"/>
          <w:highlight w:val="white"/>
          <w:rtl w:val="0"/>
        </w:rPr>
        <w:t xml:space="preserve">(1), p.4.</w:t>
      </w:r>
    </w:p>
    <w:p w:rsidR="00000000" w:rsidDel="00000000" w:rsidP="00000000" w:rsidRDefault="00000000" w:rsidRPr="00000000" w14:paraId="00000054">
      <w:pPr>
        <w:spacing w:after="200" w:lineRule="auto"/>
        <w:rPr>
          <w:color w:val="222222"/>
          <w:highlight w:val="white"/>
        </w:rPr>
      </w:pPr>
      <w:r w:rsidDel="00000000" w:rsidR="00000000" w:rsidRPr="00000000">
        <w:rPr>
          <w:color w:val="222222"/>
          <w:highlight w:val="white"/>
          <w:rtl w:val="0"/>
        </w:rPr>
        <w:t xml:space="preserve">Sun, L. and Bunchapattanasakda, C., 2019. Employee engagement: A literature review. </w:t>
      </w:r>
      <w:r w:rsidDel="00000000" w:rsidR="00000000" w:rsidRPr="00000000">
        <w:rPr>
          <w:i w:val="1"/>
          <w:color w:val="222222"/>
          <w:highlight w:val="white"/>
          <w:rtl w:val="0"/>
        </w:rPr>
        <w:t xml:space="preserve">International Journal of Human Resource Studies</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9</w:t>
      </w:r>
      <w:r w:rsidDel="00000000" w:rsidR="00000000" w:rsidRPr="00000000">
        <w:rPr>
          <w:color w:val="222222"/>
          <w:highlight w:val="white"/>
          <w:rtl w:val="0"/>
        </w:rPr>
        <w:t xml:space="preserve">(1), pp.63-80.</w:t>
      </w:r>
    </w:p>
    <w:p w:rsidR="00000000" w:rsidDel="00000000" w:rsidP="00000000" w:rsidRDefault="00000000" w:rsidRPr="00000000" w14:paraId="00000055">
      <w:pPr>
        <w:widowControl w:val="0"/>
        <w:pBdr>
          <w:top w:space="0" w:sz="0" w:val="nil"/>
          <w:left w:space="0" w:sz="0" w:val="nil"/>
          <w:bottom w:space="0" w:sz="0" w:val="nil"/>
          <w:right w:space="0" w:sz="0" w:val="nil"/>
          <w:between w:space="0" w:sz="0" w:val="nil"/>
        </w:pBdr>
        <w:jc w:val="left"/>
        <w:rPr>
          <w:color w:val="222222"/>
          <w:highlight w:val="white"/>
        </w:rPr>
      </w:pPr>
      <w:r w:rsidDel="00000000" w:rsidR="00000000" w:rsidRPr="00000000">
        <w:rPr>
          <w:rtl w:val="0"/>
        </w:rPr>
      </w:r>
    </w:p>
    <w:sectPr>
      <w:footerReference r:id="rId7"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6">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7">
    <w:pPr>
      <w:keepNext w:val="0"/>
      <w:keepLines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b w:val="1"/>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qFormat w:val="1"/>
  </w:style>
  <w:style w:type="paragraph" w:styleId="Heading1">
    <w:name w:val="heading 1"/>
    <w:basedOn w:val="Normal"/>
    <w:next w:val="Normal"/>
    <w:uiPriority w:val="9"/>
    <w:qFormat w:val="1"/>
    <w:pPr>
      <w:keepNext w:val="1"/>
      <w:keepLines w:val="1"/>
      <w:outlineLvl w:val="0"/>
    </w:pPr>
    <w:rPr>
      <w:b w:val="1"/>
    </w:rPr>
  </w:style>
  <w:style w:type="paragraph" w:styleId="Heading2">
    <w:name w:val="heading 2"/>
    <w:basedOn w:val="Normal"/>
    <w:next w:val="Normal"/>
    <w:uiPriority w:val="9"/>
    <w:semiHidden w:val="1"/>
    <w:unhideWhenUsed w:val="1"/>
    <w:qFormat w:val="1"/>
    <w:pPr>
      <w:keepNext w:val="1"/>
      <w:keepLines w:val="1"/>
      <w:spacing w:after="120" w:before="360"/>
      <w:outlineLvl w:val="1"/>
    </w:pPr>
    <w:rPr>
      <w:sz w:val="32"/>
      <w:szCs w:val="32"/>
    </w:rPr>
  </w:style>
  <w:style w:type="paragraph" w:styleId="Heading3">
    <w:name w:val="heading 3"/>
    <w:basedOn w:val="Normal"/>
    <w:next w:val="Normal"/>
    <w:uiPriority w:val="9"/>
    <w:semiHidden w:val="1"/>
    <w:unhideWhenUsed w:val="1"/>
    <w:qFormat w:val="1"/>
    <w:pPr>
      <w:keepNext w:val="1"/>
      <w:keepLines w:val="1"/>
      <w:spacing w:after="80" w:before="320"/>
      <w:outlineLvl w:val="2"/>
    </w:pPr>
    <w:rPr>
      <w:color w:val="434343"/>
      <w:sz w:val="28"/>
      <w:szCs w:val="28"/>
    </w:rPr>
  </w:style>
  <w:style w:type="paragraph" w:styleId="Heading4">
    <w:name w:val="heading 4"/>
    <w:basedOn w:val="Normal"/>
    <w:next w:val="Normal"/>
    <w:uiPriority w:val="9"/>
    <w:semiHidden w:val="1"/>
    <w:unhideWhenUsed w:val="1"/>
    <w:qFormat w:val="1"/>
    <w:pPr>
      <w:keepNext w:val="1"/>
      <w:keepLines w:val="1"/>
      <w:spacing w:after="80" w:before="280"/>
      <w:outlineLvl w:val="3"/>
    </w:pPr>
    <w:rPr>
      <w:color w:val="666666"/>
    </w:rPr>
  </w:style>
  <w:style w:type="paragraph" w:styleId="Heading5">
    <w:name w:val="heading 5"/>
    <w:basedOn w:val="Normal"/>
    <w:next w:val="Normal"/>
    <w:uiPriority w:val="9"/>
    <w:semiHidden w:val="1"/>
    <w:unhideWhenUsed w:val="1"/>
    <w:qFormat w:val="1"/>
    <w:pPr>
      <w:keepNext w:val="1"/>
      <w:keepLines w:val="1"/>
      <w:spacing w:after="80" w:before="240"/>
      <w:outlineLvl w:val="4"/>
    </w:pPr>
    <w:rPr>
      <w:color w:val="666666"/>
      <w:sz w:val="22"/>
      <w:szCs w:val="22"/>
    </w:rPr>
  </w:style>
  <w:style w:type="paragraph" w:styleId="Heading6">
    <w:name w:val="heading 6"/>
    <w:basedOn w:val="Normal"/>
    <w:next w:val="Normal"/>
    <w:uiPriority w:val="9"/>
    <w:semiHidden w:val="1"/>
    <w:unhideWhenUsed w:val="1"/>
    <w:qFormat w:val="1"/>
    <w:pPr>
      <w:keepNext w:val="1"/>
      <w:keepLines w:val="1"/>
      <w:spacing w:after="80" w:before="240"/>
      <w:outlineLvl w:val="5"/>
    </w:pPr>
    <w:rPr>
      <w:i w:val="1"/>
      <w:color w:val="666666"/>
      <w:sz w:val="22"/>
      <w:szCs w:val="2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pPr>
      <w:keepNext w:val="1"/>
      <w:keepLines w:val="1"/>
      <w:spacing w:after="60"/>
    </w:pPr>
    <w:rPr>
      <w:sz w:val="52"/>
      <w:szCs w:val="52"/>
    </w:rPr>
  </w:style>
  <w:style w:type="paragraph" w:styleId="Subtitle">
    <w:name w:val="Subtitle"/>
    <w:basedOn w:val="Normal"/>
    <w:next w:val="Normal"/>
    <w:uiPriority w:val="11"/>
    <w:qFormat w:val="1"/>
    <w:pPr>
      <w:keepNext w:val="1"/>
      <w:keepLines w:val="1"/>
      <w:spacing w:after="320"/>
    </w:pPr>
    <w:rPr>
      <w:rFonts w:ascii="Arial" w:cs="Arial" w:eastAsia="Arial" w:hAnsi="Arial"/>
      <w:color w:val="666666"/>
      <w:sz w:val="30"/>
      <w:szCs w:val="30"/>
    </w:rPr>
  </w:style>
  <w:style w:type="paragraph" w:styleId="TOCHeading">
    <w:name w:val="TOC Heading"/>
    <w:basedOn w:val="Heading1"/>
    <w:next w:val="Normal"/>
    <w:uiPriority w:val="39"/>
    <w:unhideWhenUsed w:val="1"/>
    <w:qFormat w:val="1"/>
    <w:rsid w:val="00F71E6E"/>
    <w:pPr>
      <w:spacing w:before="240" w:line="259" w:lineRule="auto"/>
      <w:jc w:val="left"/>
      <w:outlineLvl w:val="9"/>
    </w:pPr>
    <w:rPr>
      <w:rFonts w:asciiTheme="majorHAnsi" w:cstheme="majorBidi" w:eastAsiaTheme="majorEastAsia" w:hAnsiTheme="majorHAnsi"/>
      <w:b w:val="0"/>
      <w:color w:val="365f91" w:themeColor="accent1" w:themeShade="0000BF"/>
      <w:sz w:val="32"/>
      <w:szCs w:val="32"/>
      <w:lang w:eastAsia="en-US" w:val="en-US"/>
    </w:rPr>
  </w:style>
  <w:style w:type="paragraph" w:styleId="TOC1">
    <w:name w:val="toc 1"/>
    <w:basedOn w:val="Normal"/>
    <w:next w:val="Normal"/>
    <w:autoRedefine w:val="1"/>
    <w:uiPriority w:val="39"/>
    <w:unhideWhenUsed w:val="1"/>
    <w:rsid w:val="00F71E6E"/>
    <w:pPr>
      <w:spacing w:after="100"/>
    </w:pPr>
  </w:style>
  <w:style w:type="character" w:styleId="Hyperlink">
    <w:name w:val="Hyperlink"/>
    <w:basedOn w:val="DefaultParagraphFont"/>
    <w:uiPriority w:val="99"/>
    <w:unhideWhenUsed w:val="1"/>
    <w:rsid w:val="00F71E6E"/>
    <w:rPr>
      <w:color w:val="0000ff" w:themeColor="hyperlink"/>
      <w:u w:val="single"/>
    </w:rPr>
  </w:style>
  <w:style w:type="paragraph" w:styleId="Header">
    <w:name w:val="header"/>
    <w:basedOn w:val="Normal"/>
    <w:link w:val="HeaderChar"/>
    <w:uiPriority w:val="99"/>
    <w:unhideWhenUsed w:val="1"/>
    <w:rsid w:val="004F736E"/>
    <w:pPr>
      <w:tabs>
        <w:tab w:val="center" w:pos="4513"/>
        <w:tab w:val="right" w:pos="9026"/>
      </w:tabs>
      <w:spacing w:line="240" w:lineRule="auto"/>
    </w:pPr>
  </w:style>
  <w:style w:type="character" w:styleId="HeaderChar" w:customStyle="1">
    <w:name w:val="Header Char"/>
    <w:basedOn w:val="DefaultParagraphFont"/>
    <w:link w:val="Header"/>
    <w:uiPriority w:val="99"/>
    <w:rsid w:val="004F736E"/>
  </w:style>
  <w:style w:type="paragraph" w:styleId="Footer">
    <w:name w:val="footer"/>
    <w:basedOn w:val="Normal"/>
    <w:link w:val="FooterChar"/>
    <w:uiPriority w:val="99"/>
    <w:unhideWhenUsed w:val="1"/>
    <w:rsid w:val="004F736E"/>
    <w:pPr>
      <w:tabs>
        <w:tab w:val="center" w:pos="4513"/>
        <w:tab w:val="right" w:pos="9026"/>
      </w:tabs>
      <w:spacing w:line="240" w:lineRule="auto"/>
    </w:pPr>
  </w:style>
  <w:style w:type="character" w:styleId="FooterChar" w:customStyle="1">
    <w:name w:val="Footer Char"/>
    <w:basedOn w:val="DefaultParagraphFont"/>
    <w:link w:val="Footer"/>
    <w:uiPriority w:val="99"/>
    <w:rsid w:val="004F736E"/>
  </w:style>
  <w:style w:type="paragraph" w:styleId="Subtitle">
    <w:name w:val="Subtitle"/>
    <w:basedOn w:val="Normal"/>
    <w:next w:val="Normal"/>
    <w:pPr>
      <w:keepNext w:val="1"/>
      <w:keepLines w:val="1"/>
      <w:spacing w:after="320" w:lineRule="auto"/>
    </w:pPr>
    <w:rPr>
      <w:rFonts w:ascii="Arial" w:cs="Arial" w:eastAsia="Arial" w:hAnsi="Arial"/>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dauTNZx4+4C8bknJ1iPq0yHjWHw==">AMUW2mVUN3UwEQ5uOO5q3t2QY/v3MAiMZ6lR+g16Asyy4UKnqwvPq3ZpVBzKX//pPJ354PFRfz48DsXnZC7R3BM8XQxoeAj73fKuL8JQgnMOUO8MiZ0fU8HUZ1MaMBMQmyk2K9afz1DYN4cfBcyaUp8t7LKSuy95zuCY72QYGNosJIJR/+z7JjaMhb0ECs222PwE1ASWSI7TJSxk1/z+5DnPexPsX5yWgsZmoQ5MhFJYmj7G+RO2oxlSUife3b+Mfj+Lq2REiqvwbEKBYPnd/1xNu/AYYFt4jO2Ae6o05dqfjt6/ZCGG24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2021-08-07T10:48:00Z</dcterms:created>
</cp:coreProperties>
</file>