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43E0" w:rsidRDefault="004543E0" w:rsidP="004543E0">
      <w:pPr>
        <w:jc w:val="center"/>
        <w:rPr>
          <w:sz w:val="24"/>
          <w:u w:val="single"/>
        </w:rPr>
      </w:pPr>
      <w:r>
        <w:rPr>
          <w:sz w:val="24"/>
          <w:u w:val="single"/>
        </w:rPr>
        <w:t>‘D</w:t>
      </w:r>
      <w:r w:rsidR="00A07A27">
        <w:rPr>
          <w:sz w:val="24"/>
          <w:u w:val="single"/>
        </w:rPr>
        <w:t>espite the impact of fighting ‘Total W</w:t>
      </w:r>
      <w:r>
        <w:rPr>
          <w:sz w:val="24"/>
          <w:u w:val="single"/>
        </w:rPr>
        <w:t>ar’ on the lives of ordinary Britons in 1914-1918, class divisions and differences were, for the most part, maintained. Discuss’</w:t>
      </w:r>
    </w:p>
    <w:p w:rsidR="00C06E50" w:rsidRDefault="00904C67" w:rsidP="00C06E50">
      <w:r>
        <w:t>The British Governments response to the escalating geopolitical situation in mainland Europe is encapsulated well by DeGroot. This response, utilising a traditionalist approach to foreign policy</w:t>
      </w:r>
      <w:r w:rsidR="00273AFA">
        <w:t>,</w:t>
      </w:r>
      <w:r>
        <w:t xml:space="preserve"> meant that the Government was ‘slow to understand the implications of Total War’</w:t>
      </w:r>
      <w:r w:rsidR="00273AFA">
        <w:rPr>
          <w:rStyle w:val="FootnoteReference"/>
        </w:rPr>
        <w:footnoteReference w:id="1"/>
      </w:r>
      <w:r>
        <w:t>.</w:t>
      </w:r>
      <w:r w:rsidR="002162FD">
        <w:t xml:space="preserve"> Such a response becomes thematic </w:t>
      </w:r>
      <w:r w:rsidR="00AD7E03">
        <w:t>in matters of class through the period.</w:t>
      </w:r>
      <w:r w:rsidR="003D7180">
        <w:t xml:space="preserve"> The proposition that class divisions and differences were maintained through the First World War will be challenged. Instead, the issue of class will be illustrated as being a fluid, developing embodiment of British society. Following an outline of the principles characteristi</w:t>
      </w:r>
      <w:r w:rsidR="00161FC7">
        <w:t>c of a population experiencing Total War</w:t>
      </w:r>
      <w:r w:rsidR="003D7180">
        <w:t>, the class divisions evident leading up to 1914 will be investigated. The transitions evident in this class structure during</w:t>
      </w:r>
      <w:r w:rsidR="005F745E">
        <w:t xml:space="preserve"> the</w:t>
      </w:r>
      <w:r w:rsidR="003D7180">
        <w:t xml:space="preserve"> years of 1914-1918</w:t>
      </w:r>
      <w:r w:rsidR="005F745E">
        <w:t xml:space="preserve"> will then be outlined. </w:t>
      </w:r>
      <w:proofErr w:type="gramStart"/>
      <w:r w:rsidR="005F745E">
        <w:t>Particular emphasis</w:t>
      </w:r>
      <w:proofErr w:type="gramEnd"/>
      <w:r w:rsidR="005F745E">
        <w:t xml:space="preserve"> will be placed on the relationships between Officers and Soldiers during Trench Warfare, the increasing influence wielded by Trade Unions and subsequently the lower classes, as well as finally the greater opportunities afforded to both lower and </w:t>
      </w:r>
      <w:r w:rsidR="002F3389">
        <w:t>middle-class</w:t>
      </w:r>
      <w:r w:rsidR="005F745E">
        <w:t xml:space="preserve"> woman during the period. </w:t>
      </w:r>
      <w:r w:rsidR="002F3389">
        <w:t>Following the end</w:t>
      </w:r>
      <w:r w:rsidR="00766586">
        <w:t xml:space="preserve"> of confrontations </w:t>
      </w:r>
      <w:r w:rsidR="002F3389">
        <w:t xml:space="preserve">in 1918, the repercussions of the conflict </w:t>
      </w:r>
      <w:r w:rsidR="00766586">
        <w:t xml:space="preserve">in relation to class divisions will also be explored. Additionally, the endurance of any class differences highlighted will be </w:t>
      </w:r>
      <w:r w:rsidR="00BF222E">
        <w:t>brought into question</w:t>
      </w:r>
      <w:r w:rsidR="00C15A5C">
        <w:t>,</w:t>
      </w:r>
      <w:r w:rsidR="00766586">
        <w:t xml:space="preserve"> </w:t>
      </w:r>
      <w:r w:rsidR="00C15A5C">
        <w:t>would the</w:t>
      </w:r>
      <w:r w:rsidR="00A249EE">
        <w:t>y</w:t>
      </w:r>
      <w:r w:rsidR="00766586">
        <w:t xml:space="preserve"> le</w:t>
      </w:r>
      <w:r w:rsidR="00C15A5C">
        <w:t>a</w:t>
      </w:r>
      <w:r w:rsidR="00766586">
        <w:t>d to lasting change</w:t>
      </w:r>
      <w:r w:rsidR="00BF222E">
        <w:t xml:space="preserve"> post 1918</w:t>
      </w:r>
      <w:r w:rsidR="00766586">
        <w:t>?</w:t>
      </w:r>
      <w:r w:rsidR="00857272">
        <w:t xml:space="preserve"> </w:t>
      </w:r>
      <w:r w:rsidR="00F57063">
        <w:t>Ultimately, support will be leant to DeGroots assertion that ‘Class and gender barriers began to crumble’</w:t>
      </w:r>
      <w:r w:rsidR="00F57063">
        <w:rPr>
          <w:rStyle w:val="FootnoteReference"/>
        </w:rPr>
        <w:footnoteReference w:id="2"/>
      </w:r>
      <w:r w:rsidR="00F57063">
        <w:t xml:space="preserve">.   </w:t>
      </w:r>
      <w:r w:rsidR="00766586">
        <w:t xml:space="preserve">  </w:t>
      </w:r>
    </w:p>
    <w:p w:rsidR="00A81B9C" w:rsidRDefault="00F7692D" w:rsidP="00C06E50">
      <w:r>
        <w:t>Prior to analysis of developing class difference</w:t>
      </w:r>
      <w:r w:rsidR="00DD3391">
        <w:t>s</w:t>
      </w:r>
      <w:r>
        <w:t xml:space="preserve"> during the First World War</w:t>
      </w:r>
      <w:r w:rsidR="00106A6D">
        <w:t>,</w:t>
      </w:r>
      <w:r>
        <w:t xml:space="preserve"> it becomes essential that the principle of Total War is outlined.</w:t>
      </w:r>
      <w:r w:rsidR="00106A6D">
        <w:t xml:space="preserve"> Marwick utilises an interesting approach in his explanation of the concept. He explains that a nation experiencing Total War could be referred to as a ‘society at war’</w:t>
      </w:r>
      <w:r w:rsidR="00106A6D">
        <w:rPr>
          <w:rStyle w:val="FootnoteReference"/>
        </w:rPr>
        <w:footnoteReference w:id="3"/>
      </w:r>
      <w:r w:rsidR="00106A6D">
        <w:t xml:space="preserve">. </w:t>
      </w:r>
      <w:r w:rsidR="009D7CF5">
        <w:t xml:space="preserve">In such a scenario, all resources of a nation are dedicated to pursuit of victory </w:t>
      </w:r>
      <w:proofErr w:type="gramStart"/>
      <w:r w:rsidR="009D7CF5">
        <w:t>in a given</w:t>
      </w:r>
      <w:proofErr w:type="gramEnd"/>
      <w:r w:rsidR="009D7CF5">
        <w:t xml:space="preserve"> conflict.</w:t>
      </w:r>
      <w:r w:rsidR="008F506F">
        <w:t xml:space="preserve"> </w:t>
      </w:r>
      <w:r w:rsidR="00E84F33">
        <w:t xml:space="preserve">A Total War is distinct from what is referred to as a Limited War. The latter of the two concepts often involves a confrontation with little immediate threat to the survival of the dominant nation. Subsequently, this dominant nation </w:t>
      </w:r>
      <w:proofErr w:type="gramStart"/>
      <w:r w:rsidR="00E84F33">
        <w:t>has the ability to</w:t>
      </w:r>
      <w:proofErr w:type="gramEnd"/>
      <w:r w:rsidR="00E84F33">
        <w:t xml:space="preserve"> maintain normal economic activity in conjunction with engaging in the confrontation. </w:t>
      </w:r>
      <w:r w:rsidR="005C799E">
        <w:t xml:space="preserve">Conversely, a nation experiencing Total War does experience this immediate threat to its continued survival. Therefore, adopts a Total War Economy. </w:t>
      </w:r>
      <w:r w:rsidR="00245A6C">
        <w:t>In such an econo</w:t>
      </w:r>
      <w:r w:rsidR="00695D9E">
        <w:t xml:space="preserve">my, </w:t>
      </w:r>
      <w:r w:rsidR="00245A6C">
        <w:t xml:space="preserve">the principle economic activity </w:t>
      </w:r>
      <w:r w:rsidR="00695D9E">
        <w:t>is that of fuelling the war effort – primarily in the manufacture of arms and equipment.</w:t>
      </w:r>
      <w:r w:rsidR="0060086F">
        <w:t xml:space="preserve"> </w:t>
      </w:r>
    </w:p>
    <w:p w:rsidR="00F7692D" w:rsidRDefault="00BE1CC2" w:rsidP="00C06E50">
      <w:r>
        <w:t>Total War can also act as a catalyst for social change in a nation. This social change has often manifested in an alteration of class divisions. Marwick explains this manifestation through categorising the experience of a society at war into four dimensions</w:t>
      </w:r>
      <w:r w:rsidR="00EE605C">
        <w:rPr>
          <w:rStyle w:val="FootnoteReference"/>
        </w:rPr>
        <w:footnoteReference w:id="4"/>
      </w:r>
      <w:r>
        <w:t xml:space="preserve">. </w:t>
      </w:r>
      <w:r w:rsidR="007B1CEA">
        <w:t>The first of which is the ‘destructive and disruptive’ dimension</w:t>
      </w:r>
      <w:r w:rsidR="007B1CEA">
        <w:rPr>
          <w:rStyle w:val="FootnoteReference"/>
        </w:rPr>
        <w:footnoteReference w:id="5"/>
      </w:r>
      <w:r w:rsidR="007B1CEA">
        <w:t>.</w:t>
      </w:r>
      <w:r>
        <w:t xml:space="preserve"> </w:t>
      </w:r>
      <w:r w:rsidR="00FB56BE">
        <w:t xml:space="preserve">Here, Marwick </w:t>
      </w:r>
      <w:r w:rsidR="00CC7B65">
        <w:t>outlines ‘an impulse towards re-building better than before’</w:t>
      </w:r>
      <w:r w:rsidR="00CC7B65">
        <w:rPr>
          <w:rStyle w:val="FootnoteReference"/>
        </w:rPr>
        <w:footnoteReference w:id="6"/>
      </w:r>
      <w:r w:rsidR="00CC7B65">
        <w:t>.</w:t>
      </w:r>
      <w:r w:rsidR="00A81B9C">
        <w:t xml:space="preserve"> </w:t>
      </w:r>
      <w:r w:rsidR="00CF7567">
        <w:t>This impulsive brings into question accepted social hierarchy often leading to abrupt changes in class differences. Secondly, the dimension of ‘test’ is explored</w:t>
      </w:r>
      <w:r w:rsidR="00CF7567">
        <w:rPr>
          <w:rStyle w:val="FootnoteReference"/>
        </w:rPr>
        <w:footnoteReference w:id="7"/>
      </w:r>
      <w:r w:rsidR="00CF7567">
        <w:t xml:space="preserve">. </w:t>
      </w:r>
      <w:r w:rsidR="005A2EDE">
        <w:t xml:space="preserve">The test refers to a social structure encountering stress </w:t>
      </w:r>
      <w:proofErr w:type="gramStart"/>
      <w:r w:rsidR="005A2EDE">
        <w:t>as a result of</w:t>
      </w:r>
      <w:proofErr w:type="gramEnd"/>
      <w:r w:rsidR="005A2EDE">
        <w:t xml:space="preserve"> conflict, the application of such stress will expose weakness in class divisions. Marwick references the collapse of ‘Tsarist Russia’ as an example of a failed institution</w:t>
      </w:r>
      <w:r w:rsidR="005A2EDE">
        <w:rPr>
          <w:rStyle w:val="FootnoteReference"/>
        </w:rPr>
        <w:footnoteReference w:id="8"/>
      </w:r>
      <w:r w:rsidR="005A2EDE">
        <w:t xml:space="preserve">. </w:t>
      </w:r>
      <w:r w:rsidR="007030F6">
        <w:t>Thirdly,</w:t>
      </w:r>
      <w:r w:rsidR="008B4FCD">
        <w:t xml:space="preserve"> comes</w:t>
      </w:r>
      <w:r w:rsidR="007030F6">
        <w:t xml:space="preserve"> </w:t>
      </w:r>
      <w:r w:rsidR="008B4FCD">
        <w:t xml:space="preserve">the ‘participation’ dimension placing emphasis on the lower </w:t>
      </w:r>
      <w:r w:rsidR="008B4FCD">
        <w:lastRenderedPageBreak/>
        <w:t>classes</w:t>
      </w:r>
      <w:r w:rsidR="008B4FCD">
        <w:rPr>
          <w:rStyle w:val="FootnoteReference"/>
        </w:rPr>
        <w:footnoteReference w:id="9"/>
      </w:r>
      <w:r w:rsidR="008B4FCD">
        <w:t xml:space="preserve">. During a Total War scenario the lower classes participation in affairs of the state, be that in the military or fuelling the war effort through industry on the home front, leads to the possibility of social gains. </w:t>
      </w:r>
      <w:r w:rsidR="001421CC">
        <w:t>These social gains are possible due to the newly found reliance of the state on their participation. This alteration is crucial in allowing</w:t>
      </w:r>
      <w:r w:rsidR="009B1281">
        <w:t xml:space="preserve"> for</w:t>
      </w:r>
      <w:r w:rsidR="001421CC">
        <w:t xml:space="preserve"> transitions in class division.</w:t>
      </w:r>
      <w:r w:rsidR="009B1281">
        <w:t xml:space="preserve"> Finally, the ‘psychological’ dimension is investigated</w:t>
      </w:r>
      <w:r w:rsidR="00CB7D98">
        <w:rPr>
          <w:rStyle w:val="FootnoteReference"/>
        </w:rPr>
        <w:footnoteReference w:id="10"/>
      </w:r>
      <w:r w:rsidR="009B1281">
        <w:t xml:space="preserve">. The horrors experienced in war lead to psychological questioning of an individual’s allegiance to a </w:t>
      </w:r>
      <w:proofErr w:type="gramStart"/>
      <w:r w:rsidR="009B1281">
        <w:t>particular</w:t>
      </w:r>
      <w:r w:rsidR="00CB7D98">
        <w:t xml:space="preserve"> social</w:t>
      </w:r>
      <w:proofErr w:type="gramEnd"/>
      <w:r w:rsidR="00CB7D98">
        <w:t xml:space="preserve"> class. For example, an infantry officer having lead his soldiers through Trench Warfare may well foster a greater connection to men of which would otherwise be considered of a lower class. Yet another scenario in support of DeGroots assertion that ‘Class and gender barriers began to crumble’</w:t>
      </w:r>
      <w:r w:rsidR="00252477">
        <w:rPr>
          <w:rStyle w:val="FootnoteReference"/>
        </w:rPr>
        <w:footnoteReference w:id="11"/>
      </w:r>
      <w:r w:rsidR="00CB7D98">
        <w:t xml:space="preserve">. </w:t>
      </w:r>
      <w:r w:rsidR="009B1281">
        <w:t xml:space="preserve"> </w:t>
      </w:r>
    </w:p>
    <w:p w:rsidR="005C0F3F" w:rsidRDefault="00B73058" w:rsidP="00C06E50">
      <w:r>
        <w:t>With an understanding of the Total War concept no</w:t>
      </w:r>
      <w:r w:rsidR="006F427E">
        <w:t>w</w:t>
      </w:r>
      <w:r>
        <w:t xml:space="preserve"> having been established</w:t>
      </w:r>
      <w:r w:rsidR="006F427E">
        <w:t xml:space="preserve">, the class divisions evident leading up to the outbreak of war in 1914 can now be explored. </w:t>
      </w:r>
      <w:r w:rsidR="004F1097">
        <w:t>One of the principle class divisions which will be utilised as a conduit into understanding the social hierarchy of the period is that of the British Army Officer.</w:t>
      </w:r>
      <w:r w:rsidR="007F239F">
        <w:t xml:space="preserve"> Specifically, the attributes of which were expected to be displayed by a leader. </w:t>
      </w:r>
      <w:r w:rsidR="003D003A">
        <w:t>DeGroot</w:t>
      </w:r>
      <w:r w:rsidR="007F239F">
        <w:t xml:space="preserve"> makes an astute observation</w:t>
      </w:r>
      <w:r w:rsidR="003D003A">
        <w:t xml:space="preserve"> </w:t>
      </w:r>
      <w:r w:rsidR="00C2774D">
        <w:t>relating to the Army’s traditionalist approach to Officer recruitment in that “</w:t>
      </w:r>
      <w:r w:rsidR="00C97B32">
        <w:t>The A</w:t>
      </w:r>
      <w:r w:rsidR="00C2774D">
        <w:t>rmy mirrored Edwardian society”</w:t>
      </w:r>
      <w:r w:rsidR="00C2774D">
        <w:rPr>
          <w:rStyle w:val="FootnoteReference"/>
        </w:rPr>
        <w:footnoteReference w:id="12"/>
      </w:r>
      <w:r w:rsidR="00C2774D">
        <w:t>.</w:t>
      </w:r>
      <w:r w:rsidR="00643F3E">
        <w:t xml:space="preserve"> </w:t>
      </w:r>
      <w:r w:rsidR="0004479F">
        <w:t xml:space="preserve">He elaborates on this point explaining that ‘For its Officers, the Army preferred gentleman to </w:t>
      </w:r>
      <w:r w:rsidR="00C97B32">
        <w:t>professionals’</w:t>
      </w:r>
      <w:r w:rsidR="0004479F">
        <w:rPr>
          <w:rStyle w:val="FootnoteReference"/>
        </w:rPr>
        <w:footnoteReference w:id="13"/>
      </w:r>
      <w:r w:rsidR="0004479F">
        <w:t>.</w:t>
      </w:r>
      <w:r w:rsidR="00C2774D">
        <w:t xml:space="preserve"> </w:t>
      </w:r>
      <w:r w:rsidR="00C97B32">
        <w:t>Such a preference indicates that entrance into the Officer class was far from a meritocracy</w:t>
      </w:r>
      <w:r w:rsidR="00C87266">
        <w:t>. The degree of this class prejudice is reflected well by Sandhurst entrance statistics indicating that ‘Before 1914 only about four of five Officers per year were promoted from the ranks’</w:t>
      </w:r>
      <w:r w:rsidR="00C87266">
        <w:rPr>
          <w:rStyle w:val="FootnoteReference"/>
        </w:rPr>
        <w:footnoteReference w:id="14"/>
      </w:r>
      <w:r w:rsidR="00C87266">
        <w:t>.</w:t>
      </w:r>
      <w:r w:rsidR="00F83EF4">
        <w:t xml:space="preserve"> </w:t>
      </w:r>
      <w:r w:rsidR="00587AE2">
        <w:t xml:space="preserve">The class division between Officers and soldiers prior to 1914 </w:t>
      </w:r>
      <w:r w:rsidR="00820FEE">
        <w:t>was truly one of the most striking in British society, it is important to consider that joining the Army as a soldier was considered ‘the last resort of the destitute’</w:t>
      </w:r>
      <w:r w:rsidR="00820FEE">
        <w:rPr>
          <w:rStyle w:val="FootnoteReference"/>
        </w:rPr>
        <w:footnoteReference w:id="15"/>
      </w:r>
      <w:r w:rsidR="00820FEE">
        <w:t>.</w:t>
      </w:r>
      <w:r w:rsidR="005101DF">
        <w:t xml:space="preserve"> The insistence of the British Army to prioritise birth right and class standing above that of competency and capability would be of great detriment to its combat power. Here, Marwick’s dimension of ‘test’ holds relevance</w:t>
      </w:r>
      <w:r w:rsidR="005101DF">
        <w:rPr>
          <w:rStyle w:val="FootnoteReference"/>
        </w:rPr>
        <w:footnoteReference w:id="16"/>
      </w:r>
      <w:r w:rsidR="005101DF">
        <w:t xml:space="preserve">. </w:t>
      </w:r>
      <w:r w:rsidR="00496A31">
        <w:t xml:space="preserve">Once these Officers of higher class standing were put to the test in combat, many were found lacking this essential competency in warfighting resulting </w:t>
      </w:r>
      <w:r w:rsidR="00B663FF">
        <w:t xml:space="preserve">in escalating casualties. </w:t>
      </w:r>
      <w:r w:rsidR="00C07AEB">
        <w:t xml:space="preserve">The dangers of the Army’s traditionalist approach to leadership and strategy </w:t>
      </w:r>
      <w:r w:rsidR="001B60F9">
        <w:t>is also increasingly evident in its lack of adaptability prior to the outbreak of war in 1914. The Army should have learnt valuable lessons from the Boer War, however ‘British Officers failed to notice how effective machine guns had proved’</w:t>
      </w:r>
      <w:r w:rsidR="001B60F9">
        <w:rPr>
          <w:rStyle w:val="FootnoteReference"/>
        </w:rPr>
        <w:footnoteReference w:id="17"/>
      </w:r>
      <w:r w:rsidR="001B60F9">
        <w:t>.</w:t>
      </w:r>
      <w:r w:rsidR="005101DF">
        <w:t xml:space="preserve"> </w:t>
      </w:r>
      <w:r w:rsidR="00E26551">
        <w:t xml:space="preserve">Had the Army implemented a more pragmatic approach to strategy and evolved in the face of technological advancement it would have performed far more effectively in 1914 and beyond. </w:t>
      </w:r>
      <w:r w:rsidR="005A3B45">
        <w:t xml:space="preserve">Instead, stubbornness </w:t>
      </w:r>
      <w:proofErr w:type="gramStart"/>
      <w:r w:rsidR="00967CD3">
        <w:t>as a result of</w:t>
      </w:r>
      <w:proofErr w:type="gramEnd"/>
      <w:r w:rsidR="00967CD3">
        <w:t xml:space="preserve"> class division and false prejudice to</w:t>
      </w:r>
      <w:r w:rsidR="00F93252">
        <w:t xml:space="preserve">wards evolution from </w:t>
      </w:r>
      <w:r w:rsidR="00967CD3">
        <w:t xml:space="preserve">a traditionalist approach to leadership had grave consequences.  </w:t>
      </w:r>
      <w:r w:rsidR="00C97B32">
        <w:t xml:space="preserve">   </w:t>
      </w:r>
      <w:r w:rsidR="007F239F">
        <w:t xml:space="preserve"> </w:t>
      </w:r>
    </w:p>
    <w:p w:rsidR="00B36E8D" w:rsidRDefault="005C0F3F" w:rsidP="00C06E50">
      <w:r>
        <w:t xml:space="preserve">Having explored the state of class division in British society through the guise of the British Army Officer prior to 1914, the transition of class divisions and differences during the First World War can now be investigated. </w:t>
      </w:r>
      <w:r w:rsidR="009E6322">
        <w:t xml:space="preserve">As previously stated, this investigation will </w:t>
      </w:r>
      <w:r w:rsidR="008134EA">
        <w:t>utilise</w:t>
      </w:r>
      <w:r w:rsidR="009E6322">
        <w:t xml:space="preserve"> a multifaceted</w:t>
      </w:r>
      <w:r w:rsidR="008134EA">
        <w:t xml:space="preserve"> approach. Firstly, the relationship between Officers and soldiers in Trench Warfare will be analysed. Secondly, the increasing power of the Trade Unions </w:t>
      </w:r>
      <w:proofErr w:type="gramStart"/>
      <w:r w:rsidR="008134EA">
        <w:t>as a result of</w:t>
      </w:r>
      <w:proofErr w:type="gramEnd"/>
      <w:r w:rsidR="008134EA">
        <w:t xml:space="preserve"> the greater reliance of the state on the lower classes. Finally, the greater opportunities afforded to Women, alongside the Suffragette movement, </w:t>
      </w:r>
      <w:r w:rsidR="008134EA">
        <w:lastRenderedPageBreak/>
        <w:t xml:space="preserve">through the period. </w:t>
      </w:r>
      <w:r w:rsidR="00E46281">
        <w:t xml:space="preserve">Each approach will expose the development of class differences during the First World War. </w:t>
      </w:r>
    </w:p>
    <w:p w:rsidR="004E4A04" w:rsidRDefault="00732A3D" w:rsidP="00C06E50">
      <w:r>
        <w:t xml:space="preserve">Naturally, </w:t>
      </w:r>
      <w:proofErr w:type="gramStart"/>
      <w:r>
        <w:t>as a result of</w:t>
      </w:r>
      <w:proofErr w:type="gramEnd"/>
      <w:r>
        <w:t xml:space="preserve"> </w:t>
      </w:r>
      <w:r w:rsidR="000D4B6E">
        <w:t>the British Army’s great demand for additional manpower following the realisation of</w:t>
      </w:r>
      <w:r w:rsidR="00A93CE0">
        <w:t xml:space="preserve"> the</w:t>
      </w:r>
      <w:r w:rsidR="000D4B6E">
        <w:t xml:space="preserve"> conflicts growing scale</w:t>
      </w:r>
      <w:r w:rsidR="00A93CE0">
        <w:t>,</w:t>
      </w:r>
      <w:r w:rsidR="000D4B6E">
        <w:t xml:space="preserve"> the sight of British soldiers on the streets became increasingly prevalent.</w:t>
      </w:r>
      <w:r w:rsidR="00A93CE0">
        <w:t xml:space="preserve"> Subsequently, it was out of necessity that soldiers became further integrated in British society. Traditionally, being viewed as ‘the last resort for the destitute’, interaction with soldier by those of the middle class was avoided </w:t>
      </w:r>
      <w:r w:rsidR="00015999">
        <w:t>due to</w:t>
      </w:r>
      <w:r w:rsidR="00A93CE0">
        <w:t xml:space="preserve"> the implied social stigmatism</w:t>
      </w:r>
      <w:r w:rsidR="00A93CE0">
        <w:rPr>
          <w:rStyle w:val="FootnoteReference"/>
        </w:rPr>
        <w:footnoteReference w:id="18"/>
      </w:r>
      <w:r w:rsidR="00A93CE0">
        <w:t xml:space="preserve">. </w:t>
      </w:r>
      <w:r w:rsidR="00050C1D">
        <w:t xml:space="preserve">However, the </w:t>
      </w:r>
      <w:r w:rsidR="004170E2">
        <w:t>testimony of</w:t>
      </w:r>
      <w:r w:rsidR="004E4A04">
        <w:t xml:space="preserve"> Rifleman Percy Jones</w:t>
      </w:r>
      <w:r w:rsidR="00C1304A">
        <w:t xml:space="preserve"> </w:t>
      </w:r>
      <w:r w:rsidR="008F2EA6">
        <w:t>exposes</w:t>
      </w:r>
      <w:r w:rsidR="00C1304A">
        <w:t xml:space="preserve"> an evolution in this relationship</w:t>
      </w:r>
      <w:r w:rsidR="00B42144">
        <w:t>:</w:t>
      </w:r>
    </w:p>
    <w:p w:rsidR="005C0F3F" w:rsidRDefault="004E4A04" w:rsidP="004E4A04">
      <w:pPr>
        <w:ind w:left="360"/>
      </w:pPr>
      <w:r>
        <w:t xml:space="preserve">‘The People along the line of the route showered things on us and refused to take any money. A gentleman in Watford bought out a whole fruit stall as it stood and told the lucky </w:t>
      </w:r>
      <w:proofErr w:type="spellStart"/>
      <w:r>
        <w:t>coster</w:t>
      </w:r>
      <w:proofErr w:type="spellEnd"/>
      <w:r>
        <w:t xml:space="preserve"> to give us the lot. When we halted people rushed out of their houses to distribute food and drink’</w:t>
      </w:r>
      <w:r w:rsidR="00C45B3D">
        <w:rPr>
          <w:rStyle w:val="FootnoteReference"/>
        </w:rPr>
        <w:footnoteReference w:id="19"/>
      </w:r>
      <w:r>
        <w:t xml:space="preserve"> </w:t>
      </w:r>
      <w:r w:rsidR="004170E2">
        <w:t xml:space="preserve"> </w:t>
      </w:r>
      <w:r w:rsidR="00A93CE0">
        <w:t xml:space="preserve"> </w:t>
      </w:r>
      <w:r w:rsidR="000D4B6E">
        <w:t xml:space="preserve">   </w:t>
      </w:r>
    </w:p>
    <w:p w:rsidR="005C0F3F" w:rsidRDefault="001B60BD" w:rsidP="00C06E50">
      <w:r>
        <w:t>The testimony of Rifleman Jones clearly</w:t>
      </w:r>
      <w:r w:rsidR="001B02EE">
        <w:t xml:space="preserve"> shows</w:t>
      </w:r>
      <w:r>
        <w:t xml:space="preserve"> </w:t>
      </w:r>
      <w:r w:rsidR="00FC3BF2">
        <w:t xml:space="preserve">a development in class divisions </w:t>
      </w:r>
      <w:r w:rsidR="001B02EE">
        <w:t>early in the</w:t>
      </w:r>
      <w:r w:rsidR="00FC3BF2">
        <w:t xml:space="preserve"> First World War. </w:t>
      </w:r>
      <w:r w:rsidR="001B02EE">
        <w:t xml:space="preserve">Prior to 1914 such interaction outside of the usual class divisions would have been unheard of. Greater weight is given to this point when those of the middle class are openly showing appreciation, and enduringly personal expense, on behalf of </w:t>
      </w:r>
      <w:r w:rsidR="00125E09">
        <w:t>the</w:t>
      </w:r>
      <w:r w:rsidR="001B02EE">
        <w:t xml:space="preserve"> ‘destitute’</w:t>
      </w:r>
      <w:r w:rsidR="001B02EE">
        <w:rPr>
          <w:rStyle w:val="FootnoteReference"/>
        </w:rPr>
        <w:footnoteReference w:id="20"/>
      </w:r>
      <w:r w:rsidR="001B02EE">
        <w:t>.</w:t>
      </w:r>
    </w:p>
    <w:p w:rsidR="005C0F3F" w:rsidRDefault="00D17667" w:rsidP="00C06E50">
      <w:r>
        <w:t xml:space="preserve">Further breakdown of class divisions can be witnessed once soldier reached the frontlines. </w:t>
      </w:r>
      <w:proofErr w:type="gramStart"/>
      <w:r>
        <w:t>In particular, the</w:t>
      </w:r>
      <w:proofErr w:type="gramEnd"/>
      <w:r>
        <w:t xml:space="preserve"> relationships developed between Officers and </w:t>
      </w:r>
      <w:r w:rsidR="00EC5647">
        <w:t>Senior Non-Commissioned Officers (SNCO) during Trench Warfare. Sassoon address</w:t>
      </w:r>
      <w:r w:rsidR="0066682C">
        <w:t>es</w:t>
      </w:r>
      <w:r w:rsidR="00EC5647">
        <w:t xml:space="preserve"> such a relationship on many occasions, one of which with an Officer showing admiration for his Platoon Sergeant. The extended period of which Sergeant Miles had occupied the frontline is admired, ‘he’d been in France nearly a year, which was longer than most men could stick such a life’</w:t>
      </w:r>
      <w:r w:rsidR="00EC5647">
        <w:rPr>
          <w:rStyle w:val="FootnoteReference"/>
        </w:rPr>
        <w:footnoteReference w:id="21"/>
      </w:r>
      <w:r w:rsidR="00EC5647">
        <w:t>.</w:t>
      </w:r>
      <w:r w:rsidR="0077243B">
        <w:t xml:space="preserve"> Crucially, </w:t>
      </w:r>
      <w:r w:rsidR="00B54D84">
        <w:t xml:space="preserve">such a relationship is </w:t>
      </w:r>
      <w:proofErr w:type="gramStart"/>
      <w:r w:rsidR="00B54D84">
        <w:t>as a result of</w:t>
      </w:r>
      <w:proofErr w:type="gramEnd"/>
      <w:r w:rsidR="00B54D84">
        <w:t xml:space="preserve"> the ‘participation’ and ‘psychological’ dimensions outlined by Marwick</w:t>
      </w:r>
      <w:r w:rsidR="00B54D84">
        <w:rPr>
          <w:rStyle w:val="FootnoteReference"/>
        </w:rPr>
        <w:footnoteReference w:id="22"/>
      </w:r>
      <w:r w:rsidR="00B54D84">
        <w:t>.</w:t>
      </w:r>
      <w:r w:rsidR="00E27880">
        <w:t xml:space="preserve"> </w:t>
      </w:r>
      <w:r w:rsidR="003739FE">
        <w:t xml:space="preserve">The Officer in this case, believed to be a higher class of Gentleman, is exposed to the nations reliance of what was traditionally the lower classes capability. Additionally, the psychological damages inflicted by Trench Warfare has furthered the breakdown in class division. </w:t>
      </w:r>
    </w:p>
    <w:p w:rsidR="002E649D" w:rsidRDefault="00676713" w:rsidP="00C06E50">
      <w:r>
        <w:t>The effect of</w:t>
      </w:r>
      <w:r w:rsidR="00A65FFB">
        <w:t xml:space="preserve"> the First World War on the power of the Trade Unions is also of significance.</w:t>
      </w:r>
      <w:r w:rsidR="006C64BD">
        <w:t xml:space="preserve"> </w:t>
      </w:r>
      <w:r w:rsidR="000B1CB7">
        <w:t>Due to the states newly found reliance on the lower class to fuel its war machine</w:t>
      </w:r>
      <w:r w:rsidR="00C04CD9">
        <w:t>, the influence wielded by the organisation</w:t>
      </w:r>
      <w:r w:rsidR="005F4E1C">
        <w:t>s</w:t>
      </w:r>
      <w:r w:rsidR="00C04CD9">
        <w:t xml:space="preserve"> representing this demographic was greatly</w:t>
      </w:r>
      <w:r w:rsidR="005F4E1C">
        <w:t xml:space="preserve"> amplified. </w:t>
      </w:r>
      <w:r w:rsidR="00BD0937">
        <w:t>DeGroot supports this proposition, stating that ‘Both the Trade Unions and the Labour Party were stronger in 1918 than they had been in 1914’</w:t>
      </w:r>
      <w:r w:rsidR="00BD0937">
        <w:rPr>
          <w:rStyle w:val="FootnoteReference"/>
        </w:rPr>
        <w:footnoteReference w:id="23"/>
      </w:r>
      <w:r w:rsidR="00BD0937">
        <w:t>.</w:t>
      </w:r>
      <w:r w:rsidR="000B1CB7">
        <w:t xml:space="preserve"> </w:t>
      </w:r>
      <w:r w:rsidR="00F14547">
        <w:t xml:space="preserve">The fundamental class difference that the lower members of the social hierarchy had both poor industrial and political representation changed. </w:t>
      </w:r>
      <w:r w:rsidR="00810A7C">
        <w:t xml:space="preserve">It is important to note however that this class development did not </w:t>
      </w:r>
      <w:r w:rsidR="00B1082E">
        <w:t>compromise</w:t>
      </w:r>
      <w:r w:rsidR="00810A7C">
        <w:t xml:space="preserve"> the British state</w:t>
      </w:r>
      <w:r w:rsidR="00A60628">
        <w:t>,</w:t>
      </w:r>
      <w:r w:rsidR="00810A7C">
        <w:t xml:space="preserve"> </w:t>
      </w:r>
      <w:r w:rsidR="00A60628">
        <w:t xml:space="preserve">but </w:t>
      </w:r>
      <w:r w:rsidR="00810A7C">
        <w:t>alternately ‘confirmed the unrevolutionary character of the British Worker’</w:t>
      </w:r>
      <w:r w:rsidR="00A60628">
        <w:rPr>
          <w:rStyle w:val="FootnoteReference"/>
        </w:rPr>
        <w:footnoteReference w:id="24"/>
      </w:r>
      <w:r w:rsidR="00A60628">
        <w:t>.</w:t>
      </w:r>
      <w:r w:rsidR="00C12E1E">
        <w:t xml:space="preserve"> The Trade Unions sought greater political influence and not the downfall of the existing system.</w:t>
      </w:r>
      <w:r w:rsidR="004D01E0">
        <w:t xml:space="preserve"> </w:t>
      </w:r>
      <w:r w:rsidR="00A65FFB">
        <w:t xml:space="preserve"> </w:t>
      </w:r>
    </w:p>
    <w:p w:rsidR="0060646A" w:rsidRDefault="00A933DD" w:rsidP="00C06E50">
      <w:r>
        <w:t xml:space="preserve">Women also experienced a shift in social attitudes </w:t>
      </w:r>
      <w:proofErr w:type="gramStart"/>
      <w:r>
        <w:t>as a result of</w:t>
      </w:r>
      <w:proofErr w:type="gramEnd"/>
      <w:r>
        <w:t xml:space="preserve"> the First World War</w:t>
      </w:r>
      <w:r w:rsidR="008F497D">
        <w:t>. As the Total War economy began to take hold, and principle economic activity shifted towards supporting the war effort, demand for products produced in industries dominated by the</w:t>
      </w:r>
      <w:r w:rsidR="00CB0956">
        <w:t xml:space="preserve"> f</w:t>
      </w:r>
      <w:r w:rsidR="008F497D">
        <w:t xml:space="preserve">emale workforce </w:t>
      </w:r>
      <w:r w:rsidR="008F497D">
        <w:lastRenderedPageBreak/>
        <w:t>diminished. This was particularly prevalent in the textiles industry</w:t>
      </w:r>
      <w:r w:rsidR="008F497D">
        <w:rPr>
          <w:rStyle w:val="FootnoteReference"/>
        </w:rPr>
        <w:footnoteReference w:id="25"/>
      </w:r>
      <w:r w:rsidR="008F497D">
        <w:t>.</w:t>
      </w:r>
      <w:r w:rsidR="00CB0956">
        <w:t xml:space="preserve"> As a </w:t>
      </w:r>
      <w:r w:rsidR="00A9226B">
        <w:t>result,</w:t>
      </w:r>
      <w:r w:rsidR="00CB0956">
        <w:t xml:space="preserve"> many women</w:t>
      </w:r>
      <w:r w:rsidR="00415300">
        <w:t xml:space="preserve"> experienced redundancy</w:t>
      </w:r>
      <w:r w:rsidR="0086708F">
        <w:rPr>
          <w:rStyle w:val="FootnoteReference"/>
        </w:rPr>
        <w:footnoteReference w:id="26"/>
      </w:r>
      <w:r w:rsidR="00A9226B">
        <w:t xml:space="preserve">. This was an issue which transcended traditional class divisions with women across the social hierarchy experiencing similar issues. Consequently, Marwick’s ‘psychological’ dimension must once again come into consideration. </w:t>
      </w:r>
      <w:r w:rsidR="006D22A2">
        <w:t>The collective suffering experienced by all British women degraded the barriers separating classes resulting in organisations such as the ‘Educated Women’s War Emergency Training Fund’ as well as the ‘Queen Mary’s Work for Women Fund’ being established</w:t>
      </w:r>
      <w:r w:rsidR="006D22A2">
        <w:rPr>
          <w:rStyle w:val="FootnoteReference"/>
        </w:rPr>
        <w:footnoteReference w:id="27"/>
      </w:r>
      <w:r w:rsidR="006D22A2">
        <w:t>.</w:t>
      </w:r>
      <w:r w:rsidR="001F638B">
        <w:t xml:space="preserve"> These initiatives provided women with the skills to occupy professions which previously</w:t>
      </w:r>
      <w:r w:rsidR="00516BD1">
        <w:t xml:space="preserve"> offered</w:t>
      </w:r>
      <w:r w:rsidR="001F638B">
        <w:t xml:space="preserve"> little opportunity</w:t>
      </w:r>
      <w:r w:rsidR="00516BD1">
        <w:t xml:space="preserve"> to female workers</w:t>
      </w:r>
      <w:r w:rsidR="00BF2BE4">
        <w:rPr>
          <w:rStyle w:val="FootnoteReference"/>
        </w:rPr>
        <w:footnoteReference w:id="28"/>
      </w:r>
      <w:r w:rsidR="001F638B">
        <w:t>.</w:t>
      </w:r>
      <w:r w:rsidR="00516BD1">
        <w:t xml:space="preserve"> </w:t>
      </w:r>
      <w:r w:rsidR="00DD6A7A">
        <w:t xml:space="preserve">Despite the great demand for these vacancies in industry to be filled, women still encountered resistance from traditionalists who felt the work should only be completed by men. </w:t>
      </w:r>
      <w:r w:rsidR="00113A64">
        <w:t>It took influential women, such as Emmeline Pankhurst of the suffragette movement, to ‘draw attention to the untapped reservoir of female labour’ before female occupancy of employment in industry became prevalent</w:t>
      </w:r>
      <w:r w:rsidR="00113A64">
        <w:rPr>
          <w:rStyle w:val="FootnoteReference"/>
        </w:rPr>
        <w:footnoteReference w:id="29"/>
      </w:r>
      <w:r w:rsidR="00113A64">
        <w:t>.</w:t>
      </w:r>
      <w:r w:rsidR="000A2248">
        <w:t xml:space="preserve"> </w:t>
      </w:r>
      <w:r w:rsidR="00630FF3">
        <w:t xml:space="preserve">The suffragette movement provides a great example of unification across the social hierarchy. </w:t>
      </w:r>
    </w:p>
    <w:p w:rsidR="00A933DD" w:rsidRDefault="00E218B1" w:rsidP="00C06E50">
      <w:r>
        <w:t>Having explored various aspects of change in class division through the First World War, the legacy of these changes post 1918 must now be evaluated.</w:t>
      </w:r>
      <w:r w:rsidR="00A24E74">
        <w:t xml:space="preserve"> Unfortunately, evidence indicates that ‘The war was insufficiently cataclysmic to destroy this fundamentally stable social system’</w:t>
      </w:r>
      <w:r w:rsidR="00EA31AA">
        <w:rPr>
          <w:rStyle w:val="FootnoteReference"/>
        </w:rPr>
        <w:footnoteReference w:id="30"/>
      </w:r>
      <w:r w:rsidR="00EA31AA">
        <w:t>.</w:t>
      </w:r>
      <w:r w:rsidR="005A44BF">
        <w:t xml:space="preserve"> Despite the fact considerable progress was made during the years of 1914-1918 the traditionalist approach adopted by British institutions, be that both Governmental and Military, </w:t>
      </w:r>
      <w:r w:rsidR="00822899">
        <w:t>was not sufficiently degraded. The approached continued to render ‘progress erratic and limited’</w:t>
      </w:r>
      <w:r w:rsidR="00822899">
        <w:rPr>
          <w:rStyle w:val="FootnoteReference"/>
        </w:rPr>
        <w:footnoteReference w:id="31"/>
      </w:r>
      <w:r w:rsidR="00822899">
        <w:t>.</w:t>
      </w:r>
      <w:r w:rsidR="00FE0559">
        <w:t xml:space="preserve"> </w:t>
      </w:r>
      <w:r w:rsidR="00682CB2">
        <w:t>Relationships fostered between Officers and soldiers during Trench Warfare, and subsequently between the higher and lower classes, failed to transfer into civilian society</w:t>
      </w:r>
      <w:r w:rsidR="00682CB2">
        <w:rPr>
          <w:rStyle w:val="FootnoteReference"/>
        </w:rPr>
        <w:footnoteReference w:id="32"/>
      </w:r>
      <w:r w:rsidR="00682CB2">
        <w:t xml:space="preserve">. </w:t>
      </w:r>
      <w:r w:rsidR="002735FA">
        <w:t xml:space="preserve">Additionally, </w:t>
      </w:r>
      <w:r w:rsidR="00D80EB7">
        <w:t>the growing influence of both the lower class</w:t>
      </w:r>
      <w:r w:rsidR="00CD4A7A">
        <w:t>,</w:t>
      </w:r>
      <w:r w:rsidR="00D80EB7">
        <w:t xml:space="preserve"> and women</w:t>
      </w:r>
      <w:r w:rsidR="00CD4A7A">
        <w:t>,</w:t>
      </w:r>
      <w:r w:rsidR="00D80EB7">
        <w:t xml:space="preserve"> failed to fully take hold. Merely, the seeds for greater social change were sown with the experiences of workers altering their ‘world view’, meanwhile the role of women ‘within society evolved’</w:t>
      </w:r>
      <w:r w:rsidR="00EE45B4">
        <w:rPr>
          <w:rStyle w:val="FootnoteReference"/>
        </w:rPr>
        <w:footnoteReference w:id="33"/>
      </w:r>
      <w:r w:rsidR="00EE45B4">
        <w:t xml:space="preserve">. A chapter of DeGroot’s work ‘Blighty’, eloquently </w:t>
      </w:r>
      <w:r w:rsidR="00A87472">
        <w:t>surmises the effect of the First World War on class divisions in Britain as being ‘Three Steps Forward, Two Back’</w:t>
      </w:r>
      <w:r w:rsidR="00A87472">
        <w:rPr>
          <w:rStyle w:val="FootnoteReference"/>
        </w:rPr>
        <w:footnoteReference w:id="34"/>
      </w:r>
      <w:r w:rsidR="00A87472">
        <w:t>.</w:t>
      </w:r>
      <w:r w:rsidR="00EE45B4">
        <w:t xml:space="preserve"> </w:t>
      </w:r>
      <w:r>
        <w:t xml:space="preserve"> </w:t>
      </w:r>
      <w:r w:rsidR="00113A64">
        <w:t xml:space="preserve"> </w:t>
      </w:r>
      <w:r w:rsidR="001F638B">
        <w:t xml:space="preserve">   </w:t>
      </w:r>
      <w:r w:rsidR="00A9226B">
        <w:t xml:space="preserve">  </w:t>
      </w:r>
      <w:r w:rsidR="00CB0956">
        <w:t xml:space="preserve"> </w:t>
      </w:r>
      <w:r w:rsidR="00676B95">
        <w:t xml:space="preserve"> </w:t>
      </w:r>
      <w:r w:rsidR="008F497D">
        <w:t xml:space="preserve">   </w:t>
      </w:r>
    </w:p>
    <w:p w:rsidR="00C06E50" w:rsidRDefault="0010149F" w:rsidP="00C06E50">
      <w:r>
        <w:t>Ultimately, class divisions and differences in Briton evolved through multiple stages</w:t>
      </w:r>
      <w:r w:rsidR="00DE70E6">
        <w:t xml:space="preserve"> over the period</w:t>
      </w:r>
      <w:r>
        <w:t>. The pre-1914 traditionalist approach was fundamental across all British institutions. Society, particularly the higher echelons of the social hierarchy, were very resistant to change.</w:t>
      </w:r>
      <w:r w:rsidR="006C794A">
        <w:t xml:space="preserve"> The years of war </w:t>
      </w:r>
      <w:r w:rsidR="00A4482A">
        <w:t xml:space="preserve">leading </w:t>
      </w:r>
      <w:r w:rsidR="006C794A">
        <w:t xml:space="preserve">up to 1918 forced British society to adapt </w:t>
      </w:r>
      <w:proofErr w:type="gramStart"/>
      <w:r w:rsidR="006C794A">
        <w:t>in order to</w:t>
      </w:r>
      <w:proofErr w:type="gramEnd"/>
      <w:r w:rsidR="006C794A">
        <w:t xml:space="preserve"> survive. This forced adaptation, outlined in Marwick’s</w:t>
      </w:r>
      <w:r w:rsidR="00613EE9">
        <w:t xml:space="preserve"> four</w:t>
      </w:r>
      <w:r w:rsidR="006C794A">
        <w:t xml:space="preserve"> dimensions of ‘destruction’, ‘test’, ‘participation’</w:t>
      </w:r>
      <w:r>
        <w:t xml:space="preserve"> </w:t>
      </w:r>
      <w:r w:rsidR="006C794A">
        <w:t>and ‘psychology’ resulted in ‘class and gender barriers which began to crumble’</w:t>
      </w:r>
      <w:r w:rsidR="006C794A">
        <w:rPr>
          <w:rStyle w:val="FootnoteReference"/>
        </w:rPr>
        <w:footnoteReference w:id="35"/>
      </w:r>
      <w:r w:rsidR="006C794A">
        <w:rPr>
          <w:rStyle w:val="FootnoteReference"/>
        </w:rPr>
        <w:footnoteReference w:id="36"/>
      </w:r>
      <w:r w:rsidR="006C794A">
        <w:t>.</w:t>
      </w:r>
      <w:r w:rsidR="00613EE9">
        <w:t xml:space="preserve"> This dilution of class divisions has been evidenced in relationships developed during Trench Warfare between Officers and Soldier; the increased influence wielded by the Trade Unions and the </w:t>
      </w:r>
      <w:r w:rsidR="00840F33">
        <w:t>lower-class</w:t>
      </w:r>
      <w:r w:rsidR="00A4482A">
        <w:t xml:space="preserve"> demographic</w:t>
      </w:r>
      <w:r w:rsidR="00613EE9">
        <w:t xml:space="preserve">; </w:t>
      </w:r>
      <w:r w:rsidR="00C14BDA">
        <w:t xml:space="preserve">as well as the greater opportunities afforded to the female workforce, driven by a determined suffragette </w:t>
      </w:r>
      <w:r w:rsidR="00C14BDA">
        <w:lastRenderedPageBreak/>
        <w:t>movement.</w:t>
      </w:r>
      <w:r w:rsidR="00840F33">
        <w:t xml:space="preserve"> However, despite the First World War acting as a catalyst for short term social change it failed to drastically alter a ‘fundamentally stable social system’</w:t>
      </w:r>
      <w:r w:rsidR="00840F33">
        <w:rPr>
          <w:rStyle w:val="FootnoteReference"/>
        </w:rPr>
        <w:footnoteReference w:id="37"/>
      </w:r>
      <w:r w:rsidR="00840F33">
        <w:t>.</w:t>
      </w:r>
      <w:r w:rsidR="00A4482A">
        <w:t xml:space="preserve"> Following the end of the First World War the post-1918 Briton which developed still held many similarities to that of the early 1900’s. However, the foundations for wider social reform had been </w:t>
      </w:r>
      <w:r w:rsidR="00FE7EBD">
        <w:t>established</w:t>
      </w:r>
      <w:r w:rsidR="00A4482A">
        <w:t>. Trade Unions continued to gather influence</w:t>
      </w:r>
      <w:r w:rsidR="00FA603A">
        <w:t>, alongside the Labour Party,</w:t>
      </w:r>
      <w:r w:rsidR="00A4482A">
        <w:t xml:space="preserve"> and the suffragette</w:t>
      </w:r>
      <w:r w:rsidR="00FA603A">
        <w:t>’s</w:t>
      </w:r>
      <w:r w:rsidR="00A4482A">
        <w:t xml:space="preserve"> </w:t>
      </w:r>
      <w:r w:rsidR="00FA603A">
        <w:t>led by Pankhurst</w:t>
      </w:r>
      <w:r w:rsidR="00A4482A">
        <w:t xml:space="preserve"> ultimately </w:t>
      </w:r>
      <w:r w:rsidR="007C02A6">
        <w:t>realised the</w:t>
      </w:r>
      <w:r w:rsidR="002E4789">
        <w:t>ir</w:t>
      </w:r>
      <w:r w:rsidR="007C02A6">
        <w:t xml:space="preserve"> aspiration</w:t>
      </w:r>
      <w:r w:rsidR="00FA603A">
        <w:t>s</w:t>
      </w:r>
      <w:r w:rsidR="007C02A6">
        <w:t>.</w:t>
      </w:r>
      <w:r w:rsidR="00270BA0">
        <w:t xml:space="preserve"> In answer to the initial proposition that class divisions and differences were maintained, a definitive position cannot truly be established. Whilst many changes to the social and class structure of Britain were reverted post-1918, class difference were significantly narrowed </w:t>
      </w:r>
      <w:r w:rsidR="00FA603A">
        <w:t xml:space="preserve">setting British society on a </w:t>
      </w:r>
      <w:r w:rsidR="00067C41">
        <w:t>course</w:t>
      </w:r>
      <w:r w:rsidR="00FA603A">
        <w:t xml:space="preserve"> for substantive</w:t>
      </w:r>
      <w:r w:rsidR="00067C41">
        <w:t xml:space="preserve"> change. </w:t>
      </w:r>
      <w:r w:rsidR="00FA603A">
        <w:t xml:space="preserve"> </w:t>
      </w:r>
      <w:r w:rsidR="00270BA0">
        <w:t xml:space="preserve">   </w:t>
      </w:r>
      <w:r w:rsidR="007C02A6">
        <w:t xml:space="preserve"> </w:t>
      </w:r>
      <w:r w:rsidR="00A4482A">
        <w:t xml:space="preserve">   </w:t>
      </w:r>
      <w:r w:rsidR="00840F33">
        <w:t xml:space="preserve">  </w:t>
      </w:r>
      <w:r w:rsidR="00C14BDA">
        <w:t xml:space="preserve">  </w:t>
      </w:r>
      <w:r w:rsidR="00613EE9">
        <w:t xml:space="preserve"> </w:t>
      </w:r>
      <w:r w:rsidR="00416D5B">
        <w:t xml:space="preserve"> </w:t>
      </w:r>
      <w:r w:rsidR="006C794A">
        <w:t xml:space="preserve"> </w:t>
      </w:r>
      <w:r>
        <w:t xml:space="preserve">   </w:t>
      </w:r>
      <w:r w:rsidR="001006F9">
        <w:t xml:space="preserve"> </w:t>
      </w:r>
      <w:r w:rsidR="004F1097">
        <w:t xml:space="preserve"> </w:t>
      </w:r>
      <w:r w:rsidR="00B73058">
        <w:t xml:space="preserve"> </w:t>
      </w:r>
    </w:p>
    <w:p w:rsidR="005C5242" w:rsidRDefault="005C5242" w:rsidP="00E33628"/>
    <w:p w:rsidR="005C5242" w:rsidRDefault="005C5242" w:rsidP="00E33628"/>
    <w:p w:rsidR="005C5242" w:rsidRDefault="005C5242" w:rsidP="00E33628"/>
    <w:p w:rsidR="005C5242" w:rsidRDefault="005C5242" w:rsidP="00E33628"/>
    <w:p w:rsidR="005C5242" w:rsidRDefault="005C5242" w:rsidP="00E33628"/>
    <w:p w:rsidR="005C5242" w:rsidRDefault="005C5242" w:rsidP="00E33628"/>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9622CB" w:rsidRDefault="009622CB" w:rsidP="00E33628">
      <w:pPr>
        <w:rPr>
          <w:sz w:val="24"/>
          <w:u w:val="single"/>
        </w:rPr>
      </w:pPr>
    </w:p>
    <w:p w:rsidR="00E636EF" w:rsidRDefault="00E33628" w:rsidP="00E33628">
      <w:pPr>
        <w:rPr>
          <w:sz w:val="24"/>
          <w:u w:val="single"/>
        </w:rPr>
      </w:pPr>
      <w:r>
        <w:rPr>
          <w:sz w:val="24"/>
          <w:u w:val="single"/>
        </w:rPr>
        <w:t>Bibliography</w:t>
      </w:r>
    </w:p>
    <w:p w:rsidR="00E33628" w:rsidRDefault="00E33628" w:rsidP="00E33628">
      <w:pPr>
        <w:rPr>
          <w:sz w:val="24"/>
          <w:u w:val="single"/>
        </w:rPr>
      </w:pPr>
      <w:r>
        <w:rPr>
          <w:sz w:val="24"/>
          <w:u w:val="single"/>
        </w:rPr>
        <w:t>Books</w:t>
      </w:r>
    </w:p>
    <w:p w:rsidR="00420245" w:rsidRDefault="00A765C5" w:rsidP="00420245">
      <w:pPr>
        <w:pStyle w:val="ListParagraph"/>
        <w:numPr>
          <w:ilvl w:val="0"/>
          <w:numId w:val="1"/>
        </w:numPr>
      </w:pPr>
      <w:r>
        <w:t>C.</w:t>
      </w:r>
      <w:r w:rsidR="00420245">
        <w:t xml:space="preserve"> Cruttwell, </w:t>
      </w:r>
      <w:r w:rsidR="00420245">
        <w:rPr>
          <w:i/>
        </w:rPr>
        <w:t>A History of The Great War 1914-1918</w:t>
      </w:r>
      <w:r w:rsidR="00420245">
        <w:t xml:space="preserve"> (Oxford: Oxford University Press, 1936).</w:t>
      </w:r>
    </w:p>
    <w:p w:rsidR="00E33628" w:rsidRDefault="00E33628" w:rsidP="00E33628">
      <w:pPr>
        <w:pStyle w:val="ListParagraph"/>
        <w:numPr>
          <w:ilvl w:val="0"/>
          <w:numId w:val="1"/>
        </w:numPr>
      </w:pPr>
      <w:r>
        <w:t xml:space="preserve">G. J. DeGroot, </w:t>
      </w:r>
      <w:r>
        <w:rPr>
          <w:i/>
        </w:rPr>
        <w:t>Blighty: British Society in the Era of the Great War</w:t>
      </w:r>
      <w:r>
        <w:t xml:space="preserve"> (New York: Longman, 1996)</w:t>
      </w:r>
      <w:r w:rsidR="00745BED">
        <w:t>.</w:t>
      </w:r>
    </w:p>
    <w:p w:rsidR="00420245" w:rsidRDefault="00420245" w:rsidP="00420245">
      <w:pPr>
        <w:pStyle w:val="ListParagraph"/>
        <w:numPr>
          <w:ilvl w:val="0"/>
          <w:numId w:val="1"/>
        </w:numPr>
      </w:pPr>
      <w:r>
        <w:t xml:space="preserve">C. Falls, </w:t>
      </w:r>
      <w:r>
        <w:rPr>
          <w:i/>
        </w:rPr>
        <w:t>The First World War</w:t>
      </w:r>
      <w:r>
        <w:t xml:space="preserve"> (London: Longman, 1960).</w:t>
      </w:r>
    </w:p>
    <w:p w:rsidR="00420245" w:rsidRDefault="00420245" w:rsidP="00420245">
      <w:pPr>
        <w:pStyle w:val="ListParagraph"/>
        <w:numPr>
          <w:ilvl w:val="0"/>
          <w:numId w:val="1"/>
        </w:numPr>
      </w:pPr>
      <w:r>
        <w:t xml:space="preserve">N. Ferguson, </w:t>
      </w:r>
      <w:r>
        <w:rPr>
          <w:i/>
        </w:rPr>
        <w:t xml:space="preserve">The Pity of War 1914-1918 </w:t>
      </w:r>
      <w:r>
        <w:t>(London: Penguin Books, 1999).</w:t>
      </w:r>
    </w:p>
    <w:p w:rsidR="00420245" w:rsidRDefault="00420245" w:rsidP="00420245">
      <w:pPr>
        <w:pStyle w:val="ListParagraph"/>
        <w:numPr>
          <w:ilvl w:val="0"/>
          <w:numId w:val="1"/>
        </w:numPr>
      </w:pPr>
      <w:r>
        <w:t xml:space="preserve">M. Ferro, </w:t>
      </w:r>
      <w:r>
        <w:rPr>
          <w:i/>
        </w:rPr>
        <w:t xml:space="preserve">The Great War 1914-1918 </w:t>
      </w:r>
      <w:r>
        <w:t>(London: Routledge &amp; Kegan Paul, 1973).</w:t>
      </w:r>
    </w:p>
    <w:p w:rsidR="00B22C71" w:rsidRDefault="00257730" w:rsidP="00420245">
      <w:pPr>
        <w:pStyle w:val="ListParagraph"/>
        <w:numPr>
          <w:ilvl w:val="0"/>
          <w:numId w:val="1"/>
        </w:numPr>
      </w:pPr>
      <w:r>
        <w:t xml:space="preserve">M. </w:t>
      </w:r>
      <w:proofErr w:type="spellStart"/>
      <w:r>
        <w:t>Janowitz</w:t>
      </w:r>
      <w:proofErr w:type="spellEnd"/>
      <w:r>
        <w:t xml:space="preserve">, </w:t>
      </w:r>
      <w:r>
        <w:rPr>
          <w:i/>
        </w:rPr>
        <w:t>The Professional Soldier</w:t>
      </w:r>
      <w:r>
        <w:t xml:space="preserve"> (New York: Free Press, 1964).</w:t>
      </w:r>
    </w:p>
    <w:p w:rsidR="00420245" w:rsidRDefault="00420245" w:rsidP="00420245">
      <w:pPr>
        <w:pStyle w:val="ListParagraph"/>
        <w:numPr>
          <w:ilvl w:val="0"/>
          <w:numId w:val="1"/>
        </w:numPr>
      </w:pPr>
      <w:r>
        <w:t xml:space="preserve">J. </w:t>
      </w:r>
      <w:proofErr w:type="spellStart"/>
      <w:r>
        <w:t>Joll</w:t>
      </w:r>
      <w:proofErr w:type="spellEnd"/>
      <w:r>
        <w:t xml:space="preserve">, </w:t>
      </w:r>
      <w:r>
        <w:rPr>
          <w:i/>
        </w:rPr>
        <w:t>The Origins of the First World War</w:t>
      </w:r>
      <w:r>
        <w:t xml:space="preserve"> (London: Longman, 1984).</w:t>
      </w:r>
    </w:p>
    <w:p w:rsidR="00420245" w:rsidRDefault="00420245" w:rsidP="00420245">
      <w:pPr>
        <w:pStyle w:val="ListParagraph"/>
        <w:numPr>
          <w:ilvl w:val="0"/>
          <w:numId w:val="1"/>
        </w:numPr>
      </w:pPr>
      <w:r>
        <w:t xml:space="preserve">A. Marwick, </w:t>
      </w:r>
      <w:r>
        <w:rPr>
          <w:i/>
        </w:rPr>
        <w:t>Total War and Social Change</w:t>
      </w:r>
      <w:r>
        <w:t xml:space="preserve"> (London: Macmillan Press, 1988).</w:t>
      </w:r>
    </w:p>
    <w:p w:rsidR="00E33628" w:rsidRDefault="00E33628" w:rsidP="00E33628">
      <w:pPr>
        <w:pStyle w:val="ListParagraph"/>
        <w:numPr>
          <w:ilvl w:val="0"/>
          <w:numId w:val="1"/>
        </w:numPr>
      </w:pPr>
      <w:r>
        <w:t xml:space="preserve">S. Sassoon, </w:t>
      </w:r>
      <w:r>
        <w:rPr>
          <w:i/>
        </w:rPr>
        <w:t>Memoirs of an Infantry Officer</w:t>
      </w:r>
      <w:r>
        <w:t xml:space="preserve"> (London: Faber &amp; Faber, 1965)</w:t>
      </w:r>
      <w:r w:rsidR="00745BED">
        <w:t>.</w:t>
      </w:r>
    </w:p>
    <w:p w:rsidR="004170E2" w:rsidRDefault="004170E2" w:rsidP="00E33628">
      <w:pPr>
        <w:pStyle w:val="ListParagraph"/>
        <w:numPr>
          <w:ilvl w:val="0"/>
          <w:numId w:val="1"/>
        </w:numPr>
      </w:pPr>
      <w:r>
        <w:t xml:space="preserve">P. Simkins, </w:t>
      </w:r>
      <w:r>
        <w:rPr>
          <w:i/>
        </w:rPr>
        <w:t>Kitchener’s Army</w:t>
      </w:r>
      <w:r>
        <w:t xml:space="preserve"> (Manchester: Manchester University Press, 1988)</w:t>
      </w:r>
    </w:p>
    <w:p w:rsidR="002E700A" w:rsidRPr="00E33628" w:rsidRDefault="002E700A" w:rsidP="00E33628">
      <w:pPr>
        <w:pStyle w:val="ListParagraph"/>
        <w:numPr>
          <w:ilvl w:val="0"/>
          <w:numId w:val="1"/>
        </w:numPr>
      </w:pPr>
      <w:r>
        <w:t xml:space="preserve">D. Stevenson, </w:t>
      </w:r>
      <w:r>
        <w:rPr>
          <w:i/>
        </w:rPr>
        <w:t>1914-1918 The History of the First World War</w:t>
      </w:r>
      <w:r>
        <w:t>, (</w:t>
      </w:r>
      <w:r w:rsidR="009D6D1D">
        <w:t>London: Penguin Books, 2004</w:t>
      </w:r>
      <w:r>
        <w:t>)</w:t>
      </w:r>
      <w:r w:rsidR="00745BED">
        <w:t>.</w:t>
      </w:r>
    </w:p>
    <w:p w:rsidR="00745BED" w:rsidRDefault="00E33628" w:rsidP="00E33628">
      <w:pPr>
        <w:rPr>
          <w:sz w:val="24"/>
          <w:u w:val="single"/>
        </w:rPr>
      </w:pPr>
      <w:r>
        <w:rPr>
          <w:sz w:val="24"/>
          <w:u w:val="single"/>
        </w:rPr>
        <w:t>Journal Articles</w:t>
      </w:r>
    </w:p>
    <w:p w:rsidR="00420245" w:rsidRPr="00745BED" w:rsidRDefault="00420245" w:rsidP="00420245">
      <w:pPr>
        <w:pStyle w:val="ListParagraph"/>
        <w:numPr>
          <w:ilvl w:val="0"/>
          <w:numId w:val="2"/>
        </w:numPr>
      </w:pPr>
      <w:r>
        <w:t xml:space="preserve">M. </w:t>
      </w:r>
      <w:proofErr w:type="spellStart"/>
      <w:r>
        <w:t>Petter</w:t>
      </w:r>
      <w:proofErr w:type="spellEnd"/>
      <w:r>
        <w:t xml:space="preserve">, ‘’Temporary Gentleman’ in the Aftermath of the Great War: Rank, Status and the Ex-Officer Problem’, </w:t>
      </w:r>
      <w:r>
        <w:rPr>
          <w:i/>
        </w:rPr>
        <w:t>The Historical Journal</w:t>
      </w:r>
      <w:r>
        <w:t>, 37, 1, (1994), pp. 127-152.</w:t>
      </w:r>
    </w:p>
    <w:p w:rsidR="00E33628" w:rsidRDefault="00745BED" w:rsidP="00745BED">
      <w:pPr>
        <w:pStyle w:val="ListParagraph"/>
        <w:numPr>
          <w:ilvl w:val="0"/>
          <w:numId w:val="2"/>
        </w:numPr>
      </w:pPr>
      <w:r>
        <w:t xml:space="preserve">A. </w:t>
      </w:r>
      <w:proofErr w:type="spellStart"/>
      <w:r>
        <w:t>Wollacott</w:t>
      </w:r>
      <w:proofErr w:type="spellEnd"/>
      <w:r>
        <w:t xml:space="preserve">, ‘’Khaki Fever’ and Its Control: Gender, Class, Age and </w:t>
      </w:r>
      <w:r w:rsidR="00330325">
        <w:t>Sexual</w:t>
      </w:r>
      <w:r>
        <w:t xml:space="preserve"> Mortality on the British Homefront in the First World War’, </w:t>
      </w:r>
      <w:r>
        <w:rPr>
          <w:i/>
        </w:rPr>
        <w:t>Journal of Contemporary History</w:t>
      </w:r>
      <w:r>
        <w:t>, 29, 2, (1994), pp. 325-347.</w:t>
      </w:r>
    </w:p>
    <w:p w:rsidR="00420245" w:rsidRDefault="00420245" w:rsidP="007A086A">
      <w:bookmarkStart w:id="0" w:name="_GoBack"/>
      <w:bookmarkEnd w:id="0"/>
    </w:p>
    <w:p w:rsidR="007A086A" w:rsidRPr="007A086A" w:rsidRDefault="007A086A" w:rsidP="007A086A">
      <w:r>
        <w:t>Word Count: 2741</w:t>
      </w:r>
    </w:p>
    <w:sectPr w:rsidR="007A086A" w:rsidRPr="007A086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3505" w:rsidRDefault="00AF3505" w:rsidP="00D57195">
      <w:pPr>
        <w:spacing w:after="0" w:line="240" w:lineRule="auto"/>
      </w:pPr>
      <w:r>
        <w:separator/>
      </w:r>
    </w:p>
  </w:endnote>
  <w:endnote w:type="continuationSeparator" w:id="0">
    <w:p w:rsidR="00AF3505" w:rsidRDefault="00AF3505" w:rsidP="00D57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3505" w:rsidRDefault="00AF3505" w:rsidP="00D57195">
      <w:pPr>
        <w:spacing w:after="0" w:line="240" w:lineRule="auto"/>
      </w:pPr>
      <w:r>
        <w:separator/>
      </w:r>
    </w:p>
  </w:footnote>
  <w:footnote w:type="continuationSeparator" w:id="0">
    <w:p w:rsidR="00AF3505" w:rsidRDefault="00AF3505" w:rsidP="00D57195">
      <w:pPr>
        <w:spacing w:after="0" w:line="240" w:lineRule="auto"/>
      </w:pPr>
      <w:r>
        <w:continuationSeparator/>
      </w:r>
    </w:p>
  </w:footnote>
  <w:footnote w:id="1">
    <w:p w:rsidR="00273AFA" w:rsidRPr="00273AFA" w:rsidRDefault="00273AFA">
      <w:pPr>
        <w:pStyle w:val="FootnoteText"/>
      </w:pPr>
      <w:r>
        <w:rPr>
          <w:rStyle w:val="FootnoteReference"/>
        </w:rPr>
        <w:footnoteRef/>
      </w:r>
      <w:r>
        <w:t xml:space="preserve"> G.J. DeGroot, </w:t>
      </w:r>
      <w:r>
        <w:rPr>
          <w:i/>
        </w:rPr>
        <w:t>Blighty: British Society in the Era of the Great War</w:t>
      </w:r>
      <w:r>
        <w:t xml:space="preserve"> (New York: Longman, 1996</w:t>
      </w:r>
      <w:r w:rsidR="00C10B06">
        <w:t>). pp. 54</w:t>
      </w:r>
    </w:p>
  </w:footnote>
  <w:footnote w:id="2">
    <w:p w:rsidR="00F57063" w:rsidRDefault="00F57063">
      <w:pPr>
        <w:pStyle w:val="FootnoteText"/>
      </w:pPr>
      <w:r>
        <w:rPr>
          <w:rStyle w:val="FootnoteReference"/>
        </w:rPr>
        <w:footnoteRef/>
      </w:r>
      <w:r>
        <w:t xml:space="preserve"> DeGroot, </w:t>
      </w:r>
      <w:r w:rsidRPr="00C10B06">
        <w:rPr>
          <w:i/>
        </w:rPr>
        <w:t>Blighty</w:t>
      </w:r>
      <w:r w:rsidR="00C10B06">
        <w:t>, pp. xi</w:t>
      </w:r>
    </w:p>
  </w:footnote>
  <w:footnote w:id="3">
    <w:p w:rsidR="00106A6D" w:rsidRPr="00106A6D" w:rsidRDefault="00106A6D">
      <w:pPr>
        <w:pStyle w:val="FootnoteText"/>
      </w:pPr>
      <w:r>
        <w:rPr>
          <w:rStyle w:val="FootnoteReference"/>
        </w:rPr>
        <w:footnoteRef/>
      </w:r>
      <w:r>
        <w:t xml:space="preserve"> A. Marwick, </w:t>
      </w:r>
      <w:r>
        <w:rPr>
          <w:i/>
        </w:rPr>
        <w:t>Total War and Social Change</w:t>
      </w:r>
      <w:r>
        <w:t xml:space="preserve"> (London: Macmillan Press, 1988). pp. xiv</w:t>
      </w:r>
    </w:p>
  </w:footnote>
  <w:footnote w:id="4">
    <w:p w:rsidR="00EE605C" w:rsidRPr="00EE605C" w:rsidRDefault="00EE605C">
      <w:pPr>
        <w:pStyle w:val="FootnoteText"/>
      </w:pPr>
      <w:r>
        <w:rPr>
          <w:rStyle w:val="FootnoteReference"/>
        </w:rPr>
        <w:footnoteRef/>
      </w:r>
      <w:r>
        <w:t xml:space="preserve"> Marwick, </w:t>
      </w:r>
      <w:r>
        <w:rPr>
          <w:i/>
        </w:rPr>
        <w:t>Total War</w:t>
      </w:r>
      <w:r>
        <w:t>, pp. xv-xvii</w:t>
      </w:r>
    </w:p>
  </w:footnote>
  <w:footnote w:id="5">
    <w:p w:rsidR="007B1CEA" w:rsidRPr="007B1CEA" w:rsidRDefault="007B1CEA">
      <w:pPr>
        <w:pStyle w:val="FootnoteText"/>
      </w:pPr>
      <w:r>
        <w:rPr>
          <w:rStyle w:val="FootnoteReference"/>
        </w:rPr>
        <w:footnoteRef/>
      </w:r>
      <w:r>
        <w:t xml:space="preserve"> Marwick, </w:t>
      </w:r>
      <w:r>
        <w:rPr>
          <w:i/>
        </w:rPr>
        <w:t>Total War</w:t>
      </w:r>
      <w:r>
        <w:t>, pp. xv</w:t>
      </w:r>
    </w:p>
  </w:footnote>
  <w:footnote w:id="6">
    <w:p w:rsidR="00CC7B65" w:rsidRPr="00CC7B65" w:rsidRDefault="00CC7B65">
      <w:pPr>
        <w:pStyle w:val="FootnoteText"/>
      </w:pPr>
      <w:r>
        <w:rPr>
          <w:rStyle w:val="FootnoteReference"/>
        </w:rPr>
        <w:footnoteRef/>
      </w:r>
      <w:r>
        <w:t xml:space="preserve"> Marwick, </w:t>
      </w:r>
      <w:r>
        <w:rPr>
          <w:i/>
        </w:rPr>
        <w:t>Total War</w:t>
      </w:r>
      <w:r>
        <w:t>, pp. xv</w:t>
      </w:r>
    </w:p>
  </w:footnote>
  <w:footnote w:id="7">
    <w:p w:rsidR="00CF7567" w:rsidRPr="00CF7567" w:rsidRDefault="00CF7567">
      <w:pPr>
        <w:pStyle w:val="FootnoteText"/>
      </w:pPr>
      <w:r>
        <w:rPr>
          <w:rStyle w:val="FootnoteReference"/>
        </w:rPr>
        <w:footnoteRef/>
      </w:r>
      <w:r>
        <w:t xml:space="preserve"> Marwick, </w:t>
      </w:r>
      <w:r>
        <w:rPr>
          <w:i/>
        </w:rPr>
        <w:t>Total War</w:t>
      </w:r>
      <w:r>
        <w:t>, pp. xv-xvi</w:t>
      </w:r>
    </w:p>
  </w:footnote>
  <w:footnote w:id="8">
    <w:p w:rsidR="005A2EDE" w:rsidRPr="005A2EDE" w:rsidRDefault="005A2EDE">
      <w:pPr>
        <w:pStyle w:val="FootnoteText"/>
      </w:pPr>
      <w:r>
        <w:rPr>
          <w:rStyle w:val="FootnoteReference"/>
        </w:rPr>
        <w:footnoteRef/>
      </w:r>
      <w:r>
        <w:t xml:space="preserve"> Marwick, </w:t>
      </w:r>
      <w:r>
        <w:rPr>
          <w:i/>
        </w:rPr>
        <w:t>Total War</w:t>
      </w:r>
      <w:r>
        <w:t>, pp. xv</w:t>
      </w:r>
    </w:p>
  </w:footnote>
  <w:footnote w:id="9">
    <w:p w:rsidR="008B4FCD" w:rsidRPr="008B4FCD" w:rsidRDefault="008B4FCD">
      <w:pPr>
        <w:pStyle w:val="FootnoteText"/>
      </w:pPr>
      <w:r>
        <w:rPr>
          <w:rStyle w:val="FootnoteReference"/>
        </w:rPr>
        <w:footnoteRef/>
      </w:r>
      <w:r>
        <w:t xml:space="preserve"> Marwick, </w:t>
      </w:r>
      <w:r>
        <w:rPr>
          <w:i/>
        </w:rPr>
        <w:t>Total War</w:t>
      </w:r>
      <w:r>
        <w:t>, pp. xvi</w:t>
      </w:r>
    </w:p>
  </w:footnote>
  <w:footnote w:id="10">
    <w:p w:rsidR="00CB7D98" w:rsidRPr="00CB7D98" w:rsidRDefault="00CB7D98">
      <w:pPr>
        <w:pStyle w:val="FootnoteText"/>
      </w:pPr>
      <w:r>
        <w:rPr>
          <w:rStyle w:val="FootnoteReference"/>
        </w:rPr>
        <w:footnoteRef/>
      </w:r>
      <w:r>
        <w:t xml:space="preserve"> Marwick, </w:t>
      </w:r>
      <w:r>
        <w:rPr>
          <w:i/>
        </w:rPr>
        <w:t>Total War</w:t>
      </w:r>
      <w:r>
        <w:t>, pp. xvi-xvii</w:t>
      </w:r>
    </w:p>
  </w:footnote>
  <w:footnote w:id="11">
    <w:p w:rsidR="00252477" w:rsidRPr="00252477" w:rsidRDefault="00252477">
      <w:pPr>
        <w:pStyle w:val="FootnoteText"/>
      </w:pPr>
      <w:r>
        <w:rPr>
          <w:rStyle w:val="FootnoteReference"/>
        </w:rPr>
        <w:footnoteRef/>
      </w:r>
      <w:r w:rsidR="00C2774D">
        <w:t xml:space="preserve"> DeGroot</w:t>
      </w:r>
      <w:r>
        <w:t xml:space="preserve">, </w:t>
      </w:r>
      <w:r>
        <w:rPr>
          <w:i/>
        </w:rPr>
        <w:t>Blighty</w:t>
      </w:r>
      <w:r>
        <w:t>, pp. xi</w:t>
      </w:r>
    </w:p>
  </w:footnote>
  <w:footnote w:id="12">
    <w:p w:rsidR="00C2774D" w:rsidRPr="00C2774D" w:rsidRDefault="00C2774D">
      <w:pPr>
        <w:pStyle w:val="FootnoteText"/>
      </w:pPr>
      <w:r>
        <w:rPr>
          <w:rStyle w:val="FootnoteReference"/>
        </w:rPr>
        <w:footnoteRef/>
      </w:r>
      <w:r>
        <w:t xml:space="preserve"> DeGroot, </w:t>
      </w:r>
      <w:r>
        <w:rPr>
          <w:i/>
        </w:rPr>
        <w:t>Blighty</w:t>
      </w:r>
      <w:r>
        <w:t>, pp. 14</w:t>
      </w:r>
    </w:p>
  </w:footnote>
  <w:footnote w:id="13">
    <w:p w:rsidR="0004479F" w:rsidRPr="0004479F" w:rsidRDefault="0004479F">
      <w:pPr>
        <w:pStyle w:val="FootnoteText"/>
      </w:pPr>
      <w:r>
        <w:rPr>
          <w:rStyle w:val="FootnoteReference"/>
        </w:rPr>
        <w:footnoteRef/>
      </w:r>
      <w:r>
        <w:t xml:space="preserve"> DeGroot, </w:t>
      </w:r>
      <w:r>
        <w:rPr>
          <w:i/>
        </w:rPr>
        <w:t>Blighty</w:t>
      </w:r>
      <w:r>
        <w:t>, pp. 17</w:t>
      </w:r>
    </w:p>
  </w:footnote>
  <w:footnote w:id="14">
    <w:p w:rsidR="00C87266" w:rsidRPr="00C87266" w:rsidRDefault="00C87266">
      <w:pPr>
        <w:pStyle w:val="FootnoteText"/>
      </w:pPr>
      <w:r>
        <w:rPr>
          <w:rStyle w:val="FootnoteReference"/>
        </w:rPr>
        <w:footnoteRef/>
      </w:r>
      <w:r>
        <w:t xml:space="preserve"> DeGroot, </w:t>
      </w:r>
      <w:r>
        <w:rPr>
          <w:i/>
        </w:rPr>
        <w:t>Blighty</w:t>
      </w:r>
      <w:r>
        <w:t>, pp. 19</w:t>
      </w:r>
    </w:p>
  </w:footnote>
  <w:footnote w:id="15">
    <w:p w:rsidR="00820FEE" w:rsidRPr="00820FEE" w:rsidRDefault="00820FEE">
      <w:pPr>
        <w:pStyle w:val="FootnoteText"/>
      </w:pPr>
      <w:r>
        <w:rPr>
          <w:rStyle w:val="FootnoteReference"/>
        </w:rPr>
        <w:footnoteRef/>
      </w:r>
      <w:r>
        <w:t xml:space="preserve"> DeGroot, </w:t>
      </w:r>
      <w:r>
        <w:rPr>
          <w:i/>
        </w:rPr>
        <w:t>Blighty</w:t>
      </w:r>
      <w:r>
        <w:t>, pp. 22</w:t>
      </w:r>
    </w:p>
  </w:footnote>
  <w:footnote w:id="16">
    <w:p w:rsidR="005101DF" w:rsidRPr="005101DF" w:rsidRDefault="005101DF">
      <w:pPr>
        <w:pStyle w:val="FootnoteText"/>
      </w:pPr>
      <w:r>
        <w:rPr>
          <w:rStyle w:val="FootnoteReference"/>
        </w:rPr>
        <w:footnoteRef/>
      </w:r>
      <w:r>
        <w:t xml:space="preserve"> Marwick, </w:t>
      </w:r>
      <w:r>
        <w:rPr>
          <w:i/>
        </w:rPr>
        <w:t>Total War</w:t>
      </w:r>
      <w:r>
        <w:t>, pp. xv-xvi</w:t>
      </w:r>
    </w:p>
  </w:footnote>
  <w:footnote w:id="17">
    <w:p w:rsidR="001B60F9" w:rsidRPr="001B60F9" w:rsidRDefault="001B60F9">
      <w:pPr>
        <w:pStyle w:val="FootnoteText"/>
      </w:pPr>
      <w:r>
        <w:rPr>
          <w:rStyle w:val="FootnoteReference"/>
        </w:rPr>
        <w:footnoteRef/>
      </w:r>
      <w:r>
        <w:t xml:space="preserve"> DeGroot, </w:t>
      </w:r>
      <w:r>
        <w:rPr>
          <w:i/>
        </w:rPr>
        <w:t>Blighty</w:t>
      </w:r>
      <w:r>
        <w:t>, pp. 23</w:t>
      </w:r>
    </w:p>
  </w:footnote>
  <w:footnote w:id="18">
    <w:p w:rsidR="00A93CE0" w:rsidRPr="00A93CE0" w:rsidRDefault="00A93CE0">
      <w:pPr>
        <w:pStyle w:val="FootnoteText"/>
      </w:pPr>
      <w:r>
        <w:rPr>
          <w:rStyle w:val="FootnoteReference"/>
        </w:rPr>
        <w:footnoteRef/>
      </w:r>
      <w:r>
        <w:t xml:space="preserve"> DeGroot, </w:t>
      </w:r>
      <w:r>
        <w:rPr>
          <w:i/>
        </w:rPr>
        <w:t>Blighty</w:t>
      </w:r>
      <w:r>
        <w:t>, pp. 22</w:t>
      </w:r>
    </w:p>
  </w:footnote>
  <w:footnote w:id="19">
    <w:p w:rsidR="00C45B3D" w:rsidRPr="00C45B3D" w:rsidRDefault="00C45B3D">
      <w:pPr>
        <w:pStyle w:val="FootnoteText"/>
      </w:pPr>
      <w:r>
        <w:rPr>
          <w:rStyle w:val="FootnoteReference"/>
        </w:rPr>
        <w:footnoteRef/>
      </w:r>
      <w:r>
        <w:t xml:space="preserve"> P. Simkins, </w:t>
      </w:r>
      <w:r>
        <w:rPr>
          <w:i/>
        </w:rPr>
        <w:t xml:space="preserve">Kitchener’s Army </w:t>
      </w:r>
      <w:r>
        <w:t>(Manchester: Manchester University Press, 1988). pp. 202</w:t>
      </w:r>
    </w:p>
  </w:footnote>
  <w:footnote w:id="20">
    <w:p w:rsidR="001B02EE" w:rsidRPr="001B02EE" w:rsidRDefault="001B02EE">
      <w:pPr>
        <w:pStyle w:val="FootnoteText"/>
      </w:pPr>
      <w:r>
        <w:rPr>
          <w:rStyle w:val="FootnoteReference"/>
        </w:rPr>
        <w:footnoteRef/>
      </w:r>
      <w:r>
        <w:t xml:space="preserve"> DeGroot, </w:t>
      </w:r>
      <w:r>
        <w:rPr>
          <w:i/>
        </w:rPr>
        <w:t>Blighty</w:t>
      </w:r>
      <w:r>
        <w:t>, pp.22</w:t>
      </w:r>
    </w:p>
  </w:footnote>
  <w:footnote w:id="21">
    <w:p w:rsidR="00EC5647" w:rsidRPr="00EC5647" w:rsidRDefault="00EC5647">
      <w:pPr>
        <w:pStyle w:val="FootnoteText"/>
      </w:pPr>
      <w:r>
        <w:rPr>
          <w:rStyle w:val="FootnoteReference"/>
        </w:rPr>
        <w:footnoteRef/>
      </w:r>
      <w:r>
        <w:t xml:space="preserve"> S. Sassoon, </w:t>
      </w:r>
      <w:r>
        <w:rPr>
          <w:i/>
        </w:rPr>
        <w:t>Memoirs of an Infantry Officer</w:t>
      </w:r>
      <w:r>
        <w:t xml:space="preserve"> (London: Faber &amp; Faber, 1965). pp. 26</w:t>
      </w:r>
    </w:p>
  </w:footnote>
  <w:footnote w:id="22">
    <w:p w:rsidR="00B54D84" w:rsidRPr="00B54D84" w:rsidRDefault="00B54D84">
      <w:pPr>
        <w:pStyle w:val="FootnoteText"/>
      </w:pPr>
      <w:r>
        <w:rPr>
          <w:rStyle w:val="FootnoteReference"/>
        </w:rPr>
        <w:footnoteRef/>
      </w:r>
      <w:r>
        <w:t xml:space="preserve"> Marwick, </w:t>
      </w:r>
      <w:r>
        <w:rPr>
          <w:i/>
        </w:rPr>
        <w:t>Total War</w:t>
      </w:r>
      <w:r>
        <w:t>, pp. xv-xvii</w:t>
      </w:r>
    </w:p>
  </w:footnote>
  <w:footnote w:id="23">
    <w:p w:rsidR="00BD0937" w:rsidRPr="00BD0937" w:rsidRDefault="00BD0937">
      <w:pPr>
        <w:pStyle w:val="FootnoteText"/>
      </w:pPr>
      <w:r>
        <w:rPr>
          <w:rStyle w:val="FootnoteReference"/>
        </w:rPr>
        <w:footnoteRef/>
      </w:r>
      <w:r>
        <w:t xml:space="preserve"> DeGroot, </w:t>
      </w:r>
      <w:r>
        <w:rPr>
          <w:i/>
        </w:rPr>
        <w:t>Blighty</w:t>
      </w:r>
      <w:r>
        <w:t>, pp. 109</w:t>
      </w:r>
    </w:p>
  </w:footnote>
  <w:footnote w:id="24">
    <w:p w:rsidR="00A60628" w:rsidRPr="00A60628" w:rsidRDefault="00A60628">
      <w:pPr>
        <w:pStyle w:val="FootnoteText"/>
      </w:pPr>
      <w:r>
        <w:rPr>
          <w:rStyle w:val="FootnoteReference"/>
        </w:rPr>
        <w:footnoteRef/>
      </w:r>
      <w:r>
        <w:t xml:space="preserve"> DeGroot, </w:t>
      </w:r>
      <w:r>
        <w:rPr>
          <w:i/>
        </w:rPr>
        <w:t>Blighty</w:t>
      </w:r>
      <w:r>
        <w:t>, pp. 109</w:t>
      </w:r>
    </w:p>
  </w:footnote>
  <w:footnote w:id="25">
    <w:p w:rsidR="008F497D" w:rsidRPr="008F497D" w:rsidRDefault="008F497D">
      <w:pPr>
        <w:pStyle w:val="FootnoteText"/>
      </w:pPr>
      <w:r>
        <w:rPr>
          <w:rStyle w:val="FootnoteReference"/>
        </w:rPr>
        <w:footnoteRef/>
      </w:r>
      <w:r>
        <w:t xml:space="preserve"> DeGroot, </w:t>
      </w:r>
      <w:r>
        <w:rPr>
          <w:i/>
        </w:rPr>
        <w:t>Blighty</w:t>
      </w:r>
      <w:r>
        <w:t>, pp. 126-140</w:t>
      </w:r>
    </w:p>
  </w:footnote>
  <w:footnote w:id="26">
    <w:p w:rsidR="0086708F" w:rsidRPr="00B8531D" w:rsidRDefault="0086708F">
      <w:pPr>
        <w:pStyle w:val="FootnoteText"/>
      </w:pPr>
      <w:r>
        <w:rPr>
          <w:rStyle w:val="FootnoteReference"/>
        </w:rPr>
        <w:footnoteRef/>
      </w:r>
      <w:r>
        <w:t xml:space="preserve"> A. </w:t>
      </w:r>
      <w:proofErr w:type="spellStart"/>
      <w:r>
        <w:t>Wollacott</w:t>
      </w:r>
      <w:proofErr w:type="spellEnd"/>
      <w:r>
        <w:t>, ‘’</w:t>
      </w:r>
      <w:r w:rsidR="00B8531D">
        <w:t>Khaki Fever</w:t>
      </w:r>
      <w:r>
        <w:t>’</w:t>
      </w:r>
      <w:r w:rsidR="00B8531D">
        <w:t xml:space="preserve"> and Its Control: Gender, Class, Age and Sexual Morality on the British Homefront in the First World War</w:t>
      </w:r>
      <w:r>
        <w:t>’</w:t>
      </w:r>
      <w:r w:rsidR="00B8531D">
        <w:t xml:space="preserve">, </w:t>
      </w:r>
      <w:r w:rsidR="00B8531D">
        <w:rPr>
          <w:i/>
        </w:rPr>
        <w:t>Journal of Contemporary History</w:t>
      </w:r>
      <w:r w:rsidR="00B8531D">
        <w:t>, 29, 2, (1994), pp. 328</w:t>
      </w:r>
    </w:p>
  </w:footnote>
  <w:footnote w:id="27">
    <w:p w:rsidR="006D22A2" w:rsidRPr="006D22A2" w:rsidRDefault="006D22A2">
      <w:pPr>
        <w:pStyle w:val="FootnoteText"/>
      </w:pPr>
      <w:r>
        <w:rPr>
          <w:rStyle w:val="FootnoteReference"/>
        </w:rPr>
        <w:footnoteRef/>
      </w:r>
      <w:r>
        <w:t xml:space="preserve"> DeGroot, </w:t>
      </w:r>
      <w:r>
        <w:rPr>
          <w:i/>
        </w:rPr>
        <w:t>Blighty</w:t>
      </w:r>
      <w:r>
        <w:t>, pp. 127</w:t>
      </w:r>
    </w:p>
  </w:footnote>
  <w:footnote w:id="28">
    <w:p w:rsidR="00BF2BE4" w:rsidRPr="00BF2BE4" w:rsidRDefault="00BF2BE4">
      <w:pPr>
        <w:pStyle w:val="FootnoteText"/>
      </w:pPr>
      <w:r>
        <w:rPr>
          <w:rStyle w:val="FootnoteReference"/>
        </w:rPr>
        <w:footnoteRef/>
      </w:r>
      <w:r>
        <w:t xml:space="preserve"> </w:t>
      </w:r>
      <w:proofErr w:type="spellStart"/>
      <w:r>
        <w:t>Wollacott</w:t>
      </w:r>
      <w:proofErr w:type="spellEnd"/>
      <w:r>
        <w:t xml:space="preserve">, </w:t>
      </w:r>
      <w:r>
        <w:rPr>
          <w:i/>
        </w:rPr>
        <w:t>Khaki Fever</w:t>
      </w:r>
      <w:r>
        <w:t>, pp. 330</w:t>
      </w:r>
    </w:p>
  </w:footnote>
  <w:footnote w:id="29">
    <w:p w:rsidR="00113A64" w:rsidRPr="00113A64" w:rsidRDefault="00113A64">
      <w:pPr>
        <w:pStyle w:val="FootnoteText"/>
      </w:pPr>
      <w:r>
        <w:rPr>
          <w:rStyle w:val="FootnoteReference"/>
        </w:rPr>
        <w:footnoteRef/>
      </w:r>
      <w:r>
        <w:t xml:space="preserve"> DeGroot, </w:t>
      </w:r>
      <w:r>
        <w:rPr>
          <w:i/>
        </w:rPr>
        <w:t>Blighty</w:t>
      </w:r>
      <w:r>
        <w:t>, pp. 127-128</w:t>
      </w:r>
    </w:p>
  </w:footnote>
  <w:footnote w:id="30">
    <w:p w:rsidR="00EA31AA" w:rsidRPr="00EA31AA" w:rsidRDefault="00EA31AA">
      <w:pPr>
        <w:pStyle w:val="FootnoteText"/>
      </w:pPr>
      <w:r>
        <w:rPr>
          <w:rStyle w:val="FootnoteReference"/>
        </w:rPr>
        <w:footnoteRef/>
      </w:r>
      <w:r>
        <w:t xml:space="preserve"> DeGroot, </w:t>
      </w:r>
      <w:r>
        <w:rPr>
          <w:i/>
        </w:rPr>
        <w:t>Blighty</w:t>
      </w:r>
      <w:r>
        <w:t>, pp. 291</w:t>
      </w:r>
    </w:p>
  </w:footnote>
  <w:footnote w:id="31">
    <w:p w:rsidR="00822899" w:rsidRPr="00822899" w:rsidRDefault="00822899">
      <w:pPr>
        <w:pStyle w:val="FootnoteText"/>
      </w:pPr>
      <w:r>
        <w:rPr>
          <w:rStyle w:val="FootnoteReference"/>
        </w:rPr>
        <w:footnoteRef/>
      </w:r>
      <w:r>
        <w:t xml:space="preserve"> DeGroot, </w:t>
      </w:r>
      <w:r>
        <w:rPr>
          <w:i/>
        </w:rPr>
        <w:t>Blighty</w:t>
      </w:r>
      <w:r>
        <w:t>, pp. 291</w:t>
      </w:r>
    </w:p>
  </w:footnote>
  <w:footnote w:id="32">
    <w:p w:rsidR="00682CB2" w:rsidRPr="00682CB2" w:rsidRDefault="00682CB2">
      <w:pPr>
        <w:pStyle w:val="FootnoteText"/>
      </w:pPr>
      <w:r>
        <w:rPr>
          <w:rStyle w:val="FootnoteReference"/>
        </w:rPr>
        <w:footnoteRef/>
      </w:r>
      <w:r>
        <w:t xml:space="preserve"> M. </w:t>
      </w:r>
      <w:proofErr w:type="spellStart"/>
      <w:r>
        <w:t>Petter</w:t>
      </w:r>
      <w:proofErr w:type="spellEnd"/>
      <w:r>
        <w:t xml:space="preserve">, ‘’Temporary Gentleman’ in the Aftermath of the Great War: Rank, Status and the Ex-Officer Problem’, </w:t>
      </w:r>
      <w:r>
        <w:rPr>
          <w:i/>
        </w:rPr>
        <w:t>The Historical Journal</w:t>
      </w:r>
      <w:r>
        <w:t>, 37,1 (1994), pp. 131</w:t>
      </w:r>
    </w:p>
  </w:footnote>
  <w:footnote w:id="33">
    <w:p w:rsidR="00EE45B4" w:rsidRPr="00EE45B4" w:rsidRDefault="00EE45B4">
      <w:pPr>
        <w:pStyle w:val="FootnoteText"/>
      </w:pPr>
      <w:r>
        <w:rPr>
          <w:rStyle w:val="FootnoteReference"/>
        </w:rPr>
        <w:footnoteRef/>
      </w:r>
      <w:r w:rsidR="006C794A">
        <w:t xml:space="preserve"> DeG</w:t>
      </w:r>
      <w:r>
        <w:t xml:space="preserve">root, </w:t>
      </w:r>
      <w:r>
        <w:rPr>
          <w:i/>
        </w:rPr>
        <w:t>Blighty</w:t>
      </w:r>
      <w:r>
        <w:t>, pp. 291</w:t>
      </w:r>
    </w:p>
  </w:footnote>
  <w:footnote w:id="34">
    <w:p w:rsidR="00A87472" w:rsidRPr="00A87472" w:rsidRDefault="00A87472">
      <w:pPr>
        <w:pStyle w:val="FootnoteText"/>
      </w:pPr>
      <w:r>
        <w:rPr>
          <w:rStyle w:val="FootnoteReference"/>
        </w:rPr>
        <w:footnoteRef/>
      </w:r>
      <w:r w:rsidR="006C794A">
        <w:t xml:space="preserve"> DeG</w:t>
      </w:r>
      <w:r>
        <w:t xml:space="preserve">root, </w:t>
      </w:r>
      <w:r>
        <w:rPr>
          <w:i/>
        </w:rPr>
        <w:t>Blighty</w:t>
      </w:r>
      <w:r>
        <w:t>, pp. 290-312</w:t>
      </w:r>
    </w:p>
  </w:footnote>
  <w:footnote w:id="35">
    <w:p w:rsidR="006C794A" w:rsidRPr="006C794A" w:rsidRDefault="006C794A">
      <w:pPr>
        <w:pStyle w:val="FootnoteText"/>
      </w:pPr>
      <w:r>
        <w:rPr>
          <w:rStyle w:val="FootnoteReference"/>
        </w:rPr>
        <w:footnoteRef/>
      </w:r>
      <w:r>
        <w:t xml:space="preserve"> Marwick, </w:t>
      </w:r>
      <w:r>
        <w:rPr>
          <w:i/>
        </w:rPr>
        <w:t>Total War</w:t>
      </w:r>
      <w:r>
        <w:t>, pp. xv-xvii</w:t>
      </w:r>
    </w:p>
  </w:footnote>
  <w:footnote w:id="36">
    <w:p w:rsidR="006C794A" w:rsidRPr="006C794A" w:rsidRDefault="006C794A">
      <w:pPr>
        <w:pStyle w:val="FootnoteText"/>
      </w:pPr>
      <w:r>
        <w:rPr>
          <w:rStyle w:val="FootnoteReference"/>
        </w:rPr>
        <w:footnoteRef/>
      </w:r>
      <w:r>
        <w:t xml:space="preserve"> DeGroot, </w:t>
      </w:r>
      <w:r>
        <w:rPr>
          <w:i/>
        </w:rPr>
        <w:t>Blighty</w:t>
      </w:r>
      <w:r>
        <w:t>, pp. xi</w:t>
      </w:r>
    </w:p>
  </w:footnote>
  <w:footnote w:id="37">
    <w:p w:rsidR="00840F33" w:rsidRPr="00840F33" w:rsidRDefault="00840F33">
      <w:pPr>
        <w:pStyle w:val="FootnoteText"/>
      </w:pPr>
      <w:r>
        <w:rPr>
          <w:rStyle w:val="FootnoteReference"/>
        </w:rPr>
        <w:footnoteRef/>
      </w:r>
      <w:r>
        <w:t xml:space="preserve"> DeGroot, </w:t>
      </w:r>
      <w:r>
        <w:rPr>
          <w:i/>
        </w:rPr>
        <w:t>Blighty</w:t>
      </w:r>
      <w:r>
        <w:t>, pp. 291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7195" w:rsidRDefault="00D57195">
    <w:pPr>
      <w:pStyle w:val="Header"/>
    </w:pPr>
    <w:r>
      <w:t>Jordan Edwards 1502326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8D6707"/>
    <w:multiLevelType w:val="hybridMultilevel"/>
    <w:tmpl w:val="3224F856"/>
    <w:lvl w:ilvl="0" w:tplc="801C3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763D88"/>
    <w:multiLevelType w:val="hybridMultilevel"/>
    <w:tmpl w:val="0308A1C2"/>
    <w:lvl w:ilvl="0" w:tplc="C30077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963628"/>
    <w:multiLevelType w:val="hybridMultilevel"/>
    <w:tmpl w:val="C0F027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7EA505A"/>
    <w:multiLevelType w:val="hybridMultilevel"/>
    <w:tmpl w:val="19DC4EEE"/>
    <w:lvl w:ilvl="0" w:tplc="C4E412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F55FCF"/>
    <w:multiLevelType w:val="hybridMultilevel"/>
    <w:tmpl w:val="7CCC05E2"/>
    <w:lvl w:ilvl="0" w:tplc="3006AA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907EBF"/>
    <w:multiLevelType w:val="hybridMultilevel"/>
    <w:tmpl w:val="4FBA21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EA37CE5"/>
    <w:multiLevelType w:val="hybridMultilevel"/>
    <w:tmpl w:val="7D3E48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5"/>
  </w:num>
  <w:num w:numId="3">
    <w:abstractNumId w:val="2"/>
  </w:num>
  <w:num w:numId="4">
    <w:abstractNumId w:val="0"/>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70DF"/>
    <w:rsid w:val="00015999"/>
    <w:rsid w:val="00036D19"/>
    <w:rsid w:val="000410C1"/>
    <w:rsid w:val="0004479F"/>
    <w:rsid w:val="0004785F"/>
    <w:rsid w:val="00050C1D"/>
    <w:rsid w:val="000602D2"/>
    <w:rsid w:val="00063251"/>
    <w:rsid w:val="00067C41"/>
    <w:rsid w:val="000835EB"/>
    <w:rsid w:val="000A2248"/>
    <w:rsid w:val="000B1A73"/>
    <w:rsid w:val="000B1CB7"/>
    <w:rsid w:val="000C4DA0"/>
    <w:rsid w:val="000D4B6E"/>
    <w:rsid w:val="000E2F26"/>
    <w:rsid w:val="000E3267"/>
    <w:rsid w:val="001006F9"/>
    <w:rsid w:val="0010149F"/>
    <w:rsid w:val="00106A6D"/>
    <w:rsid w:val="00113A64"/>
    <w:rsid w:val="00125E09"/>
    <w:rsid w:val="001421CC"/>
    <w:rsid w:val="0014658E"/>
    <w:rsid w:val="001466DB"/>
    <w:rsid w:val="0015120C"/>
    <w:rsid w:val="00161FC7"/>
    <w:rsid w:val="001B02EE"/>
    <w:rsid w:val="001B60BD"/>
    <w:rsid w:val="001B60F9"/>
    <w:rsid w:val="001E5A55"/>
    <w:rsid w:val="001E777B"/>
    <w:rsid w:val="001F4F1C"/>
    <w:rsid w:val="001F638B"/>
    <w:rsid w:val="00204F08"/>
    <w:rsid w:val="0020751F"/>
    <w:rsid w:val="00210C0A"/>
    <w:rsid w:val="002162FD"/>
    <w:rsid w:val="002247AF"/>
    <w:rsid w:val="002346DF"/>
    <w:rsid w:val="00245A6C"/>
    <w:rsid w:val="00247F1B"/>
    <w:rsid w:val="00252477"/>
    <w:rsid w:val="00257730"/>
    <w:rsid w:val="00270BA0"/>
    <w:rsid w:val="002735FA"/>
    <w:rsid w:val="00273AFA"/>
    <w:rsid w:val="002B2352"/>
    <w:rsid w:val="002B5374"/>
    <w:rsid w:val="002D7F29"/>
    <w:rsid w:val="002E4789"/>
    <w:rsid w:val="002E649D"/>
    <w:rsid w:val="002E700A"/>
    <w:rsid w:val="002F1146"/>
    <w:rsid w:val="002F3389"/>
    <w:rsid w:val="0030645C"/>
    <w:rsid w:val="003116AC"/>
    <w:rsid w:val="003249A2"/>
    <w:rsid w:val="00330325"/>
    <w:rsid w:val="003520E9"/>
    <w:rsid w:val="00365951"/>
    <w:rsid w:val="00372DB0"/>
    <w:rsid w:val="003739FE"/>
    <w:rsid w:val="003A4B7C"/>
    <w:rsid w:val="003B336C"/>
    <w:rsid w:val="003D003A"/>
    <w:rsid w:val="003D7180"/>
    <w:rsid w:val="003E36B1"/>
    <w:rsid w:val="00415300"/>
    <w:rsid w:val="00416D5B"/>
    <w:rsid w:val="004170E2"/>
    <w:rsid w:val="00420245"/>
    <w:rsid w:val="0042776F"/>
    <w:rsid w:val="00447B29"/>
    <w:rsid w:val="00450A16"/>
    <w:rsid w:val="004543E0"/>
    <w:rsid w:val="004570DF"/>
    <w:rsid w:val="00457CC1"/>
    <w:rsid w:val="0047286D"/>
    <w:rsid w:val="00473D98"/>
    <w:rsid w:val="00496A31"/>
    <w:rsid w:val="004B7B42"/>
    <w:rsid w:val="004D01E0"/>
    <w:rsid w:val="004E4A04"/>
    <w:rsid w:val="004F1097"/>
    <w:rsid w:val="0050489E"/>
    <w:rsid w:val="00506BD7"/>
    <w:rsid w:val="005101DF"/>
    <w:rsid w:val="0051300B"/>
    <w:rsid w:val="00516BD1"/>
    <w:rsid w:val="00526D1B"/>
    <w:rsid w:val="00542DCB"/>
    <w:rsid w:val="005616DA"/>
    <w:rsid w:val="00565909"/>
    <w:rsid w:val="00581644"/>
    <w:rsid w:val="005860DF"/>
    <w:rsid w:val="00587AE2"/>
    <w:rsid w:val="005A2EDE"/>
    <w:rsid w:val="005A3B45"/>
    <w:rsid w:val="005A3EAF"/>
    <w:rsid w:val="005A44BF"/>
    <w:rsid w:val="005B0F28"/>
    <w:rsid w:val="005B565D"/>
    <w:rsid w:val="005C0F3F"/>
    <w:rsid w:val="005C5242"/>
    <w:rsid w:val="005C799E"/>
    <w:rsid w:val="005C7F2B"/>
    <w:rsid w:val="005D6478"/>
    <w:rsid w:val="005E10CC"/>
    <w:rsid w:val="005F0239"/>
    <w:rsid w:val="005F4E1C"/>
    <w:rsid w:val="005F60F3"/>
    <w:rsid w:val="005F745E"/>
    <w:rsid w:val="0060086F"/>
    <w:rsid w:val="0060646A"/>
    <w:rsid w:val="00613EE9"/>
    <w:rsid w:val="00625CC7"/>
    <w:rsid w:val="00627BF8"/>
    <w:rsid w:val="00630FF3"/>
    <w:rsid w:val="00643F3E"/>
    <w:rsid w:val="0066682C"/>
    <w:rsid w:val="00674F7C"/>
    <w:rsid w:val="00676713"/>
    <w:rsid w:val="00676B95"/>
    <w:rsid w:val="00682CB2"/>
    <w:rsid w:val="00694EEA"/>
    <w:rsid w:val="00695D9E"/>
    <w:rsid w:val="006A743C"/>
    <w:rsid w:val="006C3B3A"/>
    <w:rsid w:val="006C60C5"/>
    <w:rsid w:val="006C64BD"/>
    <w:rsid w:val="006C794A"/>
    <w:rsid w:val="006D22A2"/>
    <w:rsid w:val="006E228A"/>
    <w:rsid w:val="006F427E"/>
    <w:rsid w:val="007030F6"/>
    <w:rsid w:val="00730324"/>
    <w:rsid w:val="00732A3D"/>
    <w:rsid w:val="00745BED"/>
    <w:rsid w:val="00765D54"/>
    <w:rsid w:val="00766586"/>
    <w:rsid w:val="0077243B"/>
    <w:rsid w:val="0078510C"/>
    <w:rsid w:val="007A086A"/>
    <w:rsid w:val="007B1CEA"/>
    <w:rsid w:val="007C02A6"/>
    <w:rsid w:val="007C607F"/>
    <w:rsid w:val="007D064D"/>
    <w:rsid w:val="007F239F"/>
    <w:rsid w:val="00803399"/>
    <w:rsid w:val="00810A7C"/>
    <w:rsid w:val="008110DA"/>
    <w:rsid w:val="008134EA"/>
    <w:rsid w:val="008205BF"/>
    <w:rsid w:val="00820FEE"/>
    <w:rsid w:val="00822899"/>
    <w:rsid w:val="00840F33"/>
    <w:rsid w:val="00857272"/>
    <w:rsid w:val="00857D0A"/>
    <w:rsid w:val="0086708F"/>
    <w:rsid w:val="008B4FCD"/>
    <w:rsid w:val="008D49EA"/>
    <w:rsid w:val="008E3F26"/>
    <w:rsid w:val="008F2EA6"/>
    <w:rsid w:val="008F497D"/>
    <w:rsid w:val="008F506F"/>
    <w:rsid w:val="009005D4"/>
    <w:rsid w:val="00904C67"/>
    <w:rsid w:val="009255D2"/>
    <w:rsid w:val="0092713D"/>
    <w:rsid w:val="00934A63"/>
    <w:rsid w:val="00934FA1"/>
    <w:rsid w:val="00935DDC"/>
    <w:rsid w:val="009622CB"/>
    <w:rsid w:val="009629E3"/>
    <w:rsid w:val="00962B6A"/>
    <w:rsid w:val="00967CD3"/>
    <w:rsid w:val="00967FD0"/>
    <w:rsid w:val="009A53A6"/>
    <w:rsid w:val="009B1281"/>
    <w:rsid w:val="009D6D1D"/>
    <w:rsid w:val="009D7CF5"/>
    <w:rsid w:val="009E6322"/>
    <w:rsid w:val="009F1916"/>
    <w:rsid w:val="00A07A27"/>
    <w:rsid w:val="00A216FE"/>
    <w:rsid w:val="00A249EE"/>
    <w:rsid w:val="00A24E74"/>
    <w:rsid w:val="00A33AFF"/>
    <w:rsid w:val="00A42565"/>
    <w:rsid w:val="00A4482A"/>
    <w:rsid w:val="00A60628"/>
    <w:rsid w:val="00A65FFB"/>
    <w:rsid w:val="00A6642A"/>
    <w:rsid w:val="00A765C5"/>
    <w:rsid w:val="00A81B9C"/>
    <w:rsid w:val="00A87472"/>
    <w:rsid w:val="00A9226B"/>
    <w:rsid w:val="00A933DD"/>
    <w:rsid w:val="00A93CE0"/>
    <w:rsid w:val="00AB46CB"/>
    <w:rsid w:val="00AB54CF"/>
    <w:rsid w:val="00AD75CA"/>
    <w:rsid w:val="00AD7E03"/>
    <w:rsid w:val="00AF255E"/>
    <w:rsid w:val="00AF3505"/>
    <w:rsid w:val="00B1082E"/>
    <w:rsid w:val="00B22C71"/>
    <w:rsid w:val="00B34DC4"/>
    <w:rsid w:val="00B369B3"/>
    <w:rsid w:val="00B36E8D"/>
    <w:rsid w:val="00B42144"/>
    <w:rsid w:val="00B54D84"/>
    <w:rsid w:val="00B663FF"/>
    <w:rsid w:val="00B711F6"/>
    <w:rsid w:val="00B73058"/>
    <w:rsid w:val="00B82235"/>
    <w:rsid w:val="00B8531D"/>
    <w:rsid w:val="00BB6073"/>
    <w:rsid w:val="00BD0937"/>
    <w:rsid w:val="00BD60E8"/>
    <w:rsid w:val="00BE1CC2"/>
    <w:rsid w:val="00BF222E"/>
    <w:rsid w:val="00BF2BE4"/>
    <w:rsid w:val="00C03AE4"/>
    <w:rsid w:val="00C04CD9"/>
    <w:rsid w:val="00C06E50"/>
    <w:rsid w:val="00C07AEB"/>
    <w:rsid w:val="00C10A7E"/>
    <w:rsid w:val="00C10B06"/>
    <w:rsid w:val="00C12E1E"/>
    <w:rsid w:val="00C1304A"/>
    <w:rsid w:val="00C14BDA"/>
    <w:rsid w:val="00C15A5C"/>
    <w:rsid w:val="00C2774D"/>
    <w:rsid w:val="00C40F2A"/>
    <w:rsid w:val="00C45B3D"/>
    <w:rsid w:val="00C646B7"/>
    <w:rsid w:val="00C6717E"/>
    <w:rsid w:val="00C83D5A"/>
    <w:rsid w:val="00C8407E"/>
    <w:rsid w:val="00C87266"/>
    <w:rsid w:val="00C97B32"/>
    <w:rsid w:val="00CB0956"/>
    <w:rsid w:val="00CB7D98"/>
    <w:rsid w:val="00CC2367"/>
    <w:rsid w:val="00CC7B65"/>
    <w:rsid w:val="00CD4A7A"/>
    <w:rsid w:val="00CF7567"/>
    <w:rsid w:val="00D12910"/>
    <w:rsid w:val="00D17667"/>
    <w:rsid w:val="00D22AB1"/>
    <w:rsid w:val="00D46858"/>
    <w:rsid w:val="00D57195"/>
    <w:rsid w:val="00D72AD9"/>
    <w:rsid w:val="00D75CF3"/>
    <w:rsid w:val="00D80EB7"/>
    <w:rsid w:val="00D86237"/>
    <w:rsid w:val="00D86E0D"/>
    <w:rsid w:val="00D8751F"/>
    <w:rsid w:val="00DA7F39"/>
    <w:rsid w:val="00DC28B3"/>
    <w:rsid w:val="00DD2CAF"/>
    <w:rsid w:val="00DD3391"/>
    <w:rsid w:val="00DD6A7A"/>
    <w:rsid w:val="00DE70E6"/>
    <w:rsid w:val="00DF7C74"/>
    <w:rsid w:val="00E0378E"/>
    <w:rsid w:val="00E218B1"/>
    <w:rsid w:val="00E26551"/>
    <w:rsid w:val="00E27164"/>
    <w:rsid w:val="00E27880"/>
    <w:rsid w:val="00E33628"/>
    <w:rsid w:val="00E46281"/>
    <w:rsid w:val="00E51FB5"/>
    <w:rsid w:val="00E6006A"/>
    <w:rsid w:val="00E62A27"/>
    <w:rsid w:val="00E636EF"/>
    <w:rsid w:val="00E84F33"/>
    <w:rsid w:val="00E87189"/>
    <w:rsid w:val="00E94260"/>
    <w:rsid w:val="00E95819"/>
    <w:rsid w:val="00E97A88"/>
    <w:rsid w:val="00EA31AA"/>
    <w:rsid w:val="00EB7056"/>
    <w:rsid w:val="00EC5647"/>
    <w:rsid w:val="00EE306B"/>
    <w:rsid w:val="00EE45B4"/>
    <w:rsid w:val="00EE605C"/>
    <w:rsid w:val="00EE6896"/>
    <w:rsid w:val="00EE77DB"/>
    <w:rsid w:val="00EF1496"/>
    <w:rsid w:val="00F04E94"/>
    <w:rsid w:val="00F14547"/>
    <w:rsid w:val="00F3637C"/>
    <w:rsid w:val="00F37013"/>
    <w:rsid w:val="00F421A3"/>
    <w:rsid w:val="00F57063"/>
    <w:rsid w:val="00F63693"/>
    <w:rsid w:val="00F72150"/>
    <w:rsid w:val="00F7692D"/>
    <w:rsid w:val="00F82662"/>
    <w:rsid w:val="00F83EF4"/>
    <w:rsid w:val="00F90261"/>
    <w:rsid w:val="00F9257F"/>
    <w:rsid w:val="00F93252"/>
    <w:rsid w:val="00F95CCB"/>
    <w:rsid w:val="00FA46AD"/>
    <w:rsid w:val="00FA603A"/>
    <w:rsid w:val="00FB56BE"/>
    <w:rsid w:val="00FC3BF2"/>
    <w:rsid w:val="00FE0559"/>
    <w:rsid w:val="00FE7EBD"/>
    <w:rsid w:val="00FF1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B14FE"/>
  <w15:chartTrackingRefBased/>
  <w15:docId w15:val="{37810CF0-585A-4DD6-B358-C940EF6F0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195"/>
  </w:style>
  <w:style w:type="paragraph" w:styleId="Footer">
    <w:name w:val="footer"/>
    <w:basedOn w:val="Normal"/>
    <w:link w:val="FooterChar"/>
    <w:uiPriority w:val="99"/>
    <w:unhideWhenUsed/>
    <w:rsid w:val="00D57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195"/>
  </w:style>
  <w:style w:type="paragraph" w:styleId="ListParagraph">
    <w:name w:val="List Paragraph"/>
    <w:basedOn w:val="Normal"/>
    <w:uiPriority w:val="34"/>
    <w:qFormat/>
    <w:rsid w:val="00E33628"/>
    <w:pPr>
      <w:ind w:left="720"/>
      <w:contextualSpacing/>
    </w:pPr>
  </w:style>
  <w:style w:type="paragraph" w:styleId="FootnoteText">
    <w:name w:val="footnote text"/>
    <w:basedOn w:val="Normal"/>
    <w:link w:val="FootnoteTextChar"/>
    <w:uiPriority w:val="99"/>
    <w:semiHidden/>
    <w:unhideWhenUsed/>
    <w:rsid w:val="00273A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3AFA"/>
    <w:rPr>
      <w:sz w:val="20"/>
      <w:szCs w:val="20"/>
    </w:rPr>
  </w:style>
  <w:style w:type="character" w:styleId="FootnoteReference">
    <w:name w:val="footnote reference"/>
    <w:basedOn w:val="DefaultParagraphFont"/>
    <w:uiPriority w:val="99"/>
    <w:semiHidden/>
    <w:unhideWhenUsed/>
    <w:rsid w:val="00273AFA"/>
    <w:rPr>
      <w:vertAlign w:val="superscript"/>
    </w:rPr>
  </w:style>
  <w:style w:type="character" w:styleId="CommentReference">
    <w:name w:val="annotation reference"/>
    <w:basedOn w:val="DefaultParagraphFont"/>
    <w:uiPriority w:val="99"/>
    <w:semiHidden/>
    <w:unhideWhenUsed/>
    <w:rsid w:val="00967CD3"/>
    <w:rPr>
      <w:sz w:val="16"/>
      <w:szCs w:val="16"/>
    </w:rPr>
  </w:style>
  <w:style w:type="paragraph" w:styleId="CommentText">
    <w:name w:val="annotation text"/>
    <w:basedOn w:val="Normal"/>
    <w:link w:val="CommentTextChar"/>
    <w:uiPriority w:val="99"/>
    <w:semiHidden/>
    <w:unhideWhenUsed/>
    <w:rsid w:val="00967CD3"/>
    <w:pPr>
      <w:spacing w:line="240" w:lineRule="auto"/>
    </w:pPr>
    <w:rPr>
      <w:sz w:val="20"/>
      <w:szCs w:val="20"/>
    </w:rPr>
  </w:style>
  <w:style w:type="character" w:customStyle="1" w:styleId="CommentTextChar">
    <w:name w:val="Comment Text Char"/>
    <w:basedOn w:val="DefaultParagraphFont"/>
    <w:link w:val="CommentText"/>
    <w:uiPriority w:val="99"/>
    <w:semiHidden/>
    <w:rsid w:val="00967CD3"/>
    <w:rPr>
      <w:sz w:val="20"/>
      <w:szCs w:val="20"/>
    </w:rPr>
  </w:style>
  <w:style w:type="paragraph" w:styleId="CommentSubject">
    <w:name w:val="annotation subject"/>
    <w:basedOn w:val="CommentText"/>
    <w:next w:val="CommentText"/>
    <w:link w:val="CommentSubjectChar"/>
    <w:uiPriority w:val="99"/>
    <w:semiHidden/>
    <w:unhideWhenUsed/>
    <w:rsid w:val="00967CD3"/>
    <w:rPr>
      <w:b/>
      <w:bCs/>
    </w:rPr>
  </w:style>
  <w:style w:type="character" w:customStyle="1" w:styleId="CommentSubjectChar">
    <w:name w:val="Comment Subject Char"/>
    <w:basedOn w:val="CommentTextChar"/>
    <w:link w:val="CommentSubject"/>
    <w:uiPriority w:val="99"/>
    <w:semiHidden/>
    <w:rsid w:val="00967CD3"/>
    <w:rPr>
      <w:b/>
      <w:bCs/>
      <w:sz w:val="20"/>
      <w:szCs w:val="20"/>
    </w:rPr>
  </w:style>
  <w:style w:type="paragraph" w:styleId="BalloonText">
    <w:name w:val="Balloon Text"/>
    <w:basedOn w:val="Normal"/>
    <w:link w:val="BalloonTextChar"/>
    <w:uiPriority w:val="99"/>
    <w:semiHidden/>
    <w:unhideWhenUsed/>
    <w:rsid w:val="00967C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7CD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737660-44A3-423C-835A-4CC0F725E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911</TotalTime>
  <Pages>6</Pages>
  <Words>2421</Words>
  <Characters>13801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Edwards</dc:creator>
  <cp:keywords/>
  <dc:description/>
  <cp:lastModifiedBy>Jordan Edwards</cp:lastModifiedBy>
  <cp:revision>167</cp:revision>
  <dcterms:created xsi:type="dcterms:W3CDTF">2018-01-04T15:19:00Z</dcterms:created>
  <dcterms:modified xsi:type="dcterms:W3CDTF">2018-01-12T22:57:00Z</dcterms:modified>
</cp:coreProperties>
</file>