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69555" w14:textId="77777777" w:rsidR="002D6522" w:rsidRPr="00952C92" w:rsidRDefault="002D6522" w:rsidP="00952C92">
      <w:pPr>
        <w:jc w:val="center"/>
        <w:rPr>
          <w:b/>
          <w:bCs/>
          <w:sz w:val="32"/>
          <w:szCs w:val="28"/>
        </w:rPr>
      </w:pPr>
      <w:r w:rsidRPr="00952C92">
        <w:rPr>
          <w:b/>
          <w:bCs/>
          <w:sz w:val="32"/>
          <w:szCs w:val="28"/>
        </w:rPr>
        <w:t>Module: Criminal law</w:t>
      </w:r>
    </w:p>
    <w:p w14:paraId="7D8131F4" w14:textId="62FB7CF9" w:rsidR="00327394" w:rsidRPr="00952C92" w:rsidRDefault="002D6522" w:rsidP="00952C92">
      <w:pPr>
        <w:jc w:val="center"/>
        <w:rPr>
          <w:b/>
          <w:bCs/>
          <w:sz w:val="32"/>
          <w:szCs w:val="28"/>
        </w:rPr>
      </w:pPr>
      <w:r w:rsidRPr="00952C92">
        <w:rPr>
          <w:b/>
          <w:bCs/>
          <w:sz w:val="32"/>
          <w:szCs w:val="28"/>
        </w:rPr>
        <w:t>Module code: BMPL4009</w:t>
      </w:r>
    </w:p>
    <w:p w14:paraId="3B5861D4" w14:textId="77777777" w:rsidR="00952C92" w:rsidRDefault="002D6522" w:rsidP="00952C92">
      <w:pPr>
        <w:jc w:val="center"/>
      </w:pPr>
      <w:r w:rsidRPr="00952C92">
        <w:rPr>
          <w:b/>
          <w:bCs/>
          <w:sz w:val="32"/>
          <w:szCs w:val="28"/>
        </w:rPr>
        <w:t>ASSESSMENT 2</w:t>
      </w:r>
      <w:r w:rsidRPr="00952C92">
        <w:rPr>
          <w:b/>
          <w:bCs/>
          <w:sz w:val="32"/>
          <w:szCs w:val="28"/>
        </w:rPr>
        <w:br/>
      </w:r>
      <w:r w:rsidRPr="002D6522">
        <w:br/>
      </w:r>
      <w:r w:rsidRPr="002D6522">
        <w:br/>
      </w:r>
      <w:r w:rsidRPr="002D6522">
        <w:br/>
      </w:r>
      <w:r w:rsidRPr="002D6522">
        <w:br/>
      </w:r>
      <w:r w:rsidRPr="002D6522">
        <w:br/>
      </w:r>
      <w:r w:rsidRPr="002D6522">
        <w:br/>
      </w:r>
      <w:r w:rsidRPr="002D6522">
        <w:br/>
      </w:r>
      <w:r w:rsidRPr="002D6522">
        <w:br/>
      </w:r>
      <w:r w:rsidRPr="002D6522">
        <w:br/>
      </w:r>
      <w:r w:rsidRPr="002D6522">
        <w:br/>
      </w:r>
      <w:r w:rsidRPr="002D6522">
        <w:br/>
      </w:r>
      <w:r w:rsidRPr="002D6522">
        <w:br/>
      </w:r>
    </w:p>
    <w:p w14:paraId="5025FA3F" w14:textId="77777777" w:rsidR="00952C92" w:rsidRDefault="00952C92" w:rsidP="00952C92">
      <w:pPr>
        <w:jc w:val="center"/>
      </w:pPr>
    </w:p>
    <w:p w14:paraId="425B324E" w14:textId="77777777" w:rsidR="00952C92" w:rsidRDefault="00952C92" w:rsidP="00952C92">
      <w:pPr>
        <w:jc w:val="center"/>
      </w:pPr>
    </w:p>
    <w:p w14:paraId="54DB1E8D" w14:textId="77777777" w:rsidR="00952C92" w:rsidRDefault="00952C92" w:rsidP="00952C92">
      <w:pPr>
        <w:jc w:val="center"/>
      </w:pPr>
    </w:p>
    <w:p w14:paraId="3733C93F" w14:textId="77777777" w:rsidR="00952C92" w:rsidRDefault="00952C92" w:rsidP="00952C92">
      <w:pPr>
        <w:jc w:val="center"/>
      </w:pPr>
    </w:p>
    <w:p w14:paraId="4868A57B" w14:textId="77777777" w:rsidR="00952C92" w:rsidRDefault="00952C92" w:rsidP="00952C92">
      <w:pPr>
        <w:jc w:val="center"/>
      </w:pPr>
    </w:p>
    <w:p w14:paraId="4ED5961F" w14:textId="77777777" w:rsidR="00952C92" w:rsidRDefault="00952C92" w:rsidP="00952C92">
      <w:pPr>
        <w:jc w:val="center"/>
      </w:pPr>
    </w:p>
    <w:p w14:paraId="56BE7111" w14:textId="3FA5C09D" w:rsidR="002D6522" w:rsidRPr="00952C92" w:rsidRDefault="002D6522" w:rsidP="00952C92">
      <w:pPr>
        <w:jc w:val="center"/>
        <w:rPr>
          <w:i/>
          <w:iCs/>
        </w:rPr>
      </w:pPr>
      <w:r w:rsidRPr="002D6522">
        <w:br/>
      </w:r>
      <w:r w:rsidRPr="00952C92">
        <w:rPr>
          <w:i/>
          <w:iCs/>
        </w:rPr>
        <w:br/>
        <w:t>Student Name:</w:t>
      </w:r>
    </w:p>
    <w:p w14:paraId="0C0EF199" w14:textId="4F540D9E" w:rsidR="00952C92" w:rsidRDefault="002D6522" w:rsidP="00952C92">
      <w:pPr>
        <w:jc w:val="center"/>
        <w:rPr>
          <w:i/>
          <w:iCs/>
        </w:rPr>
      </w:pPr>
      <w:r w:rsidRPr="00952C92">
        <w:rPr>
          <w:i/>
          <w:iCs/>
        </w:rPr>
        <w:t>Student ID:</w:t>
      </w:r>
    </w:p>
    <w:p w14:paraId="669B4AF3" w14:textId="77777777" w:rsidR="00952C92" w:rsidRDefault="00952C92">
      <w:pPr>
        <w:spacing w:after="160" w:line="259" w:lineRule="auto"/>
        <w:jc w:val="left"/>
        <w:rPr>
          <w:i/>
          <w:iCs/>
        </w:rPr>
      </w:pPr>
      <w:r>
        <w:rPr>
          <w:i/>
          <w:iCs/>
        </w:rPr>
        <w:br w:type="page"/>
      </w:r>
    </w:p>
    <w:sdt>
      <w:sdtPr>
        <w:rPr>
          <w:rFonts w:ascii="Times New Roman" w:eastAsiaTheme="minorEastAsia" w:hAnsi="Times New Roman" w:cstheme="minorBidi"/>
          <w:color w:val="auto"/>
          <w:sz w:val="24"/>
          <w:szCs w:val="22"/>
          <w:lang w:val="en-GB" w:eastAsia="zh-CN"/>
        </w:rPr>
        <w:id w:val="242771723"/>
        <w:docPartObj>
          <w:docPartGallery w:val="Table of Contents"/>
          <w:docPartUnique/>
        </w:docPartObj>
      </w:sdtPr>
      <w:sdtEndPr>
        <w:rPr>
          <w:b/>
          <w:bCs/>
          <w:noProof/>
        </w:rPr>
      </w:sdtEndPr>
      <w:sdtContent>
        <w:p w14:paraId="1176345E" w14:textId="296AF4C1" w:rsidR="00952C92" w:rsidRPr="00952C92" w:rsidRDefault="00952C92" w:rsidP="00952C92">
          <w:pPr>
            <w:pStyle w:val="TOCHeading"/>
            <w:spacing w:line="360" w:lineRule="auto"/>
            <w:jc w:val="both"/>
            <w:rPr>
              <w:rFonts w:ascii="Times New Roman" w:hAnsi="Times New Roman" w:cs="Times New Roman"/>
              <w:b/>
              <w:bCs/>
              <w:color w:val="auto"/>
            </w:rPr>
          </w:pPr>
          <w:r w:rsidRPr="00952C92">
            <w:rPr>
              <w:rFonts w:ascii="Times New Roman" w:hAnsi="Times New Roman" w:cs="Times New Roman"/>
              <w:b/>
              <w:bCs/>
              <w:color w:val="auto"/>
            </w:rPr>
            <w:t>Table of Contents</w:t>
          </w:r>
        </w:p>
        <w:p w14:paraId="159379EF" w14:textId="58CCB789" w:rsidR="00A877D1" w:rsidRDefault="00952C92">
          <w:pPr>
            <w:pStyle w:val="TOC1"/>
            <w:tabs>
              <w:tab w:val="right" w:leader="dot" w:pos="9016"/>
            </w:tabs>
            <w:rPr>
              <w:rFonts w:asciiTheme="minorHAnsi" w:hAnsiTheme="minorHAnsi"/>
              <w:noProof/>
              <w:kern w:val="2"/>
              <w:sz w:val="22"/>
              <w:lang w:val="en-US" w:eastAsia="en-US"/>
              <w14:ligatures w14:val="standardContextual"/>
            </w:rPr>
          </w:pPr>
          <w:r w:rsidRPr="00952C92">
            <w:rPr>
              <w:rFonts w:cs="Times New Roman"/>
            </w:rPr>
            <w:fldChar w:fldCharType="begin"/>
          </w:r>
          <w:r w:rsidRPr="00952C92">
            <w:rPr>
              <w:rFonts w:cs="Times New Roman"/>
            </w:rPr>
            <w:instrText xml:space="preserve"> TOC \o "1-3" \h \z \u </w:instrText>
          </w:r>
          <w:r w:rsidRPr="00952C92">
            <w:rPr>
              <w:rFonts w:cs="Times New Roman"/>
            </w:rPr>
            <w:fldChar w:fldCharType="separate"/>
          </w:r>
          <w:hyperlink w:anchor="_Toc155894310" w:history="1">
            <w:r w:rsidR="00A877D1" w:rsidRPr="00DD76B3">
              <w:rPr>
                <w:rStyle w:val="Hyperlink"/>
                <w:noProof/>
              </w:rPr>
              <w:t>Introduction</w:t>
            </w:r>
            <w:r w:rsidR="00A877D1">
              <w:rPr>
                <w:noProof/>
                <w:webHidden/>
              </w:rPr>
              <w:tab/>
            </w:r>
            <w:r w:rsidR="00A877D1">
              <w:rPr>
                <w:noProof/>
                <w:webHidden/>
              </w:rPr>
              <w:fldChar w:fldCharType="begin"/>
            </w:r>
            <w:r w:rsidR="00A877D1">
              <w:rPr>
                <w:noProof/>
                <w:webHidden/>
              </w:rPr>
              <w:instrText xml:space="preserve"> PAGEREF _Toc155894310 \h </w:instrText>
            </w:r>
            <w:r w:rsidR="00A877D1">
              <w:rPr>
                <w:noProof/>
                <w:webHidden/>
              </w:rPr>
            </w:r>
            <w:r w:rsidR="00A877D1">
              <w:rPr>
                <w:noProof/>
                <w:webHidden/>
              </w:rPr>
              <w:fldChar w:fldCharType="separate"/>
            </w:r>
            <w:r w:rsidR="00A877D1">
              <w:rPr>
                <w:noProof/>
                <w:webHidden/>
              </w:rPr>
              <w:t>3</w:t>
            </w:r>
            <w:r w:rsidR="00A877D1">
              <w:rPr>
                <w:noProof/>
                <w:webHidden/>
              </w:rPr>
              <w:fldChar w:fldCharType="end"/>
            </w:r>
          </w:hyperlink>
        </w:p>
        <w:p w14:paraId="55B96FDC" w14:textId="565273F6" w:rsidR="00A877D1"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55894311" w:history="1">
            <w:r w:rsidR="00A877D1" w:rsidRPr="00DD76B3">
              <w:rPr>
                <w:rStyle w:val="Hyperlink"/>
                <w:noProof/>
              </w:rPr>
              <w:t>Assault and Grievous Bodily Harm (GBH) Offences</w:t>
            </w:r>
            <w:r w:rsidR="00A877D1">
              <w:rPr>
                <w:noProof/>
                <w:webHidden/>
              </w:rPr>
              <w:tab/>
            </w:r>
            <w:r w:rsidR="00A877D1">
              <w:rPr>
                <w:noProof/>
                <w:webHidden/>
              </w:rPr>
              <w:fldChar w:fldCharType="begin"/>
            </w:r>
            <w:r w:rsidR="00A877D1">
              <w:rPr>
                <w:noProof/>
                <w:webHidden/>
              </w:rPr>
              <w:instrText xml:space="preserve"> PAGEREF _Toc155894311 \h </w:instrText>
            </w:r>
            <w:r w:rsidR="00A877D1">
              <w:rPr>
                <w:noProof/>
                <w:webHidden/>
              </w:rPr>
            </w:r>
            <w:r w:rsidR="00A877D1">
              <w:rPr>
                <w:noProof/>
                <w:webHidden/>
              </w:rPr>
              <w:fldChar w:fldCharType="separate"/>
            </w:r>
            <w:r w:rsidR="00A877D1">
              <w:rPr>
                <w:noProof/>
                <w:webHidden/>
              </w:rPr>
              <w:t>4</w:t>
            </w:r>
            <w:r w:rsidR="00A877D1">
              <w:rPr>
                <w:noProof/>
                <w:webHidden/>
              </w:rPr>
              <w:fldChar w:fldCharType="end"/>
            </w:r>
          </w:hyperlink>
        </w:p>
        <w:p w14:paraId="460520F1" w14:textId="0C23AF69" w:rsidR="00A877D1"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55894312" w:history="1">
            <w:r w:rsidR="00A877D1" w:rsidRPr="00DD76B3">
              <w:rPr>
                <w:rStyle w:val="Hyperlink"/>
                <w:noProof/>
                <w:lang w:val="en-US" w:eastAsia="en-US"/>
              </w:rPr>
              <w:t>Potential Defenses</w:t>
            </w:r>
            <w:r w:rsidR="00A877D1">
              <w:rPr>
                <w:noProof/>
                <w:webHidden/>
              </w:rPr>
              <w:tab/>
            </w:r>
            <w:r w:rsidR="00A877D1">
              <w:rPr>
                <w:noProof/>
                <w:webHidden/>
              </w:rPr>
              <w:fldChar w:fldCharType="begin"/>
            </w:r>
            <w:r w:rsidR="00A877D1">
              <w:rPr>
                <w:noProof/>
                <w:webHidden/>
              </w:rPr>
              <w:instrText xml:space="preserve"> PAGEREF _Toc155894312 \h </w:instrText>
            </w:r>
            <w:r w:rsidR="00A877D1">
              <w:rPr>
                <w:noProof/>
                <w:webHidden/>
              </w:rPr>
            </w:r>
            <w:r w:rsidR="00A877D1">
              <w:rPr>
                <w:noProof/>
                <w:webHidden/>
              </w:rPr>
              <w:fldChar w:fldCharType="separate"/>
            </w:r>
            <w:r w:rsidR="00A877D1">
              <w:rPr>
                <w:noProof/>
                <w:webHidden/>
              </w:rPr>
              <w:t>5</w:t>
            </w:r>
            <w:r w:rsidR="00A877D1">
              <w:rPr>
                <w:noProof/>
                <w:webHidden/>
              </w:rPr>
              <w:fldChar w:fldCharType="end"/>
            </w:r>
          </w:hyperlink>
        </w:p>
        <w:p w14:paraId="4DCD851B" w14:textId="5EE63B44" w:rsidR="00A877D1"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55894313" w:history="1">
            <w:r w:rsidR="00A877D1" w:rsidRPr="00DD76B3">
              <w:rPr>
                <w:rStyle w:val="Hyperlink"/>
                <w:noProof/>
              </w:rPr>
              <w:t>Relevance of Jamie's Confession</w:t>
            </w:r>
            <w:r w:rsidR="00A877D1">
              <w:rPr>
                <w:noProof/>
                <w:webHidden/>
              </w:rPr>
              <w:tab/>
            </w:r>
            <w:r w:rsidR="00A877D1">
              <w:rPr>
                <w:noProof/>
                <w:webHidden/>
              </w:rPr>
              <w:fldChar w:fldCharType="begin"/>
            </w:r>
            <w:r w:rsidR="00A877D1">
              <w:rPr>
                <w:noProof/>
                <w:webHidden/>
              </w:rPr>
              <w:instrText xml:space="preserve"> PAGEREF _Toc155894313 \h </w:instrText>
            </w:r>
            <w:r w:rsidR="00A877D1">
              <w:rPr>
                <w:noProof/>
                <w:webHidden/>
              </w:rPr>
            </w:r>
            <w:r w:rsidR="00A877D1">
              <w:rPr>
                <w:noProof/>
                <w:webHidden/>
              </w:rPr>
              <w:fldChar w:fldCharType="separate"/>
            </w:r>
            <w:r w:rsidR="00A877D1">
              <w:rPr>
                <w:noProof/>
                <w:webHidden/>
              </w:rPr>
              <w:t>7</w:t>
            </w:r>
            <w:r w:rsidR="00A877D1">
              <w:rPr>
                <w:noProof/>
                <w:webHidden/>
              </w:rPr>
              <w:fldChar w:fldCharType="end"/>
            </w:r>
          </w:hyperlink>
        </w:p>
        <w:p w14:paraId="6078488E" w14:textId="034D03CC" w:rsidR="00A877D1"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55894314" w:history="1">
            <w:r w:rsidR="00A877D1" w:rsidRPr="00DD76B3">
              <w:rPr>
                <w:rStyle w:val="Hyperlink"/>
                <w:noProof/>
                <w:lang w:val="en-US" w:eastAsia="en-US"/>
              </w:rPr>
              <w:t>Conclusion</w:t>
            </w:r>
            <w:r w:rsidR="00A877D1">
              <w:rPr>
                <w:noProof/>
                <w:webHidden/>
              </w:rPr>
              <w:tab/>
            </w:r>
            <w:r w:rsidR="00A877D1">
              <w:rPr>
                <w:noProof/>
                <w:webHidden/>
              </w:rPr>
              <w:fldChar w:fldCharType="begin"/>
            </w:r>
            <w:r w:rsidR="00A877D1">
              <w:rPr>
                <w:noProof/>
                <w:webHidden/>
              </w:rPr>
              <w:instrText xml:space="preserve"> PAGEREF _Toc155894314 \h </w:instrText>
            </w:r>
            <w:r w:rsidR="00A877D1">
              <w:rPr>
                <w:noProof/>
                <w:webHidden/>
              </w:rPr>
            </w:r>
            <w:r w:rsidR="00A877D1">
              <w:rPr>
                <w:noProof/>
                <w:webHidden/>
              </w:rPr>
              <w:fldChar w:fldCharType="separate"/>
            </w:r>
            <w:r w:rsidR="00A877D1">
              <w:rPr>
                <w:noProof/>
                <w:webHidden/>
              </w:rPr>
              <w:t>8</w:t>
            </w:r>
            <w:r w:rsidR="00A877D1">
              <w:rPr>
                <w:noProof/>
                <w:webHidden/>
              </w:rPr>
              <w:fldChar w:fldCharType="end"/>
            </w:r>
          </w:hyperlink>
        </w:p>
        <w:p w14:paraId="01845112" w14:textId="067DE76F" w:rsidR="00A877D1"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55894315" w:history="1">
            <w:r w:rsidR="00A877D1" w:rsidRPr="00DD76B3">
              <w:rPr>
                <w:rStyle w:val="Hyperlink"/>
                <w:noProof/>
              </w:rPr>
              <w:t>References</w:t>
            </w:r>
            <w:r w:rsidR="00A877D1">
              <w:rPr>
                <w:noProof/>
                <w:webHidden/>
              </w:rPr>
              <w:tab/>
            </w:r>
            <w:r w:rsidR="00A877D1">
              <w:rPr>
                <w:noProof/>
                <w:webHidden/>
              </w:rPr>
              <w:fldChar w:fldCharType="begin"/>
            </w:r>
            <w:r w:rsidR="00A877D1">
              <w:rPr>
                <w:noProof/>
                <w:webHidden/>
              </w:rPr>
              <w:instrText xml:space="preserve"> PAGEREF _Toc155894315 \h </w:instrText>
            </w:r>
            <w:r w:rsidR="00A877D1">
              <w:rPr>
                <w:noProof/>
                <w:webHidden/>
              </w:rPr>
            </w:r>
            <w:r w:rsidR="00A877D1">
              <w:rPr>
                <w:noProof/>
                <w:webHidden/>
              </w:rPr>
              <w:fldChar w:fldCharType="separate"/>
            </w:r>
            <w:r w:rsidR="00A877D1">
              <w:rPr>
                <w:noProof/>
                <w:webHidden/>
              </w:rPr>
              <w:t>9</w:t>
            </w:r>
            <w:r w:rsidR="00A877D1">
              <w:rPr>
                <w:noProof/>
                <w:webHidden/>
              </w:rPr>
              <w:fldChar w:fldCharType="end"/>
            </w:r>
          </w:hyperlink>
        </w:p>
        <w:p w14:paraId="7EC3BD5B" w14:textId="4C26DF14" w:rsidR="00952C92" w:rsidRDefault="00952C92" w:rsidP="00952C92">
          <w:r w:rsidRPr="00952C92">
            <w:rPr>
              <w:rFonts w:cs="Times New Roman"/>
              <w:b/>
              <w:bCs/>
              <w:noProof/>
            </w:rPr>
            <w:fldChar w:fldCharType="end"/>
          </w:r>
        </w:p>
      </w:sdtContent>
    </w:sdt>
    <w:p w14:paraId="240783B2" w14:textId="77777777" w:rsidR="002D6522" w:rsidRPr="00952C92" w:rsidRDefault="002D6522" w:rsidP="00952C92"/>
    <w:p w14:paraId="065FC529" w14:textId="77777777" w:rsidR="002D6522" w:rsidRPr="002D6522" w:rsidRDefault="002D6522" w:rsidP="00952C92">
      <w:pPr>
        <w:jc w:val="center"/>
      </w:pPr>
      <w:r w:rsidRPr="002D6522">
        <w:br w:type="page"/>
      </w:r>
    </w:p>
    <w:p w14:paraId="5E1C715C" w14:textId="5F9AB785" w:rsidR="002D6522" w:rsidRPr="002D6522" w:rsidRDefault="002D6522" w:rsidP="00FE30AF">
      <w:pPr>
        <w:pStyle w:val="Heading1"/>
      </w:pPr>
      <w:bookmarkStart w:id="0" w:name="_Toc155894233"/>
      <w:bookmarkStart w:id="1" w:name="_Toc155894310"/>
      <w:r w:rsidRPr="002D6522">
        <w:lastRenderedPageBreak/>
        <w:t>Introduction</w:t>
      </w:r>
      <w:bookmarkEnd w:id="0"/>
      <w:bookmarkEnd w:id="1"/>
    </w:p>
    <w:p w14:paraId="33A4D733" w14:textId="210FDFEE" w:rsidR="002D6522" w:rsidRPr="005E037E" w:rsidRDefault="00E64B63" w:rsidP="005E037E">
      <w:r w:rsidRPr="00E64B63">
        <w:t xml:space="preserve">The scenario starts with a married couple named Carla and Jamie who have been married for fifteen years to one another. After a troublesome evening enters Jamie. Jamie enters the house drunk. Having marital problems go back as they have been married Carla confronts Jamie about </w:t>
      </w:r>
      <w:r w:rsidRPr="005E037E">
        <w:t xml:space="preserve">drinking excessively and avoiding spending time with her. This argument then leads to finding out that Jamie has been cheating on Carla with a coworker. While Carla cries with a combination of sadness and anger reflecting her extremely emotional period, Carla, in her extreme fury, resorts to violence, and stabs Jamie in the chest causing serious damage, by taking a kitchen knife to Jamie's chest. The following position tackles potential criminal liability of Carla by outlining the possible legal elements, </w:t>
      </w:r>
      <w:proofErr w:type="spellStart"/>
      <w:r w:rsidRPr="005E037E">
        <w:t>defenses</w:t>
      </w:r>
      <w:proofErr w:type="spellEnd"/>
      <w:r w:rsidRPr="005E037E">
        <w:t xml:space="preserve"> as well as taking into account Jamie's remark during the fight. The goal of this assignment is to </w:t>
      </w:r>
      <w:proofErr w:type="spellStart"/>
      <w:r w:rsidRPr="005E037E">
        <w:t>analyze</w:t>
      </w:r>
      <w:proofErr w:type="spellEnd"/>
      <w:r w:rsidRPr="005E037E">
        <w:t xml:space="preserve"> the legal aspects of Carla's actions and provide an in depth understanding of potential criminal liability due to the application of established criminal law principles.</w:t>
      </w:r>
    </w:p>
    <w:p w14:paraId="2673E4E1" w14:textId="5FDF9C93" w:rsidR="002D6522" w:rsidRPr="005E037E" w:rsidRDefault="002D6522" w:rsidP="005E037E">
      <w:r w:rsidRPr="005E037E">
        <w:br w:type="page"/>
      </w:r>
    </w:p>
    <w:p w14:paraId="1C657802" w14:textId="33FB6685" w:rsidR="002D6522" w:rsidRPr="005E037E" w:rsidRDefault="002D6522" w:rsidP="00FE30AF">
      <w:pPr>
        <w:pStyle w:val="Heading1"/>
      </w:pPr>
      <w:bookmarkStart w:id="2" w:name="_Toc155894234"/>
      <w:bookmarkStart w:id="3" w:name="_Toc155894311"/>
      <w:r w:rsidRPr="005E037E">
        <w:lastRenderedPageBreak/>
        <w:t>Assault and Grievous Bodily Harm (GBH) Offences</w:t>
      </w:r>
      <w:bookmarkEnd w:id="2"/>
      <w:bookmarkEnd w:id="3"/>
      <w:r w:rsidRPr="005E037E">
        <w:t xml:space="preserve"> </w:t>
      </w:r>
    </w:p>
    <w:p w14:paraId="42558BFF" w14:textId="0F8FEAEA" w:rsidR="00E64B63" w:rsidRPr="005E037E" w:rsidRDefault="002D6522" w:rsidP="005E037E">
      <w:r w:rsidRPr="00FE30AF">
        <w:rPr>
          <w:b/>
          <w:bCs/>
        </w:rPr>
        <w:t xml:space="preserve">Assault and Grievous Bodily Harm (GBH) Defined: </w:t>
      </w:r>
      <w:r w:rsidR="00E64B63" w:rsidRPr="005E037E">
        <w:t>Assault is the beating of another person where the defendant purposely created either apprehension of immediate unlawful personal violence or the defendant intentionally or recklessly caused the victim to have physical harm or injury. GBH is serious harm that is caused to the victim by either intentionally inflicting on the victim some serious harm which the victim is apprehends will be inflicted on them or cause the victim to have serious harm or injuries that are life threatening</w:t>
      </w:r>
      <w:r w:rsidR="005A2779" w:rsidRPr="005A2779">
        <w:t xml:space="preserve"> </w:t>
      </w:r>
      <w:r w:rsidR="005A2779">
        <w:t>(Childs, 2021)</w:t>
      </w:r>
      <w:r w:rsidR="00E64B63" w:rsidRPr="005E037E">
        <w:t>.</w:t>
      </w:r>
    </w:p>
    <w:p w14:paraId="53BE9C1D" w14:textId="77777777" w:rsidR="00E64B63" w:rsidRPr="005E037E" w:rsidRDefault="002D6522" w:rsidP="005E037E">
      <w:r w:rsidRPr="00FE30AF">
        <w:rPr>
          <w:b/>
          <w:bCs/>
        </w:rPr>
        <w:t>Carla's Actions and Potential Offences:</w:t>
      </w:r>
      <w:r w:rsidRPr="005E037E">
        <w:t xml:space="preserve"> </w:t>
      </w:r>
      <w:r w:rsidR="00E64B63" w:rsidRPr="005E037E">
        <w:t>Carla's use of a kitchen knife to stab Jamie in the chest indicates a deliberate and forceful act. Petechiae spotted on the chest also indicate force. This may be an element of assault with maybe GBH due to the severity of Jamie's injuries.</w:t>
      </w:r>
    </w:p>
    <w:p w14:paraId="28FCEE1D" w14:textId="56BA58A1" w:rsidR="00E64B63" w:rsidRPr="005E037E" w:rsidRDefault="002D6522" w:rsidP="005E037E">
      <w:r w:rsidRPr="00FE30AF">
        <w:rPr>
          <w:b/>
          <w:bCs/>
        </w:rPr>
        <w:t>Case Law Support:</w:t>
      </w:r>
      <w:r w:rsidRPr="005E037E">
        <w:t xml:space="preserve"> </w:t>
      </w:r>
      <w:r w:rsidR="00E64B63" w:rsidRPr="005E037E">
        <w:t>Considering the case law such as the R v Cunningham 1957 and R v Venna 1976, is a way to be able to identify Carla’s level of culpability</w:t>
      </w:r>
      <w:r w:rsidR="005A2779" w:rsidRPr="005A2779">
        <w:t xml:space="preserve"> </w:t>
      </w:r>
      <w:r w:rsidR="005A2779">
        <w:t>(Finch, 2019)</w:t>
      </w:r>
      <w:r w:rsidR="00E64B63" w:rsidRPr="005E037E">
        <w:t>. They are previous cases that determine the test to assess the level of accountability the attacker was at and the level of force used during</w:t>
      </w:r>
      <w:r w:rsidR="00FE30AF">
        <w:t>.</w:t>
      </w:r>
    </w:p>
    <w:p w14:paraId="6E9B9476" w14:textId="61C1EBA2" w:rsidR="00E64B63" w:rsidRPr="005E037E" w:rsidRDefault="002D6522" w:rsidP="005E037E">
      <w:r w:rsidRPr="00FE30AF">
        <w:rPr>
          <w:b/>
          <w:bCs/>
        </w:rPr>
        <w:t>Elements and Legislation:</w:t>
      </w:r>
      <w:r w:rsidRPr="005E037E">
        <w:t xml:space="preserve"> </w:t>
      </w:r>
      <w:r w:rsidR="00E64B63" w:rsidRPr="005E037E">
        <w:t>Part of the investigation includes looking at what makes an assault or GBH crime tick, including having the desire to hurt someone or really hurting them badly. Evaluating Carla's behaviour within a legal context may include considering relevant statutes, such as the Offences Against the Person Act 1861</w:t>
      </w:r>
      <w:r w:rsidR="005A2779" w:rsidRPr="005A2779">
        <w:t xml:space="preserve"> </w:t>
      </w:r>
      <w:r w:rsidR="005A2779">
        <w:t>(Blackwell, 2023)</w:t>
      </w:r>
      <w:r w:rsidR="00E64B63" w:rsidRPr="005E037E">
        <w:t>.</w:t>
      </w:r>
    </w:p>
    <w:p w14:paraId="65BADF43" w14:textId="2EA37878" w:rsidR="002D6522" w:rsidRPr="005E037E" w:rsidRDefault="002D6522" w:rsidP="005E037E">
      <w:r w:rsidRPr="00FE30AF">
        <w:rPr>
          <w:b/>
          <w:bCs/>
        </w:rPr>
        <w:t>Seriousness of Injuries:</w:t>
      </w:r>
      <w:r w:rsidRPr="005E037E">
        <w:t xml:space="preserve"> </w:t>
      </w:r>
      <w:r w:rsidR="001F6A77">
        <w:t>I</w:t>
      </w:r>
      <w:r w:rsidR="00E64B63" w:rsidRPr="005E037E">
        <w:t>n order to ensure a charge that is appropriate for the situation It is therefore vital to assess how serious Jamie is injured, the use of a kitchen knife, it being a serious injury, there is potential for Jamie to be charged with GBH rather than an ABH, this will be reflected in the medical report to show the lasting harm caused by the wound</w:t>
      </w:r>
      <w:r w:rsidR="005A2779" w:rsidRPr="005A2779">
        <w:t xml:space="preserve"> </w:t>
      </w:r>
      <w:r w:rsidR="005A2779">
        <w:t>(Herring, 2019)</w:t>
      </w:r>
      <w:r w:rsidR="00E64B63" w:rsidRPr="005E037E">
        <w:t>.</w:t>
      </w:r>
    </w:p>
    <w:p w14:paraId="2086988F" w14:textId="681C525E" w:rsidR="002D6522" w:rsidRPr="005E037E" w:rsidRDefault="005E037E" w:rsidP="005E037E">
      <w:r w:rsidRPr="005E037E">
        <w:t>To summarize Carla’s actions, it is clear that the use of the knife and the substantial injury to Jamie could result in charges of assault and GBH. However, looking further into the case law, statutes and the core elements of both charges will give a more accurate indication into Carla’s criminal liability in this sense.</w:t>
      </w:r>
    </w:p>
    <w:p w14:paraId="4B0A9040" w14:textId="77777777" w:rsidR="005E037E" w:rsidRDefault="005E037E" w:rsidP="005A2779">
      <w:pPr>
        <w:rPr>
          <w:lang w:val="en-US" w:eastAsia="en-US"/>
        </w:rPr>
      </w:pPr>
    </w:p>
    <w:p w14:paraId="20B3AFE4" w14:textId="77777777" w:rsidR="00A877D1" w:rsidRDefault="00A877D1" w:rsidP="00A877D1">
      <w:pPr>
        <w:rPr>
          <w:lang w:val="en-US" w:eastAsia="en-US"/>
        </w:rPr>
      </w:pPr>
      <w:bookmarkStart w:id="4" w:name="_Toc155894235"/>
    </w:p>
    <w:p w14:paraId="0690D10E" w14:textId="5BC49C79" w:rsidR="002D6522" w:rsidRPr="002D6522" w:rsidRDefault="002D6522" w:rsidP="002D6522">
      <w:pPr>
        <w:pStyle w:val="Heading1"/>
        <w:rPr>
          <w:lang w:val="en-US" w:eastAsia="en-US"/>
        </w:rPr>
      </w:pPr>
      <w:bookmarkStart w:id="5" w:name="_Toc155894312"/>
      <w:r w:rsidRPr="002D6522">
        <w:rPr>
          <w:lang w:val="en-US" w:eastAsia="en-US"/>
        </w:rPr>
        <w:lastRenderedPageBreak/>
        <w:t>Potential Defenses</w:t>
      </w:r>
      <w:bookmarkEnd w:id="4"/>
      <w:bookmarkEnd w:id="5"/>
      <w:r w:rsidRPr="002D6522">
        <w:rPr>
          <w:lang w:val="en-US" w:eastAsia="en-US"/>
        </w:rPr>
        <w:t xml:space="preserve"> </w:t>
      </w:r>
    </w:p>
    <w:tbl>
      <w:tblPr>
        <w:tblStyle w:val="GridTable4-Accent3"/>
        <w:tblW w:w="9195" w:type="dxa"/>
        <w:tblLook w:val="04A0" w:firstRow="1" w:lastRow="0" w:firstColumn="1" w:lastColumn="0" w:noHBand="0" w:noVBand="1"/>
      </w:tblPr>
      <w:tblGrid>
        <w:gridCol w:w="1774"/>
        <w:gridCol w:w="3739"/>
        <w:gridCol w:w="3682"/>
      </w:tblGrid>
      <w:tr w:rsidR="002D6522" w:rsidRPr="002D6522" w14:paraId="61D08FDF" w14:textId="77777777" w:rsidTr="002D65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B0CD0A" w14:textId="77777777" w:rsidR="002D6522" w:rsidRPr="002D6522" w:rsidRDefault="002D6522" w:rsidP="002D6522">
            <w:pPr>
              <w:rPr>
                <w:lang w:val="en-US" w:eastAsia="en-US"/>
              </w:rPr>
            </w:pPr>
            <w:r w:rsidRPr="002D6522">
              <w:rPr>
                <w:lang w:val="en-US" w:eastAsia="en-US"/>
              </w:rPr>
              <w:t>Defense</w:t>
            </w:r>
          </w:p>
        </w:tc>
        <w:tc>
          <w:tcPr>
            <w:tcW w:w="0" w:type="auto"/>
            <w:hideMark/>
          </w:tcPr>
          <w:p w14:paraId="25B6F95D" w14:textId="77777777" w:rsidR="002D6522" w:rsidRPr="002D6522" w:rsidRDefault="002D6522" w:rsidP="002D6522">
            <w:pPr>
              <w:cnfStyle w:val="100000000000" w:firstRow="1" w:lastRow="0" w:firstColumn="0" w:lastColumn="0" w:oddVBand="0" w:evenVBand="0" w:oddHBand="0" w:evenHBand="0" w:firstRowFirstColumn="0" w:firstRowLastColumn="0" w:lastRowFirstColumn="0" w:lastRowLastColumn="0"/>
              <w:rPr>
                <w:lang w:val="en-US" w:eastAsia="en-US"/>
              </w:rPr>
            </w:pPr>
            <w:r w:rsidRPr="002D6522">
              <w:rPr>
                <w:lang w:val="en-US" w:eastAsia="en-US"/>
              </w:rPr>
              <w:t>Analysis</w:t>
            </w:r>
          </w:p>
        </w:tc>
        <w:tc>
          <w:tcPr>
            <w:tcW w:w="0" w:type="auto"/>
            <w:hideMark/>
          </w:tcPr>
          <w:p w14:paraId="77891AA8" w14:textId="77777777" w:rsidR="002D6522" w:rsidRPr="002D6522" w:rsidRDefault="002D6522" w:rsidP="002D6522">
            <w:pPr>
              <w:cnfStyle w:val="100000000000" w:firstRow="1" w:lastRow="0" w:firstColumn="0" w:lastColumn="0" w:oddVBand="0" w:evenVBand="0" w:oddHBand="0" w:evenHBand="0" w:firstRowFirstColumn="0" w:firstRowLastColumn="0" w:lastRowFirstColumn="0" w:lastRowLastColumn="0"/>
              <w:rPr>
                <w:lang w:val="en-US" w:eastAsia="en-US"/>
              </w:rPr>
            </w:pPr>
            <w:r w:rsidRPr="002D6522">
              <w:rPr>
                <w:lang w:val="en-US" w:eastAsia="en-US"/>
              </w:rPr>
              <w:t>Case Law and Legislation</w:t>
            </w:r>
          </w:p>
        </w:tc>
      </w:tr>
      <w:tr w:rsidR="002D6522" w:rsidRPr="002D6522" w14:paraId="49039C72" w14:textId="77777777" w:rsidTr="002D6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C4D22" w14:textId="1344220F" w:rsidR="002D6522" w:rsidRPr="002D6522" w:rsidRDefault="002D6522" w:rsidP="002D6522">
            <w:pPr>
              <w:rPr>
                <w:lang w:val="en-US" w:eastAsia="en-US"/>
              </w:rPr>
            </w:pPr>
            <w:r w:rsidRPr="002D6522">
              <w:rPr>
                <w:lang w:val="en-US" w:eastAsia="en-US"/>
              </w:rPr>
              <w:t>Self-defense</w:t>
            </w:r>
          </w:p>
        </w:tc>
        <w:tc>
          <w:tcPr>
            <w:tcW w:w="0" w:type="auto"/>
            <w:hideMark/>
          </w:tcPr>
          <w:p w14:paraId="5397D323" w14:textId="77777777" w:rsidR="002D6522" w:rsidRPr="002D6522" w:rsidRDefault="002D6522" w:rsidP="002D6522">
            <w:pPr>
              <w:cnfStyle w:val="000000100000" w:firstRow="0" w:lastRow="0" w:firstColumn="0" w:lastColumn="0" w:oddVBand="0" w:evenVBand="0" w:oddHBand="1" w:evenHBand="0" w:firstRowFirstColumn="0" w:firstRowLastColumn="0" w:lastRowFirstColumn="0" w:lastRowLastColumn="0"/>
              <w:rPr>
                <w:lang w:val="en-US" w:eastAsia="en-US"/>
              </w:rPr>
            </w:pPr>
            <w:r w:rsidRPr="002D6522">
              <w:rPr>
                <w:b/>
                <w:bCs/>
                <w:lang w:val="en-US" w:eastAsia="en-US"/>
              </w:rPr>
              <w:t>1. Analyzing Reasonableness:</w:t>
            </w:r>
            <w:r w:rsidRPr="002D6522">
              <w:rPr>
                <w:lang w:val="en-US" w:eastAsia="en-US"/>
              </w:rPr>
              <w:t xml:space="preserve"> Evaluate whether Carla's actions were a reasonable response to a perceived threat. Consider factors such as immediacy, proportionality, and the level of force used in self-defense.</w:t>
            </w:r>
          </w:p>
        </w:tc>
        <w:tc>
          <w:tcPr>
            <w:tcW w:w="0" w:type="auto"/>
            <w:hideMark/>
          </w:tcPr>
          <w:p w14:paraId="028BD1FE" w14:textId="77777777" w:rsidR="002D6522" w:rsidRPr="002D6522" w:rsidRDefault="002D6522" w:rsidP="002D6522">
            <w:pPr>
              <w:cnfStyle w:val="000000100000" w:firstRow="0" w:lastRow="0" w:firstColumn="0" w:lastColumn="0" w:oddVBand="0" w:evenVBand="0" w:oddHBand="1" w:evenHBand="0" w:firstRowFirstColumn="0" w:firstRowLastColumn="0" w:lastRowFirstColumn="0" w:lastRowLastColumn="0"/>
              <w:rPr>
                <w:lang w:val="en-US" w:eastAsia="en-US"/>
              </w:rPr>
            </w:pPr>
            <w:r w:rsidRPr="002D6522">
              <w:rPr>
                <w:b/>
                <w:bCs/>
                <w:lang w:val="en-US" w:eastAsia="en-US"/>
              </w:rPr>
              <w:t>- Case Law:</w:t>
            </w:r>
            <w:r w:rsidRPr="002D6522">
              <w:rPr>
                <w:lang w:val="en-US" w:eastAsia="en-US"/>
              </w:rPr>
              <w:t xml:space="preserve"> R v Palmer (1971) establishes the principle that the use of force must be reasonable and proportionate to the threat faced. - Legislation: Section 3 of the Criminal Law Act 1967 outlines the use of reasonable force in self-defense.</w:t>
            </w:r>
          </w:p>
        </w:tc>
      </w:tr>
      <w:tr w:rsidR="002D6522" w:rsidRPr="002D6522" w14:paraId="6AA1DAE2" w14:textId="77777777" w:rsidTr="002D6522">
        <w:tc>
          <w:tcPr>
            <w:cnfStyle w:val="001000000000" w:firstRow="0" w:lastRow="0" w:firstColumn="1" w:lastColumn="0" w:oddVBand="0" w:evenVBand="0" w:oddHBand="0" w:evenHBand="0" w:firstRowFirstColumn="0" w:firstRowLastColumn="0" w:lastRowFirstColumn="0" w:lastRowLastColumn="0"/>
            <w:tcW w:w="0" w:type="auto"/>
            <w:hideMark/>
          </w:tcPr>
          <w:p w14:paraId="2A958A79" w14:textId="77777777" w:rsidR="002D6522" w:rsidRPr="002D6522" w:rsidRDefault="002D6522" w:rsidP="002D6522">
            <w:pPr>
              <w:rPr>
                <w:lang w:val="en-US" w:eastAsia="en-US"/>
              </w:rPr>
            </w:pPr>
          </w:p>
        </w:tc>
        <w:tc>
          <w:tcPr>
            <w:tcW w:w="0" w:type="auto"/>
            <w:hideMark/>
          </w:tcPr>
          <w:p w14:paraId="45EE1242" w14:textId="6361144C" w:rsidR="002D6522" w:rsidRPr="002D6522" w:rsidRDefault="002D6522" w:rsidP="002D6522">
            <w:pPr>
              <w:cnfStyle w:val="000000000000" w:firstRow="0" w:lastRow="0" w:firstColumn="0" w:lastColumn="0" w:oddVBand="0" w:evenVBand="0" w:oddHBand="0" w:evenHBand="0" w:firstRowFirstColumn="0" w:firstRowLastColumn="0" w:lastRowFirstColumn="0" w:lastRowLastColumn="0"/>
              <w:rPr>
                <w:lang w:val="en-US" w:eastAsia="en-US"/>
              </w:rPr>
            </w:pPr>
            <w:r w:rsidRPr="002D6522">
              <w:rPr>
                <w:b/>
                <w:bCs/>
                <w:lang w:val="en-US" w:eastAsia="en-US"/>
              </w:rPr>
              <w:t>2. Case Law Support:</w:t>
            </w:r>
            <w:r w:rsidRPr="002D6522">
              <w:rPr>
                <w:lang w:val="en-US" w:eastAsia="en-US"/>
              </w:rPr>
              <w:t xml:space="preserve"> Examine relevant case law supporting self-defense arguments, emphasizing instances where individuals were justified in using force to protect themselves or others</w:t>
            </w:r>
            <w:r w:rsidR="005A2779">
              <w:t xml:space="preserve"> (</w:t>
            </w:r>
            <w:proofErr w:type="spellStart"/>
            <w:r w:rsidR="005A2779">
              <w:t>Lafave</w:t>
            </w:r>
            <w:proofErr w:type="spellEnd"/>
            <w:r w:rsidR="005A2779">
              <w:t>, 2017)</w:t>
            </w:r>
            <w:r w:rsidRPr="002D6522">
              <w:rPr>
                <w:lang w:val="en-US" w:eastAsia="en-US"/>
              </w:rPr>
              <w:t>.</w:t>
            </w:r>
          </w:p>
        </w:tc>
        <w:tc>
          <w:tcPr>
            <w:tcW w:w="0" w:type="auto"/>
            <w:hideMark/>
          </w:tcPr>
          <w:p w14:paraId="593F40B2" w14:textId="01E38E62" w:rsidR="002D6522" w:rsidRPr="002D6522" w:rsidRDefault="002D6522" w:rsidP="002D6522">
            <w:pPr>
              <w:cnfStyle w:val="000000000000" w:firstRow="0" w:lastRow="0" w:firstColumn="0" w:lastColumn="0" w:oddVBand="0" w:evenVBand="0" w:oddHBand="0" w:evenHBand="0" w:firstRowFirstColumn="0" w:firstRowLastColumn="0" w:lastRowFirstColumn="0" w:lastRowLastColumn="0"/>
              <w:rPr>
                <w:lang w:val="en-US" w:eastAsia="en-US"/>
              </w:rPr>
            </w:pPr>
            <w:r w:rsidRPr="002D6522">
              <w:rPr>
                <w:lang w:val="en-US" w:eastAsia="en-US"/>
              </w:rPr>
              <w:t>- R v Bird (1985) highlights the importance of assessing the perception of threat from the defendant's perspective. - R v Owino (1996) emphasizes the need for an immediate and genuine threat for self-defense to be valid</w:t>
            </w:r>
            <w:r w:rsidR="005A2779">
              <w:t xml:space="preserve"> (Jefferson, 2022)</w:t>
            </w:r>
            <w:r w:rsidRPr="002D6522">
              <w:rPr>
                <w:lang w:val="en-US" w:eastAsia="en-US"/>
              </w:rPr>
              <w:t>.</w:t>
            </w:r>
          </w:p>
        </w:tc>
      </w:tr>
      <w:tr w:rsidR="002D6522" w:rsidRPr="002D6522" w14:paraId="78CA1961" w14:textId="77777777" w:rsidTr="002D6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56F15B" w14:textId="2E5879C4" w:rsidR="002D6522" w:rsidRPr="002D6522" w:rsidRDefault="002D6522" w:rsidP="002D6522">
            <w:pPr>
              <w:rPr>
                <w:lang w:val="en-US" w:eastAsia="en-US"/>
              </w:rPr>
            </w:pPr>
            <w:r w:rsidRPr="002D6522">
              <w:rPr>
                <w:lang w:val="en-US" w:eastAsia="en-US"/>
              </w:rPr>
              <w:t>Diminished Responsibility</w:t>
            </w:r>
          </w:p>
        </w:tc>
        <w:tc>
          <w:tcPr>
            <w:tcW w:w="0" w:type="auto"/>
            <w:hideMark/>
          </w:tcPr>
          <w:p w14:paraId="4876276B" w14:textId="77777777" w:rsidR="002D6522" w:rsidRPr="002D6522" w:rsidRDefault="002D6522" w:rsidP="002D6522">
            <w:pPr>
              <w:cnfStyle w:val="000000100000" w:firstRow="0" w:lastRow="0" w:firstColumn="0" w:lastColumn="0" w:oddVBand="0" w:evenVBand="0" w:oddHBand="1" w:evenHBand="0" w:firstRowFirstColumn="0" w:firstRowLastColumn="0" w:lastRowFirstColumn="0" w:lastRowLastColumn="0"/>
              <w:rPr>
                <w:lang w:val="en-US" w:eastAsia="en-US"/>
              </w:rPr>
            </w:pPr>
            <w:r w:rsidRPr="002D6522">
              <w:rPr>
                <w:b/>
                <w:bCs/>
                <w:lang w:val="en-US" w:eastAsia="en-US"/>
              </w:rPr>
              <w:t>1. Assessing Emotional State:</w:t>
            </w:r>
            <w:r w:rsidRPr="002D6522">
              <w:rPr>
                <w:lang w:val="en-US" w:eastAsia="en-US"/>
              </w:rPr>
              <w:t xml:space="preserve"> Examine Carla's emotional state during the incident and its impact on her culpability. Consider whether her emotional distress significantly impaired her ability to control her actions.</w:t>
            </w:r>
          </w:p>
        </w:tc>
        <w:tc>
          <w:tcPr>
            <w:tcW w:w="0" w:type="auto"/>
            <w:hideMark/>
          </w:tcPr>
          <w:p w14:paraId="77D31B45" w14:textId="222DC0D5" w:rsidR="002D6522" w:rsidRPr="002D6522" w:rsidRDefault="002D6522" w:rsidP="002D6522">
            <w:pPr>
              <w:cnfStyle w:val="000000100000" w:firstRow="0" w:lastRow="0" w:firstColumn="0" w:lastColumn="0" w:oddVBand="0" w:evenVBand="0" w:oddHBand="1" w:evenHBand="0" w:firstRowFirstColumn="0" w:firstRowLastColumn="0" w:lastRowFirstColumn="0" w:lastRowLastColumn="0"/>
              <w:rPr>
                <w:lang w:val="en-US" w:eastAsia="en-US"/>
              </w:rPr>
            </w:pPr>
            <w:r w:rsidRPr="002D6522">
              <w:rPr>
                <w:lang w:val="en-US" w:eastAsia="en-US"/>
              </w:rPr>
              <w:t xml:space="preserve">- </w:t>
            </w:r>
            <w:r w:rsidRPr="002D6522">
              <w:rPr>
                <w:b/>
                <w:bCs/>
                <w:lang w:val="en-US" w:eastAsia="en-US"/>
              </w:rPr>
              <w:t>Case Law:</w:t>
            </w:r>
            <w:r w:rsidRPr="002D6522">
              <w:rPr>
                <w:lang w:val="en-US" w:eastAsia="en-US"/>
              </w:rPr>
              <w:t xml:space="preserve"> R v Byrne (1960) sets the precedent for diminished responsibility by focusing on substantial impairment of mental responsibility. - Legislation: Section 2 of the Homicide Act 1957 outlines diminished responsibility as a partial defense to murder</w:t>
            </w:r>
            <w:r w:rsidR="005A2779">
              <w:t xml:space="preserve"> (Roach, 2020)</w:t>
            </w:r>
            <w:r w:rsidRPr="002D6522">
              <w:rPr>
                <w:lang w:val="en-US" w:eastAsia="en-US"/>
              </w:rPr>
              <w:t>.</w:t>
            </w:r>
          </w:p>
        </w:tc>
      </w:tr>
      <w:tr w:rsidR="002D6522" w:rsidRPr="002D6522" w14:paraId="73683686" w14:textId="77777777" w:rsidTr="002D6522">
        <w:tc>
          <w:tcPr>
            <w:cnfStyle w:val="001000000000" w:firstRow="0" w:lastRow="0" w:firstColumn="1" w:lastColumn="0" w:oddVBand="0" w:evenVBand="0" w:oddHBand="0" w:evenHBand="0" w:firstRowFirstColumn="0" w:firstRowLastColumn="0" w:lastRowFirstColumn="0" w:lastRowLastColumn="0"/>
            <w:tcW w:w="0" w:type="auto"/>
            <w:hideMark/>
          </w:tcPr>
          <w:p w14:paraId="7C3C8D0E" w14:textId="77777777" w:rsidR="002D6522" w:rsidRPr="002D6522" w:rsidRDefault="002D6522" w:rsidP="002D6522">
            <w:pPr>
              <w:rPr>
                <w:lang w:val="en-US" w:eastAsia="en-US"/>
              </w:rPr>
            </w:pPr>
          </w:p>
        </w:tc>
        <w:tc>
          <w:tcPr>
            <w:tcW w:w="0" w:type="auto"/>
            <w:hideMark/>
          </w:tcPr>
          <w:p w14:paraId="39FC44CD" w14:textId="77777777" w:rsidR="002D6522" w:rsidRPr="002D6522" w:rsidRDefault="002D6522" w:rsidP="002D6522">
            <w:pPr>
              <w:cnfStyle w:val="000000000000" w:firstRow="0" w:lastRow="0" w:firstColumn="0" w:lastColumn="0" w:oddVBand="0" w:evenVBand="0" w:oddHBand="0" w:evenHBand="0" w:firstRowFirstColumn="0" w:firstRowLastColumn="0" w:lastRowFirstColumn="0" w:lastRowLastColumn="0"/>
              <w:rPr>
                <w:lang w:val="en-US" w:eastAsia="en-US"/>
              </w:rPr>
            </w:pPr>
            <w:r w:rsidRPr="002D6522">
              <w:rPr>
                <w:b/>
                <w:bCs/>
                <w:lang w:val="en-US" w:eastAsia="en-US"/>
              </w:rPr>
              <w:t>2. Legislation and Case Law:</w:t>
            </w:r>
            <w:r w:rsidRPr="002D6522">
              <w:rPr>
                <w:lang w:val="en-US" w:eastAsia="en-US"/>
              </w:rPr>
              <w:t xml:space="preserve"> Explore relevant legislation and case law on diminished responsibility to </w:t>
            </w:r>
            <w:r w:rsidRPr="002D6522">
              <w:rPr>
                <w:lang w:val="en-US" w:eastAsia="en-US"/>
              </w:rPr>
              <w:lastRenderedPageBreak/>
              <w:t>determine if Carla's emotional state qualifies as a mitigating factor in the commission of the offense.</w:t>
            </w:r>
          </w:p>
        </w:tc>
        <w:tc>
          <w:tcPr>
            <w:tcW w:w="0" w:type="auto"/>
            <w:hideMark/>
          </w:tcPr>
          <w:p w14:paraId="1DE849E9" w14:textId="77777777" w:rsidR="002D6522" w:rsidRPr="002D6522" w:rsidRDefault="002D6522" w:rsidP="002D6522">
            <w:pPr>
              <w:cnfStyle w:val="000000000000" w:firstRow="0" w:lastRow="0" w:firstColumn="0" w:lastColumn="0" w:oddVBand="0" w:evenVBand="0" w:oddHBand="0" w:evenHBand="0" w:firstRowFirstColumn="0" w:firstRowLastColumn="0" w:lastRowFirstColumn="0" w:lastRowLastColumn="0"/>
              <w:rPr>
                <w:lang w:val="en-US" w:eastAsia="en-US"/>
              </w:rPr>
            </w:pPr>
            <w:r w:rsidRPr="002D6522">
              <w:rPr>
                <w:lang w:val="en-US" w:eastAsia="en-US"/>
              </w:rPr>
              <w:lastRenderedPageBreak/>
              <w:t xml:space="preserve">- R v Golds (2016) provides insight into the importance of expert psychiatric evidence in establishing </w:t>
            </w:r>
            <w:r w:rsidRPr="002D6522">
              <w:rPr>
                <w:lang w:val="en-US" w:eastAsia="en-US"/>
              </w:rPr>
              <w:lastRenderedPageBreak/>
              <w:t>diminished responsibility. - Section 52 of the Coroners and Justice Act 2009 further defines diminished responsibility as a partial defense.</w:t>
            </w:r>
          </w:p>
        </w:tc>
      </w:tr>
      <w:tr w:rsidR="002D6522" w:rsidRPr="002D6522" w14:paraId="3CDAD041" w14:textId="77777777" w:rsidTr="002D65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0AC71" w14:textId="60306C66" w:rsidR="002D6522" w:rsidRPr="002D6522" w:rsidRDefault="002D6522" w:rsidP="002D6522">
            <w:pPr>
              <w:rPr>
                <w:lang w:val="en-US" w:eastAsia="en-US"/>
              </w:rPr>
            </w:pPr>
            <w:r w:rsidRPr="002D6522">
              <w:rPr>
                <w:lang w:val="en-US" w:eastAsia="en-US"/>
              </w:rPr>
              <w:lastRenderedPageBreak/>
              <w:t>Consent</w:t>
            </w:r>
          </w:p>
        </w:tc>
        <w:tc>
          <w:tcPr>
            <w:tcW w:w="0" w:type="auto"/>
            <w:hideMark/>
          </w:tcPr>
          <w:p w14:paraId="34E424F9" w14:textId="13404971" w:rsidR="002D6522" w:rsidRPr="002D6522" w:rsidRDefault="002D6522" w:rsidP="002D6522">
            <w:pPr>
              <w:cnfStyle w:val="000000100000" w:firstRow="0" w:lastRow="0" w:firstColumn="0" w:lastColumn="0" w:oddVBand="0" w:evenVBand="0" w:oddHBand="1" w:evenHBand="0" w:firstRowFirstColumn="0" w:firstRowLastColumn="0" w:lastRowFirstColumn="0" w:lastRowLastColumn="0"/>
              <w:rPr>
                <w:lang w:val="en-US" w:eastAsia="en-US"/>
              </w:rPr>
            </w:pPr>
            <w:r w:rsidRPr="002D6522">
              <w:rPr>
                <w:lang w:val="en-US" w:eastAsia="en-US"/>
              </w:rPr>
              <w:t>1</w:t>
            </w:r>
            <w:r w:rsidRPr="002D6522">
              <w:rPr>
                <w:b/>
                <w:bCs/>
                <w:lang w:val="en-US" w:eastAsia="en-US"/>
              </w:rPr>
              <w:t>. Evaluating Consent:</w:t>
            </w:r>
            <w:r w:rsidRPr="002D6522">
              <w:rPr>
                <w:lang w:val="en-US" w:eastAsia="en-US"/>
              </w:rPr>
              <w:t xml:space="preserve"> Assess whether Jamie consented to the use of force during the altercation. Examine the nature of the confrontation and whether any form of consent, explicit or implied, was present</w:t>
            </w:r>
            <w:r w:rsidR="005A2779">
              <w:t xml:space="preserve"> (Samaha, 2020)</w:t>
            </w:r>
            <w:r w:rsidRPr="002D6522">
              <w:rPr>
                <w:lang w:val="en-US" w:eastAsia="en-US"/>
              </w:rPr>
              <w:t>.</w:t>
            </w:r>
          </w:p>
        </w:tc>
        <w:tc>
          <w:tcPr>
            <w:tcW w:w="0" w:type="auto"/>
            <w:hideMark/>
          </w:tcPr>
          <w:p w14:paraId="2F6B2798" w14:textId="77777777" w:rsidR="002D6522" w:rsidRPr="002D6522" w:rsidRDefault="002D6522" w:rsidP="002D6522">
            <w:pPr>
              <w:cnfStyle w:val="000000100000" w:firstRow="0" w:lastRow="0" w:firstColumn="0" w:lastColumn="0" w:oddVBand="0" w:evenVBand="0" w:oddHBand="1" w:evenHBand="0" w:firstRowFirstColumn="0" w:firstRowLastColumn="0" w:lastRowFirstColumn="0" w:lastRowLastColumn="0"/>
              <w:rPr>
                <w:lang w:val="en-US" w:eastAsia="en-US"/>
              </w:rPr>
            </w:pPr>
            <w:r w:rsidRPr="002D6522">
              <w:rPr>
                <w:lang w:val="en-US" w:eastAsia="en-US"/>
              </w:rPr>
              <w:t xml:space="preserve">- </w:t>
            </w:r>
            <w:r w:rsidRPr="002D6522">
              <w:rPr>
                <w:b/>
                <w:bCs/>
                <w:lang w:val="en-US" w:eastAsia="en-US"/>
              </w:rPr>
              <w:t>Case Law:</w:t>
            </w:r>
            <w:r w:rsidRPr="002D6522">
              <w:rPr>
                <w:lang w:val="en-US" w:eastAsia="en-US"/>
              </w:rPr>
              <w:t xml:space="preserve"> R v Brown (1993) outlines limits to the defense of consent, particularly in cases involving serious harm. - Legislation: Section 74 of the Sexual Offenses Act 2003 addresses the issue of consent in specific contexts.</w:t>
            </w:r>
          </w:p>
        </w:tc>
      </w:tr>
      <w:tr w:rsidR="002D6522" w:rsidRPr="002D6522" w14:paraId="3B9E0C9C" w14:textId="77777777" w:rsidTr="002D6522">
        <w:tc>
          <w:tcPr>
            <w:cnfStyle w:val="001000000000" w:firstRow="0" w:lastRow="0" w:firstColumn="1" w:lastColumn="0" w:oddVBand="0" w:evenVBand="0" w:oddHBand="0" w:evenHBand="0" w:firstRowFirstColumn="0" w:firstRowLastColumn="0" w:lastRowFirstColumn="0" w:lastRowLastColumn="0"/>
            <w:tcW w:w="0" w:type="auto"/>
            <w:hideMark/>
          </w:tcPr>
          <w:p w14:paraId="317425E1" w14:textId="77777777" w:rsidR="002D6522" w:rsidRPr="002D6522" w:rsidRDefault="002D6522" w:rsidP="002D6522">
            <w:pPr>
              <w:rPr>
                <w:lang w:val="en-US" w:eastAsia="en-US"/>
              </w:rPr>
            </w:pPr>
          </w:p>
        </w:tc>
        <w:tc>
          <w:tcPr>
            <w:tcW w:w="0" w:type="auto"/>
            <w:hideMark/>
          </w:tcPr>
          <w:p w14:paraId="4FDE0187" w14:textId="11405E45" w:rsidR="002D6522" w:rsidRPr="002D6522" w:rsidRDefault="002D6522" w:rsidP="002D6522">
            <w:pPr>
              <w:cnfStyle w:val="000000000000" w:firstRow="0" w:lastRow="0" w:firstColumn="0" w:lastColumn="0" w:oddVBand="0" w:evenVBand="0" w:oddHBand="0" w:evenHBand="0" w:firstRowFirstColumn="0" w:firstRowLastColumn="0" w:lastRowFirstColumn="0" w:lastRowLastColumn="0"/>
              <w:rPr>
                <w:lang w:val="en-US" w:eastAsia="en-US"/>
              </w:rPr>
            </w:pPr>
            <w:r w:rsidRPr="002D6522">
              <w:rPr>
                <w:lang w:val="en-US" w:eastAsia="en-US"/>
              </w:rPr>
              <w:t xml:space="preserve">2. </w:t>
            </w:r>
            <w:r w:rsidRPr="002D6522">
              <w:rPr>
                <w:b/>
                <w:bCs/>
                <w:lang w:val="en-US" w:eastAsia="en-US"/>
              </w:rPr>
              <w:t>Limits of Consent:</w:t>
            </w:r>
            <w:r w:rsidRPr="002D6522">
              <w:rPr>
                <w:lang w:val="en-US" w:eastAsia="en-US"/>
              </w:rPr>
              <w:t xml:space="preserve"> Discuss the limits of consent in criminal law, emphasizing situations where the defense may not be applicable, especially when the degree of harm exceeds societal norms or involves a breach of public policy</w:t>
            </w:r>
            <w:r w:rsidR="005A2779">
              <w:t xml:space="preserve"> (Shaw, 2023)</w:t>
            </w:r>
            <w:r w:rsidRPr="002D6522">
              <w:rPr>
                <w:lang w:val="en-US" w:eastAsia="en-US"/>
              </w:rPr>
              <w:t>.</w:t>
            </w:r>
          </w:p>
        </w:tc>
        <w:tc>
          <w:tcPr>
            <w:tcW w:w="0" w:type="auto"/>
            <w:hideMark/>
          </w:tcPr>
          <w:p w14:paraId="12ED7B40" w14:textId="4A044CA6" w:rsidR="002D6522" w:rsidRPr="002D6522" w:rsidRDefault="002D6522" w:rsidP="002D6522">
            <w:pPr>
              <w:cnfStyle w:val="000000000000" w:firstRow="0" w:lastRow="0" w:firstColumn="0" w:lastColumn="0" w:oddVBand="0" w:evenVBand="0" w:oddHBand="0" w:evenHBand="0" w:firstRowFirstColumn="0" w:firstRowLastColumn="0" w:lastRowFirstColumn="0" w:lastRowLastColumn="0"/>
              <w:rPr>
                <w:lang w:val="en-US" w:eastAsia="en-US"/>
              </w:rPr>
            </w:pPr>
            <w:r w:rsidRPr="002D6522">
              <w:rPr>
                <w:lang w:val="en-US" w:eastAsia="en-US"/>
              </w:rPr>
              <w:t>- R v Slingsby (1995) establishes that consent is not a valid defense in cases where the harm caused is excessive or unjustifiable</w:t>
            </w:r>
            <w:r w:rsidR="005A2779">
              <w:t xml:space="preserve"> (Scanlan, 2020)</w:t>
            </w:r>
            <w:r w:rsidRPr="002D6522">
              <w:rPr>
                <w:lang w:val="en-US" w:eastAsia="en-US"/>
              </w:rPr>
              <w:t>. - Legislative provisions may vary depending on the jurisdiction and the specific offense under consideration.</w:t>
            </w:r>
          </w:p>
        </w:tc>
      </w:tr>
    </w:tbl>
    <w:p w14:paraId="415AB1A7" w14:textId="77777777" w:rsidR="00400941" w:rsidRDefault="00400941" w:rsidP="002D6522">
      <w:pPr>
        <w:rPr>
          <w:lang w:val="en-US" w:eastAsia="en-US"/>
        </w:rPr>
      </w:pPr>
      <w:r>
        <w:rPr>
          <w:lang w:val="en-US" w:eastAsia="en-US"/>
        </w:rPr>
        <w:t xml:space="preserve"> </w:t>
      </w:r>
    </w:p>
    <w:p w14:paraId="18231499" w14:textId="20F064E0" w:rsidR="002D6522" w:rsidRPr="002D6522" w:rsidRDefault="00400941" w:rsidP="002D6522">
      <w:r w:rsidRPr="00400941">
        <w:rPr>
          <w:lang w:val="en-US" w:eastAsia="en-US"/>
        </w:rPr>
        <w:t xml:space="preserve">Possible </w:t>
      </w:r>
      <w:proofErr w:type="spellStart"/>
      <w:r w:rsidRPr="00400941">
        <w:rPr>
          <w:lang w:val="en-US" w:eastAsia="en-US"/>
        </w:rPr>
        <w:t>defences</w:t>
      </w:r>
      <w:proofErr w:type="spellEnd"/>
      <w:r w:rsidRPr="00400941">
        <w:rPr>
          <w:lang w:val="en-US" w:eastAsia="en-US"/>
        </w:rPr>
        <w:t xml:space="preserve"> that will be considered in the study will include consent, decreased responsibility, and self-defense as they pertain to Carla's acts. In order to assess the viability and efficacy of each </w:t>
      </w:r>
      <w:proofErr w:type="spellStart"/>
      <w:r w:rsidRPr="00400941">
        <w:rPr>
          <w:lang w:val="en-US" w:eastAsia="en-US"/>
        </w:rPr>
        <w:t>defence</w:t>
      </w:r>
      <w:proofErr w:type="spellEnd"/>
      <w:r w:rsidRPr="00400941">
        <w:rPr>
          <w:lang w:val="en-US" w:eastAsia="en-US"/>
        </w:rPr>
        <w:t xml:space="preserve"> in Carla's unique situation, an exhaustive review will be conducted, drawing on pertinent statutes and case laws.</w:t>
      </w:r>
      <w:r w:rsidR="002D6522" w:rsidRPr="002D6522">
        <w:br w:type="page"/>
      </w:r>
    </w:p>
    <w:p w14:paraId="3D1EDA89" w14:textId="00D74EFF" w:rsidR="002D6522" w:rsidRPr="002D6522" w:rsidRDefault="002D6522" w:rsidP="00FE30AF">
      <w:pPr>
        <w:pStyle w:val="Heading1"/>
      </w:pPr>
      <w:bookmarkStart w:id="6" w:name="_Toc155894236"/>
      <w:bookmarkStart w:id="7" w:name="_Toc155894313"/>
      <w:r w:rsidRPr="002D6522">
        <w:lastRenderedPageBreak/>
        <w:t>Relevance of Jamie's Confession</w:t>
      </w:r>
      <w:bookmarkEnd w:id="6"/>
      <w:bookmarkEnd w:id="7"/>
      <w:r w:rsidRPr="002D6522">
        <w:t xml:space="preserve"> </w:t>
      </w:r>
    </w:p>
    <w:p w14:paraId="2AD57006" w14:textId="32B27478" w:rsidR="00400941" w:rsidRPr="00400941" w:rsidRDefault="002D6522" w:rsidP="00400941">
      <w:proofErr w:type="spellStart"/>
      <w:r w:rsidRPr="00FE30AF">
        <w:rPr>
          <w:b/>
          <w:bCs/>
        </w:rPr>
        <w:t>Analyze</w:t>
      </w:r>
      <w:proofErr w:type="spellEnd"/>
      <w:r w:rsidRPr="00FE30AF">
        <w:rPr>
          <w:b/>
          <w:bCs/>
        </w:rPr>
        <w:t xml:space="preserve"> the Impact of Jamie's Confession on Carla's State of Mind:</w:t>
      </w:r>
      <w:r w:rsidRPr="00400941">
        <w:t xml:space="preserve"> </w:t>
      </w:r>
      <w:r w:rsidR="00400941" w:rsidRPr="00400941">
        <w:t xml:space="preserve">It stands to reason, then, that Jamie's adulterous exposé was likely a seminal event in Carla's emotional state. It would have involved quite a shock, anger, and sorrow to compete with Carla's already raging emotional tide. Simultaneously it is likely, though speculative, that the depth and surprise of Jamie's confession could irrevocably impact Carla's </w:t>
      </w:r>
      <w:proofErr w:type="spellStart"/>
      <w:r w:rsidR="00400941" w:rsidRPr="00400941">
        <w:t>demeanor</w:t>
      </w:r>
      <w:proofErr w:type="spellEnd"/>
      <w:r w:rsidR="005A2779" w:rsidRPr="005A2779">
        <w:t xml:space="preserve"> </w:t>
      </w:r>
      <w:r w:rsidR="005A2779">
        <w:t>(Whish, 2021)</w:t>
      </w:r>
      <w:r w:rsidR="00400941" w:rsidRPr="00400941">
        <w:t>.</w:t>
      </w:r>
    </w:p>
    <w:p w14:paraId="0309A91C" w14:textId="77777777" w:rsidR="00400941" w:rsidRPr="00400941" w:rsidRDefault="002D6522" w:rsidP="00400941">
      <w:r w:rsidRPr="00FE30AF">
        <w:rPr>
          <w:b/>
          <w:bCs/>
        </w:rPr>
        <w:t>Explore How Jamie's Admission May Affect Carla's Liability:</w:t>
      </w:r>
      <w:r w:rsidRPr="00400941">
        <w:t xml:space="preserve"> </w:t>
      </w:r>
      <w:r w:rsidR="00400941" w:rsidRPr="00400941">
        <w:t xml:space="preserve">The revelations of Jamie could play a role in the heightened state Carla was in and a contributing factor to the escalation of the argument. The revelation could be vital when trying to evaluate Carla’s </w:t>
      </w:r>
      <w:proofErr w:type="spellStart"/>
      <w:r w:rsidR="00400941" w:rsidRPr="00400941">
        <w:t>mens</w:t>
      </w:r>
      <w:proofErr w:type="spellEnd"/>
      <w:r w:rsidR="00400941" w:rsidRPr="00400941">
        <w:t xml:space="preserve"> rea because it could show, other than Carla showing motivation through Jamie, did Carla’s actions show an instance to an acute emotional response to the confession.</w:t>
      </w:r>
    </w:p>
    <w:p w14:paraId="03D8C44F" w14:textId="6392DD47" w:rsidR="00400941" w:rsidRPr="00400941" w:rsidRDefault="002D6522" w:rsidP="00400941">
      <w:r w:rsidRPr="00FE30AF">
        <w:rPr>
          <w:b/>
          <w:bCs/>
        </w:rPr>
        <w:t>Reference Relevant Case Law on Confessions in Criminal Cases:</w:t>
      </w:r>
      <w:r w:rsidRPr="00400941">
        <w:t xml:space="preserve"> </w:t>
      </w:r>
      <w:r w:rsidR="00400941" w:rsidRPr="00400941">
        <w:t>An example of a case law which shows the importance of caring about the effect of a confession on the accused's state of mind is R v Houghton (2009)</w:t>
      </w:r>
      <w:r w:rsidR="005A2779" w:rsidRPr="005A2779">
        <w:t xml:space="preserve"> </w:t>
      </w:r>
      <w:r w:rsidR="005A2779">
        <w:t>(Fafinski, 2019)</w:t>
      </w:r>
      <w:r w:rsidR="00400941" w:rsidRPr="00400941">
        <w:t>. This case of law says there can be confessions which have a particular immediate and heavy effect on the defendant causing a change of behaviour in the defendant.</w:t>
      </w:r>
    </w:p>
    <w:p w14:paraId="7DB5E486" w14:textId="77777777" w:rsidR="00400941" w:rsidRPr="00400941" w:rsidRDefault="00400941" w:rsidP="00400941">
      <w:r w:rsidRPr="00400941">
        <w:t>Moreover, the instance of R vs. Camplin (1978) accepted that the key unique attributes of the pusher which consists of the sex, age and additional unique attributes can adopt objective when contemplating the effects to obtain that kind of esteem to that of their psychological condition. Applying the above mentioned precedents will outline how Jamie’s admission will bring forth an oblation on Carla’s emotions having an effect on her capability to commit.</w:t>
      </w:r>
    </w:p>
    <w:p w14:paraId="5E6F4E8D" w14:textId="0623FA34" w:rsidR="00FE30AF" w:rsidRPr="00400941" w:rsidRDefault="00400941" w:rsidP="00400941">
      <w:r w:rsidRPr="00400941">
        <w:t>It will make a difference in terms of the law not only what her confession means to Carla in an emotional sense but also how it sets the stage for what happens next</w:t>
      </w:r>
      <w:r w:rsidR="005A2779" w:rsidRPr="005A2779">
        <w:t xml:space="preserve"> </w:t>
      </w:r>
      <w:r w:rsidR="005A2779">
        <w:t>(Childs, 2021)</w:t>
      </w:r>
      <w:r w:rsidRPr="00400941">
        <w:t>. The context in which the argument between Carla and Jamie happens and her confession happens and then what Carla does after this all will make a difference in terms of what Carla is legally liable for.</w:t>
      </w:r>
    </w:p>
    <w:p w14:paraId="4D169A9F" w14:textId="7C3BB7DE" w:rsidR="002D6522" w:rsidRPr="002D6522" w:rsidRDefault="002D6522" w:rsidP="002D6522">
      <w:r w:rsidRPr="002D6522">
        <w:br w:type="page"/>
      </w:r>
    </w:p>
    <w:p w14:paraId="446983E4" w14:textId="1F7B228F" w:rsidR="002D6522" w:rsidRPr="002D6522" w:rsidRDefault="002D6522" w:rsidP="00FE30AF">
      <w:pPr>
        <w:pStyle w:val="Heading1"/>
        <w:rPr>
          <w:lang w:val="en-US" w:eastAsia="en-US"/>
        </w:rPr>
      </w:pPr>
      <w:bookmarkStart w:id="8" w:name="_Toc155894237"/>
      <w:bookmarkStart w:id="9" w:name="_Toc155894314"/>
      <w:r w:rsidRPr="002D6522">
        <w:rPr>
          <w:lang w:val="en-US" w:eastAsia="en-US"/>
        </w:rPr>
        <w:lastRenderedPageBreak/>
        <w:t>Conclusion</w:t>
      </w:r>
      <w:bookmarkEnd w:id="8"/>
      <w:bookmarkEnd w:id="9"/>
      <w:r w:rsidRPr="002D6522">
        <w:rPr>
          <w:lang w:val="en-US" w:eastAsia="en-US"/>
        </w:rPr>
        <w:t xml:space="preserve"> </w:t>
      </w:r>
    </w:p>
    <w:p w14:paraId="55AD7C71" w14:textId="0F92F758" w:rsidR="00400941" w:rsidRPr="00400941" w:rsidRDefault="00400941" w:rsidP="00400941">
      <w:r>
        <w:t>T</w:t>
      </w:r>
      <w:r w:rsidRPr="00400941">
        <w:t>he analysis was aimed at the potential criminal liability of Catherine, where the charges were discussed in terms of the assault and the section 18 wounding. Whereas the defences to the offence were analysed as including self-defence, diminished responsibility, and consent; and were then analysed in coherence to the complexity of Catherine’s actions. Although the significant factor whether Catherine was aware of at the time of the confrontation, considering the possible psychological impact of the confession made by Jamie.</w:t>
      </w:r>
    </w:p>
    <w:p w14:paraId="1A09B477" w14:textId="3DF4754E" w:rsidR="00400941" w:rsidRDefault="00400941" w:rsidP="00400941">
      <w:r w:rsidRPr="00400941">
        <w:t>Carla's potential criminal liability will be based on a depth perception of the occurrences, especially on the degree of her act, mental state, and other situations that might be interesting in determining her chain of liability. However, the appropriateness of Carla's use of force may be questioned and also the potential effects of any defences and Jamie's confession considered. It would show a balanced answer then to take into account all of the above in deciding whether Jamie was responsible, on every level for his or her actions.</w:t>
      </w:r>
      <w:r>
        <w:t xml:space="preserve"> </w:t>
      </w:r>
      <w:r w:rsidRPr="00400941">
        <w:t>The case is very intricate and so any legal action would need to take into account all the evidence for and against Carla liability. Consideration of defences and taking into account Jamie’s confession also means the case should be approached as a whole</w:t>
      </w:r>
      <w:r w:rsidR="005A2779" w:rsidRPr="005A2779">
        <w:t xml:space="preserve"> </w:t>
      </w:r>
      <w:r w:rsidR="005A2779">
        <w:t>(Beatson, 2023)</w:t>
      </w:r>
      <w:r w:rsidRPr="00400941">
        <w:t>. Recommended action may include a complete re investigation, expert testimony in order to test Carla mental capacities, and then proceeding when all issues are iron out as to the changing of the offences charges. All of these are very important to ensure the correct legal decision is reached.</w:t>
      </w:r>
    </w:p>
    <w:p w14:paraId="2A8D2F58" w14:textId="77777777" w:rsidR="00400941" w:rsidRDefault="00400941">
      <w:pPr>
        <w:spacing w:after="160" w:line="259" w:lineRule="auto"/>
        <w:jc w:val="left"/>
      </w:pPr>
      <w:r>
        <w:br w:type="page"/>
      </w:r>
    </w:p>
    <w:p w14:paraId="7EF4D757" w14:textId="0352705A" w:rsidR="002D6522" w:rsidRDefault="00400941" w:rsidP="005A2779">
      <w:pPr>
        <w:pStyle w:val="Heading1"/>
      </w:pPr>
      <w:bookmarkStart w:id="10" w:name="_Toc155894238"/>
      <w:bookmarkStart w:id="11" w:name="_Toc155894315"/>
      <w:r>
        <w:lastRenderedPageBreak/>
        <w:t>References</w:t>
      </w:r>
      <w:bookmarkEnd w:id="10"/>
      <w:bookmarkEnd w:id="11"/>
    </w:p>
    <w:p w14:paraId="5A03A15B" w14:textId="77777777" w:rsidR="005A2779" w:rsidRDefault="005A2779" w:rsidP="005A2779">
      <w:pPr>
        <w:pStyle w:val="NormalWeb"/>
        <w:spacing w:before="0" w:beforeAutospacing="0" w:after="240" w:afterAutospacing="0" w:line="360" w:lineRule="auto"/>
        <w:jc w:val="both"/>
      </w:pPr>
      <w:r>
        <w:t xml:space="preserve">Blackwell, A.H. (2023). </w:t>
      </w:r>
      <w:r>
        <w:rPr>
          <w:i/>
          <w:iCs/>
        </w:rPr>
        <w:t>Law</w:t>
      </w:r>
      <w:r>
        <w:t>. 6th ed. New York: Ferguson.</w:t>
      </w:r>
    </w:p>
    <w:p w14:paraId="5851F9E5" w14:textId="77777777" w:rsidR="005A2779" w:rsidRDefault="005A2779" w:rsidP="005A2779">
      <w:pPr>
        <w:pStyle w:val="NormalWeb"/>
        <w:spacing w:before="0" w:beforeAutospacing="0" w:after="240" w:afterAutospacing="0" w:line="360" w:lineRule="auto"/>
        <w:jc w:val="both"/>
      </w:pPr>
      <w:r>
        <w:t xml:space="preserve">Childs, P. (2021). </w:t>
      </w:r>
      <w:r>
        <w:rPr>
          <w:i/>
          <w:iCs/>
        </w:rPr>
        <w:t>Criminal law</w:t>
      </w:r>
      <w:r>
        <w:t>. 3rd ed. London: Sweet &amp; Maxwell.</w:t>
      </w:r>
    </w:p>
    <w:p w14:paraId="5BECBE3A" w14:textId="77777777" w:rsidR="005A2779" w:rsidRDefault="005A2779" w:rsidP="005A2779">
      <w:pPr>
        <w:pStyle w:val="NormalWeb"/>
        <w:spacing w:before="0" w:beforeAutospacing="0" w:after="240" w:afterAutospacing="0" w:line="360" w:lineRule="auto"/>
        <w:jc w:val="both"/>
      </w:pPr>
      <w:r>
        <w:t xml:space="preserve">Fafinski, S. (2019). </w:t>
      </w:r>
      <w:r>
        <w:rPr>
          <w:i/>
          <w:iCs/>
        </w:rPr>
        <w:t>Criminal law</w:t>
      </w:r>
      <w:r>
        <w:t>. 7th ed. Upper Saddle River: Pearson.</w:t>
      </w:r>
    </w:p>
    <w:p w14:paraId="244A9076" w14:textId="77777777" w:rsidR="005A2779" w:rsidRDefault="005A2779" w:rsidP="005A2779">
      <w:pPr>
        <w:pStyle w:val="NormalWeb"/>
        <w:spacing w:before="0" w:beforeAutospacing="0" w:after="240" w:afterAutospacing="0" w:line="360" w:lineRule="auto"/>
        <w:jc w:val="both"/>
      </w:pPr>
      <w:r>
        <w:t xml:space="preserve">Finch, E. (2019). </w:t>
      </w:r>
      <w:r>
        <w:rPr>
          <w:i/>
          <w:iCs/>
        </w:rPr>
        <w:t>Criminal law</w:t>
      </w:r>
      <w:r>
        <w:t>. 7th ed. Upper Saddle River: Pearson.</w:t>
      </w:r>
    </w:p>
    <w:p w14:paraId="5B94CD17" w14:textId="77777777" w:rsidR="005A2779" w:rsidRDefault="005A2779" w:rsidP="005A2779">
      <w:pPr>
        <w:pStyle w:val="NormalWeb"/>
        <w:spacing w:before="0" w:beforeAutospacing="0" w:after="240" w:afterAutospacing="0" w:line="360" w:lineRule="auto"/>
        <w:jc w:val="both"/>
      </w:pPr>
      <w:r>
        <w:t xml:space="preserve">Herring, J. (2019). </w:t>
      </w:r>
      <w:r>
        <w:rPr>
          <w:i/>
          <w:iCs/>
        </w:rPr>
        <w:t>Criminal law</w:t>
      </w:r>
      <w:r>
        <w:t>. 4th ed. London: Red Globe Press.</w:t>
      </w:r>
    </w:p>
    <w:p w14:paraId="768CDD78" w14:textId="77777777" w:rsidR="005A2779" w:rsidRDefault="005A2779" w:rsidP="005A2779">
      <w:pPr>
        <w:pStyle w:val="NormalWeb"/>
        <w:spacing w:before="0" w:beforeAutospacing="0" w:after="240" w:afterAutospacing="0" w:line="360" w:lineRule="auto"/>
        <w:jc w:val="both"/>
      </w:pPr>
      <w:r>
        <w:t xml:space="preserve">Jefferson, M. (2022). </w:t>
      </w:r>
      <w:r>
        <w:rPr>
          <w:i/>
          <w:iCs/>
        </w:rPr>
        <w:t>Criminal law</w:t>
      </w:r>
      <w:r>
        <w:t>. 4th ed. Boston: Pearson.</w:t>
      </w:r>
    </w:p>
    <w:p w14:paraId="151936F0" w14:textId="77777777" w:rsidR="005A2779" w:rsidRDefault="005A2779" w:rsidP="005A2779">
      <w:pPr>
        <w:pStyle w:val="NormalWeb"/>
        <w:spacing w:before="0" w:beforeAutospacing="0" w:after="240" w:afterAutospacing="0" w:line="360" w:lineRule="auto"/>
        <w:jc w:val="both"/>
      </w:pPr>
      <w:proofErr w:type="spellStart"/>
      <w:r>
        <w:t>Lafave</w:t>
      </w:r>
      <w:proofErr w:type="spellEnd"/>
      <w:r>
        <w:t xml:space="preserve">, W.R. (2017). </w:t>
      </w:r>
      <w:r>
        <w:rPr>
          <w:i/>
          <w:iCs/>
        </w:rPr>
        <w:t>Criminal law</w:t>
      </w:r>
      <w:r>
        <w:t>. 5th ed. St. Paul, Mn: West Academic Publishing.</w:t>
      </w:r>
    </w:p>
    <w:p w14:paraId="035D4FDC" w14:textId="77777777" w:rsidR="005A2779" w:rsidRDefault="005A2779" w:rsidP="005A2779">
      <w:pPr>
        <w:pStyle w:val="NormalWeb"/>
        <w:spacing w:before="0" w:beforeAutospacing="0" w:after="240" w:afterAutospacing="0" w:line="360" w:lineRule="auto"/>
        <w:jc w:val="both"/>
      </w:pPr>
      <w:r>
        <w:t xml:space="preserve">Roach, K. (2020). </w:t>
      </w:r>
      <w:r>
        <w:rPr>
          <w:i/>
          <w:iCs/>
        </w:rPr>
        <w:t>Criminal law</w:t>
      </w:r>
      <w:r>
        <w:t>. 2nd ed. Toronto, On: Irwin Law.</w:t>
      </w:r>
    </w:p>
    <w:p w14:paraId="2DCD6704" w14:textId="77777777" w:rsidR="005A2779" w:rsidRDefault="005A2779" w:rsidP="005A2779">
      <w:pPr>
        <w:pStyle w:val="NormalWeb"/>
        <w:spacing w:before="0" w:beforeAutospacing="0" w:after="240" w:afterAutospacing="0" w:line="360" w:lineRule="auto"/>
        <w:jc w:val="both"/>
      </w:pPr>
      <w:r>
        <w:t xml:space="preserve">Samaha, J. (2020). </w:t>
      </w:r>
      <w:r>
        <w:rPr>
          <w:i/>
          <w:iCs/>
        </w:rPr>
        <w:t>Criminal law</w:t>
      </w:r>
      <w:r>
        <w:t>. 12th ed. Australia: Cengage Learning.</w:t>
      </w:r>
    </w:p>
    <w:p w14:paraId="3BF5D1DB" w14:textId="77777777" w:rsidR="005A2779" w:rsidRDefault="005A2779" w:rsidP="005A2779">
      <w:pPr>
        <w:pStyle w:val="NormalWeb"/>
        <w:spacing w:before="0" w:beforeAutospacing="0" w:after="240" w:afterAutospacing="0" w:line="360" w:lineRule="auto"/>
        <w:jc w:val="both"/>
      </w:pPr>
      <w:r>
        <w:t xml:space="preserve">Scanlan, G. (2020). </w:t>
      </w:r>
      <w:r>
        <w:rPr>
          <w:i/>
          <w:iCs/>
        </w:rPr>
        <w:t>Criminal law</w:t>
      </w:r>
      <w:r>
        <w:t>. 5th ed. London: Butterworths.</w:t>
      </w:r>
    </w:p>
    <w:p w14:paraId="60808A62" w14:textId="77777777" w:rsidR="005A2779" w:rsidRDefault="005A2779" w:rsidP="005A2779">
      <w:pPr>
        <w:pStyle w:val="NormalWeb"/>
        <w:spacing w:before="0" w:beforeAutospacing="0" w:after="240" w:afterAutospacing="0" w:line="360" w:lineRule="auto"/>
        <w:jc w:val="both"/>
      </w:pPr>
      <w:r>
        <w:t xml:space="preserve">Shaw, M.N. (2023). </w:t>
      </w:r>
      <w:r>
        <w:rPr>
          <w:i/>
          <w:iCs/>
        </w:rPr>
        <w:t>International law</w:t>
      </w:r>
      <w:r>
        <w:t>. 8th ed. Cambridge, United Kingdom New York, Ny Port Melbourne, Vic Delhi Singapore Cambridge University Press.</w:t>
      </w:r>
    </w:p>
    <w:p w14:paraId="3E49CAE9" w14:textId="77777777" w:rsidR="005A2779" w:rsidRDefault="005A2779" w:rsidP="005A2779">
      <w:pPr>
        <w:pStyle w:val="NormalWeb"/>
        <w:spacing w:before="0" w:beforeAutospacing="0" w:after="240" w:afterAutospacing="0" w:line="360" w:lineRule="auto"/>
        <w:jc w:val="both"/>
      </w:pPr>
      <w:r>
        <w:t xml:space="preserve">Whish, R. (2021). </w:t>
      </w:r>
      <w:r>
        <w:rPr>
          <w:i/>
          <w:iCs/>
        </w:rPr>
        <w:t>Competition law</w:t>
      </w:r>
      <w:r>
        <w:t>. 10th ed. Oxford: Oxford University Press.</w:t>
      </w:r>
    </w:p>
    <w:p w14:paraId="6154304F" w14:textId="77777777" w:rsidR="00400941" w:rsidRPr="00400941" w:rsidRDefault="00400941" w:rsidP="00400941"/>
    <w:sectPr w:rsidR="00400941" w:rsidRPr="00400941" w:rsidSect="00AA1564">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99E10" w14:textId="77777777" w:rsidR="00AA1564" w:rsidRDefault="00AA1564" w:rsidP="00952C92">
      <w:pPr>
        <w:spacing w:after="0" w:line="240" w:lineRule="auto"/>
      </w:pPr>
      <w:r>
        <w:separator/>
      </w:r>
    </w:p>
  </w:endnote>
  <w:endnote w:type="continuationSeparator" w:id="0">
    <w:p w14:paraId="0596B47B" w14:textId="77777777" w:rsidR="00AA1564" w:rsidRDefault="00AA1564" w:rsidP="00952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Liberation Sans">
    <w:altName w:val="Arial"/>
    <w:panose1 w:val="020B0604020202020204"/>
    <w:charset w:val="00"/>
    <w:family w:val="swiss"/>
    <w:pitch w:val="variable"/>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140504"/>
      <w:docPartObj>
        <w:docPartGallery w:val="Page Numbers (Bottom of Page)"/>
        <w:docPartUnique/>
      </w:docPartObj>
    </w:sdtPr>
    <w:sdtEndPr>
      <w:rPr>
        <w:color w:val="7F7F7F" w:themeColor="background1" w:themeShade="7F"/>
        <w:spacing w:val="60"/>
      </w:rPr>
    </w:sdtEndPr>
    <w:sdtContent>
      <w:p w14:paraId="67E29D65" w14:textId="22BFC813" w:rsidR="00952C92" w:rsidRDefault="00952C9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6BEE38" w14:textId="77777777" w:rsidR="00952C92" w:rsidRDefault="00952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F0D00" w14:textId="77777777" w:rsidR="00AA1564" w:rsidRDefault="00AA1564" w:rsidP="00952C92">
      <w:pPr>
        <w:spacing w:after="0" w:line="240" w:lineRule="auto"/>
      </w:pPr>
      <w:r>
        <w:separator/>
      </w:r>
    </w:p>
  </w:footnote>
  <w:footnote w:type="continuationSeparator" w:id="0">
    <w:p w14:paraId="2803F8F0" w14:textId="77777777" w:rsidR="00AA1564" w:rsidRDefault="00AA1564" w:rsidP="00952C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22"/>
    <w:rsid w:val="00163817"/>
    <w:rsid w:val="00171A51"/>
    <w:rsid w:val="00192CD9"/>
    <w:rsid w:val="001953CD"/>
    <w:rsid w:val="001F6A77"/>
    <w:rsid w:val="0021060A"/>
    <w:rsid w:val="002C21F1"/>
    <w:rsid w:val="002D6522"/>
    <w:rsid w:val="00327394"/>
    <w:rsid w:val="003E15CA"/>
    <w:rsid w:val="00400941"/>
    <w:rsid w:val="005A2779"/>
    <w:rsid w:val="005E037E"/>
    <w:rsid w:val="006834D8"/>
    <w:rsid w:val="00751C78"/>
    <w:rsid w:val="008B4A47"/>
    <w:rsid w:val="00952C92"/>
    <w:rsid w:val="00A25776"/>
    <w:rsid w:val="00A877D1"/>
    <w:rsid w:val="00AA1564"/>
    <w:rsid w:val="00B37AD1"/>
    <w:rsid w:val="00BF58C6"/>
    <w:rsid w:val="00C24078"/>
    <w:rsid w:val="00C83617"/>
    <w:rsid w:val="00CF0177"/>
    <w:rsid w:val="00DD5D5F"/>
    <w:rsid w:val="00E64B63"/>
    <w:rsid w:val="00EB6E0C"/>
    <w:rsid w:val="00EB784B"/>
    <w:rsid w:val="00EC5F22"/>
    <w:rsid w:val="00FE30A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05E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817"/>
    <w:pPr>
      <w:spacing w:after="200" w:line="360" w:lineRule="auto"/>
      <w:jc w:val="both"/>
    </w:pPr>
    <w:rPr>
      <w:rFonts w:eastAsiaTheme="minorEastAsia" w:cstheme="minorBidi"/>
      <w:kern w:val="0"/>
      <w:szCs w:val="22"/>
      <w:lang w:val="en-GB" w:eastAsia="zh-CN"/>
      <w14:ligatures w14:val="none"/>
    </w:rPr>
  </w:style>
  <w:style w:type="paragraph" w:styleId="Heading1">
    <w:name w:val="heading 1"/>
    <w:basedOn w:val="Normal"/>
    <w:link w:val="Heading1Char"/>
    <w:uiPriority w:val="9"/>
    <w:qFormat/>
    <w:rsid w:val="00192CD9"/>
    <w:pPr>
      <w:widowControl w:val="0"/>
      <w:autoSpaceDE w:val="0"/>
      <w:autoSpaceDN w:val="0"/>
      <w:spacing w:before="420" w:after="240"/>
      <w:outlineLvl w:val="0"/>
    </w:pPr>
    <w:rPr>
      <w:rFonts w:eastAsia="Liberation Sans" w:cs="Liberation Sans"/>
      <w:b/>
      <w:color w:val="000000" w:themeColor="text1"/>
      <w:sz w:val="32"/>
      <w:szCs w:val="32"/>
    </w:rPr>
  </w:style>
  <w:style w:type="paragraph" w:styleId="Heading2">
    <w:name w:val="heading 2"/>
    <w:basedOn w:val="Normal"/>
    <w:next w:val="Normal"/>
    <w:link w:val="Heading2Char"/>
    <w:uiPriority w:val="9"/>
    <w:unhideWhenUsed/>
    <w:qFormat/>
    <w:rsid w:val="008B4A4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B4A4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192CD9"/>
    <w:pPr>
      <w:keepNext/>
      <w:keepLines/>
      <w:spacing w:before="40" w:after="0"/>
      <w:outlineLvl w:val="3"/>
    </w:pPr>
    <w:rPr>
      <w:rFonts w:eastAsiaTheme="majorEastAsia" w:cstheme="majorBidi"/>
      <w:i/>
      <w:iCs/>
      <w:color w:val="2F5496" w:themeColor="accent1" w:themeShade="BF"/>
      <w:szCs w:val="24"/>
    </w:rPr>
  </w:style>
  <w:style w:type="paragraph" w:styleId="Heading5">
    <w:name w:val="heading 5"/>
    <w:basedOn w:val="Normal"/>
    <w:next w:val="Normal"/>
    <w:link w:val="Heading5Char"/>
    <w:uiPriority w:val="9"/>
    <w:semiHidden/>
    <w:unhideWhenUsed/>
    <w:qFormat/>
    <w:rsid w:val="00192CD9"/>
    <w:pPr>
      <w:keepNext/>
      <w:keepLines/>
      <w:spacing w:before="40" w:after="0"/>
      <w:outlineLvl w:val="4"/>
    </w:pPr>
    <w:rPr>
      <w:rFonts w:eastAsiaTheme="majorEastAsia" w:cstheme="majorBidi"/>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CD9"/>
    <w:rPr>
      <w:rFonts w:eastAsia="Liberation Sans" w:cs="Liberation Sans"/>
      <w:b/>
      <w:color w:val="000000" w:themeColor="text1"/>
      <w:sz w:val="32"/>
      <w:szCs w:val="32"/>
    </w:rPr>
  </w:style>
  <w:style w:type="character" w:customStyle="1" w:styleId="Heading2Char">
    <w:name w:val="Heading 2 Char"/>
    <w:basedOn w:val="DefaultParagraphFont"/>
    <w:link w:val="Heading2"/>
    <w:uiPriority w:val="9"/>
    <w:rsid w:val="008B4A47"/>
    <w:rPr>
      <w:rFonts w:eastAsiaTheme="majorEastAsia"/>
      <w:b/>
      <w:sz w:val="28"/>
      <w:szCs w:val="26"/>
    </w:rPr>
  </w:style>
  <w:style w:type="character" w:customStyle="1" w:styleId="Heading3Char">
    <w:name w:val="Heading 3 Char"/>
    <w:basedOn w:val="DefaultParagraphFont"/>
    <w:link w:val="Heading3"/>
    <w:uiPriority w:val="9"/>
    <w:rsid w:val="008B4A47"/>
    <w:rPr>
      <w:rFonts w:eastAsiaTheme="majorEastAsia"/>
      <w:b/>
      <w:color w:val="000000" w:themeColor="text1"/>
    </w:rPr>
  </w:style>
  <w:style w:type="paragraph" w:styleId="Title">
    <w:name w:val="Title"/>
    <w:basedOn w:val="Normal"/>
    <w:next w:val="Normal"/>
    <w:link w:val="TitleChar"/>
    <w:autoRedefine/>
    <w:uiPriority w:val="10"/>
    <w:qFormat/>
    <w:rsid w:val="001953CD"/>
    <w:pPr>
      <w:spacing w:line="480" w:lineRule="auto"/>
      <w:contextualSpacing/>
    </w:pPr>
    <w:rPr>
      <w:rFonts w:eastAsiaTheme="majorEastAsia"/>
      <w:spacing w:val="-10"/>
      <w:kern w:val="28"/>
      <w:sz w:val="28"/>
      <w:szCs w:val="56"/>
      <w:u w:val="single"/>
    </w:rPr>
  </w:style>
  <w:style w:type="character" w:customStyle="1" w:styleId="TitleChar">
    <w:name w:val="Title Char"/>
    <w:basedOn w:val="DefaultParagraphFont"/>
    <w:link w:val="Title"/>
    <w:uiPriority w:val="10"/>
    <w:rsid w:val="001953CD"/>
    <w:rPr>
      <w:rFonts w:eastAsiaTheme="majorEastAsia"/>
      <w:spacing w:val="-10"/>
      <w:kern w:val="28"/>
      <w:sz w:val="28"/>
      <w:szCs w:val="56"/>
      <w:u w:val="single"/>
    </w:rPr>
  </w:style>
  <w:style w:type="paragraph" w:styleId="NoSpacing">
    <w:name w:val="No Spacing"/>
    <w:uiPriority w:val="1"/>
    <w:qFormat/>
    <w:rsid w:val="00BF58C6"/>
    <w:pPr>
      <w:spacing w:after="0" w:line="360" w:lineRule="auto"/>
      <w:jc w:val="both"/>
    </w:pPr>
    <w:rPr>
      <w:rFonts w:cs="Times New Roman"/>
      <w:kern w:val="0"/>
      <w:szCs w:val="20"/>
      <w:lang w:val="en-GB"/>
      <w14:ligatures w14:val="none"/>
    </w:rPr>
  </w:style>
  <w:style w:type="character" w:customStyle="1" w:styleId="Heading4Char">
    <w:name w:val="Heading 4 Char"/>
    <w:basedOn w:val="DefaultParagraphFont"/>
    <w:link w:val="Heading4"/>
    <w:uiPriority w:val="9"/>
    <w:rsid w:val="00192CD9"/>
    <w:rPr>
      <w:rFonts w:eastAsiaTheme="majorEastAsia"/>
      <w:i/>
      <w:iCs/>
      <w:color w:val="2F5496" w:themeColor="accent1" w:themeShade="BF"/>
    </w:rPr>
  </w:style>
  <w:style w:type="character" w:customStyle="1" w:styleId="Heading5Char">
    <w:name w:val="Heading 5 Char"/>
    <w:basedOn w:val="DefaultParagraphFont"/>
    <w:link w:val="Heading5"/>
    <w:uiPriority w:val="9"/>
    <w:semiHidden/>
    <w:rsid w:val="00192CD9"/>
    <w:rPr>
      <w:rFonts w:eastAsiaTheme="majorEastAsia"/>
      <w:color w:val="2F5496" w:themeColor="accent1" w:themeShade="BF"/>
    </w:rPr>
  </w:style>
  <w:style w:type="paragraph" w:styleId="NormalWeb">
    <w:name w:val="Normal (Web)"/>
    <w:basedOn w:val="Normal"/>
    <w:uiPriority w:val="99"/>
    <w:semiHidden/>
    <w:unhideWhenUsed/>
    <w:rsid w:val="002D6522"/>
    <w:pPr>
      <w:spacing w:before="100" w:beforeAutospacing="1" w:after="100" w:afterAutospacing="1" w:line="240" w:lineRule="auto"/>
      <w:jc w:val="left"/>
    </w:pPr>
    <w:rPr>
      <w:rFonts w:eastAsia="Times New Roman" w:cs="Times New Roman"/>
      <w:szCs w:val="24"/>
      <w:lang w:val="en-US" w:eastAsia="en-US"/>
    </w:rPr>
  </w:style>
  <w:style w:type="character" w:styleId="Strong">
    <w:name w:val="Strong"/>
    <w:basedOn w:val="DefaultParagraphFont"/>
    <w:uiPriority w:val="22"/>
    <w:qFormat/>
    <w:rsid w:val="002D6522"/>
    <w:rPr>
      <w:b/>
      <w:bCs/>
    </w:rPr>
  </w:style>
  <w:style w:type="paragraph" w:styleId="z-TopofForm">
    <w:name w:val="HTML Top of Form"/>
    <w:basedOn w:val="Normal"/>
    <w:next w:val="Normal"/>
    <w:link w:val="z-TopofFormChar"/>
    <w:hidden/>
    <w:uiPriority w:val="99"/>
    <w:semiHidden/>
    <w:unhideWhenUsed/>
    <w:rsid w:val="002D6522"/>
    <w:pPr>
      <w:pBdr>
        <w:bottom w:val="single" w:sz="6" w:space="1" w:color="auto"/>
      </w:pBdr>
      <w:spacing w:after="0" w:line="240" w:lineRule="auto"/>
      <w:jc w:val="center"/>
    </w:pPr>
    <w:rPr>
      <w:rFonts w:ascii="Arial" w:eastAsia="Times New Roman"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2D6522"/>
    <w:rPr>
      <w:rFonts w:ascii="Arial" w:eastAsia="Times New Roman" w:hAnsi="Arial" w:cs="Arial"/>
      <w:vanish/>
      <w:kern w:val="0"/>
      <w:sz w:val="16"/>
      <w:szCs w:val="16"/>
      <w14:ligatures w14:val="none"/>
    </w:rPr>
  </w:style>
  <w:style w:type="table" w:styleId="GridTable4-Accent3">
    <w:name w:val="Grid Table 4 Accent 3"/>
    <w:basedOn w:val="TableNormal"/>
    <w:uiPriority w:val="49"/>
    <w:rsid w:val="002D65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952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C92"/>
    <w:rPr>
      <w:rFonts w:eastAsiaTheme="minorEastAsia" w:cstheme="minorBidi"/>
      <w:kern w:val="0"/>
      <w:szCs w:val="22"/>
      <w:lang w:val="en-GB" w:eastAsia="zh-CN"/>
      <w14:ligatures w14:val="none"/>
    </w:rPr>
  </w:style>
  <w:style w:type="paragraph" w:styleId="Footer">
    <w:name w:val="footer"/>
    <w:basedOn w:val="Normal"/>
    <w:link w:val="FooterChar"/>
    <w:uiPriority w:val="99"/>
    <w:unhideWhenUsed/>
    <w:rsid w:val="00952C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C92"/>
    <w:rPr>
      <w:rFonts w:eastAsiaTheme="minorEastAsia" w:cstheme="minorBidi"/>
      <w:kern w:val="0"/>
      <w:szCs w:val="22"/>
      <w:lang w:val="en-GB" w:eastAsia="zh-CN"/>
      <w14:ligatures w14:val="none"/>
    </w:rPr>
  </w:style>
  <w:style w:type="paragraph" w:styleId="TOCHeading">
    <w:name w:val="TOC Heading"/>
    <w:basedOn w:val="Heading1"/>
    <w:next w:val="Normal"/>
    <w:uiPriority w:val="39"/>
    <w:unhideWhenUsed/>
    <w:qFormat/>
    <w:rsid w:val="00952C92"/>
    <w:pPr>
      <w:keepNext/>
      <w:keepLines/>
      <w:widowControl/>
      <w:autoSpaceDE/>
      <w:autoSpaceDN/>
      <w:spacing w:before="240" w:after="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952C92"/>
    <w:pPr>
      <w:spacing w:after="100"/>
    </w:pPr>
  </w:style>
  <w:style w:type="character" w:styleId="Hyperlink">
    <w:name w:val="Hyperlink"/>
    <w:basedOn w:val="DefaultParagraphFont"/>
    <w:uiPriority w:val="99"/>
    <w:unhideWhenUsed/>
    <w:rsid w:val="00952C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6915">
      <w:bodyDiv w:val="1"/>
      <w:marLeft w:val="0"/>
      <w:marRight w:val="0"/>
      <w:marTop w:val="0"/>
      <w:marBottom w:val="0"/>
      <w:divBdr>
        <w:top w:val="none" w:sz="0" w:space="0" w:color="auto"/>
        <w:left w:val="none" w:sz="0" w:space="0" w:color="auto"/>
        <w:bottom w:val="none" w:sz="0" w:space="0" w:color="auto"/>
        <w:right w:val="none" w:sz="0" w:space="0" w:color="auto"/>
      </w:divBdr>
    </w:div>
    <w:div w:id="192227854">
      <w:bodyDiv w:val="1"/>
      <w:marLeft w:val="0"/>
      <w:marRight w:val="0"/>
      <w:marTop w:val="0"/>
      <w:marBottom w:val="0"/>
      <w:divBdr>
        <w:top w:val="none" w:sz="0" w:space="0" w:color="auto"/>
        <w:left w:val="none" w:sz="0" w:space="0" w:color="auto"/>
        <w:bottom w:val="none" w:sz="0" w:space="0" w:color="auto"/>
        <w:right w:val="none" w:sz="0" w:space="0" w:color="auto"/>
      </w:divBdr>
      <w:divsChild>
        <w:div w:id="1524901724">
          <w:marLeft w:val="0"/>
          <w:marRight w:val="0"/>
          <w:marTop w:val="0"/>
          <w:marBottom w:val="0"/>
          <w:divBdr>
            <w:top w:val="none" w:sz="0" w:space="0" w:color="auto"/>
            <w:left w:val="none" w:sz="0" w:space="0" w:color="auto"/>
            <w:bottom w:val="none" w:sz="0" w:space="0" w:color="auto"/>
            <w:right w:val="none" w:sz="0" w:space="0" w:color="auto"/>
          </w:divBdr>
        </w:div>
      </w:divsChild>
    </w:div>
    <w:div w:id="371540658">
      <w:bodyDiv w:val="1"/>
      <w:marLeft w:val="0"/>
      <w:marRight w:val="0"/>
      <w:marTop w:val="0"/>
      <w:marBottom w:val="0"/>
      <w:divBdr>
        <w:top w:val="none" w:sz="0" w:space="0" w:color="auto"/>
        <w:left w:val="none" w:sz="0" w:space="0" w:color="auto"/>
        <w:bottom w:val="none" w:sz="0" w:space="0" w:color="auto"/>
        <w:right w:val="none" w:sz="0" w:space="0" w:color="auto"/>
      </w:divBdr>
    </w:div>
    <w:div w:id="467743684">
      <w:bodyDiv w:val="1"/>
      <w:marLeft w:val="0"/>
      <w:marRight w:val="0"/>
      <w:marTop w:val="0"/>
      <w:marBottom w:val="0"/>
      <w:divBdr>
        <w:top w:val="none" w:sz="0" w:space="0" w:color="auto"/>
        <w:left w:val="none" w:sz="0" w:space="0" w:color="auto"/>
        <w:bottom w:val="none" w:sz="0" w:space="0" w:color="auto"/>
        <w:right w:val="none" w:sz="0" w:space="0" w:color="auto"/>
      </w:divBdr>
      <w:divsChild>
        <w:div w:id="411203283">
          <w:marLeft w:val="0"/>
          <w:marRight w:val="0"/>
          <w:marTop w:val="0"/>
          <w:marBottom w:val="0"/>
          <w:divBdr>
            <w:top w:val="none" w:sz="0" w:space="0" w:color="auto"/>
            <w:left w:val="none" w:sz="0" w:space="0" w:color="auto"/>
            <w:bottom w:val="none" w:sz="0" w:space="0" w:color="auto"/>
            <w:right w:val="none" w:sz="0" w:space="0" w:color="auto"/>
          </w:divBdr>
        </w:div>
      </w:divsChild>
    </w:div>
    <w:div w:id="1314872637">
      <w:bodyDiv w:val="1"/>
      <w:marLeft w:val="0"/>
      <w:marRight w:val="0"/>
      <w:marTop w:val="0"/>
      <w:marBottom w:val="0"/>
      <w:divBdr>
        <w:top w:val="none" w:sz="0" w:space="0" w:color="auto"/>
        <w:left w:val="none" w:sz="0" w:space="0" w:color="auto"/>
        <w:bottom w:val="none" w:sz="0" w:space="0" w:color="auto"/>
        <w:right w:val="none" w:sz="0" w:space="0" w:color="auto"/>
      </w:divBdr>
      <w:divsChild>
        <w:div w:id="1057584640">
          <w:marLeft w:val="0"/>
          <w:marRight w:val="0"/>
          <w:marTop w:val="0"/>
          <w:marBottom w:val="0"/>
          <w:divBdr>
            <w:top w:val="single" w:sz="2" w:space="0" w:color="D9D9E3"/>
            <w:left w:val="single" w:sz="2" w:space="0" w:color="D9D9E3"/>
            <w:bottom w:val="single" w:sz="2" w:space="0" w:color="D9D9E3"/>
            <w:right w:val="single" w:sz="2" w:space="0" w:color="D9D9E3"/>
          </w:divBdr>
          <w:divsChild>
            <w:div w:id="766926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252381">
                  <w:marLeft w:val="0"/>
                  <w:marRight w:val="0"/>
                  <w:marTop w:val="0"/>
                  <w:marBottom w:val="0"/>
                  <w:divBdr>
                    <w:top w:val="single" w:sz="2" w:space="0" w:color="D9D9E3"/>
                    <w:left w:val="single" w:sz="2" w:space="0" w:color="D9D9E3"/>
                    <w:bottom w:val="single" w:sz="2" w:space="0" w:color="D9D9E3"/>
                    <w:right w:val="single" w:sz="2" w:space="0" w:color="D9D9E3"/>
                  </w:divBdr>
                  <w:divsChild>
                    <w:div w:id="2127506621">
                      <w:marLeft w:val="0"/>
                      <w:marRight w:val="0"/>
                      <w:marTop w:val="0"/>
                      <w:marBottom w:val="0"/>
                      <w:divBdr>
                        <w:top w:val="single" w:sz="2" w:space="0" w:color="D9D9E3"/>
                        <w:left w:val="single" w:sz="2" w:space="0" w:color="D9D9E3"/>
                        <w:bottom w:val="single" w:sz="2" w:space="0" w:color="D9D9E3"/>
                        <w:right w:val="single" w:sz="2" w:space="0" w:color="D9D9E3"/>
                      </w:divBdr>
                      <w:divsChild>
                        <w:div w:id="792551601">
                          <w:marLeft w:val="0"/>
                          <w:marRight w:val="0"/>
                          <w:marTop w:val="0"/>
                          <w:marBottom w:val="0"/>
                          <w:divBdr>
                            <w:top w:val="single" w:sz="2" w:space="0" w:color="D9D9E3"/>
                            <w:left w:val="single" w:sz="2" w:space="0" w:color="D9D9E3"/>
                            <w:bottom w:val="single" w:sz="2" w:space="0" w:color="D9D9E3"/>
                            <w:right w:val="single" w:sz="2" w:space="0" w:color="D9D9E3"/>
                          </w:divBdr>
                          <w:divsChild>
                            <w:div w:id="1932472725">
                              <w:marLeft w:val="0"/>
                              <w:marRight w:val="0"/>
                              <w:marTop w:val="0"/>
                              <w:marBottom w:val="0"/>
                              <w:divBdr>
                                <w:top w:val="single" w:sz="2" w:space="0" w:color="D9D9E3"/>
                                <w:left w:val="single" w:sz="2" w:space="0" w:color="D9D9E3"/>
                                <w:bottom w:val="single" w:sz="2" w:space="0" w:color="D9D9E3"/>
                                <w:right w:val="single" w:sz="2" w:space="0" w:color="D9D9E3"/>
                              </w:divBdr>
                              <w:divsChild>
                                <w:div w:id="252591668">
                                  <w:marLeft w:val="0"/>
                                  <w:marRight w:val="0"/>
                                  <w:marTop w:val="0"/>
                                  <w:marBottom w:val="0"/>
                                  <w:divBdr>
                                    <w:top w:val="single" w:sz="2" w:space="0" w:color="D9D9E3"/>
                                    <w:left w:val="single" w:sz="2" w:space="0" w:color="D9D9E3"/>
                                    <w:bottom w:val="single" w:sz="2" w:space="0" w:color="D9D9E3"/>
                                    <w:right w:val="single" w:sz="2" w:space="0" w:color="D9D9E3"/>
                                  </w:divBdr>
                                  <w:divsChild>
                                    <w:div w:id="1234007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31138208">
      <w:bodyDiv w:val="1"/>
      <w:marLeft w:val="0"/>
      <w:marRight w:val="0"/>
      <w:marTop w:val="0"/>
      <w:marBottom w:val="0"/>
      <w:divBdr>
        <w:top w:val="none" w:sz="0" w:space="0" w:color="auto"/>
        <w:left w:val="none" w:sz="0" w:space="0" w:color="auto"/>
        <w:bottom w:val="none" w:sz="0" w:space="0" w:color="auto"/>
        <w:right w:val="none" w:sz="0" w:space="0" w:color="auto"/>
      </w:divBdr>
    </w:div>
    <w:div w:id="1976326351">
      <w:bodyDiv w:val="1"/>
      <w:marLeft w:val="0"/>
      <w:marRight w:val="0"/>
      <w:marTop w:val="0"/>
      <w:marBottom w:val="0"/>
      <w:divBdr>
        <w:top w:val="none" w:sz="0" w:space="0" w:color="auto"/>
        <w:left w:val="none" w:sz="0" w:space="0" w:color="auto"/>
        <w:bottom w:val="none" w:sz="0" w:space="0" w:color="auto"/>
        <w:right w:val="none" w:sz="0" w:space="0" w:color="auto"/>
      </w:divBdr>
      <w:divsChild>
        <w:div w:id="1766029955">
          <w:marLeft w:val="0"/>
          <w:marRight w:val="0"/>
          <w:marTop w:val="0"/>
          <w:marBottom w:val="0"/>
          <w:divBdr>
            <w:top w:val="single" w:sz="2" w:space="0" w:color="D9D9E3"/>
            <w:left w:val="single" w:sz="2" w:space="0" w:color="D9D9E3"/>
            <w:bottom w:val="single" w:sz="2" w:space="0" w:color="D9D9E3"/>
            <w:right w:val="single" w:sz="2" w:space="0" w:color="D9D9E3"/>
          </w:divBdr>
          <w:divsChild>
            <w:div w:id="575481011">
              <w:marLeft w:val="0"/>
              <w:marRight w:val="0"/>
              <w:marTop w:val="0"/>
              <w:marBottom w:val="0"/>
              <w:divBdr>
                <w:top w:val="single" w:sz="2" w:space="0" w:color="D9D9E3"/>
                <w:left w:val="single" w:sz="2" w:space="0" w:color="D9D9E3"/>
                <w:bottom w:val="single" w:sz="2" w:space="0" w:color="D9D9E3"/>
                <w:right w:val="single" w:sz="2" w:space="0" w:color="D9D9E3"/>
              </w:divBdr>
              <w:divsChild>
                <w:div w:id="461383814">
                  <w:marLeft w:val="0"/>
                  <w:marRight w:val="0"/>
                  <w:marTop w:val="0"/>
                  <w:marBottom w:val="0"/>
                  <w:divBdr>
                    <w:top w:val="single" w:sz="2" w:space="0" w:color="D9D9E3"/>
                    <w:left w:val="single" w:sz="2" w:space="0" w:color="D9D9E3"/>
                    <w:bottom w:val="single" w:sz="2" w:space="0" w:color="D9D9E3"/>
                    <w:right w:val="single" w:sz="2" w:space="0" w:color="D9D9E3"/>
                  </w:divBdr>
                  <w:divsChild>
                    <w:div w:id="993752990">
                      <w:marLeft w:val="0"/>
                      <w:marRight w:val="0"/>
                      <w:marTop w:val="0"/>
                      <w:marBottom w:val="0"/>
                      <w:divBdr>
                        <w:top w:val="single" w:sz="2" w:space="0" w:color="D9D9E3"/>
                        <w:left w:val="single" w:sz="2" w:space="0" w:color="D9D9E3"/>
                        <w:bottom w:val="single" w:sz="2" w:space="0" w:color="D9D9E3"/>
                        <w:right w:val="single" w:sz="2" w:space="0" w:color="D9D9E3"/>
                      </w:divBdr>
                      <w:divsChild>
                        <w:div w:id="882711782">
                          <w:marLeft w:val="0"/>
                          <w:marRight w:val="0"/>
                          <w:marTop w:val="0"/>
                          <w:marBottom w:val="0"/>
                          <w:divBdr>
                            <w:top w:val="single" w:sz="2" w:space="0" w:color="D9D9E3"/>
                            <w:left w:val="single" w:sz="2" w:space="0" w:color="D9D9E3"/>
                            <w:bottom w:val="single" w:sz="2" w:space="0" w:color="D9D9E3"/>
                            <w:right w:val="single" w:sz="2" w:space="0" w:color="D9D9E3"/>
                          </w:divBdr>
                          <w:divsChild>
                            <w:div w:id="1912737824">
                              <w:marLeft w:val="0"/>
                              <w:marRight w:val="0"/>
                              <w:marTop w:val="100"/>
                              <w:marBottom w:val="100"/>
                              <w:divBdr>
                                <w:top w:val="single" w:sz="2" w:space="0" w:color="D9D9E3"/>
                                <w:left w:val="single" w:sz="2" w:space="0" w:color="D9D9E3"/>
                                <w:bottom w:val="single" w:sz="2" w:space="0" w:color="D9D9E3"/>
                                <w:right w:val="single" w:sz="2" w:space="0" w:color="D9D9E3"/>
                              </w:divBdr>
                              <w:divsChild>
                                <w:div w:id="659776525">
                                  <w:marLeft w:val="0"/>
                                  <w:marRight w:val="0"/>
                                  <w:marTop w:val="0"/>
                                  <w:marBottom w:val="0"/>
                                  <w:divBdr>
                                    <w:top w:val="single" w:sz="2" w:space="0" w:color="D9D9E3"/>
                                    <w:left w:val="single" w:sz="2" w:space="0" w:color="D9D9E3"/>
                                    <w:bottom w:val="single" w:sz="2" w:space="0" w:color="D9D9E3"/>
                                    <w:right w:val="single" w:sz="2" w:space="0" w:color="D9D9E3"/>
                                  </w:divBdr>
                                  <w:divsChild>
                                    <w:div w:id="140386908">
                                      <w:marLeft w:val="0"/>
                                      <w:marRight w:val="0"/>
                                      <w:marTop w:val="0"/>
                                      <w:marBottom w:val="0"/>
                                      <w:divBdr>
                                        <w:top w:val="single" w:sz="2" w:space="0" w:color="D9D9E3"/>
                                        <w:left w:val="single" w:sz="2" w:space="0" w:color="D9D9E3"/>
                                        <w:bottom w:val="single" w:sz="2" w:space="0" w:color="D9D9E3"/>
                                        <w:right w:val="single" w:sz="2" w:space="0" w:color="D9D9E3"/>
                                      </w:divBdr>
                                      <w:divsChild>
                                        <w:div w:id="1541897025">
                                          <w:marLeft w:val="0"/>
                                          <w:marRight w:val="0"/>
                                          <w:marTop w:val="0"/>
                                          <w:marBottom w:val="0"/>
                                          <w:divBdr>
                                            <w:top w:val="single" w:sz="2" w:space="0" w:color="D9D9E3"/>
                                            <w:left w:val="single" w:sz="2" w:space="0" w:color="D9D9E3"/>
                                            <w:bottom w:val="single" w:sz="2" w:space="0" w:color="D9D9E3"/>
                                            <w:right w:val="single" w:sz="2" w:space="0" w:color="D9D9E3"/>
                                          </w:divBdr>
                                          <w:divsChild>
                                            <w:div w:id="944925409">
                                              <w:marLeft w:val="0"/>
                                              <w:marRight w:val="0"/>
                                              <w:marTop w:val="0"/>
                                              <w:marBottom w:val="0"/>
                                              <w:divBdr>
                                                <w:top w:val="single" w:sz="2" w:space="0" w:color="D9D9E3"/>
                                                <w:left w:val="single" w:sz="2" w:space="0" w:color="D9D9E3"/>
                                                <w:bottom w:val="single" w:sz="2" w:space="0" w:color="D9D9E3"/>
                                                <w:right w:val="single" w:sz="2" w:space="0" w:color="D9D9E3"/>
                                              </w:divBdr>
                                              <w:divsChild>
                                                <w:div w:id="1829905172">
                                                  <w:marLeft w:val="0"/>
                                                  <w:marRight w:val="0"/>
                                                  <w:marTop w:val="0"/>
                                                  <w:marBottom w:val="0"/>
                                                  <w:divBdr>
                                                    <w:top w:val="single" w:sz="2" w:space="0" w:color="D9D9E3"/>
                                                    <w:left w:val="single" w:sz="2" w:space="0" w:color="D9D9E3"/>
                                                    <w:bottom w:val="single" w:sz="2" w:space="0" w:color="D9D9E3"/>
                                                    <w:right w:val="single" w:sz="2" w:space="0" w:color="D9D9E3"/>
                                                  </w:divBdr>
                                                  <w:divsChild>
                                                    <w:div w:id="1206139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99034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1EF71-D73F-4DED-8ABC-B25BA3F9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1785</Words>
  <Characters>10175</Characters>
  <Application>Microsoft Office Word</Application>
  <DocSecurity>0</DocSecurity>
  <Lines>84</Lines>
  <Paragraphs>23</Paragraphs>
  <ScaleCrop>false</ScaleCrop>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2024-01-12T11:56:00Z</dcterms:created>
  <dcterms:modified xsi:type="dcterms:W3CDTF">2024-01-12T11:56:00Z</dcterms:modified>
</cp:coreProperties>
</file>