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0EAA99" w14:textId="77777777" w:rsidR="005920A1" w:rsidRDefault="005920A1" w:rsidP="00706757"/>
    <w:p w14:paraId="03030717" w14:textId="0CA59197" w:rsidR="005920A1" w:rsidRDefault="00E40036" w:rsidP="00E40036">
      <w:pPr>
        <w:jc w:val="center"/>
      </w:pPr>
      <w:r w:rsidRPr="00E40036">
        <w:rPr>
          <w:noProof/>
          <w:lang w:eastAsia="en-GB"/>
        </w:rPr>
        <w:drawing>
          <wp:inline distT="0" distB="0" distL="0" distR="0" wp14:anchorId="46CF1184" wp14:editId="5559DD96">
            <wp:extent cx="5455285" cy="1546689"/>
            <wp:effectExtent l="0" t="0" r="0" b="0"/>
            <wp:docPr id="65067513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75134" name="Picture 1" descr="A close-up of a sign&#10;&#10;Description automatically generated"/>
                    <pic:cNvPicPr/>
                  </pic:nvPicPr>
                  <pic:blipFill>
                    <a:blip r:embed="rId8"/>
                    <a:stretch>
                      <a:fillRect/>
                    </a:stretch>
                  </pic:blipFill>
                  <pic:spPr>
                    <a:xfrm>
                      <a:off x="0" y="0"/>
                      <a:ext cx="5467577" cy="1550174"/>
                    </a:xfrm>
                    <a:prstGeom prst="rect">
                      <a:avLst/>
                    </a:prstGeom>
                  </pic:spPr>
                </pic:pic>
              </a:graphicData>
            </a:graphic>
          </wp:inline>
        </w:drawing>
      </w:r>
    </w:p>
    <w:p w14:paraId="14187A84" w14:textId="77777777" w:rsidR="00E40036" w:rsidRPr="00E40036" w:rsidRDefault="00E40036" w:rsidP="00E40036">
      <w:pPr>
        <w:jc w:val="center"/>
        <w:rPr>
          <w:b/>
          <w:bCs/>
          <w:sz w:val="48"/>
          <w:szCs w:val="48"/>
        </w:rPr>
      </w:pPr>
    </w:p>
    <w:p w14:paraId="5F3F909B" w14:textId="0F0AE574" w:rsidR="00E40036" w:rsidRPr="0089039D" w:rsidRDefault="00E40036" w:rsidP="007D6CAF">
      <w:pPr>
        <w:jc w:val="center"/>
        <w:rPr>
          <w:rFonts w:ascii="Times New Roman" w:hAnsi="Times New Roman" w:cs="Times New Roman"/>
          <w:b/>
          <w:bCs/>
          <w:sz w:val="44"/>
          <w:szCs w:val="48"/>
        </w:rPr>
      </w:pPr>
      <w:r w:rsidRPr="0089039D">
        <w:rPr>
          <w:rFonts w:ascii="Times New Roman" w:hAnsi="Times New Roman" w:cs="Times New Roman"/>
          <w:b/>
          <w:bCs/>
          <w:sz w:val="44"/>
          <w:szCs w:val="48"/>
        </w:rPr>
        <w:t>LCMB 70</w:t>
      </w:r>
      <w:r w:rsidR="004012E5" w:rsidRPr="0089039D">
        <w:rPr>
          <w:rFonts w:ascii="Times New Roman" w:hAnsi="Times New Roman" w:cs="Times New Roman"/>
          <w:b/>
          <w:bCs/>
          <w:sz w:val="44"/>
          <w:szCs w:val="48"/>
        </w:rPr>
        <w:t>12</w:t>
      </w:r>
      <w:r w:rsidRPr="0089039D">
        <w:rPr>
          <w:rFonts w:ascii="Times New Roman" w:hAnsi="Times New Roman" w:cs="Times New Roman"/>
          <w:b/>
          <w:bCs/>
          <w:sz w:val="44"/>
          <w:szCs w:val="48"/>
        </w:rPr>
        <w:t xml:space="preserve"> – </w:t>
      </w:r>
      <w:r w:rsidR="004012E5" w:rsidRPr="0089039D">
        <w:rPr>
          <w:rFonts w:ascii="Times New Roman" w:hAnsi="Times New Roman" w:cs="Times New Roman"/>
          <w:b/>
          <w:bCs/>
          <w:sz w:val="44"/>
          <w:szCs w:val="48"/>
        </w:rPr>
        <w:t>Banking Financial Management and Financial Markets</w:t>
      </w:r>
    </w:p>
    <w:p w14:paraId="4FCC1BFD" w14:textId="77777777" w:rsidR="00E40036" w:rsidRDefault="00E40036" w:rsidP="007D6CAF">
      <w:pPr>
        <w:jc w:val="center"/>
      </w:pPr>
    </w:p>
    <w:p w14:paraId="765C16E9" w14:textId="76EA2142" w:rsidR="004012E5" w:rsidRPr="0089039D" w:rsidRDefault="007D6CAF" w:rsidP="007D6CAF">
      <w:pPr>
        <w:jc w:val="center"/>
        <w:rPr>
          <w:rFonts w:ascii="Times New Roman" w:hAnsi="Times New Roman" w:cs="Times New Roman"/>
          <w:b/>
          <w:bCs/>
          <w:sz w:val="40"/>
          <w:szCs w:val="44"/>
        </w:rPr>
      </w:pPr>
      <w:r w:rsidRPr="0089039D">
        <w:rPr>
          <w:rFonts w:ascii="Times New Roman" w:hAnsi="Times New Roman" w:cs="Times New Roman"/>
          <w:b/>
          <w:bCs/>
          <w:sz w:val="40"/>
          <w:szCs w:val="44"/>
        </w:rPr>
        <w:t>Strengthening the Financial System: A Critical Review of US and UK Regulatory Responses to the 2008 Crisis</w:t>
      </w:r>
    </w:p>
    <w:p w14:paraId="229DE3C3" w14:textId="77777777" w:rsidR="007D6CAF" w:rsidRPr="007560F8" w:rsidRDefault="007D6CAF" w:rsidP="007D6CAF">
      <w:pPr>
        <w:jc w:val="center"/>
        <w:rPr>
          <w:b/>
          <w:bCs/>
          <w:sz w:val="44"/>
          <w:szCs w:val="44"/>
        </w:rPr>
      </w:pPr>
    </w:p>
    <w:p w14:paraId="015C2A65" w14:textId="77777777" w:rsidR="0089039D" w:rsidRPr="00FC76FE" w:rsidRDefault="0089039D" w:rsidP="0089039D">
      <w:pPr>
        <w:rPr>
          <w:rFonts w:ascii="Times New Roman" w:hAnsi="Times New Roman" w:cs="Times New Roman"/>
          <w:b/>
          <w:sz w:val="28"/>
        </w:rPr>
      </w:pPr>
      <w:r w:rsidRPr="00FC76FE">
        <w:rPr>
          <w:rFonts w:ascii="Times New Roman" w:hAnsi="Times New Roman" w:cs="Times New Roman"/>
          <w:b/>
          <w:sz w:val="28"/>
        </w:rPr>
        <w:t>Student name: Sagar Rajodiya</w:t>
      </w:r>
    </w:p>
    <w:p w14:paraId="47D305E2" w14:textId="77777777" w:rsidR="0089039D" w:rsidRPr="00FC76FE" w:rsidRDefault="0089039D" w:rsidP="0089039D">
      <w:pPr>
        <w:rPr>
          <w:rFonts w:ascii="Times New Roman" w:hAnsi="Times New Roman" w:cs="Times New Roman"/>
          <w:b/>
          <w:sz w:val="28"/>
        </w:rPr>
      </w:pPr>
    </w:p>
    <w:p w14:paraId="05959ADA" w14:textId="77777777" w:rsidR="0089039D" w:rsidRPr="00FC76FE" w:rsidRDefault="0089039D" w:rsidP="0089039D">
      <w:pPr>
        <w:rPr>
          <w:rFonts w:ascii="Times New Roman" w:hAnsi="Times New Roman" w:cs="Times New Roman"/>
          <w:b/>
          <w:sz w:val="28"/>
        </w:rPr>
      </w:pPr>
      <w:r w:rsidRPr="00FC76FE">
        <w:rPr>
          <w:rFonts w:ascii="Times New Roman" w:hAnsi="Times New Roman" w:cs="Times New Roman"/>
          <w:b/>
          <w:sz w:val="28"/>
        </w:rPr>
        <w:t>Student ID: 2241171</w:t>
      </w:r>
    </w:p>
    <w:p w14:paraId="576263C7" w14:textId="77777777" w:rsidR="0089039D" w:rsidRPr="00FC76FE" w:rsidRDefault="0089039D" w:rsidP="0089039D">
      <w:pPr>
        <w:rPr>
          <w:rFonts w:ascii="Times New Roman" w:hAnsi="Times New Roman" w:cs="Times New Roman"/>
          <w:b/>
          <w:sz w:val="28"/>
        </w:rPr>
      </w:pPr>
    </w:p>
    <w:p w14:paraId="749AA72D" w14:textId="1A48A4DF" w:rsidR="0089039D" w:rsidRPr="00FC76FE" w:rsidRDefault="0089039D" w:rsidP="0089039D">
      <w:pPr>
        <w:rPr>
          <w:rFonts w:ascii="Times New Roman" w:hAnsi="Times New Roman" w:cs="Times New Roman"/>
          <w:b/>
          <w:sz w:val="28"/>
        </w:rPr>
      </w:pPr>
      <w:r w:rsidRPr="00FC76FE">
        <w:rPr>
          <w:rFonts w:ascii="Times New Roman" w:hAnsi="Times New Roman" w:cs="Times New Roman"/>
          <w:b/>
          <w:sz w:val="28"/>
        </w:rPr>
        <w:t xml:space="preserve">Program: MBA- </w:t>
      </w:r>
      <w:r w:rsidR="003B4100" w:rsidRPr="00FC76FE">
        <w:rPr>
          <w:rFonts w:ascii="Times New Roman" w:hAnsi="Times New Roman" w:cs="Times New Roman"/>
          <w:b/>
          <w:sz w:val="28"/>
        </w:rPr>
        <w:t>Master of Business Administration</w:t>
      </w:r>
    </w:p>
    <w:p w14:paraId="6C0C5A0A" w14:textId="77777777" w:rsidR="0089039D" w:rsidRPr="00FC76FE" w:rsidRDefault="0089039D" w:rsidP="0089039D">
      <w:pPr>
        <w:rPr>
          <w:rFonts w:ascii="Times New Roman" w:hAnsi="Times New Roman" w:cs="Times New Roman"/>
          <w:b/>
          <w:sz w:val="28"/>
        </w:rPr>
      </w:pPr>
    </w:p>
    <w:p w14:paraId="30E712AB" w14:textId="77777777" w:rsidR="0089039D" w:rsidRPr="00FC76FE" w:rsidRDefault="0089039D" w:rsidP="0089039D">
      <w:pPr>
        <w:rPr>
          <w:rFonts w:ascii="Times New Roman" w:hAnsi="Times New Roman" w:cs="Times New Roman"/>
          <w:b/>
          <w:sz w:val="28"/>
        </w:rPr>
      </w:pPr>
      <w:r>
        <w:rPr>
          <w:rFonts w:ascii="Times New Roman" w:hAnsi="Times New Roman" w:cs="Times New Roman"/>
          <w:b/>
          <w:sz w:val="28"/>
        </w:rPr>
        <w:t>Module code: LCMB7012</w:t>
      </w:r>
    </w:p>
    <w:p w14:paraId="2BC3E64A" w14:textId="77777777" w:rsidR="0089039D" w:rsidRPr="00FC76FE" w:rsidRDefault="0089039D" w:rsidP="0089039D">
      <w:pPr>
        <w:rPr>
          <w:rFonts w:ascii="Times New Roman" w:hAnsi="Times New Roman" w:cs="Times New Roman"/>
          <w:b/>
          <w:sz w:val="28"/>
        </w:rPr>
      </w:pPr>
    </w:p>
    <w:p w14:paraId="15667941" w14:textId="77777777" w:rsidR="0089039D" w:rsidRDefault="0089039D" w:rsidP="0089039D">
      <w:pPr>
        <w:rPr>
          <w:rFonts w:ascii="Times New Roman" w:hAnsi="Times New Roman" w:cs="Times New Roman"/>
          <w:b/>
          <w:sz w:val="28"/>
        </w:rPr>
      </w:pPr>
      <w:r w:rsidRPr="00FC76FE">
        <w:rPr>
          <w:rFonts w:ascii="Times New Roman" w:hAnsi="Times New Roman" w:cs="Times New Roman"/>
          <w:b/>
          <w:sz w:val="28"/>
        </w:rPr>
        <w:t xml:space="preserve">Lecturer name: </w:t>
      </w:r>
      <w:r>
        <w:rPr>
          <w:rFonts w:ascii="Times New Roman" w:hAnsi="Times New Roman" w:cs="Times New Roman"/>
          <w:b/>
          <w:sz w:val="28"/>
        </w:rPr>
        <w:t>David Coker</w:t>
      </w:r>
    </w:p>
    <w:p w14:paraId="075D2E8C" w14:textId="17467A53" w:rsidR="007D6CAF" w:rsidRDefault="00E40036" w:rsidP="00706757">
      <w:pPr>
        <w:rPr>
          <w:b/>
          <w:bCs/>
          <w:sz w:val="44"/>
          <w:szCs w:val="44"/>
        </w:rPr>
      </w:pPr>
      <w:r w:rsidRPr="007560F8">
        <w:rPr>
          <w:b/>
          <w:bCs/>
          <w:sz w:val="44"/>
          <w:szCs w:val="44"/>
        </w:rPr>
        <w:t xml:space="preserve"> </w:t>
      </w:r>
    </w:p>
    <w:p w14:paraId="05CF6F1D" w14:textId="77777777" w:rsidR="0089039D" w:rsidRPr="0089039D" w:rsidRDefault="0089039D" w:rsidP="00706757">
      <w:pPr>
        <w:rPr>
          <w:b/>
          <w:bCs/>
          <w:sz w:val="44"/>
          <w:szCs w:val="44"/>
        </w:rPr>
      </w:pPr>
    </w:p>
    <w:sdt>
      <w:sdtPr>
        <w:rPr>
          <w:rFonts w:ascii="Times New Roman" w:eastAsiaTheme="minorHAnsi" w:hAnsi="Times New Roman" w:cs="Times New Roman"/>
          <w:color w:val="auto"/>
          <w:kern w:val="2"/>
          <w:sz w:val="24"/>
          <w:szCs w:val="24"/>
          <w:lang w:val="en-GB"/>
          <w14:ligatures w14:val="standardContextual"/>
        </w:rPr>
        <w:id w:val="785550407"/>
        <w:docPartObj>
          <w:docPartGallery w:val="Table of Contents"/>
          <w:docPartUnique/>
        </w:docPartObj>
      </w:sdtPr>
      <w:sdtEndPr>
        <w:rPr>
          <w:b/>
          <w:bCs/>
          <w:noProof/>
        </w:rPr>
      </w:sdtEndPr>
      <w:sdtContent>
        <w:p w14:paraId="308D1764" w14:textId="41F96376" w:rsidR="005920A1" w:rsidRPr="007D6CAF" w:rsidRDefault="005920A1">
          <w:pPr>
            <w:pStyle w:val="TOCHeading"/>
            <w:rPr>
              <w:rFonts w:ascii="Times New Roman" w:hAnsi="Times New Roman" w:cs="Times New Roman"/>
              <w:b/>
              <w:bCs/>
              <w:color w:val="000000" w:themeColor="text1"/>
              <w:sz w:val="24"/>
              <w:szCs w:val="24"/>
            </w:rPr>
          </w:pPr>
          <w:r w:rsidRPr="007D6CAF">
            <w:rPr>
              <w:rFonts w:ascii="Times New Roman" w:hAnsi="Times New Roman" w:cs="Times New Roman"/>
              <w:b/>
              <w:bCs/>
              <w:color w:val="000000" w:themeColor="text1"/>
              <w:sz w:val="24"/>
              <w:szCs w:val="24"/>
            </w:rPr>
            <w:t>Table of Contents</w:t>
          </w:r>
        </w:p>
        <w:p w14:paraId="46B0E178" w14:textId="77777777" w:rsidR="005920A1" w:rsidRPr="003B4100" w:rsidRDefault="005920A1" w:rsidP="003B4100">
          <w:pPr>
            <w:spacing w:line="360" w:lineRule="auto"/>
            <w:rPr>
              <w:rFonts w:ascii="Times New Roman" w:hAnsi="Times New Roman" w:cs="Times New Roman"/>
              <w:sz w:val="28"/>
              <w:szCs w:val="28"/>
              <w:lang w:val="en-US"/>
            </w:rPr>
          </w:pPr>
        </w:p>
        <w:p w14:paraId="6DCB24E1" w14:textId="7F1AEC78" w:rsidR="003B4100" w:rsidRPr="003B4100" w:rsidRDefault="005920A1"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r w:rsidRPr="003B4100">
            <w:rPr>
              <w:rFonts w:ascii="Times New Roman" w:hAnsi="Times New Roman" w:cs="Times New Roman"/>
              <w:sz w:val="28"/>
              <w:szCs w:val="28"/>
            </w:rPr>
            <w:fldChar w:fldCharType="begin"/>
          </w:r>
          <w:r w:rsidRPr="003B4100">
            <w:rPr>
              <w:rFonts w:ascii="Times New Roman" w:hAnsi="Times New Roman" w:cs="Times New Roman"/>
              <w:sz w:val="28"/>
              <w:szCs w:val="28"/>
            </w:rPr>
            <w:instrText xml:space="preserve"> TOC \o "1-3" \h \z \u </w:instrText>
          </w:r>
          <w:r w:rsidRPr="003B4100">
            <w:rPr>
              <w:rFonts w:ascii="Times New Roman" w:hAnsi="Times New Roman" w:cs="Times New Roman"/>
              <w:sz w:val="28"/>
              <w:szCs w:val="28"/>
            </w:rPr>
            <w:fldChar w:fldCharType="separate"/>
          </w:r>
          <w:hyperlink w:anchor="_Toc164437657" w:history="1">
            <w:r w:rsidR="003B4100" w:rsidRPr="003B4100">
              <w:rPr>
                <w:rStyle w:val="Hyperlink"/>
                <w:rFonts w:ascii="Times New Roman" w:hAnsi="Times New Roman" w:cs="Times New Roman"/>
                <w:noProof/>
                <w:sz w:val="24"/>
                <w:szCs w:val="24"/>
              </w:rPr>
              <w:t>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Introduction</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4</w:t>
          </w:r>
        </w:p>
        <w:p w14:paraId="2552C3DA" w14:textId="7A38BC59"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58" w:history="1">
            <w:r w:rsidR="003B4100" w:rsidRPr="003B4100">
              <w:rPr>
                <w:rStyle w:val="Hyperlink"/>
                <w:rFonts w:ascii="Times New Roman" w:hAnsi="Times New Roman" w:cs="Times New Roman"/>
                <w:noProof/>
                <w:sz w:val="24"/>
                <w:szCs w:val="24"/>
              </w:rPr>
              <w:t>1.1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Impact on the Real Estate Market and Financial Institutions</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4</w:t>
          </w:r>
        </w:p>
        <w:p w14:paraId="73303C43" w14:textId="5CB14BF4" w:rsidR="003B4100" w:rsidRPr="003B4100" w:rsidRDefault="0037194C"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164437659" w:history="1">
            <w:r w:rsidR="003B4100" w:rsidRPr="003B4100">
              <w:rPr>
                <w:rStyle w:val="Hyperlink"/>
                <w:rFonts w:ascii="Times New Roman" w:hAnsi="Times New Roman" w:cs="Times New Roman"/>
                <w:noProof/>
                <w:sz w:val="24"/>
                <w:szCs w:val="24"/>
              </w:rPr>
              <w:t>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US Laws, Regulations, and Contracts Post-2008 Financial Crisis</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5</w:t>
          </w:r>
        </w:p>
        <w:p w14:paraId="1C84CDC7" w14:textId="191B154F"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0" w:history="1">
            <w:r w:rsidR="003B4100" w:rsidRPr="003B4100">
              <w:rPr>
                <w:rStyle w:val="Hyperlink"/>
                <w:rFonts w:ascii="Times New Roman" w:hAnsi="Times New Roman" w:cs="Times New Roman"/>
                <w:noProof/>
                <w:sz w:val="24"/>
                <w:szCs w:val="24"/>
              </w:rPr>
              <w:t>2.1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Dodd-Frank Wall Street Reform and Consumer Protection Act</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5</w:t>
          </w:r>
        </w:p>
        <w:p w14:paraId="2DD71373" w14:textId="5A98E7DC"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1" w:history="1">
            <w:r w:rsidR="003B4100" w:rsidRPr="003B4100">
              <w:rPr>
                <w:rStyle w:val="Hyperlink"/>
                <w:rFonts w:ascii="Times New Roman" w:hAnsi="Times New Roman" w:cs="Times New Roman"/>
                <w:noProof/>
                <w:sz w:val="24"/>
                <w:szCs w:val="24"/>
              </w:rPr>
              <w:t>2.2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Basel III Capital and Liquidity Standards</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6</w:t>
          </w:r>
        </w:p>
        <w:p w14:paraId="2F11F98C" w14:textId="5EA4A8A9"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2" w:history="1">
            <w:r w:rsidR="003B4100" w:rsidRPr="003B4100">
              <w:rPr>
                <w:rStyle w:val="Hyperlink"/>
                <w:rFonts w:ascii="Times New Roman" w:hAnsi="Times New Roman" w:cs="Times New Roman"/>
                <w:noProof/>
                <w:sz w:val="24"/>
                <w:szCs w:val="24"/>
              </w:rPr>
              <w:t>2.3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Other Relevant Laws and Regulations</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7</w:t>
          </w:r>
        </w:p>
        <w:p w14:paraId="5F9F305F" w14:textId="16C2E95A"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3" w:history="1">
            <w:r w:rsidR="003B4100" w:rsidRPr="003B4100">
              <w:rPr>
                <w:rStyle w:val="Hyperlink"/>
                <w:rFonts w:ascii="Times New Roman" w:hAnsi="Times New Roman" w:cs="Times New Roman"/>
                <w:noProof/>
                <w:sz w:val="24"/>
                <w:szCs w:val="24"/>
              </w:rPr>
              <w:t>2.4</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Impact on the US Financial System</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7</w:t>
          </w:r>
        </w:p>
        <w:p w14:paraId="790F9568" w14:textId="7E5891B2" w:rsidR="003B4100" w:rsidRPr="003B4100" w:rsidRDefault="0037194C"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164437664" w:history="1">
            <w:r w:rsidR="003B4100" w:rsidRPr="003B4100">
              <w:rPr>
                <w:rStyle w:val="Hyperlink"/>
                <w:rFonts w:ascii="Times New Roman" w:hAnsi="Times New Roman" w:cs="Times New Roman"/>
                <w:noProof/>
                <w:sz w:val="24"/>
                <w:szCs w:val="24"/>
              </w:rPr>
              <w:t>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Global Laws, Regulations, and Contracts Post-2008 Financial Crisis – UK</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9</w:t>
          </w:r>
        </w:p>
        <w:p w14:paraId="65E3C25F" w14:textId="2E6D9CC6"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5" w:history="1">
            <w:r w:rsidR="003B4100" w:rsidRPr="003B4100">
              <w:rPr>
                <w:rStyle w:val="Hyperlink"/>
                <w:rFonts w:ascii="Times New Roman" w:hAnsi="Times New Roman" w:cs="Times New Roman"/>
                <w:noProof/>
                <w:sz w:val="24"/>
                <w:szCs w:val="24"/>
              </w:rPr>
              <w:t>3.1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Key Laws &amp; Regulations Enacted in UK</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9</w:t>
          </w:r>
        </w:p>
        <w:p w14:paraId="6DA49FA2" w14:textId="2A578761"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6" w:history="1">
            <w:r w:rsidR="003B4100" w:rsidRPr="003B4100">
              <w:rPr>
                <w:rStyle w:val="Hyperlink"/>
                <w:rFonts w:ascii="Times New Roman" w:hAnsi="Times New Roman" w:cs="Times New Roman"/>
                <w:noProof/>
                <w:sz w:val="24"/>
                <w:szCs w:val="24"/>
              </w:rPr>
              <w:t>3.2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Contracts and Government Interventions</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10</w:t>
          </w:r>
        </w:p>
        <w:p w14:paraId="5F8D03FC" w14:textId="43020275"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7" w:history="1">
            <w:r w:rsidR="003B4100" w:rsidRPr="003B4100">
              <w:rPr>
                <w:rStyle w:val="Hyperlink"/>
                <w:rFonts w:ascii="Times New Roman" w:hAnsi="Times New Roman" w:cs="Times New Roman"/>
                <w:noProof/>
                <w:sz w:val="24"/>
                <w:szCs w:val="24"/>
              </w:rPr>
              <w:t>3.3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Impact on the UK Financial System</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11</w:t>
          </w:r>
        </w:p>
        <w:p w14:paraId="3FDEB762" w14:textId="472CFEB1" w:rsidR="003B4100" w:rsidRPr="003B4100" w:rsidRDefault="0037194C"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164437668" w:history="1">
            <w:r w:rsidR="003B4100" w:rsidRPr="003B4100">
              <w:rPr>
                <w:rStyle w:val="Hyperlink"/>
                <w:rFonts w:ascii="Times New Roman" w:hAnsi="Times New Roman" w:cs="Times New Roman"/>
                <w:noProof/>
                <w:sz w:val="24"/>
                <w:szCs w:val="24"/>
              </w:rPr>
              <w:t>4</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Critical Review of Post-Crisis Reforms in Stabilizing the Financial System</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12</w:t>
          </w:r>
        </w:p>
        <w:p w14:paraId="5E2E0676" w14:textId="7D1F284C"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9" w:history="1">
            <w:r w:rsidR="003B4100" w:rsidRPr="003B4100">
              <w:rPr>
                <w:rStyle w:val="Hyperlink"/>
                <w:rFonts w:ascii="Times New Roman" w:hAnsi="Times New Roman" w:cs="Times New Roman"/>
                <w:noProof/>
                <w:sz w:val="24"/>
                <w:szCs w:val="24"/>
              </w:rPr>
              <w:t>4.1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Effectiveness of US Reforms</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12</w:t>
          </w:r>
        </w:p>
        <w:p w14:paraId="26BAD13C" w14:textId="2FCCACD1"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0" w:history="1">
            <w:r w:rsidR="003B4100" w:rsidRPr="003B4100">
              <w:rPr>
                <w:rStyle w:val="Hyperlink"/>
                <w:rFonts w:ascii="Times New Roman" w:hAnsi="Times New Roman" w:cs="Times New Roman"/>
                <w:noProof/>
                <w:sz w:val="24"/>
                <w:szCs w:val="24"/>
              </w:rPr>
              <w:t>4.2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Effectiveness of Global Reforms in UK</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_Toc164437670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w:t>
            </w:r>
            <w:r w:rsidR="003B4100" w:rsidRPr="003B4100">
              <w:rPr>
                <w:rFonts w:ascii="Times New Roman" w:hAnsi="Times New Roman" w:cs="Times New Roman"/>
                <w:noProof/>
                <w:webHidden/>
                <w:sz w:val="24"/>
                <w:szCs w:val="24"/>
              </w:rPr>
              <w:fldChar w:fldCharType="end"/>
            </w:r>
          </w:hyperlink>
          <w:r w:rsidR="007E0CCF">
            <w:rPr>
              <w:rFonts w:ascii="Times New Roman" w:hAnsi="Times New Roman" w:cs="Times New Roman"/>
              <w:noProof/>
              <w:sz w:val="24"/>
              <w:szCs w:val="24"/>
            </w:rPr>
            <w:t>2</w:t>
          </w:r>
        </w:p>
        <w:p w14:paraId="67F9A1A4" w14:textId="685158B6"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1" w:history="1">
            <w:r w:rsidR="003B4100" w:rsidRPr="003B4100">
              <w:rPr>
                <w:rStyle w:val="Hyperlink"/>
                <w:rFonts w:ascii="Times New Roman" w:hAnsi="Times New Roman" w:cs="Times New Roman"/>
                <w:noProof/>
                <w:sz w:val="24"/>
                <w:szCs w:val="24"/>
              </w:rPr>
              <w:t>4.3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Overall Assessment of Global Financial Stability Post-Reforms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_Toc164437671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w:t>
            </w:r>
            <w:r w:rsidR="003B4100" w:rsidRPr="003B4100">
              <w:rPr>
                <w:rFonts w:ascii="Times New Roman" w:hAnsi="Times New Roman" w:cs="Times New Roman"/>
                <w:noProof/>
                <w:webHidden/>
                <w:sz w:val="24"/>
                <w:szCs w:val="24"/>
              </w:rPr>
              <w:fldChar w:fldCharType="end"/>
            </w:r>
          </w:hyperlink>
          <w:r w:rsidR="007E0CCF">
            <w:rPr>
              <w:rFonts w:ascii="Times New Roman" w:hAnsi="Times New Roman" w:cs="Times New Roman"/>
              <w:noProof/>
              <w:sz w:val="24"/>
              <w:szCs w:val="24"/>
            </w:rPr>
            <w:t>3</w:t>
          </w:r>
        </w:p>
        <w:p w14:paraId="6EBB0F48" w14:textId="1FCF5D1A" w:rsidR="003B4100" w:rsidRPr="003B4100" w:rsidRDefault="0037194C"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164437672" w:history="1">
            <w:r w:rsidR="003B4100" w:rsidRPr="003B4100">
              <w:rPr>
                <w:rStyle w:val="Hyperlink"/>
                <w:rFonts w:ascii="Times New Roman" w:hAnsi="Times New Roman" w:cs="Times New Roman"/>
                <w:noProof/>
                <w:sz w:val="24"/>
                <w:szCs w:val="24"/>
              </w:rPr>
              <w:t>5</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Case Study: Impact of Reforms on a US Financial Services Company – Wells Fargo</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_Toc164437672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w:t>
            </w:r>
            <w:r w:rsidR="003B4100" w:rsidRPr="003B4100">
              <w:rPr>
                <w:rFonts w:ascii="Times New Roman" w:hAnsi="Times New Roman" w:cs="Times New Roman"/>
                <w:noProof/>
                <w:webHidden/>
                <w:sz w:val="24"/>
                <w:szCs w:val="24"/>
              </w:rPr>
              <w:fldChar w:fldCharType="end"/>
            </w:r>
          </w:hyperlink>
          <w:r w:rsidR="007E0CCF">
            <w:rPr>
              <w:rFonts w:ascii="Times New Roman" w:hAnsi="Times New Roman" w:cs="Times New Roman"/>
              <w:noProof/>
              <w:sz w:val="24"/>
              <w:szCs w:val="24"/>
            </w:rPr>
            <w:t>4</w:t>
          </w:r>
        </w:p>
        <w:p w14:paraId="19461CEB" w14:textId="2CAFD763"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3" w:history="1">
            <w:r w:rsidR="003B4100" w:rsidRPr="003B4100">
              <w:rPr>
                <w:rStyle w:val="Hyperlink"/>
                <w:rFonts w:ascii="Times New Roman" w:hAnsi="Times New Roman" w:cs="Times New Roman"/>
                <w:noProof/>
                <w:sz w:val="24"/>
                <w:szCs w:val="24"/>
              </w:rPr>
              <w:t>5.1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Pre-Crisis Business Model and Financial Performance</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_Toc164437673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w:t>
            </w:r>
            <w:r w:rsidR="003B4100" w:rsidRPr="003B4100">
              <w:rPr>
                <w:rFonts w:ascii="Times New Roman" w:hAnsi="Times New Roman" w:cs="Times New Roman"/>
                <w:noProof/>
                <w:webHidden/>
                <w:sz w:val="24"/>
                <w:szCs w:val="24"/>
              </w:rPr>
              <w:fldChar w:fldCharType="end"/>
            </w:r>
          </w:hyperlink>
          <w:r w:rsidR="007E0CCF">
            <w:rPr>
              <w:rFonts w:ascii="Times New Roman" w:hAnsi="Times New Roman" w:cs="Times New Roman"/>
              <w:noProof/>
              <w:sz w:val="24"/>
              <w:szCs w:val="24"/>
            </w:rPr>
            <w:t>4</w:t>
          </w:r>
        </w:p>
        <w:p w14:paraId="31D01C3E" w14:textId="69D0EE44"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4" w:history="1">
            <w:r w:rsidR="003B4100" w:rsidRPr="003B4100">
              <w:rPr>
                <w:rStyle w:val="Hyperlink"/>
                <w:rFonts w:ascii="Times New Roman" w:hAnsi="Times New Roman" w:cs="Times New Roman"/>
                <w:noProof/>
                <w:sz w:val="24"/>
                <w:szCs w:val="24"/>
              </w:rPr>
              <w:t>5.2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Post-Crisis Regulatory Impact on Business Operations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_Toc164437674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w:t>
            </w:r>
            <w:r w:rsidR="003B4100" w:rsidRPr="003B4100">
              <w:rPr>
                <w:rFonts w:ascii="Times New Roman" w:hAnsi="Times New Roman" w:cs="Times New Roman"/>
                <w:noProof/>
                <w:webHidden/>
                <w:sz w:val="24"/>
                <w:szCs w:val="24"/>
              </w:rPr>
              <w:fldChar w:fldCharType="end"/>
            </w:r>
          </w:hyperlink>
          <w:r w:rsidR="007E0CCF">
            <w:rPr>
              <w:rFonts w:ascii="Times New Roman" w:hAnsi="Times New Roman" w:cs="Times New Roman"/>
              <w:noProof/>
              <w:sz w:val="24"/>
              <w:szCs w:val="24"/>
            </w:rPr>
            <w:t>5</w:t>
          </w:r>
        </w:p>
        <w:p w14:paraId="17D84B32" w14:textId="67D2AF7E"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5" w:history="1">
            <w:r w:rsidR="003B4100" w:rsidRPr="003B4100">
              <w:rPr>
                <w:rStyle w:val="Hyperlink"/>
                <w:rFonts w:ascii="Times New Roman" w:hAnsi="Times New Roman" w:cs="Times New Roman"/>
                <w:noProof/>
                <w:sz w:val="24"/>
                <w:szCs w:val="24"/>
              </w:rPr>
              <w:t>5.3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Adaptations to Business Model in Response to Reforms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_Toc164437675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w:t>
            </w:r>
            <w:r w:rsidR="003B4100" w:rsidRPr="003B4100">
              <w:rPr>
                <w:rFonts w:ascii="Times New Roman" w:hAnsi="Times New Roman" w:cs="Times New Roman"/>
                <w:noProof/>
                <w:webHidden/>
                <w:sz w:val="24"/>
                <w:szCs w:val="24"/>
              </w:rPr>
              <w:fldChar w:fldCharType="end"/>
            </w:r>
          </w:hyperlink>
          <w:r w:rsidR="007E0CCF">
            <w:rPr>
              <w:rFonts w:ascii="Times New Roman" w:hAnsi="Times New Roman" w:cs="Times New Roman"/>
              <w:noProof/>
              <w:sz w:val="24"/>
              <w:szCs w:val="24"/>
            </w:rPr>
            <w:t>5</w:t>
          </w:r>
        </w:p>
        <w:p w14:paraId="5FC97A61" w14:textId="7A0F1A1F" w:rsidR="003B4100" w:rsidRPr="003B4100" w:rsidRDefault="0037194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6" w:history="1">
            <w:r w:rsidR="003B4100" w:rsidRPr="003B4100">
              <w:rPr>
                <w:rStyle w:val="Hyperlink"/>
                <w:rFonts w:ascii="Times New Roman" w:hAnsi="Times New Roman" w:cs="Times New Roman"/>
                <w:noProof/>
                <w:sz w:val="24"/>
                <w:szCs w:val="24"/>
              </w:rPr>
              <w:t>5.4</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Evaluation of Company's Post-Crisis Performance and Strategy</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_Toc164437676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w:t>
            </w:r>
            <w:r w:rsidR="003B4100" w:rsidRPr="003B4100">
              <w:rPr>
                <w:rFonts w:ascii="Times New Roman" w:hAnsi="Times New Roman" w:cs="Times New Roman"/>
                <w:noProof/>
                <w:webHidden/>
                <w:sz w:val="24"/>
                <w:szCs w:val="24"/>
              </w:rPr>
              <w:fldChar w:fldCharType="end"/>
            </w:r>
          </w:hyperlink>
          <w:r w:rsidR="007E0CCF">
            <w:rPr>
              <w:rFonts w:ascii="Times New Roman" w:hAnsi="Times New Roman" w:cs="Times New Roman"/>
              <w:noProof/>
              <w:sz w:val="24"/>
              <w:szCs w:val="24"/>
            </w:rPr>
            <w:t>6</w:t>
          </w:r>
        </w:p>
        <w:p w14:paraId="4F68C470" w14:textId="2FDD38E1" w:rsidR="003B4100" w:rsidRPr="003B4100" w:rsidRDefault="0037194C" w:rsidP="003B4100">
          <w:pPr>
            <w:pStyle w:val="TOC1"/>
            <w:tabs>
              <w:tab w:val="right" w:leader="dot" w:pos="9016"/>
            </w:tabs>
            <w:spacing w:line="360" w:lineRule="auto"/>
            <w:rPr>
              <w:rFonts w:ascii="Times New Roman" w:eastAsiaTheme="minorEastAsia" w:hAnsi="Times New Roman" w:cs="Times New Roman"/>
              <w:noProof/>
              <w:sz w:val="28"/>
              <w:szCs w:val="28"/>
              <w:lang w:eastAsia="en-GB"/>
            </w:rPr>
          </w:pPr>
          <w:hyperlink w:anchor="_Toc164437677" w:history="1">
            <w:r w:rsidR="003B4100" w:rsidRPr="003B4100">
              <w:rPr>
                <w:rStyle w:val="Hyperlink"/>
                <w:rFonts w:ascii="Times New Roman" w:hAnsi="Times New Roman" w:cs="Times New Roman"/>
                <w:noProof/>
                <w:sz w:val="24"/>
                <w:szCs w:val="24"/>
              </w:rPr>
              <w:t>References</w:t>
            </w:r>
            <w:r w:rsidR="003B4100" w:rsidRPr="003B4100">
              <w:rPr>
                <w:rFonts w:ascii="Times New Roman" w:hAnsi="Times New Roman" w:cs="Times New Roman"/>
                <w:noProof/>
                <w:webHidden/>
                <w:sz w:val="24"/>
                <w:szCs w:val="24"/>
              </w:rPr>
              <w:tab/>
            </w:r>
          </w:hyperlink>
          <w:r w:rsidR="007E0CCF">
            <w:rPr>
              <w:rFonts w:ascii="Times New Roman" w:hAnsi="Times New Roman" w:cs="Times New Roman"/>
              <w:noProof/>
              <w:sz w:val="24"/>
              <w:szCs w:val="24"/>
            </w:rPr>
            <w:t>17</w:t>
          </w:r>
        </w:p>
        <w:p w14:paraId="2FC715E5" w14:textId="0144D76E" w:rsidR="005920A1" w:rsidRPr="007D6CAF" w:rsidRDefault="005920A1" w:rsidP="003B4100">
          <w:pPr>
            <w:spacing w:line="360" w:lineRule="auto"/>
            <w:rPr>
              <w:rFonts w:ascii="Times New Roman" w:hAnsi="Times New Roman" w:cs="Times New Roman"/>
              <w:sz w:val="24"/>
              <w:szCs w:val="24"/>
            </w:rPr>
          </w:pPr>
          <w:r w:rsidRPr="003B4100">
            <w:rPr>
              <w:rFonts w:ascii="Times New Roman" w:hAnsi="Times New Roman" w:cs="Times New Roman"/>
              <w:b/>
              <w:bCs/>
              <w:noProof/>
              <w:sz w:val="28"/>
              <w:szCs w:val="28"/>
            </w:rPr>
            <w:fldChar w:fldCharType="end"/>
          </w:r>
        </w:p>
      </w:sdtContent>
    </w:sdt>
    <w:p w14:paraId="7F82D8F3" w14:textId="77777777" w:rsidR="000F087C" w:rsidRDefault="000F087C" w:rsidP="00706757"/>
    <w:p w14:paraId="298E7D47" w14:textId="77777777" w:rsidR="005920A1" w:rsidRDefault="005920A1" w:rsidP="00706757"/>
    <w:p w14:paraId="0034A247" w14:textId="77777777" w:rsidR="005920A1" w:rsidRDefault="005920A1" w:rsidP="00706757"/>
    <w:p w14:paraId="4A954007" w14:textId="77777777" w:rsidR="00F4470D" w:rsidRDefault="00F4470D" w:rsidP="00706757"/>
    <w:p w14:paraId="7EBE2F24" w14:textId="46B95876" w:rsidR="00F4470D" w:rsidRPr="00F4470D" w:rsidRDefault="00F4470D" w:rsidP="00F4470D">
      <w:pPr>
        <w:pStyle w:val="Content"/>
        <w:rPr>
          <w:b/>
          <w:bCs/>
        </w:rPr>
      </w:pPr>
      <w:r w:rsidRPr="00F4470D">
        <w:rPr>
          <w:b/>
          <w:bCs/>
        </w:rPr>
        <w:lastRenderedPageBreak/>
        <w:t>List of Abbreviations</w:t>
      </w:r>
    </w:p>
    <w:p w14:paraId="68D8ACD1" w14:textId="77777777" w:rsidR="00F4470D" w:rsidRPr="00F4470D" w:rsidRDefault="00F4470D" w:rsidP="00F4470D">
      <w:pPr>
        <w:pStyle w:val="Content"/>
        <w:spacing w:line="276" w:lineRule="auto"/>
        <w:rPr>
          <w:sz w:val="20"/>
          <w:szCs w:val="18"/>
        </w:rPr>
      </w:pPr>
      <w:r w:rsidRPr="00F4470D">
        <w:rPr>
          <w:sz w:val="20"/>
          <w:szCs w:val="18"/>
        </w:rPr>
        <w:t>MBS - Mortgage-Backed Securities</w:t>
      </w:r>
    </w:p>
    <w:p w14:paraId="5B6ABCF8" w14:textId="77777777" w:rsidR="00F4470D" w:rsidRPr="00F4470D" w:rsidRDefault="00F4470D" w:rsidP="00F4470D">
      <w:pPr>
        <w:pStyle w:val="Content"/>
        <w:spacing w:line="276" w:lineRule="auto"/>
        <w:rPr>
          <w:sz w:val="20"/>
          <w:szCs w:val="18"/>
        </w:rPr>
      </w:pPr>
      <w:r w:rsidRPr="00F4470D">
        <w:rPr>
          <w:sz w:val="20"/>
          <w:szCs w:val="18"/>
        </w:rPr>
        <w:t>CDO - Collateralized Debt Obligations</w:t>
      </w:r>
    </w:p>
    <w:p w14:paraId="26912BFB" w14:textId="77777777" w:rsidR="00F4470D" w:rsidRPr="00F4470D" w:rsidRDefault="00F4470D" w:rsidP="00F4470D">
      <w:pPr>
        <w:pStyle w:val="Content"/>
        <w:spacing w:line="276" w:lineRule="auto"/>
        <w:rPr>
          <w:sz w:val="20"/>
          <w:szCs w:val="18"/>
        </w:rPr>
      </w:pPr>
      <w:r w:rsidRPr="00F4470D">
        <w:rPr>
          <w:sz w:val="20"/>
          <w:szCs w:val="18"/>
        </w:rPr>
        <w:t>FSOC - Financial Stability Oversight Council</w:t>
      </w:r>
    </w:p>
    <w:p w14:paraId="2A511619" w14:textId="77777777" w:rsidR="00F4470D" w:rsidRPr="00F4470D" w:rsidRDefault="00F4470D" w:rsidP="00F4470D">
      <w:pPr>
        <w:pStyle w:val="Content"/>
        <w:spacing w:line="276" w:lineRule="auto"/>
        <w:rPr>
          <w:sz w:val="20"/>
          <w:szCs w:val="18"/>
        </w:rPr>
      </w:pPr>
      <w:r w:rsidRPr="00F4470D">
        <w:rPr>
          <w:sz w:val="20"/>
          <w:szCs w:val="18"/>
        </w:rPr>
        <w:t>CFPB - Consumer Financial Protection Bureau</w:t>
      </w:r>
    </w:p>
    <w:p w14:paraId="03C995BA" w14:textId="77777777" w:rsidR="00F4470D" w:rsidRPr="00F4470D" w:rsidRDefault="00F4470D" w:rsidP="00F4470D">
      <w:pPr>
        <w:pStyle w:val="Content"/>
        <w:spacing w:line="276" w:lineRule="auto"/>
        <w:rPr>
          <w:sz w:val="20"/>
          <w:szCs w:val="18"/>
        </w:rPr>
      </w:pPr>
      <w:r w:rsidRPr="00F4470D">
        <w:rPr>
          <w:sz w:val="20"/>
          <w:szCs w:val="18"/>
        </w:rPr>
        <w:t>SAFE - Secure and Fair Enforcement for Mortgage Licensing Act</w:t>
      </w:r>
    </w:p>
    <w:p w14:paraId="6781AF79" w14:textId="77777777" w:rsidR="00F4470D" w:rsidRPr="00F4470D" w:rsidRDefault="00F4470D" w:rsidP="00F4470D">
      <w:pPr>
        <w:pStyle w:val="Content"/>
        <w:spacing w:line="276" w:lineRule="auto"/>
        <w:rPr>
          <w:sz w:val="20"/>
          <w:szCs w:val="18"/>
        </w:rPr>
      </w:pPr>
      <w:bookmarkStart w:id="0" w:name="_GoBack"/>
      <w:bookmarkEnd w:id="0"/>
      <w:r w:rsidRPr="00F4470D">
        <w:rPr>
          <w:sz w:val="20"/>
          <w:szCs w:val="18"/>
        </w:rPr>
        <w:t>SIFI - Systemically Important Financial Institution</w:t>
      </w:r>
    </w:p>
    <w:p w14:paraId="7535A9EB" w14:textId="77777777" w:rsidR="00F4470D" w:rsidRPr="00F4470D" w:rsidRDefault="00F4470D" w:rsidP="00F4470D">
      <w:pPr>
        <w:pStyle w:val="Content"/>
        <w:spacing w:line="276" w:lineRule="auto"/>
        <w:rPr>
          <w:sz w:val="20"/>
          <w:szCs w:val="18"/>
        </w:rPr>
      </w:pPr>
      <w:r w:rsidRPr="00F4470D">
        <w:rPr>
          <w:sz w:val="20"/>
          <w:szCs w:val="18"/>
        </w:rPr>
        <w:t>CET1 - Common Equity Tier 1</w:t>
      </w:r>
    </w:p>
    <w:p w14:paraId="26C48AF8" w14:textId="77777777" w:rsidR="00F4470D" w:rsidRPr="00F4470D" w:rsidRDefault="00F4470D" w:rsidP="00F4470D">
      <w:pPr>
        <w:pStyle w:val="Content"/>
        <w:spacing w:line="276" w:lineRule="auto"/>
        <w:rPr>
          <w:sz w:val="20"/>
          <w:szCs w:val="18"/>
        </w:rPr>
      </w:pPr>
      <w:r w:rsidRPr="00F4470D">
        <w:rPr>
          <w:sz w:val="20"/>
          <w:szCs w:val="18"/>
        </w:rPr>
        <w:t>CCB - Capital Conservation Buffer</w:t>
      </w:r>
    </w:p>
    <w:p w14:paraId="5D140377" w14:textId="77777777" w:rsidR="00F4470D" w:rsidRPr="00F4470D" w:rsidRDefault="00F4470D" w:rsidP="00F4470D">
      <w:pPr>
        <w:pStyle w:val="Content"/>
        <w:spacing w:line="276" w:lineRule="auto"/>
        <w:rPr>
          <w:sz w:val="20"/>
          <w:szCs w:val="18"/>
        </w:rPr>
      </w:pPr>
      <w:proofErr w:type="spellStart"/>
      <w:r w:rsidRPr="00F4470D">
        <w:rPr>
          <w:sz w:val="20"/>
          <w:szCs w:val="18"/>
        </w:rPr>
        <w:t>CCyB</w:t>
      </w:r>
      <w:proofErr w:type="spellEnd"/>
      <w:r w:rsidRPr="00F4470D">
        <w:rPr>
          <w:sz w:val="20"/>
          <w:szCs w:val="18"/>
        </w:rPr>
        <w:t xml:space="preserve"> - Countercyclical Capital Buffer</w:t>
      </w:r>
    </w:p>
    <w:p w14:paraId="63D5CEFC" w14:textId="77777777" w:rsidR="00F4470D" w:rsidRPr="00F4470D" w:rsidRDefault="00F4470D" w:rsidP="00F4470D">
      <w:pPr>
        <w:pStyle w:val="Content"/>
        <w:spacing w:line="276" w:lineRule="auto"/>
        <w:rPr>
          <w:sz w:val="20"/>
          <w:szCs w:val="18"/>
        </w:rPr>
      </w:pPr>
      <w:r w:rsidRPr="00F4470D">
        <w:rPr>
          <w:sz w:val="20"/>
          <w:szCs w:val="18"/>
        </w:rPr>
        <w:t>HQLA - High-Quality Liquid Assets</w:t>
      </w:r>
    </w:p>
    <w:p w14:paraId="1C7282D3" w14:textId="77777777" w:rsidR="00F4470D" w:rsidRPr="00F4470D" w:rsidRDefault="00F4470D" w:rsidP="00F4470D">
      <w:pPr>
        <w:pStyle w:val="Content"/>
        <w:spacing w:line="276" w:lineRule="auto"/>
        <w:rPr>
          <w:sz w:val="20"/>
          <w:szCs w:val="18"/>
        </w:rPr>
      </w:pPr>
      <w:r w:rsidRPr="00F4470D">
        <w:rPr>
          <w:sz w:val="20"/>
          <w:szCs w:val="18"/>
        </w:rPr>
        <w:t>LCR - Liquidity Coverage Ratio</w:t>
      </w:r>
    </w:p>
    <w:p w14:paraId="701193FE" w14:textId="77777777" w:rsidR="00F4470D" w:rsidRPr="00F4470D" w:rsidRDefault="00F4470D" w:rsidP="00F4470D">
      <w:pPr>
        <w:pStyle w:val="Content"/>
        <w:spacing w:line="276" w:lineRule="auto"/>
        <w:rPr>
          <w:sz w:val="20"/>
          <w:szCs w:val="18"/>
        </w:rPr>
      </w:pPr>
      <w:r w:rsidRPr="00F4470D">
        <w:rPr>
          <w:sz w:val="20"/>
          <w:szCs w:val="18"/>
        </w:rPr>
        <w:t>NSFR - Net Stable Funding Ratio</w:t>
      </w:r>
    </w:p>
    <w:p w14:paraId="6D677214" w14:textId="77777777" w:rsidR="00F4470D" w:rsidRPr="00F4470D" w:rsidRDefault="00F4470D" w:rsidP="00F4470D">
      <w:pPr>
        <w:pStyle w:val="Content"/>
        <w:spacing w:line="276" w:lineRule="auto"/>
        <w:rPr>
          <w:sz w:val="20"/>
          <w:szCs w:val="18"/>
        </w:rPr>
      </w:pPr>
      <w:r w:rsidRPr="00F4470D">
        <w:rPr>
          <w:sz w:val="20"/>
          <w:szCs w:val="18"/>
        </w:rPr>
        <w:t>OCC - Office of the Comptroller of the Currency</w:t>
      </w:r>
    </w:p>
    <w:p w14:paraId="34905E61" w14:textId="77777777" w:rsidR="00F4470D" w:rsidRPr="00F4470D" w:rsidRDefault="00F4470D" w:rsidP="00F4470D">
      <w:pPr>
        <w:pStyle w:val="Content"/>
        <w:spacing w:line="276" w:lineRule="auto"/>
        <w:rPr>
          <w:sz w:val="20"/>
          <w:szCs w:val="18"/>
        </w:rPr>
      </w:pPr>
      <w:r w:rsidRPr="00F4470D">
        <w:rPr>
          <w:sz w:val="20"/>
          <w:szCs w:val="18"/>
        </w:rPr>
        <w:t>FDIC - Federal Deposit Insurance Corporation</w:t>
      </w:r>
    </w:p>
    <w:p w14:paraId="2181857C" w14:textId="77777777" w:rsidR="00F4470D" w:rsidRPr="00F4470D" w:rsidRDefault="00F4470D" w:rsidP="00F4470D">
      <w:pPr>
        <w:pStyle w:val="Content"/>
        <w:spacing w:line="276" w:lineRule="auto"/>
        <w:rPr>
          <w:sz w:val="20"/>
          <w:szCs w:val="18"/>
        </w:rPr>
      </w:pPr>
      <w:r w:rsidRPr="00F4470D">
        <w:rPr>
          <w:sz w:val="20"/>
          <w:szCs w:val="18"/>
        </w:rPr>
        <w:t>CARD - Credit Card Accountability Responsibility and Disclosure Act</w:t>
      </w:r>
    </w:p>
    <w:p w14:paraId="00EA9C26" w14:textId="77777777" w:rsidR="00F4470D" w:rsidRPr="00F4470D" w:rsidRDefault="00F4470D" w:rsidP="00F4470D">
      <w:pPr>
        <w:pStyle w:val="Content"/>
        <w:spacing w:line="276" w:lineRule="auto"/>
        <w:rPr>
          <w:sz w:val="20"/>
          <w:szCs w:val="18"/>
        </w:rPr>
      </w:pPr>
      <w:r w:rsidRPr="00F4470D">
        <w:rPr>
          <w:sz w:val="20"/>
          <w:szCs w:val="18"/>
        </w:rPr>
        <w:t>HAMP - Home Affordable Modification Program</w:t>
      </w:r>
    </w:p>
    <w:p w14:paraId="437516D3" w14:textId="77777777" w:rsidR="00F4470D" w:rsidRPr="00F4470D" w:rsidRDefault="00F4470D" w:rsidP="00F4470D">
      <w:pPr>
        <w:pStyle w:val="Content"/>
        <w:spacing w:line="276" w:lineRule="auto"/>
        <w:rPr>
          <w:sz w:val="20"/>
          <w:szCs w:val="18"/>
        </w:rPr>
      </w:pPr>
      <w:r w:rsidRPr="00F4470D">
        <w:rPr>
          <w:sz w:val="20"/>
          <w:szCs w:val="18"/>
        </w:rPr>
        <w:t>FSA - Financial Services Authority</w:t>
      </w:r>
    </w:p>
    <w:p w14:paraId="7DF97F41" w14:textId="77777777" w:rsidR="00F4470D" w:rsidRPr="00F4470D" w:rsidRDefault="00F4470D" w:rsidP="00F4470D">
      <w:pPr>
        <w:pStyle w:val="Content"/>
        <w:spacing w:line="276" w:lineRule="auto"/>
        <w:rPr>
          <w:sz w:val="20"/>
          <w:szCs w:val="18"/>
        </w:rPr>
      </w:pPr>
      <w:r w:rsidRPr="00F4470D">
        <w:rPr>
          <w:sz w:val="20"/>
          <w:szCs w:val="18"/>
        </w:rPr>
        <w:t>PRA - Prudential Regulation Authority</w:t>
      </w:r>
    </w:p>
    <w:p w14:paraId="6793EDC7" w14:textId="77777777" w:rsidR="00F4470D" w:rsidRPr="00F4470D" w:rsidRDefault="00F4470D" w:rsidP="00F4470D">
      <w:pPr>
        <w:pStyle w:val="Content"/>
        <w:spacing w:line="276" w:lineRule="auto"/>
        <w:rPr>
          <w:sz w:val="20"/>
          <w:szCs w:val="18"/>
        </w:rPr>
      </w:pPr>
      <w:r w:rsidRPr="00F4470D">
        <w:rPr>
          <w:sz w:val="20"/>
          <w:szCs w:val="18"/>
        </w:rPr>
        <w:t>FCA - Financial Conduct Authority</w:t>
      </w:r>
    </w:p>
    <w:p w14:paraId="3115CD3A" w14:textId="77777777" w:rsidR="00F4470D" w:rsidRPr="00F4470D" w:rsidRDefault="00F4470D" w:rsidP="00F4470D">
      <w:pPr>
        <w:pStyle w:val="Content"/>
        <w:spacing w:line="276" w:lineRule="auto"/>
        <w:rPr>
          <w:sz w:val="20"/>
          <w:szCs w:val="18"/>
        </w:rPr>
      </w:pPr>
      <w:r w:rsidRPr="00F4470D">
        <w:rPr>
          <w:sz w:val="20"/>
          <w:szCs w:val="18"/>
        </w:rPr>
        <w:t>SRP - Special Resolution Powers</w:t>
      </w:r>
    </w:p>
    <w:p w14:paraId="2C6EED0F" w14:textId="77777777" w:rsidR="00F4470D" w:rsidRPr="00F4470D" w:rsidRDefault="00F4470D" w:rsidP="00F4470D">
      <w:pPr>
        <w:pStyle w:val="Content"/>
        <w:spacing w:line="276" w:lineRule="auto"/>
        <w:rPr>
          <w:sz w:val="20"/>
          <w:szCs w:val="18"/>
        </w:rPr>
      </w:pPr>
      <w:r w:rsidRPr="00F4470D">
        <w:rPr>
          <w:sz w:val="20"/>
          <w:szCs w:val="18"/>
        </w:rPr>
        <w:t>APS - Asset Protection Scheme</w:t>
      </w:r>
    </w:p>
    <w:p w14:paraId="36891AC3" w14:textId="77777777" w:rsidR="00F4470D" w:rsidRPr="00F4470D" w:rsidRDefault="00F4470D" w:rsidP="00F4470D">
      <w:pPr>
        <w:pStyle w:val="Content"/>
        <w:spacing w:line="276" w:lineRule="auto"/>
        <w:rPr>
          <w:sz w:val="20"/>
          <w:szCs w:val="18"/>
        </w:rPr>
      </w:pPr>
      <w:r w:rsidRPr="00F4470D">
        <w:rPr>
          <w:sz w:val="20"/>
          <w:szCs w:val="18"/>
        </w:rPr>
        <w:t>CGS - Credit Guarantee Scheme</w:t>
      </w:r>
    </w:p>
    <w:p w14:paraId="44D47B2A" w14:textId="77777777" w:rsidR="00F4470D" w:rsidRPr="00F4470D" w:rsidRDefault="00F4470D" w:rsidP="00F4470D">
      <w:pPr>
        <w:pStyle w:val="Content"/>
        <w:spacing w:line="276" w:lineRule="auto"/>
        <w:rPr>
          <w:sz w:val="20"/>
          <w:szCs w:val="18"/>
        </w:rPr>
      </w:pPr>
      <w:r w:rsidRPr="00F4470D">
        <w:rPr>
          <w:sz w:val="20"/>
          <w:szCs w:val="18"/>
        </w:rPr>
        <w:t>BCBS - Basel Committee on Banking Supervision</w:t>
      </w:r>
    </w:p>
    <w:p w14:paraId="2685C94F" w14:textId="77777777" w:rsidR="00F4470D" w:rsidRPr="00F4470D" w:rsidRDefault="00F4470D" w:rsidP="00F4470D">
      <w:pPr>
        <w:pStyle w:val="Content"/>
        <w:spacing w:line="276" w:lineRule="auto"/>
        <w:rPr>
          <w:sz w:val="20"/>
          <w:szCs w:val="18"/>
        </w:rPr>
      </w:pPr>
      <w:r w:rsidRPr="00F4470D">
        <w:rPr>
          <w:sz w:val="20"/>
          <w:szCs w:val="18"/>
        </w:rPr>
        <w:t>RWA - Risk-Weighted Assets</w:t>
      </w:r>
    </w:p>
    <w:p w14:paraId="7588A760" w14:textId="77777777" w:rsidR="00F4470D" w:rsidRPr="00F4470D" w:rsidRDefault="00F4470D" w:rsidP="00F4470D">
      <w:pPr>
        <w:pStyle w:val="Content"/>
        <w:spacing w:line="276" w:lineRule="auto"/>
        <w:rPr>
          <w:sz w:val="20"/>
          <w:szCs w:val="18"/>
        </w:rPr>
      </w:pPr>
      <w:r w:rsidRPr="00F4470D">
        <w:rPr>
          <w:sz w:val="20"/>
          <w:szCs w:val="18"/>
        </w:rPr>
        <w:t>GDP - Gross Domestic Product</w:t>
      </w:r>
    </w:p>
    <w:p w14:paraId="78C32D4D" w14:textId="31B193B3" w:rsidR="005920A1" w:rsidRPr="00F4470D" w:rsidRDefault="00F4470D" w:rsidP="00F4470D">
      <w:pPr>
        <w:pStyle w:val="Content"/>
        <w:spacing w:line="276" w:lineRule="auto"/>
        <w:rPr>
          <w:sz w:val="20"/>
          <w:szCs w:val="18"/>
        </w:rPr>
      </w:pPr>
      <w:r w:rsidRPr="00F4470D">
        <w:rPr>
          <w:sz w:val="20"/>
          <w:szCs w:val="18"/>
        </w:rPr>
        <w:t>ROE - Return on Equity</w:t>
      </w:r>
    </w:p>
    <w:p w14:paraId="6171684E" w14:textId="1635B9FA" w:rsidR="00706757" w:rsidRDefault="00E06D9E" w:rsidP="00706757">
      <w:pPr>
        <w:pStyle w:val="Heading1"/>
      </w:pPr>
      <w:bookmarkStart w:id="1" w:name="_Toc164437657"/>
      <w:r>
        <w:lastRenderedPageBreak/>
        <w:t>Introduction</w:t>
      </w:r>
      <w:bookmarkEnd w:id="1"/>
    </w:p>
    <w:p w14:paraId="171192B7" w14:textId="77777777" w:rsidR="00BE5255" w:rsidRDefault="00BE5255" w:rsidP="00BE5255">
      <w:pPr>
        <w:pStyle w:val="Content"/>
      </w:pPr>
      <w:r>
        <w:t>The 2008 Financial Crisis (commonly referred to as the Global Financial Crisis) was a global severe economic damage boosted by financial institutions and markets, which had several shocks. This introduction will contain a description of the consequences the crisis has had on the property and financial institutions markets and how this has been tackled by the governments and central banks (Corporate Finance Institute, 2015).</w:t>
      </w:r>
    </w:p>
    <w:p w14:paraId="6FB73AD2" w14:textId="428E72DD" w:rsidR="00BE5255" w:rsidRPr="00BE5255" w:rsidRDefault="00BE5255" w:rsidP="00BE5255">
      <w:pPr>
        <w:pStyle w:val="Content"/>
      </w:pPr>
      <w:r>
        <w:t>The 2008 Financial Crisis was the result of the joint effect of several factors among which the United States housing bubble, the expansion of subprime mortgages, and a plethora of complex financial products, such as mortgage-backed securities and collateralized debt obligations, which were major players in the market during that time</w:t>
      </w:r>
      <w:r w:rsidR="006024B3">
        <w:t xml:space="preserve">. </w:t>
      </w:r>
      <w:r>
        <w:t xml:space="preserve">The housing market had started but it was 15th September 2008, the failure of Lehman Brothers, the largest investment bank in the United States, </w:t>
      </w:r>
      <w:r w:rsidR="00A30A4F">
        <w:t>which</w:t>
      </w:r>
      <w:r>
        <w:t xml:space="preserve"> led to the terror. The banking system was hit with the bankruptcy and credit crisis as banks accept that they cannot trust each other, and they also stop lending money to businesses and consumers.</w:t>
      </w:r>
    </w:p>
    <w:p w14:paraId="73A87315" w14:textId="77777777" w:rsidR="001A42A6" w:rsidRDefault="001A42A6" w:rsidP="001A42A6">
      <w:pPr>
        <w:pStyle w:val="Heading2"/>
      </w:pPr>
      <w:bookmarkStart w:id="2" w:name="_Toc164437658"/>
      <w:r>
        <w:t>Impact on the Real Estate Market and Financial Institutions</w:t>
      </w:r>
      <w:bookmarkEnd w:id="2"/>
    </w:p>
    <w:p w14:paraId="11D290AC" w14:textId="0A65EC97" w:rsidR="00BE5255" w:rsidRPr="00BE5255" w:rsidRDefault="00BE5255" w:rsidP="00BE5255">
      <w:pPr>
        <w:pStyle w:val="Content"/>
      </w:pPr>
      <w:r w:rsidRPr="00BE5255">
        <w:t>The housing market in 2008 was probably the key economic agent in the 2008 Financial Crisis. Bust had burst home price bubble while value of the S&amp;P/Case-</w:t>
      </w:r>
      <w:proofErr w:type="spellStart"/>
      <w:r w:rsidRPr="00BE5255">
        <w:t>Shiller</w:t>
      </w:r>
      <w:proofErr w:type="spellEnd"/>
      <w:r w:rsidRPr="00BE5255">
        <w:t xml:space="preserve"> U.S. National Home Price Index in July 2006 was about 27.4 percent drop were noticed as of February 2012 (S&amp;P Dow Jones Indices LLC, 2021). Home values plummeted, which negatively impacted those who were obliged to pay for their mortgage loans above their home's value; therefore, the homeowners found themselves 'underwater' (Mayer et al., 2009). This resulted in the crisis to take hold of the economic establishments as well. </w:t>
      </w:r>
      <w:r w:rsidR="00A30A4F" w:rsidRPr="00BE5255">
        <w:t>Many</w:t>
      </w:r>
      <w:r w:rsidRPr="00BE5255">
        <w:t xml:space="preserve"> banks and financial companies bought different bad </w:t>
      </w:r>
      <w:r w:rsidRPr="005C6730">
        <w:t>asset</w:t>
      </w:r>
      <w:r w:rsidR="005C6730">
        <w:t xml:space="preserve"> </w:t>
      </w:r>
      <w:r w:rsidRPr="00E225C3">
        <w:rPr>
          <w:b/>
          <w:bCs/>
        </w:rPr>
        <w:t>(MBS</w:t>
      </w:r>
      <w:r w:rsidR="005C6730" w:rsidRPr="00E225C3">
        <w:rPr>
          <w:b/>
          <w:bCs/>
        </w:rPr>
        <w:t>- Mortgage – Backed Securities</w:t>
      </w:r>
      <w:r w:rsidRPr="00E225C3">
        <w:rPr>
          <w:b/>
          <w:bCs/>
        </w:rPr>
        <w:t xml:space="preserve"> and CDO</w:t>
      </w:r>
      <w:r w:rsidR="005C6730" w:rsidRPr="00E225C3">
        <w:rPr>
          <w:b/>
          <w:bCs/>
        </w:rPr>
        <w:t xml:space="preserve"> -Collateralized Debt Obligations</w:t>
      </w:r>
      <w:r w:rsidRPr="00E225C3">
        <w:rPr>
          <w:b/>
          <w:bCs/>
        </w:rPr>
        <w:t>)</w:t>
      </w:r>
      <w:r w:rsidRPr="00BE5255">
        <w:t xml:space="preserve"> and simply continued to gain new assets (</w:t>
      </w:r>
      <w:proofErr w:type="spellStart"/>
      <w:r w:rsidRPr="00BE5255">
        <w:t>Crotty</w:t>
      </w:r>
      <w:proofErr w:type="spellEnd"/>
      <w:r w:rsidRPr="00BE5255">
        <w:t>, 2009). More loan here leads to problems like capital fragmentation and capital loss. Yet many other banks, like Bear Stearns and Lehman Brothers, failed completely, while some, for example others like Merrill Lynch and Wachovia, were purchased by other companies (</w:t>
      </w:r>
      <w:proofErr w:type="spellStart"/>
      <w:r w:rsidRPr="00BE5255">
        <w:t>Sorkin</w:t>
      </w:r>
      <w:proofErr w:type="spellEnd"/>
      <w:r w:rsidRPr="00BE5255">
        <w:t xml:space="preserve">, 2010). Central banks and government institutions of countries applied extraordinary measures for the first time in their history to stop the fall of financial markets and to maintain the economic stability. The Fed in the earlier period of US went for the target rate being minimal close to </w:t>
      </w:r>
      <w:r w:rsidR="00E225C3">
        <w:t>0%</w:t>
      </w:r>
      <w:r w:rsidRPr="00BE5255">
        <w:t xml:space="preserve"> and then it was the inconvenient monetary policy measure used in this case such that QE policies were implemented (Bernanke, 2013). As a result of Economic Stimulus Act of 2008 and American </w:t>
      </w:r>
      <w:r w:rsidRPr="00BE5255">
        <w:lastRenderedPageBreak/>
        <w:t xml:space="preserve">Reinvestment and Recovery Act of 2009, which were part of fiscal stimulus measures, implemented by the US government (Blinder and </w:t>
      </w:r>
      <w:proofErr w:type="spellStart"/>
      <w:r w:rsidRPr="00BE5255">
        <w:t>Zandi</w:t>
      </w:r>
      <w:proofErr w:type="spellEnd"/>
      <w:r w:rsidRPr="00BE5255">
        <w:t>, 2015). Also, not only western countries, but many other countries did the same for solving these issues as well. As a result, the BOE and the ECB and additional QE programme at the same time lowering the rates. For instance, the tool of the fiscal stimulus was the one that both Western countries and Asia used to help their economies grow (International Monetary Fund, 2009).</w:t>
      </w:r>
    </w:p>
    <w:p w14:paraId="6D16B361" w14:textId="77777777" w:rsidR="006C28D0" w:rsidRDefault="006C28D0" w:rsidP="006C28D0">
      <w:pPr>
        <w:pStyle w:val="Heading1"/>
      </w:pPr>
      <w:bookmarkStart w:id="3" w:name="_Toc164437659"/>
      <w:r w:rsidRPr="006C28D0">
        <w:t>US Laws, Regulations, and Contracts Post-2008 Financial Crisis</w:t>
      </w:r>
      <w:bookmarkEnd w:id="3"/>
    </w:p>
    <w:p w14:paraId="0D4E8BA5" w14:textId="56F62EB3" w:rsidR="00BE5255" w:rsidRPr="00BE5255" w:rsidRDefault="00BE5255" w:rsidP="00BE5255">
      <w:pPr>
        <w:pStyle w:val="Content"/>
      </w:pPr>
      <w:r w:rsidRPr="00BE5255">
        <w:t>The 2008 Financial Crisis revealed that the U.S. system was full of deep-seated flaws despite years of regulation. By the reaction of the U.S. government, the sphere of finance was regulated with a package of new strict laws which were aimed at damaging the crises and stabilizing the system. The latter section is about a critical analysis of the crucial legislation that has arisen after the crisis and its bearing on the US financial sector.</w:t>
      </w:r>
    </w:p>
    <w:p w14:paraId="5E2D6E6C" w14:textId="231AD886" w:rsidR="002B0CA7" w:rsidRDefault="006C28D0" w:rsidP="006C28D0">
      <w:pPr>
        <w:pStyle w:val="Heading2"/>
      </w:pPr>
      <w:bookmarkStart w:id="4" w:name="_Toc164437660"/>
      <w:r w:rsidRPr="006C28D0">
        <w:t>Dodd-Frank Wall Street Reform and Consumer Protection Act</w:t>
      </w:r>
      <w:bookmarkEnd w:id="4"/>
    </w:p>
    <w:p w14:paraId="6E62536F" w14:textId="77777777" w:rsidR="00BE5255" w:rsidRDefault="00BE5255" w:rsidP="00BE5255">
      <w:pPr>
        <w:pStyle w:val="Content"/>
      </w:pPr>
      <w:r>
        <w:t>Dodd-Frank Wall Street Reform and Consumer Protection Act, which is also commonly known as simply Dodd-Frank, was passed on July 21, 2010, and marks the most significant financial regulatory reforms in the U.S. since the Great Depression that took place during the 1930s (Acharya &amp; Richardson, 2012). The goal of this Act is to increase economic stability, promote financial clarity, and restrain misconduct that involves monetary dishonesty and unfair practices. The primary act of the Dodd-Frank Act is the creation of a new organizational structure named "Financial Stability Oversight Council" (FSOC) - Dodd-Frank Act, Section 303 (</w:t>
      </w:r>
      <w:proofErr w:type="spellStart"/>
      <w:r>
        <w:t>GovInfo</w:t>
      </w:r>
      <w:proofErr w:type="spellEnd"/>
      <w:r>
        <w:t>, 2010). In terms of the FSOC’s mission, this involves not only finding and dealing with potential systemic risks originating from giant, structurally complicated entities within the financial system but also, through their interconnectedness. According to the Dodd-Frank Act, Section 113 the Financial Stability Oversight Council (FSOC) has the competency to designate as systemically important financial institutions (SIFIs) any non-bank financial institutions that ought to be supervised and regulated by the fed as authorized by Dodd-Frank Act.</w:t>
      </w:r>
    </w:p>
    <w:p w14:paraId="339BC64A" w14:textId="7B5EF162" w:rsidR="006A4830" w:rsidRPr="006A4830" w:rsidRDefault="00BE5255" w:rsidP="006A4830">
      <w:pPr>
        <w:pStyle w:val="Content"/>
      </w:pPr>
      <w:r>
        <w:t>The Dodd-Frank Act</w:t>
      </w:r>
      <w:proofErr w:type="gramStart"/>
      <w:r>
        <w:t>​ was</w:t>
      </w:r>
      <w:proofErr w:type="gramEnd"/>
      <w:r>
        <w:t xml:space="preserve"> not made effective without creating the Consumer Financial Protection Bureau (CFPB)​ - Section 1011 of the Dodd - Frank Act (​</w:t>
      </w:r>
      <w:proofErr w:type="spellStart"/>
      <w:r>
        <w:t>GovInfo</w:t>
      </w:r>
      <w:proofErr w:type="spellEnd"/>
      <w:r>
        <w:t xml:space="preserve">,​ 2010). The CFPB is a free regulator which on behalf of the consumers checks the non-sway practices like unconscionable, </w:t>
      </w:r>
      <w:r w:rsidR="00661F34">
        <w:t>fraudulent,</w:t>
      </w:r>
      <w:r>
        <w:t xml:space="preserve"> and deceptive in the financial sector. CFPB is empowered with </w:t>
      </w:r>
      <w:r>
        <w:lastRenderedPageBreak/>
        <w:t>rulemaking, supervisory, and enforcement powers touching on a broad range of financial institutions and consumer products including banks, credit unions, mortgage lenders, payday lenders per Dodd-Frank Act’s Section 1022. Paul Volcker's rule, also called as the key provision of the Dodd-Frank Act, is, in fact, contained in the Dodd-Frank Act, Schedule 619 (Federal Reserve Board, 2020). The regulation refers to banks being unable to trade for their accounts or for funds like hedge funds and private equity funds. It is a Volcker’s Rule that is aimed at limiting risky behavior by the banks as much as possible, narrowing down the usage of taxpayer deposits for speculative purposes.</w:t>
      </w:r>
    </w:p>
    <w:p w14:paraId="592E47CD" w14:textId="19F9C3F1" w:rsidR="00DE7F7F" w:rsidRDefault="00A01EFB" w:rsidP="00A01EFB">
      <w:pPr>
        <w:pStyle w:val="Heading2"/>
      </w:pPr>
      <w:bookmarkStart w:id="5" w:name="_Toc164437661"/>
      <w:r>
        <w:t>Basel III Capital and Liquidity Standards</w:t>
      </w:r>
      <w:bookmarkEnd w:id="5"/>
    </w:p>
    <w:p w14:paraId="1A8F5C5B" w14:textId="2526CFB4" w:rsidR="00805D34" w:rsidRDefault="006A4830" w:rsidP="006A4830">
      <w:pPr>
        <w:pStyle w:val="Content"/>
      </w:pPr>
      <w:r>
        <w:t xml:space="preserve">Besides the implemented domestic policy reforms, the US is also adopting international regulatory banking standards of the Basel Committee on Banking Supervision (BCBS) after the 2008 Financial Crisis. Basel III will, therefore, build a more stable banking sector by raising banks minimum capital, improving risk management </w:t>
      </w:r>
      <w:r w:rsidR="00661F34">
        <w:t>mechanism,</w:t>
      </w:r>
      <w:r>
        <w:t xml:space="preserve"> and demanding more detailed disclosure and transparency (Basel Committee, 2010). Basel III includes higher capital charge among banks, which means the banks can withstand potential losses during economic depression. </w:t>
      </w:r>
      <w:r w:rsidR="003B4100" w:rsidRPr="003B4100">
        <w:t>The model proposes the establishment of a type of capital called Common Equity Tier 1 (CET1), which consists of common stock shares and retained earnings. Banks are required to maintain CET1 capital at no less than 4.5% of their risk-weighted assets. Alongside CET1, Basel III introduces the capital conservation buffer (CCB) and the countercyclical capital buffer (</w:t>
      </w:r>
      <w:proofErr w:type="spellStart"/>
      <w:r w:rsidR="003B4100" w:rsidRPr="003B4100">
        <w:t>CCyB</w:t>
      </w:r>
      <w:proofErr w:type="spellEnd"/>
      <w:r w:rsidR="003B4100" w:rsidRPr="003B4100">
        <w:t xml:space="preserve">). The CCB, set at 2.5% of risk-weighted assets, allows banks to build up capital reserves during stable periods to bolster their finances during economic downturns. The countercyclical buffer, ranging from 0% to 2.5% of risk-weighted assets, is designed to protect the banking sector during periods of excessive credit expansion, which often precipitates systemic risks. </w:t>
      </w:r>
      <w:r>
        <w:t xml:space="preserve">(Basel Committee, 2010). Basel III goes hand in hand with the capital conservation buffer or CCB and the countercyclical capital buffer (CCB). The capital conservation buffer (CCB) of 2.5% of risk-weighted assets is aimed to let banks accumulate capital buffers in tranquil times, which may be used to refill their coffers during </w:t>
      </w:r>
      <w:proofErr w:type="spellStart"/>
      <w:r>
        <w:t>turmoils</w:t>
      </w:r>
      <w:proofErr w:type="spellEnd"/>
      <w:r>
        <w:t xml:space="preserve"> (Basel Committee, 2010). The countercyclical buffer, which will be 0% to 2.5% of the risk-weighted assets (RWA), is formulated to secure the banking sectors during the phase of high credit growth, where build-up is often the trigger of systemic risks (Basel Committee, 2010).</w:t>
      </w:r>
    </w:p>
    <w:p w14:paraId="26A4567D" w14:textId="6850FF70" w:rsidR="006A4830" w:rsidRPr="006A4830" w:rsidRDefault="006A4830" w:rsidP="006A4830">
      <w:pPr>
        <w:pStyle w:val="Content"/>
      </w:pPr>
      <w:r>
        <w:t xml:space="preserve">Furthermore, Basel III enhances the availability of capital and implements new liquidity standards that strengthen the banks’ ability to tackle both the short-term and the long-term </w:t>
      </w:r>
      <w:r>
        <w:lastRenderedPageBreak/>
        <w:t xml:space="preserve">liquidity issues. The Basel Committee (2010) requires banks to have enough high-quality liquid assets (HQLA) to meet their total net debit positions stressed over a 30-day period that is outlined above (LCR). The NSFR (Net Stable Funding Ratio) dictates banks to stabilize their funding </w:t>
      </w:r>
      <w:r w:rsidR="00A30A4F">
        <w:t>for</w:t>
      </w:r>
      <w:r>
        <w:t xml:space="preserve"> one year, which means that they </w:t>
      </w:r>
      <w:r w:rsidR="00E225C3">
        <w:t>must</w:t>
      </w:r>
      <w:r>
        <w:t xml:space="preserve"> plan assets that are included in the off-balance sheet as well (Basel Committee, 2010). The process of U.S. implementation for Basel III must be carried through the issuance of regulations by the Federal Reserve, the Office of the Comptroller of the Currency (OCC) and the Federal Deposit Insurance Corporation (FDIC).</w:t>
      </w:r>
    </w:p>
    <w:p w14:paraId="1B72ADFD" w14:textId="6A175211" w:rsidR="0026709D" w:rsidRDefault="00A42C40" w:rsidP="00A42C40">
      <w:pPr>
        <w:pStyle w:val="Heading2"/>
      </w:pPr>
      <w:bookmarkStart w:id="6" w:name="_Toc164437662"/>
      <w:r>
        <w:t>Other Relevant Laws and Regulations</w:t>
      </w:r>
      <w:bookmarkEnd w:id="6"/>
    </w:p>
    <w:p w14:paraId="4C4EA5F0" w14:textId="7833EC35" w:rsidR="006A4830" w:rsidRDefault="006A4830" w:rsidP="006A4830">
      <w:pPr>
        <w:pStyle w:val="Content"/>
      </w:pPr>
      <w:r>
        <w:t xml:space="preserve">The Dodd-Frank Act of Basel III level, which is stricter regulation, is the major actor in the Global Financial System improvement post the 2008 Financial Crisis. Besides this, the other laws and the rules were also created </w:t>
      </w:r>
      <w:r w:rsidR="00A30A4F">
        <w:t>to</w:t>
      </w:r>
      <w:r>
        <w:t xml:space="preserve"> deal with the problems of specific nature and keep consumers’ rights without violating. The CARD Act of 2009 </w:t>
      </w:r>
      <w:proofErr w:type="gramStart"/>
      <w:r>
        <w:t>include(</w:t>
      </w:r>
      <w:proofErr w:type="gramEnd"/>
      <w:r>
        <w:t xml:space="preserve">d) provisions geared toward safeguarding consumers from exploitative rates and hazy conditions (CARD Act of 2009 was enacted with this objective). The focal clauses of the Act are the ones that impose interest rate cap, require free rate changes </w:t>
      </w:r>
      <w:r w:rsidR="00661F34">
        <w:t>forecasts,</w:t>
      </w:r>
      <w:r>
        <w:t xml:space="preserve"> and give guidance how to reduce the number of fees and penalties (Federal Trade Commission, 2009).</w:t>
      </w:r>
    </w:p>
    <w:p w14:paraId="0040C9E6" w14:textId="77777777" w:rsidR="006A4830" w:rsidRDefault="006A4830" w:rsidP="006A4830">
      <w:pPr>
        <w:pStyle w:val="Content"/>
      </w:pPr>
      <w:r>
        <w:t>The 2009 Helping Families Get Back on Track Act offered to a specific homeowner group - people who lost their properties after the Great Recession ( 2009 Helping Families Get Back on Track Act and after the crash of the housing market). The Act invented the Home Affordable Modification Program (HAMP) which targeted eligible homeowners and secured to them to the housing loans safe and sound (U.S Department of the Treasury, 2012).</w:t>
      </w:r>
    </w:p>
    <w:p w14:paraId="376052B4" w14:textId="43101EB0" w:rsidR="006A4830" w:rsidRPr="006A4830" w:rsidRDefault="006A4830" w:rsidP="006A4830">
      <w:pPr>
        <w:pStyle w:val="Content"/>
      </w:pPr>
      <w:r>
        <w:t xml:space="preserve">The amendment SAFE Act require national licenses and registration for mortgage loan originators to occur (Chapter 540: Secure and Fair Enforcement for Mortgage Licensing Act of 2008). Crux of the SAFE Act is consumer protection against fraud. Hence the act adds requirements for loan originators rendering services to procuring registration and license </w:t>
      </w:r>
      <w:proofErr w:type="gramStart"/>
      <w:r>
        <w:t>( National</w:t>
      </w:r>
      <w:proofErr w:type="gramEnd"/>
      <w:r>
        <w:t xml:space="preserve"> Credit Union Administration, 2020).</w:t>
      </w:r>
    </w:p>
    <w:p w14:paraId="3893F821" w14:textId="5B6D4946" w:rsidR="00A42C40" w:rsidRDefault="004902BA" w:rsidP="004902BA">
      <w:pPr>
        <w:pStyle w:val="Heading2"/>
      </w:pPr>
      <w:bookmarkStart w:id="7" w:name="_Toc164437663"/>
      <w:r>
        <w:t>Impact on the US Financial System</w:t>
      </w:r>
      <w:bookmarkEnd w:id="7"/>
    </w:p>
    <w:p w14:paraId="4AB78502" w14:textId="79E0602E" w:rsidR="00696892" w:rsidRDefault="00696892" w:rsidP="00696892">
      <w:pPr>
        <w:pStyle w:val="Content"/>
      </w:pPr>
      <w:r>
        <w:t xml:space="preserve">The U.S. Financial System and the policies governing it were impacted substantially by the laws and regulations enacted to handle the aftermath of the 2008 Financial Crisis. The lawmakers changed the way of functioning of financial institutions and their previous actions which resulted in legislations, continue to influence the daily operations. Dodd-Frank and Basel </w:t>
      </w:r>
      <w:r>
        <w:lastRenderedPageBreak/>
        <w:t xml:space="preserve">III, which set higher bank capital and liquidity standards, have had positive impact by ensuring that banks become more resilient and full proof of financial crisis. </w:t>
      </w:r>
      <w:r w:rsidR="00661F34">
        <w:t>Even though</w:t>
      </w:r>
      <w:r>
        <w:t xml:space="preserve"> the weighting of capital quality has been increased to help banks in absorbing losses during stress periods, however, the capital available and shaped today is richer in quantity and variety. Furthermore, the inclusion of the new liquidity standards (LCR and NSFR) terms </w:t>
      </w:r>
      <w:r w:rsidR="00661F34">
        <w:t>has</w:t>
      </w:r>
      <w:r>
        <w:t xml:space="preserve"> given banks a chance to provision short-term and long-term liquidation cases (Basel Committee 2010).</w:t>
      </w:r>
    </w:p>
    <w:p w14:paraId="3131600B" w14:textId="7B970289" w:rsidR="00696892" w:rsidRDefault="00661F34" w:rsidP="00696892">
      <w:pPr>
        <w:pStyle w:val="Content"/>
      </w:pPr>
      <w:r w:rsidRPr="00661F34">
        <w:t xml:space="preserve">The Volcker Rule made the American financial system more stable by regulating institutions like banks, hedge funds, and private equity funds to minimize their risk-taking. Hedge funds are considered "risk shelters" because they offer investors higher returns in exchange for accepting higher levels of risk in their investment strategies. </w:t>
      </w:r>
      <w:r w:rsidR="00696892">
        <w:t>(</w:t>
      </w:r>
      <w:proofErr w:type="spellStart"/>
      <w:r w:rsidR="00696892">
        <w:t>Duffie</w:t>
      </w:r>
      <w:proofErr w:type="spellEnd"/>
      <w:r w:rsidR="00696892">
        <w:t xml:space="preserve">, 2012). </w:t>
      </w:r>
      <w:r>
        <w:t>Regarding</w:t>
      </w:r>
      <w:r w:rsidR="00696892">
        <w:t xml:space="preserve"> other views, critics of Volcker Rule believe that it hampers market liquidity, as banks decreased their participation in market making activities. Market making used to be the way securities could be sold and bought (</w:t>
      </w:r>
      <w:proofErr w:type="spellStart"/>
      <w:r w:rsidR="00696892">
        <w:t>Duffie</w:t>
      </w:r>
      <w:proofErr w:type="spellEnd"/>
      <w:r w:rsidR="00696892">
        <w:t xml:space="preserve">, 2012). The establishment of the CFPB has, just to mention, only reinforced enforcement of consumer protection in that sector and the like. The Bureau has initiated administrative proceedings against financial institutions for several actions alleging misleading and unlawful conduct. The function of these actions is the recovery of stiff penalties and restitution amounts correspondingly for health care consumers in aggregation for </w:t>
      </w:r>
      <w:r w:rsidR="003B4100">
        <w:t>billions</w:t>
      </w:r>
      <w:r w:rsidR="00696892">
        <w:t xml:space="preserve"> of dollars on an annual basis (Consumer Financial Protection Bureau, 2021). Similarly on the other side, the </w:t>
      </w:r>
      <w:r>
        <w:t>minus</w:t>
      </w:r>
      <w:r w:rsidR="00696892">
        <w:t xml:space="preserve"> number of oppositions was exposed against some functions of the CFPB of </w:t>
      </w:r>
      <w:r w:rsidR="00E225C3">
        <w:t>overregulating</w:t>
      </w:r>
      <w:r w:rsidR="00696892">
        <w:t xml:space="preserve"> or being draconian to the financial institutions (</w:t>
      </w:r>
      <w:proofErr w:type="spellStart"/>
      <w:r w:rsidR="00696892">
        <w:t>Zywicki</w:t>
      </w:r>
      <w:proofErr w:type="spellEnd"/>
      <w:r w:rsidR="00696892">
        <w:t>, 2013). The Dodd-Frank Act's legislative body also created an orderly liquidation authority that is structured to either smoothly wind down SIFIs when they go bankrupt or to ensure that taxpayers are not required to bail them out in times of distress. Surprisingly, such delegation of power does not play its role in practice, because it has been unpractised yet. It does, though, aggravate the "too big to fail" issue losing the gain from former belief that the government may stand behind some financial institutions (Scott, 2016).</w:t>
      </w:r>
    </w:p>
    <w:p w14:paraId="1DEF44EE" w14:textId="2F1F811D" w:rsidR="00696892" w:rsidRPr="00696892" w:rsidRDefault="00696892" w:rsidP="00696892">
      <w:pPr>
        <w:pStyle w:val="Content"/>
      </w:pPr>
      <w:r w:rsidRPr="00696892">
        <w:t xml:space="preserve">The crisis has shown the necessity of the tightening legal framework and reinforcing financial stability and resiliency of the United States. It seems that banks have more financial power, </w:t>
      </w:r>
      <w:r w:rsidR="00661F34" w:rsidRPr="00696892">
        <w:t>liquidity,</w:t>
      </w:r>
      <w:r w:rsidRPr="00696892">
        <w:t xml:space="preserve"> and effective supervision during the post-crisis phase than it did during the pre-crisis phase. Creditors are now protected from shady financial actions and there are already safeguard procedures in place for handling trouble SIFIs instances that require no taxpayers’ bailout. </w:t>
      </w:r>
      <w:r w:rsidR="003B4100" w:rsidRPr="00696892">
        <w:t>Despite</w:t>
      </w:r>
      <w:r w:rsidRPr="00696892">
        <w:t xml:space="preserve"> the benefits of the financial reforms, the drawbacks such as a hike in cost for financial </w:t>
      </w:r>
      <w:r w:rsidRPr="00696892">
        <w:lastRenderedPageBreak/>
        <w:t xml:space="preserve">institutions, market liquidity shrinking and a possibility of the deceleration in economic growth exist. Yet, decision makers are having a real hard time in ascertaining this balance between two aspects of keeping the financial system stability and pushing the economy. Superimposed with the development of financial system, the feasibility and effectiveness of reforms would be pondered from time to time, and adjustments made, should it be needed </w:t>
      </w:r>
      <w:r w:rsidR="003B4100" w:rsidRPr="00696892">
        <w:t>to</w:t>
      </w:r>
      <w:r w:rsidRPr="00696892">
        <w:t xml:space="preserve"> maintain a sound and efficient financial system.</w:t>
      </w:r>
    </w:p>
    <w:p w14:paraId="2C86C333" w14:textId="6BB1EC7F" w:rsidR="00B51321" w:rsidRDefault="00B51321" w:rsidP="00B51321">
      <w:pPr>
        <w:pStyle w:val="Heading1"/>
      </w:pPr>
      <w:bookmarkStart w:id="8" w:name="_Toc164437664"/>
      <w:r w:rsidRPr="00B51321">
        <w:t>Global Laws, Regulations, and Contracts Post-2008 Financial Crisis</w:t>
      </w:r>
      <w:r w:rsidR="007D6CAF">
        <w:t xml:space="preserve"> </w:t>
      </w:r>
      <w:r w:rsidR="00696892">
        <w:t>–</w:t>
      </w:r>
      <w:r w:rsidR="007D6CAF">
        <w:t xml:space="preserve"> UK</w:t>
      </w:r>
      <w:bookmarkEnd w:id="8"/>
    </w:p>
    <w:p w14:paraId="1CD171CA" w14:textId="16A5AEC5" w:rsidR="00696892" w:rsidRPr="00696892" w:rsidRDefault="00696892" w:rsidP="00696892">
      <w:pPr>
        <w:pStyle w:val="Content"/>
      </w:pPr>
      <w:r w:rsidRPr="00696892">
        <w:t xml:space="preserve">The UK is chosen for the analysis as a truly global player because of its overwhelming effect on the international finance system and the severe effect on the British economy and financial sector in 2008. The UK, with London as the central node, is a leading global financial hub, with </w:t>
      </w:r>
      <w:r w:rsidR="00E225C3" w:rsidRPr="00696892">
        <w:t>many</w:t>
      </w:r>
      <w:r w:rsidRPr="00696892">
        <w:t xml:space="preserve"> international banks, insurance companies and financial institutions in the market The UK financial sector accounts for about 7% of its GDP (according to </w:t>
      </w:r>
      <w:proofErr w:type="spellStart"/>
      <w:r w:rsidRPr="00696892">
        <w:t>Yeandle</w:t>
      </w:r>
      <w:proofErr w:type="spellEnd"/>
      <w:r w:rsidRPr="00696892">
        <w:t xml:space="preserve"> and </w:t>
      </w:r>
      <w:proofErr w:type="spellStart"/>
      <w:r w:rsidRPr="00696892">
        <w:t>Mainelli</w:t>
      </w:r>
      <w:proofErr w:type="spellEnd"/>
      <w:r w:rsidRPr="00696892">
        <w:t xml:space="preserve">, 2015 and Tyler, 2015), being a significant part of its economy. This significant contribution exemplifies the industry's importance and, therefore, makes the UK the country to refer to when reconsidering global recession regulations. The consequences of the 2008 Financial Crisis on the UK economy and financial system can </w:t>
      </w:r>
      <w:r w:rsidR="00E225C3" w:rsidRPr="00696892">
        <w:t>be</w:t>
      </w:r>
      <w:r w:rsidRPr="00696892">
        <w:t xml:space="preserve"> severe. The years 2008-2009 were a time of painful economic recession with GDP falling by 4.2% (Office for National Statistics, 2021)</w:t>
      </w:r>
      <w:proofErr w:type="gramStart"/>
      <w:r w:rsidRPr="00696892">
        <w:t>.</w:t>
      </w:r>
      <w:proofErr w:type="gramEnd"/>
      <w:r w:rsidRPr="00696892">
        <w:t xml:space="preserve"> The crisis consequently brought the close to the collapse of some of the major banks of the UK including Royal Bank of Scotland (RBS) and Lloyds Banking group which required the huge bailouts from the government </w:t>
      </w:r>
      <w:r w:rsidR="00E225C3" w:rsidRPr="00696892">
        <w:t>to</w:t>
      </w:r>
      <w:r w:rsidRPr="00696892">
        <w:t xml:space="preserve"> no to fail (National Audit Office, 2009). The UK government executed </w:t>
      </w:r>
      <w:r w:rsidR="00E225C3" w:rsidRPr="00696892">
        <w:t>several</w:t>
      </w:r>
      <w:r w:rsidRPr="00696892">
        <w:t xml:space="preserve"> crisis measures, such as the Bank Recapitalization Fund and Asset Protection Scheme, to buttress the banking sector and revive market confidence (Tyler, 2015). Substantial taxpayers funding for these interventions broadly highlighted the need for transformative regulatory changes to evade future crises.</w:t>
      </w:r>
    </w:p>
    <w:p w14:paraId="19AAB148" w14:textId="1990A1A4" w:rsidR="00B51321" w:rsidRDefault="00B51321" w:rsidP="00B51321">
      <w:pPr>
        <w:pStyle w:val="Heading2"/>
      </w:pPr>
      <w:bookmarkStart w:id="9" w:name="_Toc164437665"/>
      <w:r w:rsidRPr="00B51321">
        <w:t xml:space="preserve">Key </w:t>
      </w:r>
      <w:r w:rsidR="006A3A42">
        <w:t>Laws &amp; Regulations</w:t>
      </w:r>
      <w:r w:rsidRPr="00B51321">
        <w:t xml:space="preserve"> Enacted in </w:t>
      </w:r>
      <w:r w:rsidR="005E48AC">
        <w:t>UK</w:t>
      </w:r>
      <w:bookmarkEnd w:id="9"/>
    </w:p>
    <w:p w14:paraId="3D3B4BEC" w14:textId="1BC86EDF" w:rsidR="004740A0" w:rsidRDefault="004740A0" w:rsidP="004740A0">
      <w:pPr>
        <w:pStyle w:val="Content"/>
      </w:pPr>
      <w:r w:rsidRPr="004740A0">
        <w:rPr>
          <w:b/>
          <w:bCs/>
        </w:rPr>
        <w:t>Financial Services Act 2012:</w:t>
      </w:r>
      <w:r>
        <w:t xml:space="preserve"> </w:t>
      </w:r>
      <w:r w:rsidR="00696892" w:rsidRPr="00696892">
        <w:t xml:space="preserve">The Financial Services Act 2012 became a significant law in the United Kingdom following the start of the Financial Crisis in 2008. One of the main goals of the Act was to bring the UK in line with international standards for financial regulation, through introducing reforms aimed at stabilizing the financial sector and protecting the interests of consumers (Financial services act, 2012).One of the key provisions of the Act was the creation of a new regulatory structure, with the Financial Services Authority (FSA) being replaced by </w:t>
      </w:r>
      <w:r w:rsidR="00696892" w:rsidRPr="00696892">
        <w:lastRenderedPageBreak/>
        <w:t xml:space="preserve">two new regulatory bodies: Therefore, the Bank of England Financial Services Act 2012 happened to be the reason behind the establishment of the Prudential Regulation Authority (PRA) and the Financial Conduct Authority (FCA) (stunning gardens in a predominantly shopping district). PRA on the other hand is a subsidiary of the Bank of England. On the other hand, prudential regulation and supervision of the banks, the building societies, credit unions and the investment firms fall under the PRA scope (Financial services act, 2012). Contrarily, the FCA which is the body that has control over the conduct of Financial Services </w:t>
      </w:r>
      <w:r w:rsidR="00E225C3" w:rsidRPr="00696892">
        <w:t>about</w:t>
      </w:r>
      <w:r w:rsidR="00696892" w:rsidRPr="00696892">
        <w:t xml:space="preserve"> market’s integrity (Section 1). The text is dull and as it is void of a specific or engaging message. Moreover, the Act endowed regulators with new powers among that were capital risks and they required the bank to restrict banking and investment activities to retail banking (Financial services act, 2012).</w:t>
      </w:r>
    </w:p>
    <w:p w14:paraId="17EC8FC7" w14:textId="6EAA91DD" w:rsidR="0076530D" w:rsidRDefault="004740A0" w:rsidP="004740A0">
      <w:pPr>
        <w:pStyle w:val="Content"/>
      </w:pPr>
      <w:r w:rsidRPr="004740A0">
        <w:rPr>
          <w:b/>
          <w:bCs/>
        </w:rPr>
        <w:t>Banking Act 2009:</w:t>
      </w:r>
      <w:r>
        <w:t xml:space="preserve"> </w:t>
      </w:r>
      <w:r w:rsidR="00696892" w:rsidRPr="00696892">
        <w:t xml:space="preserve">The Financial Regulation Act of United Kingdom in 2008 is a good example of legislating after the 2008 Financial Crisis, such as the Banking Act of 2009 in the U.S. The Act of 2008 mandated for the establishment of a new special resolution powers (SRP) regime for those banks that had become a disgrace. The target that has been set is to address bank failures without throwing the system into chaos, and to safeguard depositors' funds. The SRP entails </w:t>
      </w:r>
      <w:proofErr w:type="gramStart"/>
      <w:r w:rsidR="00696892" w:rsidRPr="00696892">
        <w:t>the that</w:t>
      </w:r>
      <w:proofErr w:type="gramEnd"/>
      <w:r w:rsidR="00696892" w:rsidRPr="00696892">
        <w:t xml:space="preserve"> the BoE can buy a bank either all or partly and sell its shares to the private sector or create a bridge bank (BoE), which is its subsidiary (Banking Act 2009, Sections 11 &amp; 12). Also, the Act created a new bank insolvency process, whereby failure from opening banks was orderly and depositors were protected (Banking Act, 2009, Part 2).</w:t>
      </w:r>
    </w:p>
    <w:p w14:paraId="7C915096" w14:textId="45AC6151" w:rsidR="006A3A42" w:rsidRDefault="006A3A42" w:rsidP="006A3A42">
      <w:pPr>
        <w:pStyle w:val="Heading2"/>
      </w:pPr>
      <w:bookmarkStart w:id="10" w:name="_Toc164437666"/>
      <w:r>
        <w:t>Contracts and Government Interventions</w:t>
      </w:r>
      <w:bookmarkEnd w:id="10"/>
    </w:p>
    <w:p w14:paraId="7EF5A381" w14:textId="0C28BB7D" w:rsidR="000E0AD8" w:rsidRDefault="000E0AD8" w:rsidP="000E0AD8">
      <w:pPr>
        <w:pStyle w:val="Content"/>
      </w:pPr>
      <w:r w:rsidRPr="000E0AD8">
        <w:rPr>
          <w:b/>
          <w:bCs/>
        </w:rPr>
        <w:t>Bank Recapitalization Fund:</w:t>
      </w:r>
      <w:r>
        <w:t xml:space="preserve"> </w:t>
      </w:r>
      <w:r w:rsidR="00930EF8" w:rsidRPr="00930EF8">
        <w:t>After the 2008 Financial Crisis, the UK Government introduced the Bank Recapitalization Fund which was a capital injection worth £50 billion aimed at system stabilization. The governmental scheme was aimed as an assistance to beleaguered banks by capital infusion, in exchange to equity participation, the primary purpose of which was to improve banks' balance sheets and restore market confidence. Governments put in place recapitalization agreements that had objective conditions like credit targets, executive pay, and dividends (Bank of England, 2008).</w:t>
      </w:r>
    </w:p>
    <w:p w14:paraId="01E45AE7" w14:textId="1C05231C" w:rsidR="006A3A42" w:rsidRDefault="000E0AD8" w:rsidP="000E0AD8">
      <w:pPr>
        <w:pStyle w:val="Content"/>
      </w:pPr>
      <w:r w:rsidRPr="000E0AD8">
        <w:rPr>
          <w:b/>
          <w:bCs/>
        </w:rPr>
        <w:t>Asset Protection Scheme:</w:t>
      </w:r>
      <w:r>
        <w:t xml:space="preserve"> </w:t>
      </w:r>
      <w:r w:rsidR="00930EF8" w:rsidRPr="00930EF8">
        <w:t xml:space="preserve">In 2009 the UK government initiated the APS which was a program enacted to avoid country from suffering possible losses on one of the assets owned by RBS and Lloyds Banking Group. The program intended to reassure the bank in its deposits and to enhance lending in the real sector (HM Treasury, 2010). Under APS, according to which the </w:t>
      </w:r>
      <w:r w:rsidR="00930EF8" w:rsidRPr="00930EF8">
        <w:lastRenderedPageBreak/>
        <w:t>authorities were provided with 90% compensation after a certain amount of losses at a particular fee, and, if received, a share of the upcoming profit.</w:t>
      </w:r>
    </w:p>
    <w:p w14:paraId="52D179F9" w14:textId="05C18F97" w:rsidR="00664900" w:rsidRPr="006A3A42" w:rsidRDefault="00664900" w:rsidP="000E0AD8">
      <w:pPr>
        <w:pStyle w:val="Content"/>
      </w:pPr>
      <w:r w:rsidRPr="00C67995">
        <w:rPr>
          <w:b/>
          <w:bCs/>
        </w:rPr>
        <w:t>Credit Guarantee Scheme</w:t>
      </w:r>
      <w:r w:rsidRPr="00664900">
        <w:rPr>
          <w:b/>
          <w:bCs/>
        </w:rPr>
        <w:t xml:space="preserve"> (CGS):</w:t>
      </w:r>
      <w:r w:rsidRPr="00664900">
        <w:t xml:space="preserve"> </w:t>
      </w:r>
      <w:r w:rsidR="00930EF8" w:rsidRPr="00930EF8">
        <w:t>In 2008 the CGS was introduced as a solution to help banks meet their demand for lending amidst the crisis. There is an arrangement under which the government guaranteed the eligible debt instruments issued by the participating banks helping them to resort to funding at the lower value (UK Debt Management Office, 2008). The role of The CGS in the UK banking system was pivotal in preventing its collapse. The program ensured the supply of credit to firms and households, contributing to a more sustainable economic recovery.</w:t>
      </w:r>
    </w:p>
    <w:p w14:paraId="324A1C9A" w14:textId="4232CD02" w:rsidR="005E48AC" w:rsidRDefault="005E48AC" w:rsidP="005E48AC">
      <w:pPr>
        <w:pStyle w:val="Heading2"/>
      </w:pPr>
      <w:bookmarkStart w:id="11" w:name="_Toc164437667"/>
      <w:r w:rsidRPr="005E48AC">
        <w:t xml:space="preserve">Impact on the </w:t>
      </w:r>
      <w:r w:rsidR="00A5741D">
        <w:t>UK</w:t>
      </w:r>
      <w:r w:rsidRPr="005E48AC">
        <w:t xml:space="preserve"> Financial System</w:t>
      </w:r>
      <w:bookmarkEnd w:id="11"/>
    </w:p>
    <w:p w14:paraId="6E4A5D42" w14:textId="7D3F3FD1" w:rsidR="002F229B" w:rsidRDefault="002F229B" w:rsidP="002F229B">
      <w:pPr>
        <w:pStyle w:val="Content"/>
      </w:pPr>
      <w:r>
        <w:t xml:space="preserve">The statutory rules, regulations, and contracts introduced to the UK </w:t>
      </w:r>
      <w:r w:rsidR="00E225C3">
        <w:t>because of</w:t>
      </w:r>
      <w:r>
        <w:t xml:space="preserve"> the 2008 Financial Crisis have also caused a notable change in the design and functionality of the country's financial system. Critically, The Financial Services Act 2012, which introduced the establishment of the PRA and the FCA, has reinforced the UK's national regulation framework and provided better oversight of financial institutions, thereby improving their financial stability. Through prudential </w:t>
      </w:r>
      <w:r w:rsidR="00661F34">
        <w:t>regulation,</w:t>
      </w:r>
      <w:r>
        <w:t xml:space="preserve"> which is under the PRA, there is a sense of confidence that banks and other financial institutions maintain enough capital and liquidity buffers to enable them to manage financial setbacks (Bank of England, 2021). The implementation of retail banking's </w:t>
      </w:r>
      <w:proofErr w:type="spellStart"/>
      <w:r>
        <w:t>ringfencing</w:t>
      </w:r>
      <w:proofErr w:type="spellEnd"/>
      <w:r>
        <w:t>, according the Financial Services (Banking Reform) Act 2013, has further elevated consumers protection and the broader economy by separating investment banking activities from retail banking ones (Bank of England, 2019).The Banking Act 2009's Special Resolution Regime, on the other hand, has given the authorities the optimal tools to efficiently Notwithstanding that the reforms also have brought some unexpected outcome such as for the financial sector. A higher regulatory responsibility comes in with higher costs of compliance for financial institutions which could affect their profits and capacity to lend (Weber, 2017). Furthermore, the ring-fencing that has been introduced is criticized to lead to lower efficiencies and less competition in British banking sector (</w:t>
      </w:r>
      <w:proofErr w:type="spellStart"/>
      <w:r>
        <w:t>Gotz</w:t>
      </w:r>
      <w:proofErr w:type="spellEnd"/>
      <w:r>
        <w:t xml:space="preserve"> and </w:t>
      </w:r>
      <w:proofErr w:type="spellStart"/>
      <w:r>
        <w:t>Tröger</w:t>
      </w:r>
      <w:proofErr w:type="spellEnd"/>
      <w:r>
        <w:t>, 2016).</w:t>
      </w:r>
    </w:p>
    <w:p w14:paraId="2D746D71" w14:textId="7C24C58C" w:rsidR="002F229B" w:rsidRPr="002F229B" w:rsidRDefault="00661F34" w:rsidP="002F229B">
      <w:pPr>
        <w:pStyle w:val="Content"/>
      </w:pPr>
      <w:r>
        <w:t>Despite</w:t>
      </w:r>
      <w:r w:rsidR="002F229B">
        <w:t xml:space="preserve"> the obstacles which were created </w:t>
      </w:r>
      <w:r w:rsidR="003B4100">
        <w:t>because of</w:t>
      </w:r>
      <w:r w:rsidR="002F229B">
        <w:t xml:space="preserve"> these reforms, the UK financial system has been restructured and has been seen to be more resilient since the 2008 Financial Crisis. The institutions retain the capacity to reassess the appropriateness of these measures while changing them when such is necessary so that the financial sector has the capacity to sustain the growth of the economy while safeguarding its financial stability.</w:t>
      </w:r>
    </w:p>
    <w:p w14:paraId="00EF4F12" w14:textId="77777777" w:rsidR="00F5519F" w:rsidRDefault="00F5519F" w:rsidP="00F5519F">
      <w:pPr>
        <w:pStyle w:val="Heading1"/>
      </w:pPr>
      <w:bookmarkStart w:id="12" w:name="_Toc164437668"/>
      <w:r w:rsidRPr="00F5519F">
        <w:lastRenderedPageBreak/>
        <w:t>Critical Review of Post-Crisis Reforms in Stabilizing the Financial System</w:t>
      </w:r>
      <w:bookmarkEnd w:id="12"/>
    </w:p>
    <w:p w14:paraId="10794DD6" w14:textId="4D3B949B" w:rsidR="002F229B" w:rsidRPr="002F229B" w:rsidRDefault="002F229B" w:rsidP="002F229B">
      <w:pPr>
        <w:pStyle w:val="Content"/>
      </w:pPr>
      <w:r w:rsidRPr="002F229B">
        <w:t>The 2008 Financial Crisis highlighted several inherent weaknesses in the global financial architecture, leading to drastic regulatory changes in the US and UK targeted at strengthening stability and avoiding another crisis. This paragraph particularly focuses on an evaluation of these reforms effect on stabilization of the financial system and reflects the overall impact on global financial stability.</w:t>
      </w:r>
    </w:p>
    <w:p w14:paraId="08F541B4" w14:textId="77777777" w:rsidR="00464099" w:rsidRDefault="00464099" w:rsidP="00464099">
      <w:pPr>
        <w:pStyle w:val="Heading2"/>
      </w:pPr>
      <w:bookmarkStart w:id="13" w:name="_Toc164437669"/>
      <w:r w:rsidRPr="00813CB2">
        <w:t>Effectiveness of US Reforms</w:t>
      </w:r>
      <w:bookmarkEnd w:id="13"/>
    </w:p>
    <w:p w14:paraId="1E9B49DC" w14:textId="6B24B13F" w:rsidR="002F229B" w:rsidRDefault="002F229B" w:rsidP="002F229B">
      <w:pPr>
        <w:pStyle w:val="Content"/>
      </w:pPr>
      <w:r>
        <w:t>The US brought the Dodd-Frank Wall Street Reform and Consumer Protection Act (2010) into play as the core element of its post-crisis regulatory reform. Dodd-</w:t>
      </w:r>
      <w:proofErr w:type="spellStart"/>
      <w:r>
        <w:t>Fank</w:t>
      </w:r>
      <w:proofErr w:type="spellEnd"/>
      <w:r>
        <w:t xml:space="preserve"> Act main objectives were to improve financial stability by increasing the capital and liquidity requirements for banks, to find the Financial Stability Oversight Council (FSOC) for monitoring systemic risks, and finally, to establish an orderly liquidation authority for SIFIs (</w:t>
      </w:r>
      <w:proofErr w:type="spellStart"/>
      <w:r>
        <w:t>Labonte</w:t>
      </w:r>
      <w:proofErr w:type="spellEnd"/>
      <w:r>
        <w:t xml:space="preserve">, 2017). According to studies, these measures have contributed to a great deal to the resiliency of the US banking system. The higher capital and liquidity standards that were mandated by the Dodd-Frank Act, according to </w:t>
      </w:r>
      <w:proofErr w:type="spellStart"/>
      <w:r>
        <w:t>Akhigbe</w:t>
      </w:r>
      <w:proofErr w:type="spellEnd"/>
      <w:r>
        <w:t xml:space="preserve"> et al., (2016) prevented banks from failing. In a similar way Baily et al., (2017) proved that the FSOC's strengthened regulatory powers helped unveil and mitigate potential threats to financial stability. Although the orderly liquidation authority has been untested, it proves to be a tool that is essential for resolving on the scale of taxpayer funded bailouts (Scott, 2016).</w:t>
      </w:r>
    </w:p>
    <w:p w14:paraId="0C0BF8DB" w14:textId="57D6A90F" w:rsidR="002F229B" w:rsidRPr="002F229B" w:rsidRDefault="002F229B" w:rsidP="00661F34">
      <w:pPr>
        <w:pStyle w:val="Content"/>
      </w:pPr>
      <w:r>
        <w:t xml:space="preserve">Nonetheless, critics say that the extra regulatory oversight </w:t>
      </w:r>
      <w:r w:rsidR="00E225C3">
        <w:t>must</w:t>
      </w:r>
      <w:r>
        <w:t xml:space="preserve"> be paid for. Acharya and Richardson (2018) point out that increased compliance costs, along with reduction in market liquidity, would harm the competitive edge of smaller banks. However, according to </w:t>
      </w:r>
      <w:proofErr w:type="spellStart"/>
      <w:r>
        <w:t>Wilmarth</w:t>
      </w:r>
      <w:proofErr w:type="spellEnd"/>
      <w:r>
        <w:t xml:space="preserve"> (2010), the reforms failed to take care of the "too big to fail" problem, as the largest banks have become even bigger after the crisis. However, the operability of the wind-up authority is still not clear, and there are always doubts about the possibility of regulatory capture (Carpenter and Moss, 2013).</w:t>
      </w:r>
    </w:p>
    <w:p w14:paraId="0147F9E2" w14:textId="103B1253" w:rsidR="00813CB2" w:rsidRDefault="00813CB2" w:rsidP="00813CB2">
      <w:pPr>
        <w:pStyle w:val="Heading2"/>
      </w:pPr>
      <w:bookmarkStart w:id="14" w:name="_Toc164437670"/>
      <w:r w:rsidRPr="00813CB2">
        <w:t xml:space="preserve">Effectiveness of Global Reforms in </w:t>
      </w:r>
      <w:r>
        <w:t>UK</w:t>
      </w:r>
      <w:bookmarkEnd w:id="14"/>
    </w:p>
    <w:p w14:paraId="3F1C9BB4" w14:textId="74BE8AA1" w:rsidR="002F229B" w:rsidRPr="002F229B" w:rsidRDefault="002F229B" w:rsidP="002F229B">
      <w:pPr>
        <w:pStyle w:val="Content"/>
      </w:pPr>
      <w:r w:rsidRPr="002F229B">
        <w:t xml:space="preserve">The UK's post-crisis reforms rested on the Financial Services Act 2012, which reformed the </w:t>
      </w:r>
      <w:proofErr w:type="spellStart"/>
      <w:r w:rsidRPr="002F229B">
        <w:t>Kiv</w:t>
      </w:r>
      <w:proofErr w:type="spellEnd"/>
      <w:r w:rsidRPr="002F229B">
        <w:t xml:space="preserve"> country's regulatory structure. The legislation established the Prudential Regulation Authority (PRA) and the Financial Conduct Authority (FCA) to displace the Financial Services </w:t>
      </w:r>
      <w:r w:rsidRPr="002F229B">
        <w:lastRenderedPageBreak/>
        <w:t xml:space="preserve">Authority (FSA) (Financial services act, 2012). The PRA took on the role of the prudential regulator of banks, </w:t>
      </w:r>
      <w:r w:rsidR="00661F34" w:rsidRPr="002F229B">
        <w:t>insurers,</w:t>
      </w:r>
      <w:r w:rsidRPr="002F229B">
        <w:t xml:space="preserve"> and large investment firms, while the FCA focused on regulating conduct and integrity on the </w:t>
      </w:r>
      <w:proofErr w:type="gramStart"/>
      <w:r w:rsidRPr="002F229B">
        <w:t>market(</w:t>
      </w:r>
      <w:proofErr w:type="spellStart"/>
      <w:proofErr w:type="gramEnd"/>
      <w:r w:rsidRPr="002F229B">
        <w:t>Ferran</w:t>
      </w:r>
      <w:proofErr w:type="spellEnd"/>
      <w:r w:rsidRPr="002F229B">
        <w:t xml:space="preserve">, 2014). The UK has largely made strides in its reforms </w:t>
      </w:r>
      <w:r w:rsidR="00661F34" w:rsidRPr="002F229B">
        <w:t>to</w:t>
      </w:r>
      <w:r w:rsidRPr="002F229B">
        <w:t xml:space="preserve"> improve the resilience of its financial system. The PRA's more extensive capital and ability requirements have given banks the strength to absorb the shocks (Bank of England, 2020). The ring- fencing of trading activities in banking investment operations carried out by the Financial Services (Banking Reform) Act 2013 has helped shield the essential bank services from the investment banking risks (Parliament UK, 2013). This allowed for the Banking Act (2009) to be introduced, which further enhanced the powers of the regulators and made it possible to deal with bank failures efficiently to prevent systemic disruptions. However, British reforms are not free from difficulties. The amount of new regulations has led to a rise in compliance cost for the financial sector that can decrease their profitability and possibly make less money available for lending (Suss, 2017). Some proponents hold the position that the separation rule may ultimately cause inefficiency and diminish competition in the banking sector (</w:t>
      </w:r>
      <w:proofErr w:type="spellStart"/>
      <w:r w:rsidRPr="002F229B">
        <w:t>Gotz</w:t>
      </w:r>
      <w:proofErr w:type="spellEnd"/>
      <w:r w:rsidRPr="002F229B">
        <w:t xml:space="preserve"> and </w:t>
      </w:r>
      <w:proofErr w:type="spellStart"/>
      <w:r w:rsidRPr="002F229B">
        <w:t>Tröger</w:t>
      </w:r>
      <w:proofErr w:type="spellEnd"/>
      <w:r w:rsidRPr="002F229B">
        <w:t>, 2016). Furthermore, the EU exit process for the UK (Brexit) leads to the lack of sureness for the UK's financial sector which may result in the ineffectiveness of the EU's post-crisis reforms (</w:t>
      </w:r>
      <w:proofErr w:type="spellStart"/>
      <w:r w:rsidRPr="002F229B">
        <w:t>Moloney</w:t>
      </w:r>
      <w:proofErr w:type="spellEnd"/>
      <w:r w:rsidRPr="002F229B">
        <w:t>, 2018).</w:t>
      </w:r>
    </w:p>
    <w:p w14:paraId="7EDFFBB1" w14:textId="4A402E2A" w:rsidR="00C073E5" w:rsidRDefault="00C073E5" w:rsidP="00C073E5">
      <w:pPr>
        <w:pStyle w:val="Heading2"/>
      </w:pPr>
      <w:bookmarkStart w:id="15" w:name="_Toc164437671"/>
      <w:r w:rsidRPr="00C073E5">
        <w:t>Overall Assessment of Global Financial Stability Post-Reforms</w:t>
      </w:r>
      <w:bookmarkEnd w:id="15"/>
    </w:p>
    <w:p w14:paraId="1E98B798" w14:textId="31A92867" w:rsidR="002F229B" w:rsidRPr="002F229B" w:rsidRDefault="002F229B" w:rsidP="002F229B">
      <w:pPr>
        <w:pStyle w:val="Content"/>
      </w:pPr>
      <w:r w:rsidRPr="002F229B">
        <w:t xml:space="preserve">The reforms made by US and UK during the global financial crisis have brought significant contribution to the global financial stability. More Capital and Liquidity Requirements across the banking system have strengthened the supervisory framework, improved the resolution mechanisms that have made the global banking system more resilient. After a set of standards in Basel III international regulatory system that was founded after the crisis, the harmonization and strengthening of banking sectors globally has been carried </w:t>
      </w:r>
      <w:r w:rsidR="00661F34" w:rsidRPr="002F229B">
        <w:t>out. However</w:t>
      </w:r>
      <w:r w:rsidRPr="002F229B">
        <w:t>, challenges remain. The increase in non-bank financial intermediation ("shadow banking"), which is a sector outside the regulated banking affairs has arouse tension of systemic risks. The ability to move across jurisdictions (regulatory arbitrage) poses as a great threat that could frustrate the effectiveness of reforms (</w:t>
      </w:r>
      <w:proofErr w:type="spellStart"/>
      <w:r w:rsidRPr="002F229B">
        <w:t>Duffie</w:t>
      </w:r>
      <w:proofErr w:type="spellEnd"/>
      <w:r w:rsidRPr="002F229B">
        <w:t xml:space="preserve">, 2017). Thus, the enhanced post-crisis regulation environment consisting of added complexities could produce unintended consequences and be a burden for regulation (Haldane, 2017). Global financial stability requires permanent weather conditions with </w:t>
      </w:r>
      <w:r w:rsidR="00E225C3" w:rsidRPr="002F229B">
        <w:t>many</w:t>
      </w:r>
      <w:r w:rsidRPr="002F229B">
        <w:t xml:space="preserve"> decisions and dedicated actions. </w:t>
      </w:r>
      <w:r w:rsidR="00661F34" w:rsidRPr="002F229B">
        <w:t>Continuous</w:t>
      </w:r>
      <w:r w:rsidRPr="002F229B">
        <w:t xml:space="preserve"> follow-up, cooperation and coordination are necessary to identify and treat the growing threats on the international level. Continuation of the process to make the reforms more effective and efficient will be essential </w:t>
      </w:r>
      <w:r w:rsidRPr="002F229B">
        <w:lastRenderedPageBreak/>
        <w:t>in the coming years into combination with the proper balance between stability as well as growth. Through the study of History’s successes and shortcomings, the community is realizing on how to build a sturdy and reliable financial system.</w:t>
      </w:r>
    </w:p>
    <w:p w14:paraId="2EA12C9D" w14:textId="04A2CEA9" w:rsidR="00457541" w:rsidRDefault="00457541" w:rsidP="00457541">
      <w:pPr>
        <w:pStyle w:val="Heading1"/>
      </w:pPr>
      <w:bookmarkStart w:id="16" w:name="_Toc164437672"/>
      <w:r w:rsidRPr="00457541">
        <w:t>Case Study: Impact of Reforms on a US Financial Services Company</w:t>
      </w:r>
      <w:r>
        <w:t xml:space="preserve"> – Wells Fargo</w:t>
      </w:r>
      <w:bookmarkEnd w:id="16"/>
    </w:p>
    <w:p w14:paraId="5B71ADB7" w14:textId="1A74D983" w:rsidR="006A6F6D" w:rsidRPr="006A6F6D" w:rsidRDefault="006A6F6D" w:rsidP="006A6F6D">
      <w:pPr>
        <w:pStyle w:val="Content"/>
        <w:rPr>
          <w:rFonts w:eastAsiaTheme="majorEastAsia" w:cstheme="majorBidi"/>
          <w:b/>
          <w:szCs w:val="26"/>
        </w:rPr>
      </w:pPr>
      <w:r w:rsidRPr="006A6F6D">
        <w:t>The United States multifunctional financial services company Wells Fargo &amp; Company, founded in 1852, is a business with a long history. The company has a strong banking, investment, and mortgage services portfolio on through its subsidiaries (Wells Fargo &amp; Company, 2024). US Wells Fargo Bank serves one in three households and employs 238,000 people, which make it one of the largest banks in this country (</w:t>
      </w:r>
      <w:proofErr w:type="spellStart"/>
      <w:r w:rsidRPr="006A6F6D">
        <w:t>Macrotrends</w:t>
      </w:r>
      <w:proofErr w:type="spellEnd"/>
      <w:r w:rsidRPr="006A6F6D">
        <w:t xml:space="preserve">, 2023). The company for this case study has been selected due to its prominence in the retail banking sector in the US, its corporate governance and risk management issues, </w:t>
      </w:r>
      <w:r w:rsidR="003B4100" w:rsidRPr="006A6F6D">
        <w:t>and</w:t>
      </w:r>
      <w:r w:rsidRPr="006A6F6D">
        <w:t xml:space="preserve"> its business model that is based mostly on traditional banking, in contrast to the more investment banking-oriented models that some of its </w:t>
      </w:r>
      <w:r w:rsidR="00E225C3" w:rsidRPr="006A6F6D">
        <w:t>peers</w:t>
      </w:r>
      <w:r w:rsidRPr="006A6F6D">
        <w:t xml:space="preserve"> are featuring, like JPMorgan Chase &amp; Co.</w:t>
      </w:r>
    </w:p>
    <w:p w14:paraId="71AD6B32" w14:textId="032FCA54" w:rsidR="00CD50B1" w:rsidRDefault="0094195B" w:rsidP="00457541">
      <w:pPr>
        <w:pStyle w:val="Heading2"/>
      </w:pPr>
      <w:bookmarkStart w:id="17" w:name="_Toc164437673"/>
      <w:r w:rsidRPr="0094195B">
        <w:t>Pre-Crisis Business Model and Financial Performance</w:t>
      </w:r>
      <w:bookmarkEnd w:id="17"/>
    </w:p>
    <w:p w14:paraId="0B6DAA7F" w14:textId="0B2D6950" w:rsidR="006A6F6D" w:rsidRPr="006A6F6D" w:rsidRDefault="006A6F6D" w:rsidP="006A6F6D">
      <w:pPr>
        <w:pStyle w:val="Content"/>
      </w:pPr>
      <w:r w:rsidRPr="006A6F6D">
        <w:t xml:space="preserve">Before the 2008 Financial Crisis, the business model of Wells Fargo was built on two pillars: retail and commercial customer banking, with retail banking and mortgage lending being its most important components, as well as community banking. The source of Wells Fargo's income was diversified, with the interest income that came from the bank services mainly being the top source of revenues (Wells Fargo &amp; Company, 2007). As the bank was getting in the years before the crisis, its loan portfolio was an actively growing one, with the residential mortgages dominating the overall loans. Indeed, unlike </w:t>
      </w:r>
      <w:r w:rsidR="00E225C3" w:rsidRPr="006A6F6D">
        <w:t>several</w:t>
      </w:r>
      <w:r w:rsidRPr="006A6F6D">
        <w:t xml:space="preserve"> other banks which were contaminated by the liberal underwriting policies, Wells Fargo stuck to more conservative practices and did not engage in subprime mortgages and the other risky types of lending decisions (</w:t>
      </w:r>
      <w:proofErr w:type="spellStart"/>
      <w:r w:rsidRPr="006A6F6D">
        <w:t>Rothacker</w:t>
      </w:r>
      <w:proofErr w:type="spellEnd"/>
      <w:r w:rsidRPr="006A6F6D">
        <w:t xml:space="preserve">, 2010). Experienced and wise risk management which the company possessed prevented the financial crisis negative influence from reaching operations. Wells Fargo seized the recession opportunity and could have grown by a leap and a bound in 2008, when it acquired Wachovia Corporation, a troubled company, and consequently upped its market share and geographic spread (Smith, 2020). </w:t>
      </w:r>
      <w:r w:rsidR="00E225C3" w:rsidRPr="006A6F6D">
        <w:t>About</w:t>
      </w:r>
      <w:r w:rsidRPr="006A6F6D">
        <w:t xml:space="preserve"> the fiscal performances, Wells Fargo indeed demonstrated exemplary results in advance of the crisis. The firm's net income was $7.7 billion in 2004, which went up to $8.1 billion in the year 2007. Over the period, the average ROE amounted to 19.4% (Wells Fargo &amp; Company, 2007).</w:t>
      </w:r>
    </w:p>
    <w:p w14:paraId="2558CCFF" w14:textId="6E98510C" w:rsidR="00654B0C" w:rsidRDefault="00DF3E5B" w:rsidP="00664900">
      <w:pPr>
        <w:pStyle w:val="Heading2"/>
      </w:pPr>
      <w:bookmarkStart w:id="18" w:name="_Toc164437674"/>
      <w:r w:rsidRPr="00DF3E5B">
        <w:lastRenderedPageBreak/>
        <w:t>Post-Crisis Regulatory Impact on Business Operations</w:t>
      </w:r>
      <w:bookmarkEnd w:id="18"/>
    </w:p>
    <w:p w14:paraId="21BAAE7B" w14:textId="3403787A" w:rsidR="000C33DC" w:rsidRPr="000C33DC" w:rsidRDefault="000C33DC" w:rsidP="000C33DC">
      <w:pPr>
        <w:pStyle w:val="Content"/>
      </w:pPr>
      <w:r w:rsidRPr="000C33DC">
        <w:t xml:space="preserve">These post-crisis reforms, included in the Dodd-Frank Act and Basel III, represent a fundamental transformation of banking regulations, and have had substantial effects on Wells Fargo's core banking business. Institutionally to fulfil the new fund and cash requirement, the organization now </w:t>
      </w:r>
      <w:r w:rsidR="003B4100" w:rsidRPr="000C33DC">
        <w:t>must</w:t>
      </w:r>
      <w:r w:rsidRPr="000C33DC">
        <w:t xml:space="preserve"> hold a much higher level of capital ratio and liquid assets, which restrict the earning and the proprietary of this firm (</w:t>
      </w:r>
      <w:proofErr w:type="spellStart"/>
      <w:r w:rsidRPr="000C33DC">
        <w:t>Naegele</w:t>
      </w:r>
      <w:proofErr w:type="spellEnd"/>
      <w:r w:rsidRPr="000C33DC">
        <w:t xml:space="preserve"> 2019). Among changes under Basel III is that what is known as the minimum CET1 ratio is set at 4.5%, Tier 1 Capital ratio at 6%, and Total Capital ratio at 8%. (Wells Fargo &amp; Company, 2020). Secondly, the company is under the hardened prudential rules for systemically important financial institutions (SIFI), comprising of robust capital requirements, liquidity, regular stress testing and resolution planning. The elevated regulatory attention and compliance necessities likewise contributed to the escalation of the operational expenses, legal problems and in associated cases even reputational issues for Wells Fargo as a result. The enterprise has devoted large amounts of resources towards its risk management and compliance functions, as well as to implement technological systems which will handle large volumes of data, to comply with the newly set rules of operations (Wells Fargo &amp; Company, 2020). Last year, such expenses related to regulatory compliance and regulation at Wells Fargo amounted to $3.2 billion, which its total expense on operating expenses is a great part (% Wells Fargo &amp; Company, 2020). Additionally, the regulatory environment of today’s post-crisis has put the non-core businesses divestments and the increased risk management and compliance policies as new Wells Fargo’s strategic considerations. Another instance was divesting its institutional retirement and trust business to Principal Financial Group. The corporation’s decision could have been due to simplifying the business’ operations and burdensome regulations (Wells Fargo &amp; Company, 2019).</w:t>
      </w:r>
    </w:p>
    <w:p w14:paraId="712DEF13" w14:textId="49029310" w:rsidR="001D6BB1" w:rsidRDefault="0053655B" w:rsidP="0074221C">
      <w:pPr>
        <w:pStyle w:val="Heading2"/>
      </w:pPr>
      <w:bookmarkStart w:id="19" w:name="_Toc164437675"/>
      <w:r w:rsidRPr="0053655B">
        <w:t>Adaptations to Business Model in Response to Reforms</w:t>
      </w:r>
      <w:bookmarkEnd w:id="19"/>
    </w:p>
    <w:p w14:paraId="0AD1B642" w14:textId="66112DFE" w:rsidR="000C33DC" w:rsidRPr="000C33DC" w:rsidRDefault="000C33DC" w:rsidP="000C33DC">
      <w:pPr>
        <w:pStyle w:val="Content"/>
      </w:pPr>
      <w:r w:rsidRPr="000C33DC">
        <w:t xml:space="preserve">Post-crisis regulation framework has required Wells Fargo to cultivate different business model and risk management practices. The company has emphasized on bolstering its capital and liquidity position through retained earnings, bond issuance and liabilities management. At the end of 2020, wells Fargo's CET1 ratio was 11.6% which was above the regulatory minimum (Wells Fargo &amp; Company, 2020). Well Fargo has also added personnel in risk management and compliance, developed different new policies and procedures, and improved technology systems. (Wells Fargo &amp; Company, 2020). The company has sought to develop a strong risk </w:t>
      </w:r>
      <w:r w:rsidRPr="000C33DC">
        <w:lastRenderedPageBreak/>
        <w:t xml:space="preserve">management culture through data training, management structures, and leadership communication. </w:t>
      </w:r>
    </w:p>
    <w:p w14:paraId="1C5C2666" w14:textId="4908432D" w:rsidR="0053655B" w:rsidRDefault="0053655B" w:rsidP="0053655B">
      <w:pPr>
        <w:pStyle w:val="Heading2"/>
      </w:pPr>
      <w:bookmarkStart w:id="20" w:name="_Toc164437676"/>
      <w:r w:rsidRPr="0053655B">
        <w:t>Evaluation of Company's Post-Crisis Performance and Strategy</w:t>
      </w:r>
      <w:bookmarkEnd w:id="20"/>
    </w:p>
    <w:p w14:paraId="438DE034" w14:textId="6047DD37" w:rsidR="00790853" w:rsidRDefault="000C33DC" w:rsidP="00D82D1D">
      <w:pPr>
        <w:pStyle w:val="Content"/>
      </w:pPr>
      <w:r w:rsidRPr="000C33DC">
        <w:t>The reinforced appearance of Wells Fargo after the crisis has been prevailingly influenced by the corporate governance and risk management issues. The disclosure of unlawful account opening scandal in 2016 that brought into light the imperfections in its sales management, risk control, and compliance areas (Fargo, 2016). Scandal brought about a series of costly legal judgments, negative brand reputation and increased scrutiny by authorities. As a way out from these challenges, Wells Fargo has rolled out a cross-organization turnaround program to improve its corporate oversight and risk management system. Notably, the company has witnessed some leadership changes, among them; there was a new Chief Executive Officer appointed and the executive board was also restructured. Moreover, Wells Fargo took measures and devised new policies, including removing bank products sales goals for retail bankers by the company to tackle the identified issues (Glazer, 2016). On the one hand, this company has taken many steps to improve itself, but on the other hand, it has achieved varying results during the post-crisis period. The company's earnings have been squeezed by the nerved interest environment, more stringent regulations, and the effect of the COVID-19 pandemic (Wells Fargo &amp; Company, 2020). Back in 2020, Wells Fargo recorded a net loss of $2.7 billion which was in contrast with $19.5 billion of net income as reported in the year 2019 (Wells Fargo &amp; Company, 2020). On the other hand, despite the consequent erosion in capital position, the firm focalized on a capital raising through a CET1 ratio of 11.6% attained at the end of 2020 through which it remained returns capital to shareholders via dividend payments and share buybacks (Wells Fargo &amp; Company, 2020).</w:t>
      </w:r>
      <w:r w:rsidR="00774788">
        <w:t xml:space="preserve"> </w:t>
      </w:r>
    </w:p>
    <w:p w14:paraId="33335858" w14:textId="77777777" w:rsidR="00E225C3" w:rsidRDefault="00E225C3" w:rsidP="00D82D1D">
      <w:pPr>
        <w:pStyle w:val="Content"/>
      </w:pPr>
    </w:p>
    <w:p w14:paraId="13481600" w14:textId="77777777" w:rsidR="00E225C3" w:rsidRDefault="00E225C3" w:rsidP="00D82D1D">
      <w:pPr>
        <w:pStyle w:val="Content"/>
      </w:pPr>
    </w:p>
    <w:p w14:paraId="388D6F1C" w14:textId="77777777" w:rsidR="006024B3" w:rsidRDefault="006024B3" w:rsidP="00774788">
      <w:pPr>
        <w:pStyle w:val="Content"/>
      </w:pPr>
    </w:p>
    <w:p w14:paraId="374EC668" w14:textId="77777777" w:rsidR="00E225C3" w:rsidRPr="00774788" w:rsidRDefault="00E225C3" w:rsidP="00774788">
      <w:pPr>
        <w:pStyle w:val="Content"/>
      </w:pPr>
    </w:p>
    <w:p w14:paraId="5B8B5A9F" w14:textId="06A8D754" w:rsidR="00F53206" w:rsidRDefault="00F53206" w:rsidP="00D82D1D">
      <w:pPr>
        <w:pStyle w:val="Heading1"/>
        <w:numPr>
          <w:ilvl w:val="0"/>
          <w:numId w:val="0"/>
        </w:numPr>
      </w:pPr>
      <w:bookmarkStart w:id="21" w:name="_Toc164437677"/>
      <w:r>
        <w:lastRenderedPageBreak/>
        <w:t>References</w:t>
      </w:r>
      <w:bookmarkEnd w:id="21"/>
    </w:p>
    <w:p w14:paraId="019A9BB4" w14:textId="77777777" w:rsidR="00306BAF" w:rsidRDefault="00306BAF" w:rsidP="0029658A">
      <w:pPr>
        <w:pStyle w:val="Content"/>
      </w:pPr>
      <w:r w:rsidRPr="00306BAF">
        <w:t xml:space="preserve">Acharya, V.V. and Richardson, M., 2012. Implications of the Dodd-Frank act. </w:t>
      </w:r>
      <w:proofErr w:type="spellStart"/>
      <w:r w:rsidRPr="00306BAF">
        <w:t>Annu</w:t>
      </w:r>
      <w:proofErr w:type="spellEnd"/>
      <w:r w:rsidRPr="00306BAF">
        <w:t xml:space="preserve">. Rev. </w:t>
      </w:r>
      <w:proofErr w:type="spellStart"/>
      <w:r w:rsidRPr="00306BAF">
        <w:t>Financ</w:t>
      </w:r>
      <w:proofErr w:type="spellEnd"/>
      <w:r w:rsidRPr="00306BAF">
        <w:t>. Econ., 4(1), pp.1-38.</w:t>
      </w:r>
    </w:p>
    <w:p w14:paraId="71BEEBA9" w14:textId="66BA4D56" w:rsidR="00DF1774" w:rsidRDefault="00DF1774" w:rsidP="0029658A">
      <w:pPr>
        <w:pStyle w:val="Content"/>
      </w:pPr>
      <w:proofErr w:type="spellStart"/>
      <w:r w:rsidRPr="00DF1774">
        <w:t>Akhigbe</w:t>
      </w:r>
      <w:proofErr w:type="spellEnd"/>
      <w:r w:rsidRPr="00DF1774">
        <w:t>, A., Martin, A.D. and Whyte, A.M., 2016. Dodd–Frank and risk in the financial services industry. Review of Quantitative Finance and Accounting, 47, pp.395-415.</w:t>
      </w:r>
    </w:p>
    <w:p w14:paraId="6DCD5BD2" w14:textId="537B2671" w:rsidR="00DF1774" w:rsidRDefault="00DF1774" w:rsidP="0029658A">
      <w:pPr>
        <w:pStyle w:val="Content"/>
      </w:pPr>
      <w:r w:rsidRPr="00DF1774">
        <w:t xml:space="preserve">Baily, M.N., Klein, A. and </w:t>
      </w:r>
      <w:proofErr w:type="spellStart"/>
      <w:r w:rsidRPr="00DF1774">
        <w:t>Schardin</w:t>
      </w:r>
      <w:proofErr w:type="spellEnd"/>
      <w:r w:rsidRPr="00DF1774">
        <w:t>, J., 2017. The impact of the Dodd-Frank Act on financial stability and economic growth. RSF: The Russell Sage Foundation Journal of the Social Sciences, 3(1), pp.20-47.</w:t>
      </w:r>
    </w:p>
    <w:p w14:paraId="6B15C205"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2008. </w:t>
      </w:r>
      <w:r w:rsidRPr="00EE1051">
        <w:rPr>
          <w:rFonts w:ascii="Times New Roman" w:hAnsi="Times New Roman" w:cs="Times New Roman"/>
          <w:i/>
          <w:iCs/>
          <w:noProof/>
          <w:sz w:val="24"/>
          <w:szCs w:val="24"/>
        </w:rPr>
        <w:t xml:space="preserve">Recapitalisation of the UK Banking System.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https://www.bankofengland.co.uk/news/2008/october/recapitalisation-of-the-uk-banking-system</w:t>
      </w:r>
      <w:r w:rsidRPr="00EE1051">
        <w:rPr>
          <w:rFonts w:ascii="Times New Roman" w:hAnsi="Times New Roman" w:cs="Times New Roman"/>
          <w:noProof/>
          <w:sz w:val="24"/>
          <w:szCs w:val="24"/>
        </w:rPr>
        <w:br/>
        <w:t>[Accessed 12 March 2024].</w:t>
      </w:r>
    </w:p>
    <w:p w14:paraId="68EDEF56" w14:textId="24C66FC4" w:rsidR="00EE1051" w:rsidRPr="00EE1051" w:rsidRDefault="00EE1051" w:rsidP="00EE1051">
      <w:pPr>
        <w:pStyle w:val="Content"/>
        <w:jc w:val="left"/>
        <w:rPr>
          <w:rFonts w:cs="Times New Roman"/>
          <w:szCs w:val="24"/>
        </w:rPr>
      </w:pPr>
      <w:r w:rsidRPr="00EE1051">
        <w:rPr>
          <w:rFonts w:cs="Times New Roman"/>
          <w:szCs w:val="24"/>
        </w:rPr>
        <w:t xml:space="preserve">Bank of </w:t>
      </w:r>
      <w:proofErr w:type="gramStart"/>
      <w:r w:rsidRPr="00EE1051">
        <w:rPr>
          <w:rFonts w:cs="Times New Roman"/>
          <w:szCs w:val="24"/>
        </w:rPr>
        <w:t>England.,</w:t>
      </w:r>
      <w:proofErr w:type="gramEnd"/>
      <w:r w:rsidRPr="00EE1051">
        <w:rPr>
          <w:rFonts w:cs="Times New Roman"/>
          <w:szCs w:val="24"/>
        </w:rPr>
        <w:t xml:space="preserve"> 2014. The Bank of England’s approach to resolution. London: October.</w:t>
      </w:r>
    </w:p>
    <w:p w14:paraId="3CC126FD"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2019. </w:t>
      </w:r>
      <w:r w:rsidRPr="00EE1051">
        <w:rPr>
          <w:rFonts w:ascii="Times New Roman" w:hAnsi="Times New Roman" w:cs="Times New Roman"/>
          <w:i/>
          <w:iCs/>
          <w:noProof/>
          <w:sz w:val="24"/>
          <w:szCs w:val="24"/>
        </w:rPr>
        <w:t xml:space="preserve">Ring-fencing.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https://www.bankofengland.co.uk/prudential-regulation/key-initiatives/ring-fencing</w:t>
      </w:r>
      <w:r w:rsidRPr="00EE1051">
        <w:rPr>
          <w:rFonts w:ascii="Times New Roman" w:hAnsi="Times New Roman" w:cs="Times New Roman"/>
          <w:noProof/>
          <w:sz w:val="24"/>
          <w:szCs w:val="24"/>
        </w:rPr>
        <w:br/>
        <w:t>[Accessed 13 March 2024].</w:t>
      </w:r>
    </w:p>
    <w:p w14:paraId="59018469"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2020. </w:t>
      </w:r>
      <w:r w:rsidRPr="00EE1051">
        <w:rPr>
          <w:rFonts w:ascii="Times New Roman" w:hAnsi="Times New Roman" w:cs="Times New Roman"/>
          <w:i/>
          <w:iCs/>
          <w:noProof/>
          <w:sz w:val="24"/>
          <w:szCs w:val="24"/>
        </w:rPr>
        <w:t xml:space="preserve">Financial stability Reports.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https://www.bankofengland.co.uk/-/media/boe/files/financial-stability-report/2020/august-2020.pdf</w:t>
      </w:r>
      <w:r w:rsidRPr="00EE1051">
        <w:rPr>
          <w:rFonts w:ascii="Times New Roman" w:hAnsi="Times New Roman" w:cs="Times New Roman"/>
          <w:noProof/>
          <w:sz w:val="24"/>
          <w:szCs w:val="24"/>
        </w:rPr>
        <w:br/>
        <w:t>[Accessed 12 March 2024].</w:t>
      </w:r>
    </w:p>
    <w:p w14:paraId="2A419B72"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2020. </w:t>
      </w:r>
      <w:r w:rsidRPr="00EE1051">
        <w:rPr>
          <w:rFonts w:ascii="Times New Roman" w:hAnsi="Times New Roman" w:cs="Times New Roman"/>
          <w:i/>
          <w:iCs/>
          <w:noProof/>
          <w:sz w:val="24"/>
          <w:szCs w:val="24"/>
        </w:rPr>
        <w:t xml:space="preserve">Financial Stability Reports.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https://www.bankofengland.co.uk/financial-stability-report/financial-stability-reports</w:t>
      </w:r>
      <w:r w:rsidRPr="00EE1051">
        <w:rPr>
          <w:rFonts w:ascii="Times New Roman" w:hAnsi="Times New Roman" w:cs="Times New Roman"/>
          <w:noProof/>
          <w:sz w:val="24"/>
          <w:szCs w:val="24"/>
        </w:rPr>
        <w:br/>
        <w:t>[Accessed 12 March 2024].</w:t>
      </w:r>
    </w:p>
    <w:p w14:paraId="31F51C16"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2021. </w:t>
      </w:r>
      <w:r w:rsidRPr="00EE1051">
        <w:rPr>
          <w:rFonts w:ascii="Times New Roman" w:hAnsi="Times New Roman" w:cs="Times New Roman"/>
          <w:i/>
          <w:iCs/>
          <w:noProof/>
          <w:sz w:val="24"/>
          <w:szCs w:val="24"/>
        </w:rPr>
        <w:t xml:space="preserve">Prudent Regulation.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https://www.bankofengland.co.uk/prudential-regulation</w:t>
      </w:r>
      <w:r w:rsidRPr="00EE1051">
        <w:rPr>
          <w:rFonts w:ascii="Times New Roman" w:hAnsi="Times New Roman" w:cs="Times New Roman"/>
          <w:noProof/>
          <w:sz w:val="24"/>
          <w:szCs w:val="24"/>
        </w:rPr>
        <w:br/>
        <w:t>[Accessed 12 March 2024].</w:t>
      </w:r>
    </w:p>
    <w:p w14:paraId="23435043"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lastRenderedPageBreak/>
        <w:t xml:space="preserve">Banking Act, 2009. </w:t>
      </w:r>
      <w:r w:rsidRPr="00EE1051">
        <w:rPr>
          <w:rFonts w:ascii="Times New Roman" w:hAnsi="Times New Roman" w:cs="Times New Roman"/>
          <w:i/>
          <w:iCs/>
          <w:noProof/>
          <w:sz w:val="24"/>
          <w:szCs w:val="24"/>
        </w:rPr>
        <w:t xml:space="preserve">Banking Act 2009.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https://www.legislation.gov.uk/ukpga/2009/1/contents</w:t>
      </w:r>
      <w:r w:rsidRPr="00EE1051">
        <w:rPr>
          <w:rFonts w:ascii="Times New Roman" w:hAnsi="Times New Roman" w:cs="Times New Roman"/>
          <w:noProof/>
          <w:sz w:val="24"/>
          <w:szCs w:val="24"/>
        </w:rPr>
        <w:br/>
        <w:t>[Accessed 12 March 2024].</w:t>
      </w:r>
    </w:p>
    <w:p w14:paraId="686ACCC4"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Consumer Financial Protection Bureau, 2021. </w:t>
      </w:r>
      <w:r w:rsidRPr="00EE1051">
        <w:rPr>
          <w:rFonts w:ascii="Times New Roman" w:hAnsi="Times New Roman" w:cs="Times New Roman"/>
          <w:i/>
          <w:iCs/>
          <w:noProof/>
          <w:sz w:val="24"/>
          <w:szCs w:val="24"/>
        </w:rPr>
        <w:t xml:space="preserve">Enforcement actions.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https://www.consumerfinance.gov/enforcement/actions/</w:t>
      </w:r>
      <w:r w:rsidRPr="00EE1051">
        <w:rPr>
          <w:rFonts w:ascii="Times New Roman" w:hAnsi="Times New Roman" w:cs="Times New Roman"/>
          <w:noProof/>
          <w:sz w:val="24"/>
          <w:szCs w:val="24"/>
        </w:rPr>
        <w:br/>
        <w:t>[Accessed 11 March 2024].</w:t>
      </w:r>
    </w:p>
    <w:p w14:paraId="2C8450A0" w14:textId="4C35F6EE"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Corporate Finance Institute, 2015. </w:t>
      </w:r>
      <w:r w:rsidRPr="00EE1051">
        <w:rPr>
          <w:rFonts w:ascii="Times New Roman" w:hAnsi="Times New Roman" w:cs="Times New Roman"/>
          <w:i/>
          <w:iCs/>
          <w:noProof/>
          <w:sz w:val="24"/>
          <w:szCs w:val="24"/>
        </w:rPr>
        <w:t xml:space="preserve">2008-2009 Global Financial Crisis.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https://corporatefinanceinstitute.com/resources/economics/2008-2009-global-financial-crisis/</w:t>
      </w:r>
      <w:r w:rsidRPr="00EE1051">
        <w:rPr>
          <w:rFonts w:ascii="Times New Roman" w:hAnsi="Times New Roman" w:cs="Times New Roman"/>
          <w:noProof/>
          <w:sz w:val="24"/>
          <w:szCs w:val="24"/>
        </w:rPr>
        <w:br/>
        <w:t>[Accessed 10 March 2024].</w:t>
      </w:r>
    </w:p>
    <w:p w14:paraId="1B004DF3" w14:textId="2FB49B40" w:rsidR="007348A0" w:rsidRDefault="007348A0" w:rsidP="0029658A">
      <w:pPr>
        <w:pStyle w:val="Content"/>
      </w:pPr>
      <w:r w:rsidRPr="007348A0">
        <w:t>Basel Committee, 2010. Basel III: A global regulatory framework for more resilient banks and banking systems. Basel Committee on Banking Supervision, Basel.</w:t>
      </w:r>
    </w:p>
    <w:p w14:paraId="58727CDE" w14:textId="5B345480" w:rsidR="0029658A" w:rsidRDefault="0029658A" w:rsidP="0029658A">
      <w:pPr>
        <w:pStyle w:val="Content"/>
      </w:pPr>
      <w:r w:rsidRPr="0029658A">
        <w:t>Bernanke, B.S., 2013. The Federal Reserve and the financial crisis. Princeton University Press.</w:t>
      </w:r>
    </w:p>
    <w:p w14:paraId="1499DD31" w14:textId="3DEFD34C" w:rsidR="0029658A" w:rsidRDefault="0029658A" w:rsidP="0029658A">
      <w:pPr>
        <w:pStyle w:val="Content"/>
      </w:pPr>
      <w:r w:rsidRPr="0029658A">
        <w:t xml:space="preserve">Blinder, A. and </w:t>
      </w:r>
      <w:proofErr w:type="spellStart"/>
      <w:r w:rsidRPr="0029658A">
        <w:t>Zandi</w:t>
      </w:r>
      <w:proofErr w:type="spellEnd"/>
      <w:r w:rsidRPr="0029658A">
        <w:t>, M., 2015. The financial crisis: Lessons for the next one.</w:t>
      </w:r>
    </w:p>
    <w:p w14:paraId="7902AE12" w14:textId="1CA67854" w:rsidR="00DF1774" w:rsidRPr="0029658A" w:rsidRDefault="00DF1774" w:rsidP="0029658A">
      <w:pPr>
        <w:pStyle w:val="Content"/>
      </w:pPr>
      <w:r w:rsidRPr="00DF1774">
        <w:t>Carpenter, D. and Moss, D.A. eds., 2013. Preventing regulatory capture: Special interest influence and how to limit it. Cambridge University Press.</w:t>
      </w:r>
    </w:p>
    <w:p w14:paraId="3E99866C" w14:textId="2027E989" w:rsidR="006C2B6B" w:rsidRDefault="006C2B6B" w:rsidP="006C2B6B">
      <w:pPr>
        <w:pStyle w:val="Content"/>
      </w:pPr>
      <w:proofErr w:type="spellStart"/>
      <w:r w:rsidRPr="006C2B6B">
        <w:t>Crotty</w:t>
      </w:r>
      <w:proofErr w:type="spellEnd"/>
      <w:r w:rsidRPr="006C2B6B">
        <w:t>, J., 2009. Structural causes of the global financial crisis: a critical assessment of the ‘new financial architecture’. Cambridge journal of economics, 33(4), pp.563-580.</w:t>
      </w:r>
    </w:p>
    <w:p w14:paraId="2DCA57C2" w14:textId="61BE3ABD" w:rsidR="009C215B" w:rsidRDefault="009C215B" w:rsidP="006C2B6B">
      <w:pPr>
        <w:pStyle w:val="Content"/>
      </w:pPr>
      <w:proofErr w:type="spellStart"/>
      <w:r w:rsidRPr="009C215B">
        <w:t>Duffie</w:t>
      </w:r>
      <w:proofErr w:type="spellEnd"/>
      <w:r w:rsidRPr="009C215B">
        <w:t xml:space="preserve">, D., 2012. Market making under the proposed Volcker rule. Rock </w:t>
      </w:r>
      <w:proofErr w:type="spellStart"/>
      <w:r w:rsidRPr="009C215B">
        <w:t>Center</w:t>
      </w:r>
      <w:proofErr w:type="spellEnd"/>
      <w:r w:rsidRPr="009C215B">
        <w:t xml:space="preserve"> for Corporate Governance at Stanford University Working Paper, (106).</w:t>
      </w:r>
    </w:p>
    <w:p w14:paraId="0D1A56D7" w14:textId="2EAC1519" w:rsidR="00EE1051" w:rsidRDefault="00EE1051" w:rsidP="006C2B6B">
      <w:pPr>
        <w:pStyle w:val="Content"/>
      </w:pPr>
      <w:r w:rsidRPr="00EE1051">
        <w:t>Fargo, W., 2016. Wells Fargo to Eliminate Product Sales Goals for Retail Bankers. September, 13, pp.193-237.</w:t>
      </w:r>
    </w:p>
    <w:p w14:paraId="47C9BEB8" w14:textId="1E4DCF64" w:rsidR="00DF1774" w:rsidRDefault="00DF1774" w:rsidP="006C2B6B">
      <w:pPr>
        <w:pStyle w:val="Content"/>
      </w:pPr>
      <w:proofErr w:type="spellStart"/>
      <w:r w:rsidRPr="00DF1774">
        <w:t>Ferran</w:t>
      </w:r>
      <w:proofErr w:type="spellEnd"/>
      <w:r w:rsidRPr="00DF1774">
        <w:t>, E., 2014. Institutional Design for Financial Market Supervision: The Choice for National Systems. University of Cambridge Faculty of Law Research Paper, (28).</w:t>
      </w:r>
    </w:p>
    <w:p w14:paraId="69C26B0D"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Federal Reserve Board, 2020. </w:t>
      </w:r>
      <w:r w:rsidRPr="00EE1051">
        <w:rPr>
          <w:rFonts w:ascii="Times New Roman" w:hAnsi="Times New Roman" w:cs="Times New Roman"/>
          <w:i/>
          <w:iCs/>
          <w:noProof/>
          <w:sz w:val="24"/>
          <w:szCs w:val="24"/>
        </w:rPr>
        <w:t xml:space="preserve">Volcker Rule.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https://www.federalreserve.gov/supervisionreg/volcker-rule.htm</w:t>
      </w:r>
      <w:r w:rsidRPr="00EE1051">
        <w:rPr>
          <w:rFonts w:ascii="Times New Roman" w:hAnsi="Times New Roman" w:cs="Times New Roman"/>
          <w:noProof/>
          <w:sz w:val="24"/>
          <w:szCs w:val="24"/>
        </w:rPr>
        <w:br/>
        <w:t>[Accessed 12 March 2024].</w:t>
      </w:r>
    </w:p>
    <w:p w14:paraId="6291D1ED"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lastRenderedPageBreak/>
        <w:t xml:space="preserve">Federal Trade Commission, 2009. </w:t>
      </w:r>
      <w:r w:rsidRPr="00EE1051">
        <w:rPr>
          <w:rFonts w:ascii="Times New Roman" w:hAnsi="Times New Roman" w:cs="Times New Roman"/>
          <w:i/>
          <w:iCs/>
          <w:noProof/>
          <w:sz w:val="24"/>
          <w:szCs w:val="24"/>
        </w:rPr>
        <w:t xml:space="preserve">Credit Card Accountability Responsibility and Disclosure Act of 2009 (Credit CARD Act).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https://www.ftc.gov/legal-library/browse/statutes/credit-card-accountability-responsibility-disclosure-act-2009-credit-card-act</w:t>
      </w:r>
      <w:r w:rsidRPr="00EE1051">
        <w:rPr>
          <w:rFonts w:ascii="Times New Roman" w:hAnsi="Times New Roman" w:cs="Times New Roman"/>
          <w:noProof/>
          <w:sz w:val="24"/>
          <w:szCs w:val="24"/>
        </w:rPr>
        <w:br/>
        <w:t>[Accessed 10 March 2024].</w:t>
      </w:r>
    </w:p>
    <w:p w14:paraId="01530A65" w14:textId="0940285E"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Financial services act, 2012. </w:t>
      </w:r>
      <w:r w:rsidRPr="00EE1051">
        <w:rPr>
          <w:rFonts w:ascii="Times New Roman" w:hAnsi="Times New Roman" w:cs="Times New Roman"/>
          <w:i/>
          <w:iCs/>
          <w:noProof/>
          <w:sz w:val="24"/>
          <w:szCs w:val="24"/>
        </w:rPr>
        <w:t xml:space="preserve">Financial Services Act 2012.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https://www.legislation.gov.uk/ukpga/2012/21/contents</w:t>
      </w:r>
      <w:r w:rsidRPr="00EE1051">
        <w:rPr>
          <w:rFonts w:ascii="Times New Roman" w:hAnsi="Times New Roman" w:cs="Times New Roman"/>
          <w:noProof/>
          <w:sz w:val="24"/>
          <w:szCs w:val="24"/>
        </w:rPr>
        <w:br/>
        <w:t>[Accessed 12 March 2024].</w:t>
      </w:r>
    </w:p>
    <w:p w14:paraId="5C5BA74F" w14:textId="25455006" w:rsidR="0029658A" w:rsidRDefault="0029658A" w:rsidP="006C2B6B">
      <w:pPr>
        <w:pStyle w:val="Content"/>
      </w:pPr>
      <w:proofErr w:type="spellStart"/>
      <w:r w:rsidRPr="0029658A">
        <w:t>Fratzscher</w:t>
      </w:r>
      <w:proofErr w:type="spellEnd"/>
      <w:r w:rsidRPr="0029658A">
        <w:t xml:space="preserve">, M., Lo </w:t>
      </w:r>
      <w:proofErr w:type="spellStart"/>
      <w:r w:rsidRPr="0029658A">
        <w:t>Duca</w:t>
      </w:r>
      <w:proofErr w:type="spellEnd"/>
      <w:r w:rsidRPr="0029658A">
        <w:t xml:space="preserve">, M. and Straub, R., 2018. On the international </w:t>
      </w:r>
      <w:proofErr w:type="spellStart"/>
      <w:r w:rsidRPr="0029658A">
        <w:t>spillovers</w:t>
      </w:r>
      <w:proofErr w:type="spellEnd"/>
      <w:r w:rsidRPr="0029658A">
        <w:t xml:space="preserve"> of US quantitative easing. The Economic Journal, 128(608), pp.330-377.</w:t>
      </w:r>
    </w:p>
    <w:p w14:paraId="2F466AB4" w14:textId="0A1D6B60" w:rsidR="0078788E" w:rsidRDefault="0078788E" w:rsidP="006C2B6B">
      <w:pPr>
        <w:pStyle w:val="Content"/>
      </w:pPr>
      <w:proofErr w:type="spellStart"/>
      <w:r w:rsidRPr="0078788E">
        <w:t>Götz</w:t>
      </w:r>
      <w:proofErr w:type="spellEnd"/>
      <w:r w:rsidRPr="0078788E">
        <w:t xml:space="preserve">, M.R. and </w:t>
      </w:r>
      <w:proofErr w:type="spellStart"/>
      <w:r w:rsidRPr="0078788E">
        <w:t>Tröger</w:t>
      </w:r>
      <w:proofErr w:type="spellEnd"/>
      <w:r w:rsidRPr="0078788E">
        <w:t xml:space="preserve">, T., 2016. Should the marketing of subordinated debt be restricted/different in one way or the other? What to do in the case of </w:t>
      </w:r>
      <w:proofErr w:type="spellStart"/>
      <w:r w:rsidRPr="0078788E">
        <w:t>mis</w:t>
      </w:r>
      <w:proofErr w:type="spellEnd"/>
      <w:r w:rsidRPr="0078788E">
        <w:t>-selling? (No. 35). SAFE White Paper.</w:t>
      </w:r>
    </w:p>
    <w:p w14:paraId="1DA735E3" w14:textId="32D0A3CA"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GovInfo, 2010. </w:t>
      </w:r>
      <w:r w:rsidRPr="00EE1051">
        <w:rPr>
          <w:rFonts w:ascii="Times New Roman" w:hAnsi="Times New Roman" w:cs="Times New Roman"/>
          <w:i/>
          <w:iCs/>
          <w:noProof/>
          <w:sz w:val="24"/>
          <w:szCs w:val="24"/>
        </w:rPr>
        <w:t xml:space="preserve">Public Law 111 - 203 - Dodd-Frank Wall Street Reform and Consumer Protection Act.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https://www.govinfo.gov/app/details/PLAW-111publ203</w:t>
      </w:r>
      <w:r w:rsidRPr="00EE1051">
        <w:rPr>
          <w:rFonts w:ascii="Times New Roman" w:hAnsi="Times New Roman" w:cs="Times New Roman"/>
          <w:noProof/>
          <w:sz w:val="24"/>
          <w:szCs w:val="24"/>
        </w:rPr>
        <w:br/>
        <w:t>[Accessed 10 March 2024].</w:t>
      </w:r>
    </w:p>
    <w:p w14:paraId="76754EFA" w14:textId="4A9A921F" w:rsidR="00EE1051" w:rsidRDefault="00EE1051" w:rsidP="006C2B6B">
      <w:pPr>
        <w:pStyle w:val="Content"/>
      </w:pPr>
      <w:r w:rsidRPr="00EE1051">
        <w:t xml:space="preserve">Glazer, E., 2016. How Wells Fargo’s high-pressure sales culture </w:t>
      </w:r>
      <w:proofErr w:type="spellStart"/>
      <w:r w:rsidRPr="00EE1051">
        <w:t>spiraled</w:t>
      </w:r>
      <w:proofErr w:type="spellEnd"/>
      <w:r w:rsidRPr="00EE1051">
        <w:t xml:space="preserve"> out of control. The Wall Street Journal, 16.</w:t>
      </w:r>
    </w:p>
    <w:p w14:paraId="7574CAC7" w14:textId="44D03C93" w:rsidR="004B4A52" w:rsidRDefault="004B4A52" w:rsidP="006C2B6B">
      <w:pPr>
        <w:pStyle w:val="Content"/>
      </w:pPr>
      <w:r w:rsidRPr="004B4A52">
        <w:t xml:space="preserve">Haldane, A., 2017. Rethinking Financial Stability. Speech Given at the ‘Rethinking Macroeconomic Policy </w:t>
      </w:r>
      <w:proofErr w:type="spellStart"/>
      <w:r w:rsidRPr="004B4A52">
        <w:t>IV’Conference</w:t>
      </w:r>
      <w:proofErr w:type="spellEnd"/>
      <w:r w:rsidRPr="004B4A52">
        <w:t>, Washington, DC. Peterson Institute for International Economics, 12, p.3.</w:t>
      </w:r>
    </w:p>
    <w:p w14:paraId="08F9058F" w14:textId="2953D21B" w:rsid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HM Treasury, 2010. </w:t>
      </w:r>
      <w:r w:rsidRPr="00EE1051">
        <w:rPr>
          <w:rFonts w:ascii="Times New Roman" w:hAnsi="Times New Roman" w:cs="Times New Roman"/>
          <w:i/>
          <w:iCs/>
          <w:noProof/>
          <w:sz w:val="24"/>
          <w:szCs w:val="24"/>
        </w:rPr>
        <w:t xml:space="preserve">HM Treasury: The Asset Protection Scheme.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https://www.nao.org.uk/reports/hm-treasury-the-asset-protection-scheme/</w:t>
      </w:r>
      <w:r w:rsidRPr="00EE1051">
        <w:rPr>
          <w:rFonts w:ascii="Times New Roman" w:hAnsi="Times New Roman" w:cs="Times New Roman"/>
          <w:noProof/>
          <w:sz w:val="24"/>
          <w:szCs w:val="24"/>
        </w:rPr>
        <w:br/>
        <w:t>[Accessed 12 March 2024].</w:t>
      </w:r>
    </w:p>
    <w:p w14:paraId="3A732A31"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International Monetary Fund, 2009. </w:t>
      </w:r>
      <w:r w:rsidRPr="00EE1051">
        <w:rPr>
          <w:rFonts w:ascii="Times New Roman" w:hAnsi="Times New Roman" w:cs="Times New Roman"/>
          <w:i/>
          <w:iCs/>
          <w:noProof/>
          <w:sz w:val="24"/>
          <w:szCs w:val="24"/>
        </w:rPr>
        <w:t xml:space="preserve">World Economic Outlook.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https://www.imf.org/en/Publications/WEO/Issues/2016/12/31/World-Economic-Outlook-April-2009-Crisis-and-Recovery-22575</w:t>
      </w:r>
      <w:r w:rsidRPr="00EE1051">
        <w:rPr>
          <w:rFonts w:ascii="Times New Roman" w:hAnsi="Times New Roman" w:cs="Times New Roman"/>
          <w:noProof/>
          <w:sz w:val="24"/>
          <w:szCs w:val="24"/>
        </w:rPr>
        <w:br/>
        <w:t>[Accessed 10 March 2024].</w:t>
      </w:r>
    </w:p>
    <w:p w14:paraId="7C523591" w14:textId="7AA9F782" w:rsidR="0029658A" w:rsidRDefault="0029658A" w:rsidP="006C2B6B">
      <w:pPr>
        <w:pStyle w:val="Content"/>
      </w:pPr>
      <w:r w:rsidRPr="0029658A">
        <w:lastRenderedPageBreak/>
        <w:t xml:space="preserve">Joyce, M., </w:t>
      </w:r>
      <w:proofErr w:type="spellStart"/>
      <w:r w:rsidRPr="0029658A">
        <w:t>Lasaosa</w:t>
      </w:r>
      <w:proofErr w:type="spellEnd"/>
      <w:r w:rsidRPr="0029658A">
        <w:t>, A., Stevens, I. and Tong, M., 2010. The financial market impact of quantitative easing.</w:t>
      </w:r>
    </w:p>
    <w:p w14:paraId="0496B778" w14:textId="6DBF0DC4"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Macrotrends, 2023. </w:t>
      </w:r>
      <w:r w:rsidRPr="00EE1051">
        <w:rPr>
          <w:rFonts w:ascii="Times New Roman" w:hAnsi="Times New Roman" w:cs="Times New Roman"/>
          <w:i/>
          <w:iCs/>
          <w:noProof/>
          <w:sz w:val="24"/>
          <w:szCs w:val="24"/>
        </w:rPr>
        <w:t xml:space="preserve">Wells Fargo: Number of Employees 2010-2023 | WFC.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https://www.macrotrends.net/stocks/charts/WFC/wells-fargo/number-of-employees</w:t>
      </w:r>
      <w:r w:rsidRPr="00EE1051">
        <w:rPr>
          <w:rFonts w:ascii="Times New Roman" w:hAnsi="Times New Roman" w:cs="Times New Roman"/>
          <w:noProof/>
          <w:sz w:val="24"/>
          <w:szCs w:val="24"/>
        </w:rPr>
        <w:br/>
        <w:t>[Accessed 12 March 2023].</w:t>
      </w:r>
    </w:p>
    <w:p w14:paraId="0C972D8E" w14:textId="7482FDA1" w:rsidR="006C2B6B" w:rsidRDefault="006C2B6B" w:rsidP="006C2B6B">
      <w:pPr>
        <w:pStyle w:val="Content"/>
      </w:pPr>
      <w:r w:rsidRPr="006C2B6B">
        <w:t xml:space="preserve">Mayer, C., Pence, </w:t>
      </w:r>
      <w:r w:rsidR="00661F34" w:rsidRPr="006C2B6B">
        <w:t>K.,</w:t>
      </w:r>
      <w:r w:rsidRPr="006C2B6B">
        <w:t xml:space="preserve"> and Sherlund, S.M., 2009. The rise in mortgage defaults. Journal of Economic perspectives, 23(1), pp.27-50.</w:t>
      </w:r>
    </w:p>
    <w:p w14:paraId="36305A17" w14:textId="243242E9" w:rsidR="00A376F7" w:rsidRDefault="00A376F7" w:rsidP="006C2B6B">
      <w:pPr>
        <w:pStyle w:val="Content"/>
      </w:pPr>
      <w:proofErr w:type="spellStart"/>
      <w:r w:rsidRPr="00A376F7">
        <w:t>Moloney</w:t>
      </w:r>
      <w:proofErr w:type="spellEnd"/>
      <w:r w:rsidRPr="00A376F7">
        <w:t xml:space="preserve">, N., 2018. Brexit and financial </w:t>
      </w:r>
      <w:proofErr w:type="gramStart"/>
      <w:r w:rsidRPr="00A376F7">
        <w:t>services:</w:t>
      </w:r>
      <w:proofErr w:type="gramEnd"/>
      <w:r w:rsidRPr="00A376F7">
        <w:t>(yet) another re-ordering of institutional governance for the EU financial system?. Common Market Law Review, 55(Special).</w:t>
      </w:r>
    </w:p>
    <w:p w14:paraId="0CE6A5D1" w14:textId="07D492AE" w:rsidR="00F75BAD" w:rsidRDefault="00F75BAD" w:rsidP="006C2B6B">
      <w:pPr>
        <w:pStyle w:val="Content"/>
      </w:pPr>
      <w:proofErr w:type="spellStart"/>
      <w:r w:rsidRPr="00364F4A">
        <w:t>Naegele</w:t>
      </w:r>
      <w:proofErr w:type="spellEnd"/>
      <w:r w:rsidRPr="00364F4A">
        <w:t>, T.D., 2019. Wells Fargo: An American Banking Nightmare. Banking LJ, 136, p.493.</w:t>
      </w:r>
    </w:p>
    <w:p w14:paraId="309E7D60" w14:textId="2C66546D"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National Audit Office, 2009. </w:t>
      </w:r>
      <w:r w:rsidRPr="00EE1051">
        <w:rPr>
          <w:rFonts w:ascii="Times New Roman" w:hAnsi="Times New Roman" w:cs="Times New Roman"/>
          <w:i/>
          <w:iCs/>
          <w:noProof/>
          <w:sz w:val="24"/>
          <w:szCs w:val="24"/>
        </w:rPr>
        <w:t xml:space="preserve">Maintaining financial stability across the United Kingdom’s banking system.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https://www.nao.org.uk/wp-content/uploads/2009/12/091091.pdf</w:t>
      </w:r>
      <w:r w:rsidRPr="00EE1051">
        <w:rPr>
          <w:rFonts w:ascii="Times New Roman" w:hAnsi="Times New Roman" w:cs="Times New Roman"/>
          <w:noProof/>
          <w:sz w:val="24"/>
          <w:szCs w:val="24"/>
        </w:rPr>
        <w:br/>
        <w:t>[Accessed 11 March 2024].</w:t>
      </w:r>
    </w:p>
    <w:p w14:paraId="098445C2" w14:textId="1ED14564" w:rsid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National Credit Union Administration, 2020. </w:t>
      </w:r>
      <w:r w:rsidRPr="00EE1051">
        <w:rPr>
          <w:rFonts w:ascii="Times New Roman" w:hAnsi="Times New Roman" w:cs="Times New Roman"/>
          <w:i/>
          <w:iCs/>
          <w:noProof/>
          <w:sz w:val="24"/>
          <w:szCs w:val="24"/>
        </w:rPr>
        <w:t xml:space="preserve">SAFE Act.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https://ncua.gov/regulation-supervision/manuals-guides/federal-consumer-financial-protection-guide/compliance-management/lending-regulations/secure-and-fair-enforcement-mortgage-licensing-act-safe-act-regulation-g#:~:text=The%20Secure%20and%20Fair%20Enfor</w:t>
      </w:r>
      <w:r w:rsidRPr="00EE1051">
        <w:rPr>
          <w:rFonts w:ascii="Times New Roman" w:hAnsi="Times New Roman" w:cs="Times New Roman"/>
          <w:noProof/>
          <w:sz w:val="24"/>
          <w:szCs w:val="24"/>
        </w:rPr>
        <w:br/>
        <w:t>[Accessed 10 March 2024].</w:t>
      </w:r>
    </w:p>
    <w:p w14:paraId="542B41AD"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Office for National Statistics, 2021. </w:t>
      </w:r>
      <w:r w:rsidRPr="00EE1051">
        <w:rPr>
          <w:rFonts w:ascii="Times New Roman" w:hAnsi="Times New Roman" w:cs="Times New Roman"/>
          <w:i/>
          <w:iCs/>
          <w:noProof/>
          <w:sz w:val="24"/>
          <w:szCs w:val="24"/>
        </w:rPr>
        <w:t xml:space="preserve">Gross Domestic Product: Year on Year growth: CVM SA %.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https://www.ons.gov.uk/economy/grossdomesticproductgdp/timeseries/ihyp/qna</w:t>
      </w:r>
      <w:r w:rsidRPr="00EE1051">
        <w:rPr>
          <w:rFonts w:ascii="Times New Roman" w:hAnsi="Times New Roman" w:cs="Times New Roman"/>
          <w:noProof/>
          <w:sz w:val="24"/>
          <w:szCs w:val="24"/>
        </w:rPr>
        <w:br/>
        <w:t>[Accessed 12 March 2024].</w:t>
      </w:r>
    </w:p>
    <w:p w14:paraId="5C0558C4" w14:textId="77777777" w:rsidR="00EE1051" w:rsidRPr="00EE1051" w:rsidRDefault="00EE1051" w:rsidP="00EE1051"/>
    <w:p w14:paraId="6F0CDC77" w14:textId="21F6772F" w:rsidR="00A376F7" w:rsidRDefault="00A376F7" w:rsidP="006C2B6B">
      <w:pPr>
        <w:pStyle w:val="Content"/>
      </w:pPr>
      <w:r w:rsidRPr="00A376F7">
        <w:t xml:space="preserve">Parliament, U.K., 2013. Financial Services (Banking Reform) Act. Accessed via http://www. </w:t>
      </w:r>
      <w:proofErr w:type="gramStart"/>
      <w:r w:rsidRPr="00A376F7">
        <w:t>legislation</w:t>
      </w:r>
      <w:proofErr w:type="gramEnd"/>
      <w:r w:rsidRPr="00A376F7">
        <w:t xml:space="preserve">. </w:t>
      </w:r>
      <w:proofErr w:type="spellStart"/>
      <w:proofErr w:type="gramStart"/>
      <w:r w:rsidRPr="00A376F7">
        <w:t>gov</w:t>
      </w:r>
      <w:proofErr w:type="gramEnd"/>
      <w:r w:rsidRPr="00A376F7">
        <w:t>.</w:t>
      </w:r>
      <w:proofErr w:type="spellEnd"/>
      <w:r w:rsidRPr="00A376F7">
        <w:t xml:space="preserve"> </w:t>
      </w:r>
      <w:proofErr w:type="spellStart"/>
      <w:r w:rsidRPr="00A376F7">
        <w:t>uk</w:t>
      </w:r>
      <w:proofErr w:type="spellEnd"/>
      <w:r w:rsidRPr="00A376F7">
        <w:t>/</w:t>
      </w:r>
      <w:proofErr w:type="spellStart"/>
      <w:r w:rsidRPr="00A376F7">
        <w:t>ukpga</w:t>
      </w:r>
      <w:proofErr w:type="spellEnd"/>
      <w:r w:rsidRPr="00A376F7">
        <w:t xml:space="preserve">/2013/33/pdfs/ukpga_20130033_en. </w:t>
      </w:r>
      <w:proofErr w:type="gramStart"/>
      <w:r w:rsidRPr="00A376F7">
        <w:t>pdf</w:t>
      </w:r>
      <w:proofErr w:type="gramEnd"/>
      <w:r w:rsidRPr="00A376F7">
        <w:t>.</w:t>
      </w:r>
    </w:p>
    <w:p w14:paraId="41FF64E6" w14:textId="1907D9FC" w:rsidR="00B001D3" w:rsidRDefault="00B001D3" w:rsidP="006C2B6B">
      <w:pPr>
        <w:pStyle w:val="Content"/>
      </w:pPr>
      <w:proofErr w:type="spellStart"/>
      <w:r w:rsidRPr="00B001D3">
        <w:lastRenderedPageBreak/>
        <w:t>Rothacker</w:t>
      </w:r>
      <w:proofErr w:type="spellEnd"/>
      <w:r w:rsidRPr="00B001D3">
        <w:t xml:space="preserve">, R., 2010. </w:t>
      </w:r>
      <w:proofErr w:type="spellStart"/>
      <w:r w:rsidRPr="00B001D3">
        <w:t>Banktown</w:t>
      </w:r>
      <w:proofErr w:type="spellEnd"/>
      <w:r w:rsidRPr="00B001D3">
        <w:t>: The rise and struggles of Charlotte's big banks. John F. Blair, Publisher.</w:t>
      </w:r>
    </w:p>
    <w:p w14:paraId="210BCE63" w14:textId="5F12A6EF" w:rsidR="009C215B" w:rsidRDefault="009C215B" w:rsidP="006C2B6B">
      <w:pPr>
        <w:pStyle w:val="Content"/>
      </w:pPr>
      <w:r w:rsidRPr="009C215B">
        <w:t xml:space="preserve">Scott, H.S., 2016. Connectedness and contagion: Protecting the financial system from panics. </w:t>
      </w:r>
      <w:proofErr w:type="spellStart"/>
      <w:r w:rsidRPr="009C215B">
        <w:t>Mit</w:t>
      </w:r>
      <w:proofErr w:type="spellEnd"/>
      <w:r w:rsidRPr="009C215B">
        <w:t xml:space="preserve"> Press.</w:t>
      </w:r>
    </w:p>
    <w:p w14:paraId="6C6D6270" w14:textId="47C7CD27" w:rsidR="00364F4A" w:rsidRDefault="00364F4A" w:rsidP="006C2B6B">
      <w:pPr>
        <w:pStyle w:val="Content"/>
      </w:pPr>
      <w:r w:rsidRPr="00364F4A">
        <w:t>Smith, A.D., 2020. Wells Fargo and Trust Issues: Impact on Financial Banking.</w:t>
      </w:r>
    </w:p>
    <w:p w14:paraId="751A18F8" w14:textId="7FBBFB0C" w:rsidR="006C2B6B" w:rsidRDefault="006C2B6B" w:rsidP="006C2B6B">
      <w:pPr>
        <w:pStyle w:val="Content"/>
      </w:pPr>
      <w:proofErr w:type="spellStart"/>
      <w:r w:rsidRPr="006C2B6B">
        <w:t>Sorkin</w:t>
      </w:r>
      <w:proofErr w:type="spellEnd"/>
      <w:r w:rsidRPr="006C2B6B">
        <w:t>, A.R., 2010. Too big to fail: The inside story of how Wall Street and Washington fought to save the financial system--and themselves. Penguin.</w:t>
      </w:r>
    </w:p>
    <w:p w14:paraId="25B62E93" w14:textId="1064AB81" w:rsidR="00F75BAD" w:rsidRPr="00F75BAD"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S&amp;P Dow Jones Indices LLC, 2021. </w:t>
      </w:r>
      <w:r w:rsidRPr="00EE1051">
        <w:rPr>
          <w:rFonts w:ascii="Times New Roman" w:hAnsi="Times New Roman" w:cs="Times New Roman"/>
          <w:i/>
          <w:iCs/>
          <w:noProof/>
          <w:sz w:val="24"/>
          <w:szCs w:val="24"/>
        </w:rPr>
        <w:t xml:space="preserve">S&amp;P/Case-Shiller U.S. National Home Price Index [CSUSHPINSA].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https://fred.stlouisfed.org/series/CSUSHPINSA</w:t>
      </w:r>
      <w:r w:rsidRPr="00EE1051">
        <w:rPr>
          <w:rFonts w:ascii="Times New Roman" w:hAnsi="Times New Roman" w:cs="Times New Roman"/>
          <w:noProof/>
          <w:sz w:val="24"/>
          <w:szCs w:val="24"/>
        </w:rPr>
        <w:br/>
        <w:t>[Accessed 10 March 2024].</w:t>
      </w:r>
    </w:p>
    <w:p w14:paraId="74CBA9E0" w14:textId="28E9BB77" w:rsidR="009C215B" w:rsidRPr="006C2B6B" w:rsidRDefault="009C215B" w:rsidP="006C2B6B">
      <w:pPr>
        <w:pStyle w:val="Content"/>
      </w:pPr>
      <w:r w:rsidRPr="009C215B">
        <w:t>Tyler, G., 2015. Financial Services: contribution to the UK economy. House of Common Library.</w:t>
      </w:r>
    </w:p>
    <w:p w14:paraId="00C5FBF4" w14:textId="5550C5B7" w:rsidR="00F53206" w:rsidRDefault="00F53206" w:rsidP="00F53206">
      <w:pPr>
        <w:pStyle w:val="Content"/>
      </w:pPr>
      <w:r w:rsidRPr="00F53206">
        <w:t>United States. Financial Crisis Inquiry Commission, 2010. The financial crisis inquiry report: Final report of the national commission on the causes of the financial and economic crisis in the United States. Government Printing Office.</w:t>
      </w:r>
    </w:p>
    <w:sdt>
      <w:sdtPr>
        <w:rPr>
          <w:rFonts w:ascii="Times New Roman" w:hAnsi="Times New Roman"/>
          <w:color w:val="000000" w:themeColor="text1"/>
          <w:sz w:val="24"/>
        </w:rPr>
        <w:id w:val="-573587230"/>
        <w:bibliography/>
      </w:sdtPr>
      <w:sdtEndPr/>
      <w:sdtContent>
        <w:p w14:paraId="0DE2D3B1" w14:textId="24FADB49" w:rsidR="00F75BAD" w:rsidRPr="00F75BAD" w:rsidRDefault="00F75BAD" w:rsidP="00F75BAD">
          <w:pPr>
            <w:pStyle w:val="Bibliography"/>
            <w:spacing w:line="360" w:lineRule="auto"/>
            <w:rPr>
              <w:rFonts w:ascii="Times New Roman" w:hAnsi="Times New Roman" w:cs="Times New Roman"/>
              <w:noProof/>
              <w:kern w:val="0"/>
              <w:sz w:val="28"/>
              <w:szCs w:val="28"/>
              <w14:ligatures w14:val="none"/>
            </w:rPr>
          </w:pPr>
          <w:r w:rsidRPr="00EE1051">
            <w:rPr>
              <w:rFonts w:ascii="Times New Roman" w:hAnsi="Times New Roman" w:cs="Times New Roman"/>
              <w:sz w:val="24"/>
              <w:szCs w:val="24"/>
            </w:rPr>
            <w:fldChar w:fldCharType="begin"/>
          </w:r>
          <w:r w:rsidRPr="00EE1051">
            <w:rPr>
              <w:rFonts w:ascii="Times New Roman" w:hAnsi="Times New Roman" w:cs="Times New Roman"/>
              <w:sz w:val="24"/>
              <w:szCs w:val="24"/>
            </w:rPr>
            <w:instrText xml:space="preserve"> BIBLIOGRAPHY </w:instrText>
          </w:r>
          <w:r w:rsidRPr="00EE1051">
            <w:rPr>
              <w:rFonts w:ascii="Times New Roman" w:hAnsi="Times New Roman" w:cs="Times New Roman"/>
              <w:sz w:val="24"/>
              <w:szCs w:val="24"/>
            </w:rPr>
            <w:fldChar w:fldCharType="separate"/>
          </w:r>
          <w:r w:rsidRPr="00EE1051">
            <w:rPr>
              <w:rFonts w:ascii="Times New Roman" w:hAnsi="Times New Roman" w:cs="Times New Roman"/>
              <w:noProof/>
              <w:sz w:val="24"/>
              <w:szCs w:val="24"/>
            </w:rPr>
            <w:t xml:space="preserve">U.S Department of the Treasury, 2012. </w:t>
          </w:r>
          <w:r w:rsidRPr="00EE1051">
            <w:rPr>
              <w:rFonts w:ascii="Times New Roman" w:hAnsi="Times New Roman" w:cs="Times New Roman"/>
              <w:i/>
              <w:iCs/>
              <w:noProof/>
              <w:sz w:val="24"/>
              <w:szCs w:val="24"/>
            </w:rPr>
            <w:t xml:space="preserve">Home Affordable Modification Program (HAMP).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https://home.treasury.gov/data/troubled-assets-relief-program/housing/mha/hamp</w:t>
          </w:r>
          <w:r w:rsidRPr="00EE1051">
            <w:rPr>
              <w:rFonts w:ascii="Times New Roman" w:hAnsi="Times New Roman" w:cs="Times New Roman"/>
              <w:noProof/>
              <w:sz w:val="24"/>
              <w:szCs w:val="24"/>
            </w:rPr>
            <w:br/>
            <w:t>[Accessed 10 March 2024].</w:t>
          </w:r>
        </w:p>
        <w:p w14:paraId="51DFE38C" w14:textId="77777777" w:rsidR="00F75BAD"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UK Debt Management Offive, 2008. </w:t>
          </w:r>
          <w:r w:rsidRPr="00EE1051">
            <w:rPr>
              <w:rFonts w:ascii="Times New Roman" w:hAnsi="Times New Roman" w:cs="Times New Roman"/>
              <w:i/>
              <w:iCs/>
              <w:noProof/>
              <w:sz w:val="24"/>
              <w:szCs w:val="24"/>
            </w:rPr>
            <w:t xml:space="preserve">2008 Credit Gurantee Scheme.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https://www.dmo.gov.uk/responsibilities/guarantee-schemes/credit-guarantee-scheme/</w:t>
          </w:r>
          <w:r w:rsidRPr="00EE1051">
            <w:rPr>
              <w:rFonts w:ascii="Times New Roman" w:hAnsi="Times New Roman" w:cs="Times New Roman"/>
              <w:noProof/>
              <w:sz w:val="24"/>
              <w:szCs w:val="24"/>
            </w:rPr>
            <w:br/>
            <w:t>[Accessed 12 March 2024].</w:t>
          </w:r>
        </w:p>
        <w:p w14:paraId="507BFED7" w14:textId="68305982" w:rsidR="00F75BAD" w:rsidRPr="00F75BAD" w:rsidRDefault="00F75BAD" w:rsidP="00F75BAD">
          <w:pPr>
            <w:pStyle w:val="Content"/>
          </w:pPr>
          <w:r w:rsidRPr="0078788E">
            <w:t>Weber, A., 2017. The impact of financial regulation: a G-SIB perspective. Financial Stability Review, (21), pp.45-54.</w:t>
          </w:r>
        </w:p>
        <w:p w14:paraId="15295F2F" w14:textId="77777777" w:rsidR="00F75BAD" w:rsidRPr="00EE1051"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lastRenderedPageBreak/>
            <w:t xml:space="preserve">Wells Fargo &amp; Company, 2007. </w:t>
          </w:r>
          <w:r w:rsidRPr="00EE1051">
            <w:rPr>
              <w:rFonts w:ascii="Times New Roman" w:hAnsi="Times New Roman" w:cs="Times New Roman"/>
              <w:i/>
              <w:iCs/>
              <w:noProof/>
              <w:sz w:val="24"/>
              <w:szCs w:val="24"/>
            </w:rPr>
            <w:t xml:space="preserve">Annual Report 2007.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https://www.annualreports.com/HostedData/AnnualReportArchive/w/NYSE_WFC_2007.pdf</w:t>
          </w:r>
          <w:r w:rsidRPr="00EE1051">
            <w:rPr>
              <w:rFonts w:ascii="Times New Roman" w:hAnsi="Times New Roman" w:cs="Times New Roman"/>
              <w:noProof/>
              <w:sz w:val="24"/>
              <w:szCs w:val="24"/>
            </w:rPr>
            <w:br/>
            <w:t>[Accessed 12 March 2024].</w:t>
          </w:r>
        </w:p>
        <w:p w14:paraId="6F354212" w14:textId="77777777" w:rsidR="00F75BAD" w:rsidRPr="00EE1051"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Wells Fargo &amp; Company, 2019. </w:t>
          </w:r>
          <w:r w:rsidRPr="00EE1051">
            <w:rPr>
              <w:rFonts w:ascii="Times New Roman" w:hAnsi="Times New Roman" w:cs="Times New Roman"/>
              <w:i/>
              <w:iCs/>
              <w:noProof/>
              <w:sz w:val="24"/>
              <w:szCs w:val="24"/>
            </w:rPr>
            <w:t xml:space="preserve">Wells Fargo to Sell Institutional Retirement &amp; Trust Business to Principal Financial Group.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https://newsroom.wf.com/English/news-releases/news-release-details/2019/Wells-Fargo-to-Sell-Institutional-Retirement--Trust-Business-to-Principal-Financial-Group/default.aspx</w:t>
          </w:r>
          <w:r w:rsidRPr="00EE1051">
            <w:rPr>
              <w:rFonts w:ascii="Times New Roman" w:hAnsi="Times New Roman" w:cs="Times New Roman"/>
              <w:noProof/>
              <w:sz w:val="24"/>
              <w:szCs w:val="24"/>
            </w:rPr>
            <w:br/>
            <w:t>[Accessed 12 March 2024].</w:t>
          </w:r>
        </w:p>
        <w:p w14:paraId="6934AEFD" w14:textId="77777777" w:rsidR="00F75BAD" w:rsidRPr="00EE1051"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Wells Fargo &amp; Company, 2020. </w:t>
          </w:r>
          <w:r w:rsidRPr="00EE1051">
            <w:rPr>
              <w:rFonts w:ascii="Times New Roman" w:hAnsi="Times New Roman" w:cs="Times New Roman"/>
              <w:i/>
              <w:iCs/>
              <w:noProof/>
              <w:sz w:val="24"/>
              <w:szCs w:val="24"/>
            </w:rPr>
            <w:t xml:space="preserve">Annual Report 2020.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https://www08.wellsfargomedia.com/assets/pdf/about/investor-relations/annual-reports/2020-annual-report.pdf</w:t>
          </w:r>
          <w:r w:rsidRPr="00EE1051">
            <w:rPr>
              <w:rFonts w:ascii="Times New Roman" w:hAnsi="Times New Roman" w:cs="Times New Roman"/>
              <w:noProof/>
              <w:sz w:val="24"/>
              <w:szCs w:val="24"/>
            </w:rPr>
            <w:br/>
            <w:t>[Accessed 12 March 2024].</w:t>
          </w:r>
        </w:p>
        <w:p w14:paraId="252A02E4" w14:textId="77777777" w:rsidR="00F75BAD" w:rsidRPr="00EE1051"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Wells Fargo &amp; Company, 2024. </w:t>
          </w:r>
          <w:r w:rsidRPr="00EE1051">
            <w:rPr>
              <w:rFonts w:ascii="Times New Roman" w:hAnsi="Times New Roman" w:cs="Times New Roman"/>
              <w:i/>
              <w:iCs/>
              <w:noProof/>
              <w:sz w:val="24"/>
              <w:szCs w:val="24"/>
            </w:rPr>
            <w:t xml:space="preserve">About.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https://www.wellsfargo.com/about/</w:t>
          </w:r>
          <w:r w:rsidRPr="00EE1051">
            <w:rPr>
              <w:rFonts w:ascii="Times New Roman" w:hAnsi="Times New Roman" w:cs="Times New Roman"/>
              <w:noProof/>
              <w:sz w:val="24"/>
              <w:szCs w:val="24"/>
            </w:rPr>
            <w:br/>
            <w:t>[Accessed 12 March 2024].</w:t>
          </w:r>
        </w:p>
        <w:p w14:paraId="1E1C6238" w14:textId="1BBC1778" w:rsidR="00F53206" w:rsidRDefault="00F75BAD" w:rsidP="00F75BAD">
          <w:pPr>
            <w:pStyle w:val="Content"/>
          </w:pPr>
          <w:r w:rsidRPr="00EE1051">
            <w:rPr>
              <w:rFonts w:cs="Times New Roman"/>
              <w:b/>
              <w:bCs/>
              <w:noProof/>
              <w:szCs w:val="24"/>
            </w:rPr>
            <w:fldChar w:fldCharType="end"/>
          </w:r>
          <w:r w:rsidR="00F53206" w:rsidRPr="00F53206">
            <w:t xml:space="preserve">Wiggins, R., </w:t>
          </w:r>
          <w:proofErr w:type="spellStart"/>
          <w:r w:rsidR="00F53206" w:rsidRPr="00F53206">
            <w:t>Piontek</w:t>
          </w:r>
          <w:proofErr w:type="spellEnd"/>
          <w:r w:rsidR="00F53206" w:rsidRPr="00F53206">
            <w:t xml:space="preserve">, T. and </w:t>
          </w:r>
          <w:proofErr w:type="spellStart"/>
          <w:r w:rsidR="00F53206" w:rsidRPr="00F53206">
            <w:t>Metrick</w:t>
          </w:r>
          <w:proofErr w:type="spellEnd"/>
          <w:r w:rsidR="00F53206" w:rsidRPr="00F53206">
            <w:t xml:space="preserve">, A., 2014. The Lehman </w:t>
          </w:r>
          <w:proofErr w:type="gramStart"/>
          <w:r w:rsidR="00F53206" w:rsidRPr="00F53206">
            <w:t>brothers</w:t>
          </w:r>
          <w:proofErr w:type="gramEnd"/>
          <w:r w:rsidR="00F53206" w:rsidRPr="00F53206">
            <w:t xml:space="preserve"> bankruptcy a: overview. Yale program on financial stability case study.</w:t>
          </w:r>
        </w:p>
      </w:sdtContent>
    </w:sdt>
    <w:p w14:paraId="278FF289" w14:textId="313740E3" w:rsidR="00DF1774" w:rsidRDefault="00DF1774" w:rsidP="00F53206">
      <w:pPr>
        <w:pStyle w:val="Content"/>
      </w:pPr>
      <w:proofErr w:type="spellStart"/>
      <w:r w:rsidRPr="00DF1774">
        <w:t>Wilmarth</w:t>
      </w:r>
      <w:proofErr w:type="spellEnd"/>
      <w:r w:rsidRPr="00DF1774">
        <w:t xml:space="preserve"> </w:t>
      </w:r>
      <w:proofErr w:type="spellStart"/>
      <w:r w:rsidRPr="00DF1774">
        <w:t>Jr</w:t>
      </w:r>
      <w:proofErr w:type="spellEnd"/>
      <w:r w:rsidRPr="00DF1774">
        <w:t>, A.E., 2010. The Dodd-Frank Act: A flawed and inadequate response to the too-big-to-fail problem. Or. L. Rev., 89, p.951.</w:t>
      </w:r>
    </w:p>
    <w:p w14:paraId="7CF9D89F" w14:textId="4DF02876" w:rsidR="009C215B" w:rsidRDefault="009C215B" w:rsidP="00F53206">
      <w:pPr>
        <w:pStyle w:val="Content"/>
      </w:pPr>
      <w:proofErr w:type="spellStart"/>
      <w:r w:rsidRPr="009C215B">
        <w:t>Yeandle</w:t>
      </w:r>
      <w:proofErr w:type="spellEnd"/>
      <w:r w:rsidRPr="009C215B">
        <w:t xml:space="preserve">, M. and </w:t>
      </w:r>
      <w:proofErr w:type="spellStart"/>
      <w:r w:rsidRPr="009C215B">
        <w:t>Mainelli</w:t>
      </w:r>
      <w:proofErr w:type="spellEnd"/>
      <w:r w:rsidRPr="009C215B">
        <w:t>, M., 2015. The Global Financial Centres Index 17. The Global Finance Centres Index (GFCI)-Long Finance.</w:t>
      </w:r>
    </w:p>
    <w:p w14:paraId="5C75AF12" w14:textId="4C98CC33" w:rsidR="009C215B" w:rsidRPr="00F53206" w:rsidRDefault="009C215B" w:rsidP="00F53206">
      <w:pPr>
        <w:pStyle w:val="Content"/>
      </w:pPr>
      <w:proofErr w:type="spellStart"/>
      <w:r w:rsidRPr="009C215B">
        <w:t>Zywicki</w:t>
      </w:r>
      <w:proofErr w:type="spellEnd"/>
      <w:r w:rsidRPr="009C215B">
        <w:t xml:space="preserve">, T., 2013. The consumer financial protection bureau: </w:t>
      </w:r>
      <w:proofErr w:type="spellStart"/>
      <w:r w:rsidRPr="009C215B">
        <w:t>Savior</w:t>
      </w:r>
      <w:proofErr w:type="spellEnd"/>
      <w:r w:rsidRPr="009C215B">
        <w:t xml:space="preserve"> or menace. Geo. Wash. L. Rev., 81, p.856.</w:t>
      </w:r>
    </w:p>
    <w:p w14:paraId="3436DF2B" w14:textId="23B774E7" w:rsidR="00EE1051" w:rsidRDefault="00EE1051" w:rsidP="00EE1051">
      <w:pPr>
        <w:spacing w:line="360" w:lineRule="auto"/>
      </w:pPr>
    </w:p>
    <w:p w14:paraId="7864BF18" w14:textId="77777777" w:rsidR="00EB640B" w:rsidRPr="00EB640B" w:rsidRDefault="00EB640B" w:rsidP="00EB640B">
      <w:pPr>
        <w:pStyle w:val="Content"/>
      </w:pPr>
    </w:p>
    <w:sectPr w:rsidR="00EB640B" w:rsidRPr="00EB640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924256" w14:textId="77777777" w:rsidR="0037194C" w:rsidRDefault="0037194C" w:rsidP="00023576">
      <w:pPr>
        <w:spacing w:after="0" w:line="240" w:lineRule="auto"/>
      </w:pPr>
      <w:r>
        <w:separator/>
      </w:r>
    </w:p>
  </w:endnote>
  <w:endnote w:type="continuationSeparator" w:id="0">
    <w:p w14:paraId="7AECB9E9" w14:textId="77777777" w:rsidR="0037194C" w:rsidRDefault="0037194C" w:rsidP="00023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3628050"/>
      <w:docPartObj>
        <w:docPartGallery w:val="Page Numbers (Bottom of Page)"/>
        <w:docPartUnique/>
      </w:docPartObj>
    </w:sdtPr>
    <w:sdtEndPr>
      <w:rPr>
        <w:noProof/>
      </w:rPr>
    </w:sdtEndPr>
    <w:sdtContent>
      <w:p w14:paraId="19BD5650" w14:textId="04A22992" w:rsidR="00F75BAD" w:rsidRDefault="00F75BAD">
        <w:pPr>
          <w:pStyle w:val="Footer"/>
          <w:jc w:val="center"/>
        </w:pPr>
        <w:r>
          <w:fldChar w:fldCharType="begin"/>
        </w:r>
        <w:r>
          <w:instrText xml:space="preserve"> PAGE   \* MERGEFORMAT </w:instrText>
        </w:r>
        <w:r>
          <w:fldChar w:fldCharType="separate"/>
        </w:r>
        <w:r w:rsidR="007E0CCF">
          <w:rPr>
            <w:noProof/>
          </w:rPr>
          <w:t>3</w:t>
        </w:r>
        <w:r>
          <w:rPr>
            <w:noProof/>
          </w:rPr>
          <w:fldChar w:fldCharType="end"/>
        </w:r>
      </w:p>
    </w:sdtContent>
  </w:sdt>
  <w:p w14:paraId="03EA02DC" w14:textId="77777777" w:rsidR="00F75BAD" w:rsidRDefault="00F75B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94B7DC" w14:textId="77777777" w:rsidR="0037194C" w:rsidRDefault="0037194C" w:rsidP="00023576">
      <w:pPr>
        <w:spacing w:after="0" w:line="240" w:lineRule="auto"/>
      </w:pPr>
      <w:r>
        <w:separator/>
      </w:r>
    </w:p>
  </w:footnote>
  <w:footnote w:type="continuationSeparator" w:id="0">
    <w:p w14:paraId="50FC05CF" w14:textId="77777777" w:rsidR="0037194C" w:rsidRDefault="0037194C" w:rsidP="0002357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CE55BC"/>
    <w:multiLevelType w:val="hybridMultilevel"/>
    <w:tmpl w:val="A7BA0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6050F8"/>
    <w:multiLevelType w:val="hybridMultilevel"/>
    <w:tmpl w:val="56743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2D3A9B"/>
    <w:multiLevelType w:val="hybridMultilevel"/>
    <w:tmpl w:val="315A9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88F1DF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hideSpellingErrors/>
  <w:hideGrammaticalErrors/>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6757"/>
    <w:rsid w:val="00002CAF"/>
    <w:rsid w:val="00007F34"/>
    <w:rsid w:val="00023576"/>
    <w:rsid w:val="00087CEA"/>
    <w:rsid w:val="000C31B1"/>
    <w:rsid w:val="000C33DC"/>
    <w:rsid w:val="000D1D31"/>
    <w:rsid w:val="000E0AD8"/>
    <w:rsid w:val="000E11A3"/>
    <w:rsid w:val="000E3534"/>
    <w:rsid w:val="000E4B1B"/>
    <w:rsid w:val="000F087C"/>
    <w:rsid w:val="000F41CA"/>
    <w:rsid w:val="00127434"/>
    <w:rsid w:val="00132371"/>
    <w:rsid w:val="0014771E"/>
    <w:rsid w:val="001618DA"/>
    <w:rsid w:val="00164858"/>
    <w:rsid w:val="001A42A6"/>
    <w:rsid w:val="001A570D"/>
    <w:rsid w:val="001D6BB1"/>
    <w:rsid w:val="001D775D"/>
    <w:rsid w:val="001E03E3"/>
    <w:rsid w:val="001E646C"/>
    <w:rsid w:val="001F20F9"/>
    <w:rsid w:val="0020543C"/>
    <w:rsid w:val="00214ECB"/>
    <w:rsid w:val="00224F74"/>
    <w:rsid w:val="00225B2C"/>
    <w:rsid w:val="00256F4C"/>
    <w:rsid w:val="0026709D"/>
    <w:rsid w:val="002702C9"/>
    <w:rsid w:val="0027426A"/>
    <w:rsid w:val="00284931"/>
    <w:rsid w:val="0029658A"/>
    <w:rsid w:val="002A31CE"/>
    <w:rsid w:val="002B0CA7"/>
    <w:rsid w:val="002B26BF"/>
    <w:rsid w:val="002D0733"/>
    <w:rsid w:val="002E7D17"/>
    <w:rsid w:val="002F229B"/>
    <w:rsid w:val="003042EC"/>
    <w:rsid w:val="0030540F"/>
    <w:rsid w:val="00306BAF"/>
    <w:rsid w:val="00364F4A"/>
    <w:rsid w:val="00370F80"/>
    <w:rsid w:val="0037194C"/>
    <w:rsid w:val="003B4100"/>
    <w:rsid w:val="003B5CEE"/>
    <w:rsid w:val="003E5EB2"/>
    <w:rsid w:val="003E6FD2"/>
    <w:rsid w:val="003F1625"/>
    <w:rsid w:val="004012E5"/>
    <w:rsid w:val="00406929"/>
    <w:rsid w:val="004207E6"/>
    <w:rsid w:val="0043315F"/>
    <w:rsid w:val="004413B8"/>
    <w:rsid w:val="0045638C"/>
    <w:rsid w:val="00457541"/>
    <w:rsid w:val="004615C3"/>
    <w:rsid w:val="00464099"/>
    <w:rsid w:val="004740A0"/>
    <w:rsid w:val="004902BA"/>
    <w:rsid w:val="004B4A52"/>
    <w:rsid w:val="004E35EF"/>
    <w:rsid w:val="004F58E8"/>
    <w:rsid w:val="0053655B"/>
    <w:rsid w:val="00550529"/>
    <w:rsid w:val="005627EA"/>
    <w:rsid w:val="00583CFA"/>
    <w:rsid w:val="00586B59"/>
    <w:rsid w:val="005920A1"/>
    <w:rsid w:val="00597132"/>
    <w:rsid w:val="005A06F8"/>
    <w:rsid w:val="005C4D23"/>
    <w:rsid w:val="005C6730"/>
    <w:rsid w:val="005D2445"/>
    <w:rsid w:val="005D2F3D"/>
    <w:rsid w:val="005D78A9"/>
    <w:rsid w:val="005E48AC"/>
    <w:rsid w:val="005F0967"/>
    <w:rsid w:val="00600CE4"/>
    <w:rsid w:val="006024B3"/>
    <w:rsid w:val="006210F6"/>
    <w:rsid w:val="00654B0C"/>
    <w:rsid w:val="00661728"/>
    <w:rsid w:val="00661F34"/>
    <w:rsid w:val="00664900"/>
    <w:rsid w:val="00674B72"/>
    <w:rsid w:val="00677509"/>
    <w:rsid w:val="00696892"/>
    <w:rsid w:val="006A3A42"/>
    <w:rsid w:val="006A4830"/>
    <w:rsid w:val="006A6300"/>
    <w:rsid w:val="006A6F6D"/>
    <w:rsid w:val="006C28D0"/>
    <w:rsid w:val="006C2B6B"/>
    <w:rsid w:val="006C75C3"/>
    <w:rsid w:val="006E006C"/>
    <w:rsid w:val="007001EF"/>
    <w:rsid w:val="007008FF"/>
    <w:rsid w:val="00706757"/>
    <w:rsid w:val="00716366"/>
    <w:rsid w:val="007348A0"/>
    <w:rsid w:val="007421DB"/>
    <w:rsid w:val="0074221C"/>
    <w:rsid w:val="007560F8"/>
    <w:rsid w:val="00764EEB"/>
    <w:rsid w:val="0076530D"/>
    <w:rsid w:val="00774788"/>
    <w:rsid w:val="00781835"/>
    <w:rsid w:val="00782546"/>
    <w:rsid w:val="0078788E"/>
    <w:rsid w:val="00790853"/>
    <w:rsid w:val="00793046"/>
    <w:rsid w:val="00794EFF"/>
    <w:rsid w:val="007C2344"/>
    <w:rsid w:val="007D440C"/>
    <w:rsid w:val="007D6CAF"/>
    <w:rsid w:val="007E0CCF"/>
    <w:rsid w:val="00805D34"/>
    <w:rsid w:val="00813CB2"/>
    <w:rsid w:val="00831ED7"/>
    <w:rsid w:val="00834A40"/>
    <w:rsid w:val="00851220"/>
    <w:rsid w:val="0085472B"/>
    <w:rsid w:val="0087309F"/>
    <w:rsid w:val="008744BF"/>
    <w:rsid w:val="0089039D"/>
    <w:rsid w:val="008C20C0"/>
    <w:rsid w:val="00930EF8"/>
    <w:rsid w:val="0094195B"/>
    <w:rsid w:val="00947F70"/>
    <w:rsid w:val="009533EC"/>
    <w:rsid w:val="00990DCC"/>
    <w:rsid w:val="009A27F1"/>
    <w:rsid w:val="009C215B"/>
    <w:rsid w:val="009D3E60"/>
    <w:rsid w:val="00A01EFB"/>
    <w:rsid w:val="00A30A4F"/>
    <w:rsid w:val="00A376F7"/>
    <w:rsid w:val="00A42C40"/>
    <w:rsid w:val="00A5741D"/>
    <w:rsid w:val="00A823CE"/>
    <w:rsid w:val="00AD37A6"/>
    <w:rsid w:val="00B001D3"/>
    <w:rsid w:val="00B1327F"/>
    <w:rsid w:val="00B1519E"/>
    <w:rsid w:val="00B20A8B"/>
    <w:rsid w:val="00B20C95"/>
    <w:rsid w:val="00B462BC"/>
    <w:rsid w:val="00B51321"/>
    <w:rsid w:val="00B600E5"/>
    <w:rsid w:val="00BB1EF7"/>
    <w:rsid w:val="00BD3DA7"/>
    <w:rsid w:val="00BE24E0"/>
    <w:rsid w:val="00BE5255"/>
    <w:rsid w:val="00C073E5"/>
    <w:rsid w:val="00C16C39"/>
    <w:rsid w:val="00C22302"/>
    <w:rsid w:val="00C67995"/>
    <w:rsid w:val="00C93975"/>
    <w:rsid w:val="00C95470"/>
    <w:rsid w:val="00CB0828"/>
    <w:rsid w:val="00CC5F02"/>
    <w:rsid w:val="00CD137A"/>
    <w:rsid w:val="00CD50B1"/>
    <w:rsid w:val="00CD65DF"/>
    <w:rsid w:val="00CE541C"/>
    <w:rsid w:val="00CF6580"/>
    <w:rsid w:val="00D23B4C"/>
    <w:rsid w:val="00D2461F"/>
    <w:rsid w:val="00D43E39"/>
    <w:rsid w:val="00D4640B"/>
    <w:rsid w:val="00D65E3D"/>
    <w:rsid w:val="00D76D3A"/>
    <w:rsid w:val="00D81A72"/>
    <w:rsid w:val="00D82D1D"/>
    <w:rsid w:val="00D86D8E"/>
    <w:rsid w:val="00DB766C"/>
    <w:rsid w:val="00DC0CB1"/>
    <w:rsid w:val="00DC5E8F"/>
    <w:rsid w:val="00DD438C"/>
    <w:rsid w:val="00DE12D5"/>
    <w:rsid w:val="00DE7F7F"/>
    <w:rsid w:val="00DF1774"/>
    <w:rsid w:val="00DF3E5B"/>
    <w:rsid w:val="00DF4B9D"/>
    <w:rsid w:val="00DF7C2A"/>
    <w:rsid w:val="00E06D9E"/>
    <w:rsid w:val="00E21038"/>
    <w:rsid w:val="00E225C3"/>
    <w:rsid w:val="00E22BB4"/>
    <w:rsid w:val="00E2773F"/>
    <w:rsid w:val="00E40036"/>
    <w:rsid w:val="00E57B06"/>
    <w:rsid w:val="00E74775"/>
    <w:rsid w:val="00E838A2"/>
    <w:rsid w:val="00E95026"/>
    <w:rsid w:val="00EA0A11"/>
    <w:rsid w:val="00EB2AC4"/>
    <w:rsid w:val="00EB640B"/>
    <w:rsid w:val="00ED1FB0"/>
    <w:rsid w:val="00ED3B49"/>
    <w:rsid w:val="00EE1051"/>
    <w:rsid w:val="00EF0BD1"/>
    <w:rsid w:val="00F051A4"/>
    <w:rsid w:val="00F42DA8"/>
    <w:rsid w:val="00F4470D"/>
    <w:rsid w:val="00F52499"/>
    <w:rsid w:val="00F53206"/>
    <w:rsid w:val="00F5519F"/>
    <w:rsid w:val="00F60E83"/>
    <w:rsid w:val="00F64481"/>
    <w:rsid w:val="00F654CC"/>
    <w:rsid w:val="00F75BAD"/>
    <w:rsid w:val="00FB684C"/>
    <w:rsid w:val="00FB6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DEA07D"/>
  <w15:chartTrackingRefBased/>
  <w15:docId w15:val="{616A4AFC-2BAB-4EA8-8001-373202DB8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6757"/>
  </w:style>
  <w:style w:type="paragraph" w:styleId="Heading1">
    <w:name w:val="heading 1"/>
    <w:basedOn w:val="Normal"/>
    <w:next w:val="Content"/>
    <w:link w:val="Heading1Char"/>
    <w:uiPriority w:val="9"/>
    <w:qFormat/>
    <w:rsid w:val="00706757"/>
    <w:pPr>
      <w:keepNext/>
      <w:keepLines/>
      <w:numPr>
        <w:numId w:val="1"/>
      </w:numPr>
      <w:spacing w:before="120" w:after="240" w:line="24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706757"/>
    <w:pPr>
      <w:keepNext/>
      <w:keepLines/>
      <w:numPr>
        <w:ilvl w:val="1"/>
        <w:numId w:val="1"/>
      </w:numPr>
      <w:spacing w:before="120" w:after="240" w:line="240"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Content"/>
    <w:link w:val="Heading3Char"/>
    <w:uiPriority w:val="9"/>
    <w:unhideWhenUsed/>
    <w:qFormat/>
    <w:rsid w:val="00706757"/>
    <w:pPr>
      <w:keepNext/>
      <w:keepLines/>
      <w:numPr>
        <w:ilvl w:val="2"/>
        <w:numId w:val="1"/>
      </w:numPr>
      <w:spacing w:before="120" w:after="240" w:line="240" w:lineRule="auto"/>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70675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0675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0675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0675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0675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0675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ent">
    <w:name w:val="Content"/>
    <w:basedOn w:val="Normal"/>
    <w:qFormat/>
    <w:rsid w:val="00CD137A"/>
    <w:pPr>
      <w:spacing w:before="120" w:after="240" w:line="360" w:lineRule="auto"/>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70675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06757"/>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706757"/>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70675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0675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0675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0675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0675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06757"/>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A630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1">
    <w:name w:val="Plain Table 1"/>
    <w:basedOn w:val="TableNormal"/>
    <w:uiPriority w:val="41"/>
    <w:rsid w:val="006A6300"/>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550529"/>
  </w:style>
  <w:style w:type="paragraph" w:styleId="TOCHeading">
    <w:name w:val="TOC Heading"/>
    <w:basedOn w:val="Heading1"/>
    <w:next w:val="Normal"/>
    <w:uiPriority w:val="39"/>
    <w:unhideWhenUsed/>
    <w:qFormat/>
    <w:rsid w:val="005920A1"/>
    <w:pPr>
      <w:numPr>
        <w:numId w:val="0"/>
      </w:numPr>
      <w:spacing w:before="240" w:after="0"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920A1"/>
    <w:pPr>
      <w:spacing w:after="100"/>
    </w:pPr>
  </w:style>
  <w:style w:type="paragraph" w:styleId="TOC2">
    <w:name w:val="toc 2"/>
    <w:basedOn w:val="Normal"/>
    <w:next w:val="Normal"/>
    <w:autoRedefine/>
    <w:uiPriority w:val="39"/>
    <w:unhideWhenUsed/>
    <w:rsid w:val="005920A1"/>
    <w:pPr>
      <w:spacing w:after="100"/>
      <w:ind w:left="220"/>
    </w:pPr>
  </w:style>
  <w:style w:type="paragraph" w:styleId="TOC3">
    <w:name w:val="toc 3"/>
    <w:basedOn w:val="Normal"/>
    <w:next w:val="Normal"/>
    <w:autoRedefine/>
    <w:uiPriority w:val="39"/>
    <w:unhideWhenUsed/>
    <w:rsid w:val="005920A1"/>
    <w:pPr>
      <w:spacing w:after="100"/>
      <w:ind w:left="440"/>
    </w:pPr>
  </w:style>
  <w:style w:type="character" w:styleId="Hyperlink">
    <w:name w:val="Hyperlink"/>
    <w:basedOn w:val="DefaultParagraphFont"/>
    <w:uiPriority w:val="99"/>
    <w:unhideWhenUsed/>
    <w:rsid w:val="005920A1"/>
    <w:rPr>
      <w:color w:val="0563C1" w:themeColor="hyperlink"/>
      <w:u w:val="single"/>
    </w:rPr>
  </w:style>
  <w:style w:type="paragraph" w:styleId="Header">
    <w:name w:val="header"/>
    <w:basedOn w:val="Normal"/>
    <w:link w:val="HeaderChar"/>
    <w:uiPriority w:val="99"/>
    <w:unhideWhenUsed/>
    <w:rsid w:val="00023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576"/>
  </w:style>
  <w:style w:type="paragraph" w:styleId="Footer">
    <w:name w:val="footer"/>
    <w:basedOn w:val="Normal"/>
    <w:link w:val="FooterChar"/>
    <w:uiPriority w:val="99"/>
    <w:unhideWhenUsed/>
    <w:rsid w:val="00023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576"/>
  </w:style>
  <w:style w:type="paragraph" w:styleId="Revision">
    <w:name w:val="Revision"/>
    <w:hidden/>
    <w:uiPriority w:val="99"/>
    <w:semiHidden/>
    <w:rsid w:val="007001E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7788">
      <w:bodyDiv w:val="1"/>
      <w:marLeft w:val="0"/>
      <w:marRight w:val="0"/>
      <w:marTop w:val="0"/>
      <w:marBottom w:val="0"/>
      <w:divBdr>
        <w:top w:val="none" w:sz="0" w:space="0" w:color="auto"/>
        <w:left w:val="none" w:sz="0" w:space="0" w:color="auto"/>
        <w:bottom w:val="none" w:sz="0" w:space="0" w:color="auto"/>
        <w:right w:val="none" w:sz="0" w:space="0" w:color="auto"/>
      </w:divBdr>
    </w:div>
    <w:div w:id="7102500">
      <w:bodyDiv w:val="1"/>
      <w:marLeft w:val="0"/>
      <w:marRight w:val="0"/>
      <w:marTop w:val="0"/>
      <w:marBottom w:val="0"/>
      <w:divBdr>
        <w:top w:val="none" w:sz="0" w:space="0" w:color="auto"/>
        <w:left w:val="none" w:sz="0" w:space="0" w:color="auto"/>
        <w:bottom w:val="none" w:sz="0" w:space="0" w:color="auto"/>
        <w:right w:val="none" w:sz="0" w:space="0" w:color="auto"/>
      </w:divBdr>
    </w:div>
    <w:div w:id="10298011">
      <w:bodyDiv w:val="1"/>
      <w:marLeft w:val="0"/>
      <w:marRight w:val="0"/>
      <w:marTop w:val="0"/>
      <w:marBottom w:val="0"/>
      <w:divBdr>
        <w:top w:val="none" w:sz="0" w:space="0" w:color="auto"/>
        <w:left w:val="none" w:sz="0" w:space="0" w:color="auto"/>
        <w:bottom w:val="none" w:sz="0" w:space="0" w:color="auto"/>
        <w:right w:val="none" w:sz="0" w:space="0" w:color="auto"/>
      </w:divBdr>
    </w:div>
    <w:div w:id="12266683">
      <w:bodyDiv w:val="1"/>
      <w:marLeft w:val="0"/>
      <w:marRight w:val="0"/>
      <w:marTop w:val="0"/>
      <w:marBottom w:val="0"/>
      <w:divBdr>
        <w:top w:val="none" w:sz="0" w:space="0" w:color="auto"/>
        <w:left w:val="none" w:sz="0" w:space="0" w:color="auto"/>
        <w:bottom w:val="none" w:sz="0" w:space="0" w:color="auto"/>
        <w:right w:val="none" w:sz="0" w:space="0" w:color="auto"/>
      </w:divBdr>
      <w:divsChild>
        <w:div w:id="1519194877">
          <w:marLeft w:val="0"/>
          <w:marRight w:val="0"/>
          <w:marTop w:val="0"/>
          <w:marBottom w:val="0"/>
          <w:divBdr>
            <w:top w:val="single" w:sz="6" w:space="0" w:color="auto"/>
            <w:left w:val="single" w:sz="6" w:space="0" w:color="auto"/>
            <w:bottom w:val="single" w:sz="6" w:space="0" w:color="auto"/>
            <w:right w:val="single" w:sz="6" w:space="0" w:color="auto"/>
          </w:divBdr>
        </w:div>
      </w:divsChild>
    </w:div>
    <w:div w:id="22941887">
      <w:bodyDiv w:val="1"/>
      <w:marLeft w:val="0"/>
      <w:marRight w:val="0"/>
      <w:marTop w:val="0"/>
      <w:marBottom w:val="0"/>
      <w:divBdr>
        <w:top w:val="none" w:sz="0" w:space="0" w:color="auto"/>
        <w:left w:val="none" w:sz="0" w:space="0" w:color="auto"/>
        <w:bottom w:val="none" w:sz="0" w:space="0" w:color="auto"/>
        <w:right w:val="none" w:sz="0" w:space="0" w:color="auto"/>
      </w:divBdr>
    </w:div>
    <w:div w:id="25252811">
      <w:bodyDiv w:val="1"/>
      <w:marLeft w:val="0"/>
      <w:marRight w:val="0"/>
      <w:marTop w:val="0"/>
      <w:marBottom w:val="0"/>
      <w:divBdr>
        <w:top w:val="none" w:sz="0" w:space="0" w:color="auto"/>
        <w:left w:val="none" w:sz="0" w:space="0" w:color="auto"/>
        <w:bottom w:val="none" w:sz="0" w:space="0" w:color="auto"/>
        <w:right w:val="none" w:sz="0" w:space="0" w:color="auto"/>
      </w:divBdr>
    </w:div>
    <w:div w:id="30422594">
      <w:bodyDiv w:val="1"/>
      <w:marLeft w:val="0"/>
      <w:marRight w:val="0"/>
      <w:marTop w:val="0"/>
      <w:marBottom w:val="0"/>
      <w:divBdr>
        <w:top w:val="none" w:sz="0" w:space="0" w:color="auto"/>
        <w:left w:val="none" w:sz="0" w:space="0" w:color="auto"/>
        <w:bottom w:val="none" w:sz="0" w:space="0" w:color="auto"/>
        <w:right w:val="none" w:sz="0" w:space="0" w:color="auto"/>
      </w:divBdr>
    </w:div>
    <w:div w:id="42799804">
      <w:bodyDiv w:val="1"/>
      <w:marLeft w:val="0"/>
      <w:marRight w:val="0"/>
      <w:marTop w:val="0"/>
      <w:marBottom w:val="0"/>
      <w:divBdr>
        <w:top w:val="none" w:sz="0" w:space="0" w:color="auto"/>
        <w:left w:val="none" w:sz="0" w:space="0" w:color="auto"/>
        <w:bottom w:val="none" w:sz="0" w:space="0" w:color="auto"/>
        <w:right w:val="none" w:sz="0" w:space="0" w:color="auto"/>
      </w:divBdr>
    </w:div>
    <w:div w:id="45106822">
      <w:bodyDiv w:val="1"/>
      <w:marLeft w:val="0"/>
      <w:marRight w:val="0"/>
      <w:marTop w:val="0"/>
      <w:marBottom w:val="0"/>
      <w:divBdr>
        <w:top w:val="none" w:sz="0" w:space="0" w:color="auto"/>
        <w:left w:val="none" w:sz="0" w:space="0" w:color="auto"/>
        <w:bottom w:val="none" w:sz="0" w:space="0" w:color="auto"/>
        <w:right w:val="none" w:sz="0" w:space="0" w:color="auto"/>
      </w:divBdr>
    </w:div>
    <w:div w:id="47846717">
      <w:bodyDiv w:val="1"/>
      <w:marLeft w:val="0"/>
      <w:marRight w:val="0"/>
      <w:marTop w:val="0"/>
      <w:marBottom w:val="0"/>
      <w:divBdr>
        <w:top w:val="none" w:sz="0" w:space="0" w:color="auto"/>
        <w:left w:val="none" w:sz="0" w:space="0" w:color="auto"/>
        <w:bottom w:val="none" w:sz="0" w:space="0" w:color="auto"/>
        <w:right w:val="none" w:sz="0" w:space="0" w:color="auto"/>
      </w:divBdr>
    </w:div>
    <w:div w:id="50925075">
      <w:bodyDiv w:val="1"/>
      <w:marLeft w:val="0"/>
      <w:marRight w:val="0"/>
      <w:marTop w:val="0"/>
      <w:marBottom w:val="0"/>
      <w:divBdr>
        <w:top w:val="none" w:sz="0" w:space="0" w:color="auto"/>
        <w:left w:val="none" w:sz="0" w:space="0" w:color="auto"/>
        <w:bottom w:val="none" w:sz="0" w:space="0" w:color="auto"/>
        <w:right w:val="none" w:sz="0" w:space="0" w:color="auto"/>
      </w:divBdr>
    </w:div>
    <w:div w:id="51975749">
      <w:bodyDiv w:val="1"/>
      <w:marLeft w:val="0"/>
      <w:marRight w:val="0"/>
      <w:marTop w:val="0"/>
      <w:marBottom w:val="0"/>
      <w:divBdr>
        <w:top w:val="none" w:sz="0" w:space="0" w:color="auto"/>
        <w:left w:val="none" w:sz="0" w:space="0" w:color="auto"/>
        <w:bottom w:val="none" w:sz="0" w:space="0" w:color="auto"/>
        <w:right w:val="none" w:sz="0" w:space="0" w:color="auto"/>
      </w:divBdr>
    </w:div>
    <w:div w:id="54669921">
      <w:bodyDiv w:val="1"/>
      <w:marLeft w:val="0"/>
      <w:marRight w:val="0"/>
      <w:marTop w:val="0"/>
      <w:marBottom w:val="0"/>
      <w:divBdr>
        <w:top w:val="none" w:sz="0" w:space="0" w:color="auto"/>
        <w:left w:val="none" w:sz="0" w:space="0" w:color="auto"/>
        <w:bottom w:val="none" w:sz="0" w:space="0" w:color="auto"/>
        <w:right w:val="none" w:sz="0" w:space="0" w:color="auto"/>
      </w:divBdr>
    </w:div>
    <w:div w:id="61568666">
      <w:bodyDiv w:val="1"/>
      <w:marLeft w:val="0"/>
      <w:marRight w:val="0"/>
      <w:marTop w:val="0"/>
      <w:marBottom w:val="0"/>
      <w:divBdr>
        <w:top w:val="none" w:sz="0" w:space="0" w:color="auto"/>
        <w:left w:val="none" w:sz="0" w:space="0" w:color="auto"/>
        <w:bottom w:val="none" w:sz="0" w:space="0" w:color="auto"/>
        <w:right w:val="none" w:sz="0" w:space="0" w:color="auto"/>
      </w:divBdr>
      <w:divsChild>
        <w:div w:id="1035078754">
          <w:marLeft w:val="0"/>
          <w:marRight w:val="0"/>
          <w:marTop w:val="0"/>
          <w:marBottom w:val="0"/>
          <w:divBdr>
            <w:top w:val="single" w:sz="6" w:space="0" w:color="auto"/>
            <w:left w:val="single" w:sz="6" w:space="0" w:color="auto"/>
            <w:bottom w:val="single" w:sz="6" w:space="0" w:color="auto"/>
            <w:right w:val="single" w:sz="6" w:space="0" w:color="auto"/>
          </w:divBdr>
        </w:div>
      </w:divsChild>
    </w:div>
    <w:div w:id="71437067">
      <w:bodyDiv w:val="1"/>
      <w:marLeft w:val="0"/>
      <w:marRight w:val="0"/>
      <w:marTop w:val="0"/>
      <w:marBottom w:val="0"/>
      <w:divBdr>
        <w:top w:val="none" w:sz="0" w:space="0" w:color="auto"/>
        <w:left w:val="none" w:sz="0" w:space="0" w:color="auto"/>
        <w:bottom w:val="none" w:sz="0" w:space="0" w:color="auto"/>
        <w:right w:val="none" w:sz="0" w:space="0" w:color="auto"/>
      </w:divBdr>
    </w:div>
    <w:div w:id="80957399">
      <w:bodyDiv w:val="1"/>
      <w:marLeft w:val="0"/>
      <w:marRight w:val="0"/>
      <w:marTop w:val="0"/>
      <w:marBottom w:val="0"/>
      <w:divBdr>
        <w:top w:val="none" w:sz="0" w:space="0" w:color="auto"/>
        <w:left w:val="none" w:sz="0" w:space="0" w:color="auto"/>
        <w:bottom w:val="none" w:sz="0" w:space="0" w:color="auto"/>
        <w:right w:val="none" w:sz="0" w:space="0" w:color="auto"/>
      </w:divBdr>
    </w:div>
    <w:div w:id="84232313">
      <w:bodyDiv w:val="1"/>
      <w:marLeft w:val="0"/>
      <w:marRight w:val="0"/>
      <w:marTop w:val="0"/>
      <w:marBottom w:val="0"/>
      <w:divBdr>
        <w:top w:val="none" w:sz="0" w:space="0" w:color="auto"/>
        <w:left w:val="none" w:sz="0" w:space="0" w:color="auto"/>
        <w:bottom w:val="none" w:sz="0" w:space="0" w:color="auto"/>
        <w:right w:val="none" w:sz="0" w:space="0" w:color="auto"/>
      </w:divBdr>
    </w:div>
    <w:div w:id="93593286">
      <w:bodyDiv w:val="1"/>
      <w:marLeft w:val="0"/>
      <w:marRight w:val="0"/>
      <w:marTop w:val="0"/>
      <w:marBottom w:val="0"/>
      <w:divBdr>
        <w:top w:val="none" w:sz="0" w:space="0" w:color="auto"/>
        <w:left w:val="none" w:sz="0" w:space="0" w:color="auto"/>
        <w:bottom w:val="none" w:sz="0" w:space="0" w:color="auto"/>
        <w:right w:val="none" w:sz="0" w:space="0" w:color="auto"/>
      </w:divBdr>
    </w:div>
    <w:div w:id="95638891">
      <w:bodyDiv w:val="1"/>
      <w:marLeft w:val="0"/>
      <w:marRight w:val="0"/>
      <w:marTop w:val="0"/>
      <w:marBottom w:val="0"/>
      <w:divBdr>
        <w:top w:val="none" w:sz="0" w:space="0" w:color="auto"/>
        <w:left w:val="none" w:sz="0" w:space="0" w:color="auto"/>
        <w:bottom w:val="none" w:sz="0" w:space="0" w:color="auto"/>
        <w:right w:val="none" w:sz="0" w:space="0" w:color="auto"/>
      </w:divBdr>
    </w:div>
    <w:div w:id="112410639">
      <w:bodyDiv w:val="1"/>
      <w:marLeft w:val="0"/>
      <w:marRight w:val="0"/>
      <w:marTop w:val="0"/>
      <w:marBottom w:val="0"/>
      <w:divBdr>
        <w:top w:val="none" w:sz="0" w:space="0" w:color="auto"/>
        <w:left w:val="none" w:sz="0" w:space="0" w:color="auto"/>
        <w:bottom w:val="none" w:sz="0" w:space="0" w:color="auto"/>
        <w:right w:val="none" w:sz="0" w:space="0" w:color="auto"/>
      </w:divBdr>
    </w:div>
    <w:div w:id="112526918">
      <w:bodyDiv w:val="1"/>
      <w:marLeft w:val="0"/>
      <w:marRight w:val="0"/>
      <w:marTop w:val="0"/>
      <w:marBottom w:val="0"/>
      <w:divBdr>
        <w:top w:val="none" w:sz="0" w:space="0" w:color="auto"/>
        <w:left w:val="none" w:sz="0" w:space="0" w:color="auto"/>
        <w:bottom w:val="none" w:sz="0" w:space="0" w:color="auto"/>
        <w:right w:val="none" w:sz="0" w:space="0" w:color="auto"/>
      </w:divBdr>
    </w:div>
    <w:div w:id="117798568">
      <w:bodyDiv w:val="1"/>
      <w:marLeft w:val="0"/>
      <w:marRight w:val="0"/>
      <w:marTop w:val="0"/>
      <w:marBottom w:val="0"/>
      <w:divBdr>
        <w:top w:val="none" w:sz="0" w:space="0" w:color="auto"/>
        <w:left w:val="none" w:sz="0" w:space="0" w:color="auto"/>
        <w:bottom w:val="none" w:sz="0" w:space="0" w:color="auto"/>
        <w:right w:val="none" w:sz="0" w:space="0" w:color="auto"/>
      </w:divBdr>
    </w:div>
    <w:div w:id="140848781">
      <w:bodyDiv w:val="1"/>
      <w:marLeft w:val="0"/>
      <w:marRight w:val="0"/>
      <w:marTop w:val="0"/>
      <w:marBottom w:val="0"/>
      <w:divBdr>
        <w:top w:val="none" w:sz="0" w:space="0" w:color="auto"/>
        <w:left w:val="none" w:sz="0" w:space="0" w:color="auto"/>
        <w:bottom w:val="none" w:sz="0" w:space="0" w:color="auto"/>
        <w:right w:val="none" w:sz="0" w:space="0" w:color="auto"/>
      </w:divBdr>
    </w:div>
    <w:div w:id="151340995">
      <w:bodyDiv w:val="1"/>
      <w:marLeft w:val="0"/>
      <w:marRight w:val="0"/>
      <w:marTop w:val="0"/>
      <w:marBottom w:val="0"/>
      <w:divBdr>
        <w:top w:val="none" w:sz="0" w:space="0" w:color="auto"/>
        <w:left w:val="none" w:sz="0" w:space="0" w:color="auto"/>
        <w:bottom w:val="none" w:sz="0" w:space="0" w:color="auto"/>
        <w:right w:val="none" w:sz="0" w:space="0" w:color="auto"/>
      </w:divBdr>
    </w:div>
    <w:div w:id="161048148">
      <w:bodyDiv w:val="1"/>
      <w:marLeft w:val="0"/>
      <w:marRight w:val="0"/>
      <w:marTop w:val="0"/>
      <w:marBottom w:val="0"/>
      <w:divBdr>
        <w:top w:val="none" w:sz="0" w:space="0" w:color="auto"/>
        <w:left w:val="none" w:sz="0" w:space="0" w:color="auto"/>
        <w:bottom w:val="none" w:sz="0" w:space="0" w:color="auto"/>
        <w:right w:val="none" w:sz="0" w:space="0" w:color="auto"/>
      </w:divBdr>
    </w:div>
    <w:div w:id="172377361">
      <w:bodyDiv w:val="1"/>
      <w:marLeft w:val="0"/>
      <w:marRight w:val="0"/>
      <w:marTop w:val="0"/>
      <w:marBottom w:val="0"/>
      <w:divBdr>
        <w:top w:val="none" w:sz="0" w:space="0" w:color="auto"/>
        <w:left w:val="none" w:sz="0" w:space="0" w:color="auto"/>
        <w:bottom w:val="none" w:sz="0" w:space="0" w:color="auto"/>
        <w:right w:val="none" w:sz="0" w:space="0" w:color="auto"/>
      </w:divBdr>
    </w:div>
    <w:div w:id="173232243">
      <w:bodyDiv w:val="1"/>
      <w:marLeft w:val="0"/>
      <w:marRight w:val="0"/>
      <w:marTop w:val="0"/>
      <w:marBottom w:val="0"/>
      <w:divBdr>
        <w:top w:val="none" w:sz="0" w:space="0" w:color="auto"/>
        <w:left w:val="none" w:sz="0" w:space="0" w:color="auto"/>
        <w:bottom w:val="none" w:sz="0" w:space="0" w:color="auto"/>
        <w:right w:val="none" w:sz="0" w:space="0" w:color="auto"/>
      </w:divBdr>
    </w:div>
    <w:div w:id="178130945">
      <w:bodyDiv w:val="1"/>
      <w:marLeft w:val="0"/>
      <w:marRight w:val="0"/>
      <w:marTop w:val="0"/>
      <w:marBottom w:val="0"/>
      <w:divBdr>
        <w:top w:val="none" w:sz="0" w:space="0" w:color="auto"/>
        <w:left w:val="none" w:sz="0" w:space="0" w:color="auto"/>
        <w:bottom w:val="none" w:sz="0" w:space="0" w:color="auto"/>
        <w:right w:val="none" w:sz="0" w:space="0" w:color="auto"/>
      </w:divBdr>
    </w:div>
    <w:div w:id="200632368">
      <w:bodyDiv w:val="1"/>
      <w:marLeft w:val="0"/>
      <w:marRight w:val="0"/>
      <w:marTop w:val="0"/>
      <w:marBottom w:val="0"/>
      <w:divBdr>
        <w:top w:val="none" w:sz="0" w:space="0" w:color="auto"/>
        <w:left w:val="none" w:sz="0" w:space="0" w:color="auto"/>
        <w:bottom w:val="none" w:sz="0" w:space="0" w:color="auto"/>
        <w:right w:val="none" w:sz="0" w:space="0" w:color="auto"/>
      </w:divBdr>
    </w:div>
    <w:div w:id="201748160">
      <w:bodyDiv w:val="1"/>
      <w:marLeft w:val="0"/>
      <w:marRight w:val="0"/>
      <w:marTop w:val="0"/>
      <w:marBottom w:val="0"/>
      <w:divBdr>
        <w:top w:val="none" w:sz="0" w:space="0" w:color="auto"/>
        <w:left w:val="none" w:sz="0" w:space="0" w:color="auto"/>
        <w:bottom w:val="none" w:sz="0" w:space="0" w:color="auto"/>
        <w:right w:val="none" w:sz="0" w:space="0" w:color="auto"/>
      </w:divBdr>
      <w:divsChild>
        <w:div w:id="739330454">
          <w:marLeft w:val="0"/>
          <w:marRight w:val="0"/>
          <w:marTop w:val="0"/>
          <w:marBottom w:val="0"/>
          <w:divBdr>
            <w:top w:val="single" w:sz="6" w:space="0" w:color="auto"/>
            <w:left w:val="single" w:sz="6" w:space="0" w:color="auto"/>
            <w:bottom w:val="single" w:sz="6" w:space="0" w:color="auto"/>
            <w:right w:val="single" w:sz="6" w:space="0" w:color="auto"/>
          </w:divBdr>
        </w:div>
      </w:divsChild>
    </w:div>
    <w:div w:id="237441828">
      <w:bodyDiv w:val="1"/>
      <w:marLeft w:val="0"/>
      <w:marRight w:val="0"/>
      <w:marTop w:val="0"/>
      <w:marBottom w:val="0"/>
      <w:divBdr>
        <w:top w:val="none" w:sz="0" w:space="0" w:color="auto"/>
        <w:left w:val="none" w:sz="0" w:space="0" w:color="auto"/>
        <w:bottom w:val="none" w:sz="0" w:space="0" w:color="auto"/>
        <w:right w:val="none" w:sz="0" w:space="0" w:color="auto"/>
      </w:divBdr>
    </w:div>
    <w:div w:id="243221722">
      <w:bodyDiv w:val="1"/>
      <w:marLeft w:val="0"/>
      <w:marRight w:val="0"/>
      <w:marTop w:val="0"/>
      <w:marBottom w:val="0"/>
      <w:divBdr>
        <w:top w:val="none" w:sz="0" w:space="0" w:color="auto"/>
        <w:left w:val="none" w:sz="0" w:space="0" w:color="auto"/>
        <w:bottom w:val="none" w:sz="0" w:space="0" w:color="auto"/>
        <w:right w:val="none" w:sz="0" w:space="0" w:color="auto"/>
      </w:divBdr>
      <w:divsChild>
        <w:div w:id="877425650">
          <w:marLeft w:val="0"/>
          <w:marRight w:val="0"/>
          <w:marTop w:val="0"/>
          <w:marBottom w:val="0"/>
          <w:divBdr>
            <w:top w:val="single" w:sz="6" w:space="0" w:color="auto"/>
            <w:left w:val="single" w:sz="6" w:space="0" w:color="auto"/>
            <w:bottom w:val="single" w:sz="6" w:space="0" w:color="auto"/>
            <w:right w:val="single" w:sz="6" w:space="0" w:color="auto"/>
          </w:divBdr>
        </w:div>
      </w:divsChild>
    </w:div>
    <w:div w:id="245462478">
      <w:bodyDiv w:val="1"/>
      <w:marLeft w:val="0"/>
      <w:marRight w:val="0"/>
      <w:marTop w:val="0"/>
      <w:marBottom w:val="0"/>
      <w:divBdr>
        <w:top w:val="none" w:sz="0" w:space="0" w:color="auto"/>
        <w:left w:val="none" w:sz="0" w:space="0" w:color="auto"/>
        <w:bottom w:val="none" w:sz="0" w:space="0" w:color="auto"/>
        <w:right w:val="none" w:sz="0" w:space="0" w:color="auto"/>
      </w:divBdr>
    </w:div>
    <w:div w:id="247471504">
      <w:bodyDiv w:val="1"/>
      <w:marLeft w:val="0"/>
      <w:marRight w:val="0"/>
      <w:marTop w:val="0"/>
      <w:marBottom w:val="0"/>
      <w:divBdr>
        <w:top w:val="none" w:sz="0" w:space="0" w:color="auto"/>
        <w:left w:val="none" w:sz="0" w:space="0" w:color="auto"/>
        <w:bottom w:val="none" w:sz="0" w:space="0" w:color="auto"/>
        <w:right w:val="none" w:sz="0" w:space="0" w:color="auto"/>
      </w:divBdr>
    </w:div>
    <w:div w:id="255553976">
      <w:bodyDiv w:val="1"/>
      <w:marLeft w:val="0"/>
      <w:marRight w:val="0"/>
      <w:marTop w:val="0"/>
      <w:marBottom w:val="0"/>
      <w:divBdr>
        <w:top w:val="none" w:sz="0" w:space="0" w:color="auto"/>
        <w:left w:val="none" w:sz="0" w:space="0" w:color="auto"/>
        <w:bottom w:val="none" w:sz="0" w:space="0" w:color="auto"/>
        <w:right w:val="none" w:sz="0" w:space="0" w:color="auto"/>
      </w:divBdr>
    </w:div>
    <w:div w:id="282658241">
      <w:bodyDiv w:val="1"/>
      <w:marLeft w:val="0"/>
      <w:marRight w:val="0"/>
      <w:marTop w:val="0"/>
      <w:marBottom w:val="0"/>
      <w:divBdr>
        <w:top w:val="none" w:sz="0" w:space="0" w:color="auto"/>
        <w:left w:val="none" w:sz="0" w:space="0" w:color="auto"/>
        <w:bottom w:val="none" w:sz="0" w:space="0" w:color="auto"/>
        <w:right w:val="none" w:sz="0" w:space="0" w:color="auto"/>
      </w:divBdr>
    </w:div>
    <w:div w:id="301539189">
      <w:bodyDiv w:val="1"/>
      <w:marLeft w:val="0"/>
      <w:marRight w:val="0"/>
      <w:marTop w:val="0"/>
      <w:marBottom w:val="0"/>
      <w:divBdr>
        <w:top w:val="none" w:sz="0" w:space="0" w:color="auto"/>
        <w:left w:val="none" w:sz="0" w:space="0" w:color="auto"/>
        <w:bottom w:val="none" w:sz="0" w:space="0" w:color="auto"/>
        <w:right w:val="none" w:sz="0" w:space="0" w:color="auto"/>
      </w:divBdr>
    </w:div>
    <w:div w:id="306977588">
      <w:bodyDiv w:val="1"/>
      <w:marLeft w:val="0"/>
      <w:marRight w:val="0"/>
      <w:marTop w:val="0"/>
      <w:marBottom w:val="0"/>
      <w:divBdr>
        <w:top w:val="none" w:sz="0" w:space="0" w:color="auto"/>
        <w:left w:val="none" w:sz="0" w:space="0" w:color="auto"/>
        <w:bottom w:val="none" w:sz="0" w:space="0" w:color="auto"/>
        <w:right w:val="none" w:sz="0" w:space="0" w:color="auto"/>
      </w:divBdr>
      <w:divsChild>
        <w:div w:id="237908068">
          <w:marLeft w:val="0"/>
          <w:marRight w:val="0"/>
          <w:marTop w:val="0"/>
          <w:marBottom w:val="0"/>
          <w:divBdr>
            <w:top w:val="single" w:sz="6" w:space="0" w:color="auto"/>
            <w:left w:val="single" w:sz="6" w:space="0" w:color="auto"/>
            <w:bottom w:val="single" w:sz="6" w:space="0" w:color="auto"/>
            <w:right w:val="single" w:sz="6" w:space="0" w:color="auto"/>
          </w:divBdr>
        </w:div>
      </w:divsChild>
    </w:div>
    <w:div w:id="308873162">
      <w:bodyDiv w:val="1"/>
      <w:marLeft w:val="0"/>
      <w:marRight w:val="0"/>
      <w:marTop w:val="0"/>
      <w:marBottom w:val="0"/>
      <w:divBdr>
        <w:top w:val="none" w:sz="0" w:space="0" w:color="auto"/>
        <w:left w:val="none" w:sz="0" w:space="0" w:color="auto"/>
        <w:bottom w:val="none" w:sz="0" w:space="0" w:color="auto"/>
        <w:right w:val="none" w:sz="0" w:space="0" w:color="auto"/>
      </w:divBdr>
    </w:div>
    <w:div w:id="317148283">
      <w:bodyDiv w:val="1"/>
      <w:marLeft w:val="0"/>
      <w:marRight w:val="0"/>
      <w:marTop w:val="0"/>
      <w:marBottom w:val="0"/>
      <w:divBdr>
        <w:top w:val="none" w:sz="0" w:space="0" w:color="auto"/>
        <w:left w:val="none" w:sz="0" w:space="0" w:color="auto"/>
        <w:bottom w:val="none" w:sz="0" w:space="0" w:color="auto"/>
        <w:right w:val="none" w:sz="0" w:space="0" w:color="auto"/>
      </w:divBdr>
    </w:div>
    <w:div w:id="322204057">
      <w:bodyDiv w:val="1"/>
      <w:marLeft w:val="0"/>
      <w:marRight w:val="0"/>
      <w:marTop w:val="0"/>
      <w:marBottom w:val="0"/>
      <w:divBdr>
        <w:top w:val="none" w:sz="0" w:space="0" w:color="auto"/>
        <w:left w:val="none" w:sz="0" w:space="0" w:color="auto"/>
        <w:bottom w:val="none" w:sz="0" w:space="0" w:color="auto"/>
        <w:right w:val="none" w:sz="0" w:space="0" w:color="auto"/>
      </w:divBdr>
    </w:div>
    <w:div w:id="334577777">
      <w:bodyDiv w:val="1"/>
      <w:marLeft w:val="0"/>
      <w:marRight w:val="0"/>
      <w:marTop w:val="0"/>
      <w:marBottom w:val="0"/>
      <w:divBdr>
        <w:top w:val="none" w:sz="0" w:space="0" w:color="auto"/>
        <w:left w:val="none" w:sz="0" w:space="0" w:color="auto"/>
        <w:bottom w:val="none" w:sz="0" w:space="0" w:color="auto"/>
        <w:right w:val="none" w:sz="0" w:space="0" w:color="auto"/>
      </w:divBdr>
    </w:div>
    <w:div w:id="374813973">
      <w:bodyDiv w:val="1"/>
      <w:marLeft w:val="0"/>
      <w:marRight w:val="0"/>
      <w:marTop w:val="0"/>
      <w:marBottom w:val="0"/>
      <w:divBdr>
        <w:top w:val="none" w:sz="0" w:space="0" w:color="auto"/>
        <w:left w:val="none" w:sz="0" w:space="0" w:color="auto"/>
        <w:bottom w:val="none" w:sz="0" w:space="0" w:color="auto"/>
        <w:right w:val="none" w:sz="0" w:space="0" w:color="auto"/>
      </w:divBdr>
    </w:div>
    <w:div w:id="396325888">
      <w:bodyDiv w:val="1"/>
      <w:marLeft w:val="0"/>
      <w:marRight w:val="0"/>
      <w:marTop w:val="0"/>
      <w:marBottom w:val="0"/>
      <w:divBdr>
        <w:top w:val="none" w:sz="0" w:space="0" w:color="auto"/>
        <w:left w:val="none" w:sz="0" w:space="0" w:color="auto"/>
        <w:bottom w:val="none" w:sz="0" w:space="0" w:color="auto"/>
        <w:right w:val="none" w:sz="0" w:space="0" w:color="auto"/>
      </w:divBdr>
    </w:div>
    <w:div w:id="407265980">
      <w:bodyDiv w:val="1"/>
      <w:marLeft w:val="0"/>
      <w:marRight w:val="0"/>
      <w:marTop w:val="0"/>
      <w:marBottom w:val="0"/>
      <w:divBdr>
        <w:top w:val="none" w:sz="0" w:space="0" w:color="auto"/>
        <w:left w:val="none" w:sz="0" w:space="0" w:color="auto"/>
        <w:bottom w:val="none" w:sz="0" w:space="0" w:color="auto"/>
        <w:right w:val="none" w:sz="0" w:space="0" w:color="auto"/>
      </w:divBdr>
    </w:div>
    <w:div w:id="409038548">
      <w:bodyDiv w:val="1"/>
      <w:marLeft w:val="0"/>
      <w:marRight w:val="0"/>
      <w:marTop w:val="0"/>
      <w:marBottom w:val="0"/>
      <w:divBdr>
        <w:top w:val="none" w:sz="0" w:space="0" w:color="auto"/>
        <w:left w:val="none" w:sz="0" w:space="0" w:color="auto"/>
        <w:bottom w:val="none" w:sz="0" w:space="0" w:color="auto"/>
        <w:right w:val="none" w:sz="0" w:space="0" w:color="auto"/>
      </w:divBdr>
    </w:div>
    <w:div w:id="421881663">
      <w:bodyDiv w:val="1"/>
      <w:marLeft w:val="0"/>
      <w:marRight w:val="0"/>
      <w:marTop w:val="0"/>
      <w:marBottom w:val="0"/>
      <w:divBdr>
        <w:top w:val="none" w:sz="0" w:space="0" w:color="auto"/>
        <w:left w:val="none" w:sz="0" w:space="0" w:color="auto"/>
        <w:bottom w:val="none" w:sz="0" w:space="0" w:color="auto"/>
        <w:right w:val="none" w:sz="0" w:space="0" w:color="auto"/>
      </w:divBdr>
    </w:div>
    <w:div w:id="424881624">
      <w:bodyDiv w:val="1"/>
      <w:marLeft w:val="0"/>
      <w:marRight w:val="0"/>
      <w:marTop w:val="0"/>
      <w:marBottom w:val="0"/>
      <w:divBdr>
        <w:top w:val="none" w:sz="0" w:space="0" w:color="auto"/>
        <w:left w:val="none" w:sz="0" w:space="0" w:color="auto"/>
        <w:bottom w:val="none" w:sz="0" w:space="0" w:color="auto"/>
        <w:right w:val="none" w:sz="0" w:space="0" w:color="auto"/>
      </w:divBdr>
    </w:div>
    <w:div w:id="437481190">
      <w:bodyDiv w:val="1"/>
      <w:marLeft w:val="0"/>
      <w:marRight w:val="0"/>
      <w:marTop w:val="0"/>
      <w:marBottom w:val="0"/>
      <w:divBdr>
        <w:top w:val="none" w:sz="0" w:space="0" w:color="auto"/>
        <w:left w:val="none" w:sz="0" w:space="0" w:color="auto"/>
        <w:bottom w:val="none" w:sz="0" w:space="0" w:color="auto"/>
        <w:right w:val="none" w:sz="0" w:space="0" w:color="auto"/>
      </w:divBdr>
    </w:div>
    <w:div w:id="465900365">
      <w:bodyDiv w:val="1"/>
      <w:marLeft w:val="0"/>
      <w:marRight w:val="0"/>
      <w:marTop w:val="0"/>
      <w:marBottom w:val="0"/>
      <w:divBdr>
        <w:top w:val="none" w:sz="0" w:space="0" w:color="auto"/>
        <w:left w:val="none" w:sz="0" w:space="0" w:color="auto"/>
        <w:bottom w:val="none" w:sz="0" w:space="0" w:color="auto"/>
        <w:right w:val="none" w:sz="0" w:space="0" w:color="auto"/>
      </w:divBdr>
    </w:div>
    <w:div w:id="468598940">
      <w:bodyDiv w:val="1"/>
      <w:marLeft w:val="0"/>
      <w:marRight w:val="0"/>
      <w:marTop w:val="0"/>
      <w:marBottom w:val="0"/>
      <w:divBdr>
        <w:top w:val="none" w:sz="0" w:space="0" w:color="auto"/>
        <w:left w:val="none" w:sz="0" w:space="0" w:color="auto"/>
        <w:bottom w:val="none" w:sz="0" w:space="0" w:color="auto"/>
        <w:right w:val="none" w:sz="0" w:space="0" w:color="auto"/>
      </w:divBdr>
    </w:div>
    <w:div w:id="472599009">
      <w:bodyDiv w:val="1"/>
      <w:marLeft w:val="0"/>
      <w:marRight w:val="0"/>
      <w:marTop w:val="0"/>
      <w:marBottom w:val="0"/>
      <w:divBdr>
        <w:top w:val="none" w:sz="0" w:space="0" w:color="auto"/>
        <w:left w:val="none" w:sz="0" w:space="0" w:color="auto"/>
        <w:bottom w:val="none" w:sz="0" w:space="0" w:color="auto"/>
        <w:right w:val="none" w:sz="0" w:space="0" w:color="auto"/>
      </w:divBdr>
    </w:div>
    <w:div w:id="480999350">
      <w:bodyDiv w:val="1"/>
      <w:marLeft w:val="0"/>
      <w:marRight w:val="0"/>
      <w:marTop w:val="0"/>
      <w:marBottom w:val="0"/>
      <w:divBdr>
        <w:top w:val="none" w:sz="0" w:space="0" w:color="auto"/>
        <w:left w:val="none" w:sz="0" w:space="0" w:color="auto"/>
        <w:bottom w:val="none" w:sz="0" w:space="0" w:color="auto"/>
        <w:right w:val="none" w:sz="0" w:space="0" w:color="auto"/>
      </w:divBdr>
    </w:div>
    <w:div w:id="484510591">
      <w:bodyDiv w:val="1"/>
      <w:marLeft w:val="0"/>
      <w:marRight w:val="0"/>
      <w:marTop w:val="0"/>
      <w:marBottom w:val="0"/>
      <w:divBdr>
        <w:top w:val="none" w:sz="0" w:space="0" w:color="auto"/>
        <w:left w:val="none" w:sz="0" w:space="0" w:color="auto"/>
        <w:bottom w:val="none" w:sz="0" w:space="0" w:color="auto"/>
        <w:right w:val="none" w:sz="0" w:space="0" w:color="auto"/>
      </w:divBdr>
      <w:divsChild>
        <w:div w:id="206838259">
          <w:marLeft w:val="0"/>
          <w:marRight w:val="0"/>
          <w:marTop w:val="0"/>
          <w:marBottom w:val="0"/>
          <w:divBdr>
            <w:top w:val="single" w:sz="6" w:space="0" w:color="auto"/>
            <w:left w:val="single" w:sz="6" w:space="0" w:color="auto"/>
            <w:bottom w:val="single" w:sz="6" w:space="0" w:color="auto"/>
            <w:right w:val="single" w:sz="6" w:space="0" w:color="auto"/>
          </w:divBdr>
        </w:div>
      </w:divsChild>
    </w:div>
    <w:div w:id="493953451">
      <w:bodyDiv w:val="1"/>
      <w:marLeft w:val="0"/>
      <w:marRight w:val="0"/>
      <w:marTop w:val="0"/>
      <w:marBottom w:val="0"/>
      <w:divBdr>
        <w:top w:val="none" w:sz="0" w:space="0" w:color="auto"/>
        <w:left w:val="none" w:sz="0" w:space="0" w:color="auto"/>
        <w:bottom w:val="none" w:sz="0" w:space="0" w:color="auto"/>
        <w:right w:val="none" w:sz="0" w:space="0" w:color="auto"/>
      </w:divBdr>
      <w:divsChild>
        <w:div w:id="1164050723">
          <w:marLeft w:val="0"/>
          <w:marRight w:val="0"/>
          <w:marTop w:val="0"/>
          <w:marBottom w:val="0"/>
          <w:divBdr>
            <w:top w:val="single" w:sz="6" w:space="0" w:color="auto"/>
            <w:left w:val="single" w:sz="6" w:space="0" w:color="auto"/>
            <w:bottom w:val="single" w:sz="6" w:space="0" w:color="auto"/>
            <w:right w:val="single" w:sz="6" w:space="0" w:color="auto"/>
          </w:divBdr>
        </w:div>
      </w:divsChild>
    </w:div>
    <w:div w:id="493960230">
      <w:bodyDiv w:val="1"/>
      <w:marLeft w:val="0"/>
      <w:marRight w:val="0"/>
      <w:marTop w:val="0"/>
      <w:marBottom w:val="0"/>
      <w:divBdr>
        <w:top w:val="none" w:sz="0" w:space="0" w:color="auto"/>
        <w:left w:val="none" w:sz="0" w:space="0" w:color="auto"/>
        <w:bottom w:val="none" w:sz="0" w:space="0" w:color="auto"/>
        <w:right w:val="none" w:sz="0" w:space="0" w:color="auto"/>
      </w:divBdr>
    </w:div>
    <w:div w:id="494959062">
      <w:bodyDiv w:val="1"/>
      <w:marLeft w:val="0"/>
      <w:marRight w:val="0"/>
      <w:marTop w:val="0"/>
      <w:marBottom w:val="0"/>
      <w:divBdr>
        <w:top w:val="none" w:sz="0" w:space="0" w:color="auto"/>
        <w:left w:val="none" w:sz="0" w:space="0" w:color="auto"/>
        <w:bottom w:val="none" w:sz="0" w:space="0" w:color="auto"/>
        <w:right w:val="none" w:sz="0" w:space="0" w:color="auto"/>
      </w:divBdr>
      <w:divsChild>
        <w:div w:id="1711688321">
          <w:marLeft w:val="0"/>
          <w:marRight w:val="0"/>
          <w:marTop w:val="0"/>
          <w:marBottom w:val="0"/>
          <w:divBdr>
            <w:top w:val="single" w:sz="6" w:space="0" w:color="auto"/>
            <w:left w:val="single" w:sz="6" w:space="0" w:color="auto"/>
            <w:bottom w:val="single" w:sz="6" w:space="0" w:color="auto"/>
            <w:right w:val="single" w:sz="6" w:space="0" w:color="auto"/>
          </w:divBdr>
        </w:div>
      </w:divsChild>
    </w:div>
    <w:div w:id="496919604">
      <w:bodyDiv w:val="1"/>
      <w:marLeft w:val="0"/>
      <w:marRight w:val="0"/>
      <w:marTop w:val="0"/>
      <w:marBottom w:val="0"/>
      <w:divBdr>
        <w:top w:val="none" w:sz="0" w:space="0" w:color="auto"/>
        <w:left w:val="none" w:sz="0" w:space="0" w:color="auto"/>
        <w:bottom w:val="none" w:sz="0" w:space="0" w:color="auto"/>
        <w:right w:val="none" w:sz="0" w:space="0" w:color="auto"/>
      </w:divBdr>
    </w:div>
    <w:div w:id="500971343">
      <w:bodyDiv w:val="1"/>
      <w:marLeft w:val="0"/>
      <w:marRight w:val="0"/>
      <w:marTop w:val="0"/>
      <w:marBottom w:val="0"/>
      <w:divBdr>
        <w:top w:val="none" w:sz="0" w:space="0" w:color="auto"/>
        <w:left w:val="none" w:sz="0" w:space="0" w:color="auto"/>
        <w:bottom w:val="none" w:sz="0" w:space="0" w:color="auto"/>
        <w:right w:val="none" w:sz="0" w:space="0" w:color="auto"/>
      </w:divBdr>
    </w:div>
    <w:div w:id="508106275">
      <w:bodyDiv w:val="1"/>
      <w:marLeft w:val="0"/>
      <w:marRight w:val="0"/>
      <w:marTop w:val="0"/>
      <w:marBottom w:val="0"/>
      <w:divBdr>
        <w:top w:val="none" w:sz="0" w:space="0" w:color="auto"/>
        <w:left w:val="none" w:sz="0" w:space="0" w:color="auto"/>
        <w:bottom w:val="none" w:sz="0" w:space="0" w:color="auto"/>
        <w:right w:val="none" w:sz="0" w:space="0" w:color="auto"/>
      </w:divBdr>
    </w:div>
    <w:div w:id="510729385">
      <w:bodyDiv w:val="1"/>
      <w:marLeft w:val="0"/>
      <w:marRight w:val="0"/>
      <w:marTop w:val="0"/>
      <w:marBottom w:val="0"/>
      <w:divBdr>
        <w:top w:val="none" w:sz="0" w:space="0" w:color="auto"/>
        <w:left w:val="none" w:sz="0" w:space="0" w:color="auto"/>
        <w:bottom w:val="none" w:sz="0" w:space="0" w:color="auto"/>
        <w:right w:val="none" w:sz="0" w:space="0" w:color="auto"/>
      </w:divBdr>
    </w:div>
    <w:div w:id="533079211">
      <w:bodyDiv w:val="1"/>
      <w:marLeft w:val="0"/>
      <w:marRight w:val="0"/>
      <w:marTop w:val="0"/>
      <w:marBottom w:val="0"/>
      <w:divBdr>
        <w:top w:val="none" w:sz="0" w:space="0" w:color="auto"/>
        <w:left w:val="none" w:sz="0" w:space="0" w:color="auto"/>
        <w:bottom w:val="none" w:sz="0" w:space="0" w:color="auto"/>
        <w:right w:val="none" w:sz="0" w:space="0" w:color="auto"/>
      </w:divBdr>
    </w:div>
    <w:div w:id="539561843">
      <w:bodyDiv w:val="1"/>
      <w:marLeft w:val="0"/>
      <w:marRight w:val="0"/>
      <w:marTop w:val="0"/>
      <w:marBottom w:val="0"/>
      <w:divBdr>
        <w:top w:val="none" w:sz="0" w:space="0" w:color="auto"/>
        <w:left w:val="none" w:sz="0" w:space="0" w:color="auto"/>
        <w:bottom w:val="none" w:sz="0" w:space="0" w:color="auto"/>
        <w:right w:val="none" w:sz="0" w:space="0" w:color="auto"/>
      </w:divBdr>
    </w:div>
    <w:div w:id="545220406">
      <w:bodyDiv w:val="1"/>
      <w:marLeft w:val="0"/>
      <w:marRight w:val="0"/>
      <w:marTop w:val="0"/>
      <w:marBottom w:val="0"/>
      <w:divBdr>
        <w:top w:val="none" w:sz="0" w:space="0" w:color="auto"/>
        <w:left w:val="none" w:sz="0" w:space="0" w:color="auto"/>
        <w:bottom w:val="none" w:sz="0" w:space="0" w:color="auto"/>
        <w:right w:val="none" w:sz="0" w:space="0" w:color="auto"/>
      </w:divBdr>
    </w:div>
    <w:div w:id="552541035">
      <w:bodyDiv w:val="1"/>
      <w:marLeft w:val="0"/>
      <w:marRight w:val="0"/>
      <w:marTop w:val="0"/>
      <w:marBottom w:val="0"/>
      <w:divBdr>
        <w:top w:val="none" w:sz="0" w:space="0" w:color="auto"/>
        <w:left w:val="none" w:sz="0" w:space="0" w:color="auto"/>
        <w:bottom w:val="none" w:sz="0" w:space="0" w:color="auto"/>
        <w:right w:val="none" w:sz="0" w:space="0" w:color="auto"/>
      </w:divBdr>
    </w:div>
    <w:div w:id="556477524">
      <w:bodyDiv w:val="1"/>
      <w:marLeft w:val="0"/>
      <w:marRight w:val="0"/>
      <w:marTop w:val="0"/>
      <w:marBottom w:val="0"/>
      <w:divBdr>
        <w:top w:val="none" w:sz="0" w:space="0" w:color="auto"/>
        <w:left w:val="none" w:sz="0" w:space="0" w:color="auto"/>
        <w:bottom w:val="none" w:sz="0" w:space="0" w:color="auto"/>
        <w:right w:val="none" w:sz="0" w:space="0" w:color="auto"/>
      </w:divBdr>
    </w:div>
    <w:div w:id="560408129">
      <w:bodyDiv w:val="1"/>
      <w:marLeft w:val="0"/>
      <w:marRight w:val="0"/>
      <w:marTop w:val="0"/>
      <w:marBottom w:val="0"/>
      <w:divBdr>
        <w:top w:val="none" w:sz="0" w:space="0" w:color="auto"/>
        <w:left w:val="none" w:sz="0" w:space="0" w:color="auto"/>
        <w:bottom w:val="none" w:sz="0" w:space="0" w:color="auto"/>
        <w:right w:val="none" w:sz="0" w:space="0" w:color="auto"/>
      </w:divBdr>
    </w:div>
    <w:div w:id="569316105">
      <w:bodyDiv w:val="1"/>
      <w:marLeft w:val="0"/>
      <w:marRight w:val="0"/>
      <w:marTop w:val="0"/>
      <w:marBottom w:val="0"/>
      <w:divBdr>
        <w:top w:val="none" w:sz="0" w:space="0" w:color="auto"/>
        <w:left w:val="none" w:sz="0" w:space="0" w:color="auto"/>
        <w:bottom w:val="none" w:sz="0" w:space="0" w:color="auto"/>
        <w:right w:val="none" w:sz="0" w:space="0" w:color="auto"/>
      </w:divBdr>
    </w:div>
    <w:div w:id="575285492">
      <w:bodyDiv w:val="1"/>
      <w:marLeft w:val="0"/>
      <w:marRight w:val="0"/>
      <w:marTop w:val="0"/>
      <w:marBottom w:val="0"/>
      <w:divBdr>
        <w:top w:val="none" w:sz="0" w:space="0" w:color="auto"/>
        <w:left w:val="none" w:sz="0" w:space="0" w:color="auto"/>
        <w:bottom w:val="none" w:sz="0" w:space="0" w:color="auto"/>
        <w:right w:val="none" w:sz="0" w:space="0" w:color="auto"/>
      </w:divBdr>
      <w:divsChild>
        <w:div w:id="1409884797">
          <w:marLeft w:val="0"/>
          <w:marRight w:val="0"/>
          <w:marTop w:val="0"/>
          <w:marBottom w:val="0"/>
          <w:divBdr>
            <w:top w:val="single" w:sz="6" w:space="0" w:color="auto"/>
            <w:left w:val="single" w:sz="6" w:space="0" w:color="auto"/>
            <w:bottom w:val="single" w:sz="6" w:space="0" w:color="auto"/>
            <w:right w:val="single" w:sz="6" w:space="0" w:color="auto"/>
          </w:divBdr>
        </w:div>
      </w:divsChild>
    </w:div>
    <w:div w:id="575357547">
      <w:bodyDiv w:val="1"/>
      <w:marLeft w:val="0"/>
      <w:marRight w:val="0"/>
      <w:marTop w:val="0"/>
      <w:marBottom w:val="0"/>
      <w:divBdr>
        <w:top w:val="none" w:sz="0" w:space="0" w:color="auto"/>
        <w:left w:val="none" w:sz="0" w:space="0" w:color="auto"/>
        <w:bottom w:val="none" w:sz="0" w:space="0" w:color="auto"/>
        <w:right w:val="none" w:sz="0" w:space="0" w:color="auto"/>
      </w:divBdr>
      <w:divsChild>
        <w:div w:id="175728345">
          <w:marLeft w:val="0"/>
          <w:marRight w:val="0"/>
          <w:marTop w:val="0"/>
          <w:marBottom w:val="0"/>
          <w:divBdr>
            <w:top w:val="single" w:sz="6" w:space="0" w:color="auto"/>
            <w:left w:val="single" w:sz="6" w:space="0" w:color="auto"/>
            <w:bottom w:val="single" w:sz="6" w:space="0" w:color="auto"/>
            <w:right w:val="single" w:sz="6" w:space="0" w:color="auto"/>
          </w:divBdr>
        </w:div>
      </w:divsChild>
    </w:div>
    <w:div w:id="600919572">
      <w:bodyDiv w:val="1"/>
      <w:marLeft w:val="0"/>
      <w:marRight w:val="0"/>
      <w:marTop w:val="0"/>
      <w:marBottom w:val="0"/>
      <w:divBdr>
        <w:top w:val="none" w:sz="0" w:space="0" w:color="auto"/>
        <w:left w:val="none" w:sz="0" w:space="0" w:color="auto"/>
        <w:bottom w:val="none" w:sz="0" w:space="0" w:color="auto"/>
        <w:right w:val="none" w:sz="0" w:space="0" w:color="auto"/>
      </w:divBdr>
    </w:div>
    <w:div w:id="608657127">
      <w:bodyDiv w:val="1"/>
      <w:marLeft w:val="0"/>
      <w:marRight w:val="0"/>
      <w:marTop w:val="0"/>
      <w:marBottom w:val="0"/>
      <w:divBdr>
        <w:top w:val="none" w:sz="0" w:space="0" w:color="auto"/>
        <w:left w:val="none" w:sz="0" w:space="0" w:color="auto"/>
        <w:bottom w:val="none" w:sz="0" w:space="0" w:color="auto"/>
        <w:right w:val="none" w:sz="0" w:space="0" w:color="auto"/>
      </w:divBdr>
    </w:div>
    <w:div w:id="609049086">
      <w:bodyDiv w:val="1"/>
      <w:marLeft w:val="0"/>
      <w:marRight w:val="0"/>
      <w:marTop w:val="0"/>
      <w:marBottom w:val="0"/>
      <w:divBdr>
        <w:top w:val="none" w:sz="0" w:space="0" w:color="auto"/>
        <w:left w:val="none" w:sz="0" w:space="0" w:color="auto"/>
        <w:bottom w:val="none" w:sz="0" w:space="0" w:color="auto"/>
        <w:right w:val="none" w:sz="0" w:space="0" w:color="auto"/>
      </w:divBdr>
    </w:div>
    <w:div w:id="609361649">
      <w:bodyDiv w:val="1"/>
      <w:marLeft w:val="0"/>
      <w:marRight w:val="0"/>
      <w:marTop w:val="0"/>
      <w:marBottom w:val="0"/>
      <w:divBdr>
        <w:top w:val="none" w:sz="0" w:space="0" w:color="auto"/>
        <w:left w:val="none" w:sz="0" w:space="0" w:color="auto"/>
        <w:bottom w:val="none" w:sz="0" w:space="0" w:color="auto"/>
        <w:right w:val="none" w:sz="0" w:space="0" w:color="auto"/>
      </w:divBdr>
    </w:div>
    <w:div w:id="614019848">
      <w:bodyDiv w:val="1"/>
      <w:marLeft w:val="0"/>
      <w:marRight w:val="0"/>
      <w:marTop w:val="0"/>
      <w:marBottom w:val="0"/>
      <w:divBdr>
        <w:top w:val="none" w:sz="0" w:space="0" w:color="auto"/>
        <w:left w:val="none" w:sz="0" w:space="0" w:color="auto"/>
        <w:bottom w:val="none" w:sz="0" w:space="0" w:color="auto"/>
        <w:right w:val="none" w:sz="0" w:space="0" w:color="auto"/>
      </w:divBdr>
    </w:div>
    <w:div w:id="614558152">
      <w:bodyDiv w:val="1"/>
      <w:marLeft w:val="0"/>
      <w:marRight w:val="0"/>
      <w:marTop w:val="0"/>
      <w:marBottom w:val="0"/>
      <w:divBdr>
        <w:top w:val="none" w:sz="0" w:space="0" w:color="auto"/>
        <w:left w:val="none" w:sz="0" w:space="0" w:color="auto"/>
        <w:bottom w:val="none" w:sz="0" w:space="0" w:color="auto"/>
        <w:right w:val="none" w:sz="0" w:space="0" w:color="auto"/>
      </w:divBdr>
      <w:divsChild>
        <w:div w:id="2018070771">
          <w:marLeft w:val="0"/>
          <w:marRight w:val="0"/>
          <w:marTop w:val="0"/>
          <w:marBottom w:val="0"/>
          <w:divBdr>
            <w:top w:val="single" w:sz="6" w:space="0" w:color="auto"/>
            <w:left w:val="single" w:sz="6" w:space="0" w:color="auto"/>
            <w:bottom w:val="single" w:sz="6" w:space="0" w:color="auto"/>
            <w:right w:val="single" w:sz="6" w:space="0" w:color="auto"/>
          </w:divBdr>
        </w:div>
      </w:divsChild>
    </w:div>
    <w:div w:id="615723381">
      <w:bodyDiv w:val="1"/>
      <w:marLeft w:val="0"/>
      <w:marRight w:val="0"/>
      <w:marTop w:val="0"/>
      <w:marBottom w:val="0"/>
      <w:divBdr>
        <w:top w:val="none" w:sz="0" w:space="0" w:color="auto"/>
        <w:left w:val="none" w:sz="0" w:space="0" w:color="auto"/>
        <w:bottom w:val="none" w:sz="0" w:space="0" w:color="auto"/>
        <w:right w:val="none" w:sz="0" w:space="0" w:color="auto"/>
      </w:divBdr>
    </w:div>
    <w:div w:id="623117486">
      <w:bodyDiv w:val="1"/>
      <w:marLeft w:val="0"/>
      <w:marRight w:val="0"/>
      <w:marTop w:val="0"/>
      <w:marBottom w:val="0"/>
      <w:divBdr>
        <w:top w:val="none" w:sz="0" w:space="0" w:color="auto"/>
        <w:left w:val="none" w:sz="0" w:space="0" w:color="auto"/>
        <w:bottom w:val="none" w:sz="0" w:space="0" w:color="auto"/>
        <w:right w:val="none" w:sz="0" w:space="0" w:color="auto"/>
      </w:divBdr>
    </w:div>
    <w:div w:id="627004541">
      <w:bodyDiv w:val="1"/>
      <w:marLeft w:val="0"/>
      <w:marRight w:val="0"/>
      <w:marTop w:val="0"/>
      <w:marBottom w:val="0"/>
      <w:divBdr>
        <w:top w:val="none" w:sz="0" w:space="0" w:color="auto"/>
        <w:left w:val="none" w:sz="0" w:space="0" w:color="auto"/>
        <w:bottom w:val="none" w:sz="0" w:space="0" w:color="auto"/>
        <w:right w:val="none" w:sz="0" w:space="0" w:color="auto"/>
      </w:divBdr>
      <w:divsChild>
        <w:div w:id="391924370">
          <w:marLeft w:val="0"/>
          <w:marRight w:val="0"/>
          <w:marTop w:val="0"/>
          <w:marBottom w:val="0"/>
          <w:divBdr>
            <w:top w:val="single" w:sz="6" w:space="0" w:color="auto"/>
            <w:left w:val="single" w:sz="6" w:space="0" w:color="auto"/>
            <w:bottom w:val="single" w:sz="6" w:space="0" w:color="auto"/>
            <w:right w:val="single" w:sz="6" w:space="0" w:color="auto"/>
          </w:divBdr>
        </w:div>
      </w:divsChild>
    </w:div>
    <w:div w:id="636956473">
      <w:bodyDiv w:val="1"/>
      <w:marLeft w:val="0"/>
      <w:marRight w:val="0"/>
      <w:marTop w:val="0"/>
      <w:marBottom w:val="0"/>
      <w:divBdr>
        <w:top w:val="none" w:sz="0" w:space="0" w:color="auto"/>
        <w:left w:val="none" w:sz="0" w:space="0" w:color="auto"/>
        <w:bottom w:val="none" w:sz="0" w:space="0" w:color="auto"/>
        <w:right w:val="none" w:sz="0" w:space="0" w:color="auto"/>
      </w:divBdr>
    </w:div>
    <w:div w:id="643968849">
      <w:bodyDiv w:val="1"/>
      <w:marLeft w:val="0"/>
      <w:marRight w:val="0"/>
      <w:marTop w:val="0"/>
      <w:marBottom w:val="0"/>
      <w:divBdr>
        <w:top w:val="none" w:sz="0" w:space="0" w:color="auto"/>
        <w:left w:val="none" w:sz="0" w:space="0" w:color="auto"/>
        <w:bottom w:val="none" w:sz="0" w:space="0" w:color="auto"/>
        <w:right w:val="none" w:sz="0" w:space="0" w:color="auto"/>
      </w:divBdr>
      <w:divsChild>
        <w:div w:id="799080580">
          <w:marLeft w:val="0"/>
          <w:marRight w:val="0"/>
          <w:marTop w:val="0"/>
          <w:marBottom w:val="0"/>
          <w:divBdr>
            <w:top w:val="single" w:sz="6" w:space="0" w:color="auto"/>
            <w:left w:val="single" w:sz="6" w:space="0" w:color="auto"/>
            <w:bottom w:val="single" w:sz="6" w:space="0" w:color="auto"/>
            <w:right w:val="single" w:sz="6" w:space="0" w:color="auto"/>
          </w:divBdr>
        </w:div>
      </w:divsChild>
    </w:div>
    <w:div w:id="657345049">
      <w:bodyDiv w:val="1"/>
      <w:marLeft w:val="0"/>
      <w:marRight w:val="0"/>
      <w:marTop w:val="0"/>
      <w:marBottom w:val="0"/>
      <w:divBdr>
        <w:top w:val="none" w:sz="0" w:space="0" w:color="auto"/>
        <w:left w:val="none" w:sz="0" w:space="0" w:color="auto"/>
        <w:bottom w:val="none" w:sz="0" w:space="0" w:color="auto"/>
        <w:right w:val="none" w:sz="0" w:space="0" w:color="auto"/>
      </w:divBdr>
    </w:div>
    <w:div w:id="659693184">
      <w:bodyDiv w:val="1"/>
      <w:marLeft w:val="0"/>
      <w:marRight w:val="0"/>
      <w:marTop w:val="0"/>
      <w:marBottom w:val="0"/>
      <w:divBdr>
        <w:top w:val="none" w:sz="0" w:space="0" w:color="auto"/>
        <w:left w:val="none" w:sz="0" w:space="0" w:color="auto"/>
        <w:bottom w:val="none" w:sz="0" w:space="0" w:color="auto"/>
        <w:right w:val="none" w:sz="0" w:space="0" w:color="auto"/>
      </w:divBdr>
    </w:div>
    <w:div w:id="669255478">
      <w:bodyDiv w:val="1"/>
      <w:marLeft w:val="0"/>
      <w:marRight w:val="0"/>
      <w:marTop w:val="0"/>
      <w:marBottom w:val="0"/>
      <w:divBdr>
        <w:top w:val="none" w:sz="0" w:space="0" w:color="auto"/>
        <w:left w:val="none" w:sz="0" w:space="0" w:color="auto"/>
        <w:bottom w:val="none" w:sz="0" w:space="0" w:color="auto"/>
        <w:right w:val="none" w:sz="0" w:space="0" w:color="auto"/>
      </w:divBdr>
    </w:div>
    <w:div w:id="684945222">
      <w:bodyDiv w:val="1"/>
      <w:marLeft w:val="0"/>
      <w:marRight w:val="0"/>
      <w:marTop w:val="0"/>
      <w:marBottom w:val="0"/>
      <w:divBdr>
        <w:top w:val="none" w:sz="0" w:space="0" w:color="auto"/>
        <w:left w:val="none" w:sz="0" w:space="0" w:color="auto"/>
        <w:bottom w:val="none" w:sz="0" w:space="0" w:color="auto"/>
        <w:right w:val="none" w:sz="0" w:space="0" w:color="auto"/>
      </w:divBdr>
      <w:divsChild>
        <w:div w:id="882593944">
          <w:marLeft w:val="0"/>
          <w:marRight w:val="0"/>
          <w:marTop w:val="0"/>
          <w:marBottom w:val="0"/>
          <w:divBdr>
            <w:top w:val="single" w:sz="6" w:space="0" w:color="auto"/>
            <w:left w:val="single" w:sz="6" w:space="0" w:color="auto"/>
            <w:bottom w:val="single" w:sz="6" w:space="0" w:color="auto"/>
            <w:right w:val="single" w:sz="6" w:space="0" w:color="auto"/>
          </w:divBdr>
        </w:div>
      </w:divsChild>
    </w:div>
    <w:div w:id="685669167">
      <w:bodyDiv w:val="1"/>
      <w:marLeft w:val="0"/>
      <w:marRight w:val="0"/>
      <w:marTop w:val="0"/>
      <w:marBottom w:val="0"/>
      <w:divBdr>
        <w:top w:val="none" w:sz="0" w:space="0" w:color="auto"/>
        <w:left w:val="none" w:sz="0" w:space="0" w:color="auto"/>
        <w:bottom w:val="none" w:sz="0" w:space="0" w:color="auto"/>
        <w:right w:val="none" w:sz="0" w:space="0" w:color="auto"/>
      </w:divBdr>
    </w:div>
    <w:div w:id="709769755">
      <w:bodyDiv w:val="1"/>
      <w:marLeft w:val="0"/>
      <w:marRight w:val="0"/>
      <w:marTop w:val="0"/>
      <w:marBottom w:val="0"/>
      <w:divBdr>
        <w:top w:val="none" w:sz="0" w:space="0" w:color="auto"/>
        <w:left w:val="none" w:sz="0" w:space="0" w:color="auto"/>
        <w:bottom w:val="none" w:sz="0" w:space="0" w:color="auto"/>
        <w:right w:val="none" w:sz="0" w:space="0" w:color="auto"/>
      </w:divBdr>
    </w:div>
    <w:div w:id="713239593">
      <w:bodyDiv w:val="1"/>
      <w:marLeft w:val="0"/>
      <w:marRight w:val="0"/>
      <w:marTop w:val="0"/>
      <w:marBottom w:val="0"/>
      <w:divBdr>
        <w:top w:val="none" w:sz="0" w:space="0" w:color="auto"/>
        <w:left w:val="none" w:sz="0" w:space="0" w:color="auto"/>
        <w:bottom w:val="none" w:sz="0" w:space="0" w:color="auto"/>
        <w:right w:val="none" w:sz="0" w:space="0" w:color="auto"/>
      </w:divBdr>
    </w:div>
    <w:div w:id="717702964">
      <w:bodyDiv w:val="1"/>
      <w:marLeft w:val="0"/>
      <w:marRight w:val="0"/>
      <w:marTop w:val="0"/>
      <w:marBottom w:val="0"/>
      <w:divBdr>
        <w:top w:val="none" w:sz="0" w:space="0" w:color="auto"/>
        <w:left w:val="none" w:sz="0" w:space="0" w:color="auto"/>
        <w:bottom w:val="none" w:sz="0" w:space="0" w:color="auto"/>
        <w:right w:val="none" w:sz="0" w:space="0" w:color="auto"/>
      </w:divBdr>
    </w:div>
    <w:div w:id="720057673">
      <w:bodyDiv w:val="1"/>
      <w:marLeft w:val="0"/>
      <w:marRight w:val="0"/>
      <w:marTop w:val="0"/>
      <w:marBottom w:val="0"/>
      <w:divBdr>
        <w:top w:val="none" w:sz="0" w:space="0" w:color="auto"/>
        <w:left w:val="none" w:sz="0" w:space="0" w:color="auto"/>
        <w:bottom w:val="none" w:sz="0" w:space="0" w:color="auto"/>
        <w:right w:val="none" w:sz="0" w:space="0" w:color="auto"/>
      </w:divBdr>
    </w:div>
    <w:div w:id="730540697">
      <w:bodyDiv w:val="1"/>
      <w:marLeft w:val="0"/>
      <w:marRight w:val="0"/>
      <w:marTop w:val="0"/>
      <w:marBottom w:val="0"/>
      <w:divBdr>
        <w:top w:val="none" w:sz="0" w:space="0" w:color="auto"/>
        <w:left w:val="none" w:sz="0" w:space="0" w:color="auto"/>
        <w:bottom w:val="none" w:sz="0" w:space="0" w:color="auto"/>
        <w:right w:val="none" w:sz="0" w:space="0" w:color="auto"/>
      </w:divBdr>
    </w:div>
    <w:div w:id="740563591">
      <w:bodyDiv w:val="1"/>
      <w:marLeft w:val="0"/>
      <w:marRight w:val="0"/>
      <w:marTop w:val="0"/>
      <w:marBottom w:val="0"/>
      <w:divBdr>
        <w:top w:val="none" w:sz="0" w:space="0" w:color="auto"/>
        <w:left w:val="none" w:sz="0" w:space="0" w:color="auto"/>
        <w:bottom w:val="none" w:sz="0" w:space="0" w:color="auto"/>
        <w:right w:val="none" w:sz="0" w:space="0" w:color="auto"/>
      </w:divBdr>
      <w:divsChild>
        <w:div w:id="1437090734">
          <w:marLeft w:val="0"/>
          <w:marRight w:val="0"/>
          <w:marTop w:val="0"/>
          <w:marBottom w:val="0"/>
          <w:divBdr>
            <w:top w:val="single" w:sz="6" w:space="0" w:color="auto"/>
            <w:left w:val="single" w:sz="6" w:space="0" w:color="auto"/>
            <w:bottom w:val="single" w:sz="6" w:space="0" w:color="auto"/>
            <w:right w:val="single" w:sz="6" w:space="0" w:color="auto"/>
          </w:divBdr>
        </w:div>
      </w:divsChild>
    </w:div>
    <w:div w:id="744374429">
      <w:bodyDiv w:val="1"/>
      <w:marLeft w:val="0"/>
      <w:marRight w:val="0"/>
      <w:marTop w:val="0"/>
      <w:marBottom w:val="0"/>
      <w:divBdr>
        <w:top w:val="none" w:sz="0" w:space="0" w:color="auto"/>
        <w:left w:val="none" w:sz="0" w:space="0" w:color="auto"/>
        <w:bottom w:val="none" w:sz="0" w:space="0" w:color="auto"/>
        <w:right w:val="none" w:sz="0" w:space="0" w:color="auto"/>
      </w:divBdr>
    </w:div>
    <w:div w:id="749735665">
      <w:bodyDiv w:val="1"/>
      <w:marLeft w:val="0"/>
      <w:marRight w:val="0"/>
      <w:marTop w:val="0"/>
      <w:marBottom w:val="0"/>
      <w:divBdr>
        <w:top w:val="none" w:sz="0" w:space="0" w:color="auto"/>
        <w:left w:val="none" w:sz="0" w:space="0" w:color="auto"/>
        <w:bottom w:val="none" w:sz="0" w:space="0" w:color="auto"/>
        <w:right w:val="none" w:sz="0" w:space="0" w:color="auto"/>
      </w:divBdr>
    </w:div>
    <w:div w:id="765270115">
      <w:bodyDiv w:val="1"/>
      <w:marLeft w:val="0"/>
      <w:marRight w:val="0"/>
      <w:marTop w:val="0"/>
      <w:marBottom w:val="0"/>
      <w:divBdr>
        <w:top w:val="none" w:sz="0" w:space="0" w:color="auto"/>
        <w:left w:val="none" w:sz="0" w:space="0" w:color="auto"/>
        <w:bottom w:val="none" w:sz="0" w:space="0" w:color="auto"/>
        <w:right w:val="none" w:sz="0" w:space="0" w:color="auto"/>
      </w:divBdr>
      <w:divsChild>
        <w:div w:id="476413389">
          <w:marLeft w:val="0"/>
          <w:marRight w:val="0"/>
          <w:marTop w:val="0"/>
          <w:marBottom w:val="0"/>
          <w:divBdr>
            <w:top w:val="single" w:sz="6" w:space="0" w:color="auto"/>
            <w:left w:val="single" w:sz="6" w:space="0" w:color="auto"/>
            <w:bottom w:val="single" w:sz="6" w:space="0" w:color="auto"/>
            <w:right w:val="single" w:sz="6" w:space="0" w:color="auto"/>
          </w:divBdr>
        </w:div>
      </w:divsChild>
    </w:div>
    <w:div w:id="765342881">
      <w:bodyDiv w:val="1"/>
      <w:marLeft w:val="0"/>
      <w:marRight w:val="0"/>
      <w:marTop w:val="0"/>
      <w:marBottom w:val="0"/>
      <w:divBdr>
        <w:top w:val="none" w:sz="0" w:space="0" w:color="auto"/>
        <w:left w:val="none" w:sz="0" w:space="0" w:color="auto"/>
        <w:bottom w:val="none" w:sz="0" w:space="0" w:color="auto"/>
        <w:right w:val="none" w:sz="0" w:space="0" w:color="auto"/>
      </w:divBdr>
    </w:div>
    <w:div w:id="767123663">
      <w:bodyDiv w:val="1"/>
      <w:marLeft w:val="0"/>
      <w:marRight w:val="0"/>
      <w:marTop w:val="0"/>
      <w:marBottom w:val="0"/>
      <w:divBdr>
        <w:top w:val="none" w:sz="0" w:space="0" w:color="auto"/>
        <w:left w:val="none" w:sz="0" w:space="0" w:color="auto"/>
        <w:bottom w:val="none" w:sz="0" w:space="0" w:color="auto"/>
        <w:right w:val="none" w:sz="0" w:space="0" w:color="auto"/>
      </w:divBdr>
      <w:divsChild>
        <w:div w:id="100340931">
          <w:marLeft w:val="0"/>
          <w:marRight w:val="0"/>
          <w:marTop w:val="0"/>
          <w:marBottom w:val="0"/>
          <w:divBdr>
            <w:top w:val="single" w:sz="6" w:space="0" w:color="auto"/>
            <w:left w:val="single" w:sz="6" w:space="0" w:color="auto"/>
            <w:bottom w:val="single" w:sz="6" w:space="0" w:color="auto"/>
            <w:right w:val="single" w:sz="6" w:space="0" w:color="auto"/>
          </w:divBdr>
        </w:div>
      </w:divsChild>
    </w:div>
    <w:div w:id="768892065">
      <w:bodyDiv w:val="1"/>
      <w:marLeft w:val="0"/>
      <w:marRight w:val="0"/>
      <w:marTop w:val="0"/>
      <w:marBottom w:val="0"/>
      <w:divBdr>
        <w:top w:val="none" w:sz="0" w:space="0" w:color="auto"/>
        <w:left w:val="none" w:sz="0" w:space="0" w:color="auto"/>
        <w:bottom w:val="none" w:sz="0" w:space="0" w:color="auto"/>
        <w:right w:val="none" w:sz="0" w:space="0" w:color="auto"/>
      </w:divBdr>
    </w:div>
    <w:div w:id="781412052">
      <w:bodyDiv w:val="1"/>
      <w:marLeft w:val="0"/>
      <w:marRight w:val="0"/>
      <w:marTop w:val="0"/>
      <w:marBottom w:val="0"/>
      <w:divBdr>
        <w:top w:val="none" w:sz="0" w:space="0" w:color="auto"/>
        <w:left w:val="none" w:sz="0" w:space="0" w:color="auto"/>
        <w:bottom w:val="none" w:sz="0" w:space="0" w:color="auto"/>
        <w:right w:val="none" w:sz="0" w:space="0" w:color="auto"/>
      </w:divBdr>
    </w:div>
    <w:div w:id="795948849">
      <w:bodyDiv w:val="1"/>
      <w:marLeft w:val="0"/>
      <w:marRight w:val="0"/>
      <w:marTop w:val="0"/>
      <w:marBottom w:val="0"/>
      <w:divBdr>
        <w:top w:val="none" w:sz="0" w:space="0" w:color="auto"/>
        <w:left w:val="none" w:sz="0" w:space="0" w:color="auto"/>
        <w:bottom w:val="none" w:sz="0" w:space="0" w:color="auto"/>
        <w:right w:val="none" w:sz="0" w:space="0" w:color="auto"/>
      </w:divBdr>
    </w:div>
    <w:div w:id="809828742">
      <w:bodyDiv w:val="1"/>
      <w:marLeft w:val="0"/>
      <w:marRight w:val="0"/>
      <w:marTop w:val="0"/>
      <w:marBottom w:val="0"/>
      <w:divBdr>
        <w:top w:val="none" w:sz="0" w:space="0" w:color="auto"/>
        <w:left w:val="none" w:sz="0" w:space="0" w:color="auto"/>
        <w:bottom w:val="none" w:sz="0" w:space="0" w:color="auto"/>
        <w:right w:val="none" w:sz="0" w:space="0" w:color="auto"/>
      </w:divBdr>
      <w:divsChild>
        <w:div w:id="339164327">
          <w:marLeft w:val="0"/>
          <w:marRight w:val="0"/>
          <w:marTop w:val="0"/>
          <w:marBottom w:val="0"/>
          <w:divBdr>
            <w:top w:val="single" w:sz="6" w:space="0" w:color="auto"/>
            <w:left w:val="single" w:sz="6" w:space="0" w:color="auto"/>
            <w:bottom w:val="single" w:sz="6" w:space="0" w:color="auto"/>
            <w:right w:val="single" w:sz="6" w:space="0" w:color="auto"/>
          </w:divBdr>
        </w:div>
      </w:divsChild>
    </w:div>
    <w:div w:id="814296313">
      <w:bodyDiv w:val="1"/>
      <w:marLeft w:val="0"/>
      <w:marRight w:val="0"/>
      <w:marTop w:val="0"/>
      <w:marBottom w:val="0"/>
      <w:divBdr>
        <w:top w:val="none" w:sz="0" w:space="0" w:color="auto"/>
        <w:left w:val="none" w:sz="0" w:space="0" w:color="auto"/>
        <w:bottom w:val="none" w:sz="0" w:space="0" w:color="auto"/>
        <w:right w:val="none" w:sz="0" w:space="0" w:color="auto"/>
      </w:divBdr>
    </w:div>
    <w:div w:id="820122983">
      <w:bodyDiv w:val="1"/>
      <w:marLeft w:val="0"/>
      <w:marRight w:val="0"/>
      <w:marTop w:val="0"/>
      <w:marBottom w:val="0"/>
      <w:divBdr>
        <w:top w:val="none" w:sz="0" w:space="0" w:color="auto"/>
        <w:left w:val="none" w:sz="0" w:space="0" w:color="auto"/>
        <w:bottom w:val="none" w:sz="0" w:space="0" w:color="auto"/>
        <w:right w:val="none" w:sz="0" w:space="0" w:color="auto"/>
      </w:divBdr>
    </w:div>
    <w:div w:id="824588985">
      <w:bodyDiv w:val="1"/>
      <w:marLeft w:val="0"/>
      <w:marRight w:val="0"/>
      <w:marTop w:val="0"/>
      <w:marBottom w:val="0"/>
      <w:divBdr>
        <w:top w:val="none" w:sz="0" w:space="0" w:color="auto"/>
        <w:left w:val="none" w:sz="0" w:space="0" w:color="auto"/>
        <w:bottom w:val="none" w:sz="0" w:space="0" w:color="auto"/>
        <w:right w:val="none" w:sz="0" w:space="0" w:color="auto"/>
      </w:divBdr>
    </w:div>
    <w:div w:id="831219900">
      <w:bodyDiv w:val="1"/>
      <w:marLeft w:val="0"/>
      <w:marRight w:val="0"/>
      <w:marTop w:val="0"/>
      <w:marBottom w:val="0"/>
      <w:divBdr>
        <w:top w:val="none" w:sz="0" w:space="0" w:color="auto"/>
        <w:left w:val="none" w:sz="0" w:space="0" w:color="auto"/>
        <w:bottom w:val="none" w:sz="0" w:space="0" w:color="auto"/>
        <w:right w:val="none" w:sz="0" w:space="0" w:color="auto"/>
      </w:divBdr>
    </w:div>
    <w:div w:id="835456428">
      <w:bodyDiv w:val="1"/>
      <w:marLeft w:val="0"/>
      <w:marRight w:val="0"/>
      <w:marTop w:val="0"/>
      <w:marBottom w:val="0"/>
      <w:divBdr>
        <w:top w:val="none" w:sz="0" w:space="0" w:color="auto"/>
        <w:left w:val="none" w:sz="0" w:space="0" w:color="auto"/>
        <w:bottom w:val="none" w:sz="0" w:space="0" w:color="auto"/>
        <w:right w:val="none" w:sz="0" w:space="0" w:color="auto"/>
      </w:divBdr>
    </w:div>
    <w:div w:id="835995866">
      <w:bodyDiv w:val="1"/>
      <w:marLeft w:val="0"/>
      <w:marRight w:val="0"/>
      <w:marTop w:val="0"/>
      <w:marBottom w:val="0"/>
      <w:divBdr>
        <w:top w:val="none" w:sz="0" w:space="0" w:color="auto"/>
        <w:left w:val="none" w:sz="0" w:space="0" w:color="auto"/>
        <w:bottom w:val="none" w:sz="0" w:space="0" w:color="auto"/>
        <w:right w:val="none" w:sz="0" w:space="0" w:color="auto"/>
      </w:divBdr>
      <w:divsChild>
        <w:div w:id="87965840">
          <w:marLeft w:val="0"/>
          <w:marRight w:val="0"/>
          <w:marTop w:val="0"/>
          <w:marBottom w:val="0"/>
          <w:divBdr>
            <w:top w:val="single" w:sz="6" w:space="0" w:color="auto"/>
            <w:left w:val="single" w:sz="6" w:space="0" w:color="auto"/>
            <w:bottom w:val="single" w:sz="6" w:space="0" w:color="auto"/>
            <w:right w:val="single" w:sz="6" w:space="0" w:color="auto"/>
          </w:divBdr>
        </w:div>
      </w:divsChild>
    </w:div>
    <w:div w:id="842015737">
      <w:bodyDiv w:val="1"/>
      <w:marLeft w:val="0"/>
      <w:marRight w:val="0"/>
      <w:marTop w:val="0"/>
      <w:marBottom w:val="0"/>
      <w:divBdr>
        <w:top w:val="none" w:sz="0" w:space="0" w:color="auto"/>
        <w:left w:val="none" w:sz="0" w:space="0" w:color="auto"/>
        <w:bottom w:val="none" w:sz="0" w:space="0" w:color="auto"/>
        <w:right w:val="none" w:sz="0" w:space="0" w:color="auto"/>
      </w:divBdr>
    </w:div>
    <w:div w:id="846283807">
      <w:bodyDiv w:val="1"/>
      <w:marLeft w:val="0"/>
      <w:marRight w:val="0"/>
      <w:marTop w:val="0"/>
      <w:marBottom w:val="0"/>
      <w:divBdr>
        <w:top w:val="none" w:sz="0" w:space="0" w:color="auto"/>
        <w:left w:val="none" w:sz="0" w:space="0" w:color="auto"/>
        <w:bottom w:val="none" w:sz="0" w:space="0" w:color="auto"/>
        <w:right w:val="none" w:sz="0" w:space="0" w:color="auto"/>
      </w:divBdr>
    </w:div>
    <w:div w:id="847403566">
      <w:bodyDiv w:val="1"/>
      <w:marLeft w:val="0"/>
      <w:marRight w:val="0"/>
      <w:marTop w:val="0"/>
      <w:marBottom w:val="0"/>
      <w:divBdr>
        <w:top w:val="none" w:sz="0" w:space="0" w:color="auto"/>
        <w:left w:val="none" w:sz="0" w:space="0" w:color="auto"/>
        <w:bottom w:val="none" w:sz="0" w:space="0" w:color="auto"/>
        <w:right w:val="none" w:sz="0" w:space="0" w:color="auto"/>
      </w:divBdr>
    </w:div>
    <w:div w:id="854225602">
      <w:bodyDiv w:val="1"/>
      <w:marLeft w:val="0"/>
      <w:marRight w:val="0"/>
      <w:marTop w:val="0"/>
      <w:marBottom w:val="0"/>
      <w:divBdr>
        <w:top w:val="none" w:sz="0" w:space="0" w:color="auto"/>
        <w:left w:val="none" w:sz="0" w:space="0" w:color="auto"/>
        <w:bottom w:val="none" w:sz="0" w:space="0" w:color="auto"/>
        <w:right w:val="none" w:sz="0" w:space="0" w:color="auto"/>
      </w:divBdr>
    </w:div>
    <w:div w:id="858665619">
      <w:bodyDiv w:val="1"/>
      <w:marLeft w:val="0"/>
      <w:marRight w:val="0"/>
      <w:marTop w:val="0"/>
      <w:marBottom w:val="0"/>
      <w:divBdr>
        <w:top w:val="none" w:sz="0" w:space="0" w:color="auto"/>
        <w:left w:val="none" w:sz="0" w:space="0" w:color="auto"/>
        <w:bottom w:val="none" w:sz="0" w:space="0" w:color="auto"/>
        <w:right w:val="none" w:sz="0" w:space="0" w:color="auto"/>
      </w:divBdr>
    </w:div>
    <w:div w:id="867988787">
      <w:bodyDiv w:val="1"/>
      <w:marLeft w:val="0"/>
      <w:marRight w:val="0"/>
      <w:marTop w:val="0"/>
      <w:marBottom w:val="0"/>
      <w:divBdr>
        <w:top w:val="none" w:sz="0" w:space="0" w:color="auto"/>
        <w:left w:val="none" w:sz="0" w:space="0" w:color="auto"/>
        <w:bottom w:val="none" w:sz="0" w:space="0" w:color="auto"/>
        <w:right w:val="none" w:sz="0" w:space="0" w:color="auto"/>
      </w:divBdr>
    </w:div>
    <w:div w:id="881088956">
      <w:bodyDiv w:val="1"/>
      <w:marLeft w:val="0"/>
      <w:marRight w:val="0"/>
      <w:marTop w:val="0"/>
      <w:marBottom w:val="0"/>
      <w:divBdr>
        <w:top w:val="none" w:sz="0" w:space="0" w:color="auto"/>
        <w:left w:val="none" w:sz="0" w:space="0" w:color="auto"/>
        <w:bottom w:val="none" w:sz="0" w:space="0" w:color="auto"/>
        <w:right w:val="none" w:sz="0" w:space="0" w:color="auto"/>
      </w:divBdr>
    </w:div>
    <w:div w:id="894270258">
      <w:bodyDiv w:val="1"/>
      <w:marLeft w:val="0"/>
      <w:marRight w:val="0"/>
      <w:marTop w:val="0"/>
      <w:marBottom w:val="0"/>
      <w:divBdr>
        <w:top w:val="none" w:sz="0" w:space="0" w:color="auto"/>
        <w:left w:val="none" w:sz="0" w:space="0" w:color="auto"/>
        <w:bottom w:val="none" w:sz="0" w:space="0" w:color="auto"/>
        <w:right w:val="none" w:sz="0" w:space="0" w:color="auto"/>
      </w:divBdr>
    </w:div>
    <w:div w:id="897059623">
      <w:bodyDiv w:val="1"/>
      <w:marLeft w:val="0"/>
      <w:marRight w:val="0"/>
      <w:marTop w:val="0"/>
      <w:marBottom w:val="0"/>
      <w:divBdr>
        <w:top w:val="none" w:sz="0" w:space="0" w:color="auto"/>
        <w:left w:val="none" w:sz="0" w:space="0" w:color="auto"/>
        <w:bottom w:val="none" w:sz="0" w:space="0" w:color="auto"/>
        <w:right w:val="none" w:sz="0" w:space="0" w:color="auto"/>
      </w:divBdr>
      <w:divsChild>
        <w:div w:id="1126461157">
          <w:marLeft w:val="0"/>
          <w:marRight w:val="0"/>
          <w:marTop w:val="0"/>
          <w:marBottom w:val="0"/>
          <w:divBdr>
            <w:top w:val="single" w:sz="6" w:space="0" w:color="auto"/>
            <w:left w:val="single" w:sz="6" w:space="0" w:color="auto"/>
            <w:bottom w:val="single" w:sz="6" w:space="0" w:color="auto"/>
            <w:right w:val="single" w:sz="6" w:space="0" w:color="auto"/>
          </w:divBdr>
        </w:div>
      </w:divsChild>
    </w:div>
    <w:div w:id="897402669">
      <w:bodyDiv w:val="1"/>
      <w:marLeft w:val="0"/>
      <w:marRight w:val="0"/>
      <w:marTop w:val="0"/>
      <w:marBottom w:val="0"/>
      <w:divBdr>
        <w:top w:val="none" w:sz="0" w:space="0" w:color="auto"/>
        <w:left w:val="none" w:sz="0" w:space="0" w:color="auto"/>
        <w:bottom w:val="none" w:sz="0" w:space="0" w:color="auto"/>
        <w:right w:val="none" w:sz="0" w:space="0" w:color="auto"/>
      </w:divBdr>
    </w:div>
    <w:div w:id="899289535">
      <w:bodyDiv w:val="1"/>
      <w:marLeft w:val="0"/>
      <w:marRight w:val="0"/>
      <w:marTop w:val="0"/>
      <w:marBottom w:val="0"/>
      <w:divBdr>
        <w:top w:val="none" w:sz="0" w:space="0" w:color="auto"/>
        <w:left w:val="none" w:sz="0" w:space="0" w:color="auto"/>
        <w:bottom w:val="none" w:sz="0" w:space="0" w:color="auto"/>
        <w:right w:val="none" w:sz="0" w:space="0" w:color="auto"/>
      </w:divBdr>
    </w:div>
    <w:div w:id="901016186">
      <w:bodyDiv w:val="1"/>
      <w:marLeft w:val="0"/>
      <w:marRight w:val="0"/>
      <w:marTop w:val="0"/>
      <w:marBottom w:val="0"/>
      <w:divBdr>
        <w:top w:val="none" w:sz="0" w:space="0" w:color="auto"/>
        <w:left w:val="none" w:sz="0" w:space="0" w:color="auto"/>
        <w:bottom w:val="none" w:sz="0" w:space="0" w:color="auto"/>
        <w:right w:val="none" w:sz="0" w:space="0" w:color="auto"/>
      </w:divBdr>
    </w:div>
    <w:div w:id="909656457">
      <w:bodyDiv w:val="1"/>
      <w:marLeft w:val="0"/>
      <w:marRight w:val="0"/>
      <w:marTop w:val="0"/>
      <w:marBottom w:val="0"/>
      <w:divBdr>
        <w:top w:val="none" w:sz="0" w:space="0" w:color="auto"/>
        <w:left w:val="none" w:sz="0" w:space="0" w:color="auto"/>
        <w:bottom w:val="none" w:sz="0" w:space="0" w:color="auto"/>
        <w:right w:val="none" w:sz="0" w:space="0" w:color="auto"/>
      </w:divBdr>
    </w:div>
    <w:div w:id="923294755">
      <w:bodyDiv w:val="1"/>
      <w:marLeft w:val="0"/>
      <w:marRight w:val="0"/>
      <w:marTop w:val="0"/>
      <w:marBottom w:val="0"/>
      <w:divBdr>
        <w:top w:val="none" w:sz="0" w:space="0" w:color="auto"/>
        <w:left w:val="none" w:sz="0" w:space="0" w:color="auto"/>
        <w:bottom w:val="none" w:sz="0" w:space="0" w:color="auto"/>
        <w:right w:val="none" w:sz="0" w:space="0" w:color="auto"/>
      </w:divBdr>
    </w:div>
    <w:div w:id="942107776">
      <w:bodyDiv w:val="1"/>
      <w:marLeft w:val="0"/>
      <w:marRight w:val="0"/>
      <w:marTop w:val="0"/>
      <w:marBottom w:val="0"/>
      <w:divBdr>
        <w:top w:val="none" w:sz="0" w:space="0" w:color="auto"/>
        <w:left w:val="none" w:sz="0" w:space="0" w:color="auto"/>
        <w:bottom w:val="none" w:sz="0" w:space="0" w:color="auto"/>
        <w:right w:val="none" w:sz="0" w:space="0" w:color="auto"/>
      </w:divBdr>
    </w:div>
    <w:div w:id="943803074">
      <w:bodyDiv w:val="1"/>
      <w:marLeft w:val="0"/>
      <w:marRight w:val="0"/>
      <w:marTop w:val="0"/>
      <w:marBottom w:val="0"/>
      <w:divBdr>
        <w:top w:val="none" w:sz="0" w:space="0" w:color="auto"/>
        <w:left w:val="none" w:sz="0" w:space="0" w:color="auto"/>
        <w:bottom w:val="none" w:sz="0" w:space="0" w:color="auto"/>
        <w:right w:val="none" w:sz="0" w:space="0" w:color="auto"/>
      </w:divBdr>
    </w:div>
    <w:div w:id="945233606">
      <w:bodyDiv w:val="1"/>
      <w:marLeft w:val="0"/>
      <w:marRight w:val="0"/>
      <w:marTop w:val="0"/>
      <w:marBottom w:val="0"/>
      <w:divBdr>
        <w:top w:val="none" w:sz="0" w:space="0" w:color="auto"/>
        <w:left w:val="none" w:sz="0" w:space="0" w:color="auto"/>
        <w:bottom w:val="none" w:sz="0" w:space="0" w:color="auto"/>
        <w:right w:val="none" w:sz="0" w:space="0" w:color="auto"/>
      </w:divBdr>
    </w:div>
    <w:div w:id="949631205">
      <w:bodyDiv w:val="1"/>
      <w:marLeft w:val="0"/>
      <w:marRight w:val="0"/>
      <w:marTop w:val="0"/>
      <w:marBottom w:val="0"/>
      <w:divBdr>
        <w:top w:val="none" w:sz="0" w:space="0" w:color="auto"/>
        <w:left w:val="none" w:sz="0" w:space="0" w:color="auto"/>
        <w:bottom w:val="none" w:sz="0" w:space="0" w:color="auto"/>
        <w:right w:val="none" w:sz="0" w:space="0" w:color="auto"/>
      </w:divBdr>
    </w:div>
    <w:div w:id="952401384">
      <w:bodyDiv w:val="1"/>
      <w:marLeft w:val="0"/>
      <w:marRight w:val="0"/>
      <w:marTop w:val="0"/>
      <w:marBottom w:val="0"/>
      <w:divBdr>
        <w:top w:val="none" w:sz="0" w:space="0" w:color="auto"/>
        <w:left w:val="none" w:sz="0" w:space="0" w:color="auto"/>
        <w:bottom w:val="none" w:sz="0" w:space="0" w:color="auto"/>
        <w:right w:val="none" w:sz="0" w:space="0" w:color="auto"/>
      </w:divBdr>
    </w:div>
    <w:div w:id="956260553">
      <w:bodyDiv w:val="1"/>
      <w:marLeft w:val="0"/>
      <w:marRight w:val="0"/>
      <w:marTop w:val="0"/>
      <w:marBottom w:val="0"/>
      <w:divBdr>
        <w:top w:val="none" w:sz="0" w:space="0" w:color="auto"/>
        <w:left w:val="none" w:sz="0" w:space="0" w:color="auto"/>
        <w:bottom w:val="none" w:sz="0" w:space="0" w:color="auto"/>
        <w:right w:val="none" w:sz="0" w:space="0" w:color="auto"/>
      </w:divBdr>
      <w:divsChild>
        <w:div w:id="1915237222">
          <w:marLeft w:val="0"/>
          <w:marRight w:val="0"/>
          <w:marTop w:val="0"/>
          <w:marBottom w:val="0"/>
          <w:divBdr>
            <w:top w:val="single" w:sz="6" w:space="0" w:color="auto"/>
            <w:left w:val="single" w:sz="6" w:space="0" w:color="auto"/>
            <w:bottom w:val="single" w:sz="6" w:space="0" w:color="auto"/>
            <w:right w:val="single" w:sz="6" w:space="0" w:color="auto"/>
          </w:divBdr>
        </w:div>
      </w:divsChild>
    </w:div>
    <w:div w:id="957564018">
      <w:bodyDiv w:val="1"/>
      <w:marLeft w:val="0"/>
      <w:marRight w:val="0"/>
      <w:marTop w:val="0"/>
      <w:marBottom w:val="0"/>
      <w:divBdr>
        <w:top w:val="none" w:sz="0" w:space="0" w:color="auto"/>
        <w:left w:val="none" w:sz="0" w:space="0" w:color="auto"/>
        <w:bottom w:val="none" w:sz="0" w:space="0" w:color="auto"/>
        <w:right w:val="none" w:sz="0" w:space="0" w:color="auto"/>
      </w:divBdr>
    </w:div>
    <w:div w:id="970598161">
      <w:bodyDiv w:val="1"/>
      <w:marLeft w:val="0"/>
      <w:marRight w:val="0"/>
      <w:marTop w:val="0"/>
      <w:marBottom w:val="0"/>
      <w:divBdr>
        <w:top w:val="none" w:sz="0" w:space="0" w:color="auto"/>
        <w:left w:val="none" w:sz="0" w:space="0" w:color="auto"/>
        <w:bottom w:val="none" w:sz="0" w:space="0" w:color="auto"/>
        <w:right w:val="none" w:sz="0" w:space="0" w:color="auto"/>
      </w:divBdr>
    </w:div>
    <w:div w:id="979070684">
      <w:bodyDiv w:val="1"/>
      <w:marLeft w:val="0"/>
      <w:marRight w:val="0"/>
      <w:marTop w:val="0"/>
      <w:marBottom w:val="0"/>
      <w:divBdr>
        <w:top w:val="none" w:sz="0" w:space="0" w:color="auto"/>
        <w:left w:val="none" w:sz="0" w:space="0" w:color="auto"/>
        <w:bottom w:val="none" w:sz="0" w:space="0" w:color="auto"/>
        <w:right w:val="none" w:sz="0" w:space="0" w:color="auto"/>
      </w:divBdr>
    </w:div>
    <w:div w:id="980385621">
      <w:bodyDiv w:val="1"/>
      <w:marLeft w:val="0"/>
      <w:marRight w:val="0"/>
      <w:marTop w:val="0"/>
      <w:marBottom w:val="0"/>
      <w:divBdr>
        <w:top w:val="none" w:sz="0" w:space="0" w:color="auto"/>
        <w:left w:val="none" w:sz="0" w:space="0" w:color="auto"/>
        <w:bottom w:val="none" w:sz="0" w:space="0" w:color="auto"/>
        <w:right w:val="none" w:sz="0" w:space="0" w:color="auto"/>
      </w:divBdr>
    </w:div>
    <w:div w:id="985932325">
      <w:bodyDiv w:val="1"/>
      <w:marLeft w:val="0"/>
      <w:marRight w:val="0"/>
      <w:marTop w:val="0"/>
      <w:marBottom w:val="0"/>
      <w:divBdr>
        <w:top w:val="none" w:sz="0" w:space="0" w:color="auto"/>
        <w:left w:val="none" w:sz="0" w:space="0" w:color="auto"/>
        <w:bottom w:val="none" w:sz="0" w:space="0" w:color="auto"/>
        <w:right w:val="none" w:sz="0" w:space="0" w:color="auto"/>
      </w:divBdr>
    </w:div>
    <w:div w:id="986785201">
      <w:bodyDiv w:val="1"/>
      <w:marLeft w:val="0"/>
      <w:marRight w:val="0"/>
      <w:marTop w:val="0"/>
      <w:marBottom w:val="0"/>
      <w:divBdr>
        <w:top w:val="none" w:sz="0" w:space="0" w:color="auto"/>
        <w:left w:val="none" w:sz="0" w:space="0" w:color="auto"/>
        <w:bottom w:val="none" w:sz="0" w:space="0" w:color="auto"/>
        <w:right w:val="none" w:sz="0" w:space="0" w:color="auto"/>
      </w:divBdr>
      <w:divsChild>
        <w:div w:id="1879856966">
          <w:marLeft w:val="0"/>
          <w:marRight w:val="0"/>
          <w:marTop w:val="0"/>
          <w:marBottom w:val="0"/>
          <w:divBdr>
            <w:top w:val="single" w:sz="6" w:space="0" w:color="auto"/>
            <w:left w:val="single" w:sz="6" w:space="0" w:color="auto"/>
            <w:bottom w:val="single" w:sz="6" w:space="0" w:color="auto"/>
            <w:right w:val="single" w:sz="6" w:space="0" w:color="auto"/>
          </w:divBdr>
        </w:div>
      </w:divsChild>
    </w:div>
    <w:div w:id="991369141">
      <w:bodyDiv w:val="1"/>
      <w:marLeft w:val="0"/>
      <w:marRight w:val="0"/>
      <w:marTop w:val="0"/>
      <w:marBottom w:val="0"/>
      <w:divBdr>
        <w:top w:val="none" w:sz="0" w:space="0" w:color="auto"/>
        <w:left w:val="none" w:sz="0" w:space="0" w:color="auto"/>
        <w:bottom w:val="none" w:sz="0" w:space="0" w:color="auto"/>
        <w:right w:val="none" w:sz="0" w:space="0" w:color="auto"/>
      </w:divBdr>
      <w:divsChild>
        <w:div w:id="76444958">
          <w:marLeft w:val="0"/>
          <w:marRight w:val="0"/>
          <w:marTop w:val="0"/>
          <w:marBottom w:val="0"/>
          <w:divBdr>
            <w:top w:val="single" w:sz="6" w:space="0" w:color="auto"/>
            <w:left w:val="single" w:sz="6" w:space="0" w:color="auto"/>
            <w:bottom w:val="single" w:sz="6" w:space="0" w:color="auto"/>
            <w:right w:val="single" w:sz="6" w:space="0" w:color="auto"/>
          </w:divBdr>
        </w:div>
      </w:divsChild>
    </w:div>
    <w:div w:id="994181919">
      <w:bodyDiv w:val="1"/>
      <w:marLeft w:val="0"/>
      <w:marRight w:val="0"/>
      <w:marTop w:val="0"/>
      <w:marBottom w:val="0"/>
      <w:divBdr>
        <w:top w:val="none" w:sz="0" w:space="0" w:color="auto"/>
        <w:left w:val="none" w:sz="0" w:space="0" w:color="auto"/>
        <w:bottom w:val="none" w:sz="0" w:space="0" w:color="auto"/>
        <w:right w:val="none" w:sz="0" w:space="0" w:color="auto"/>
      </w:divBdr>
    </w:div>
    <w:div w:id="996108083">
      <w:bodyDiv w:val="1"/>
      <w:marLeft w:val="0"/>
      <w:marRight w:val="0"/>
      <w:marTop w:val="0"/>
      <w:marBottom w:val="0"/>
      <w:divBdr>
        <w:top w:val="none" w:sz="0" w:space="0" w:color="auto"/>
        <w:left w:val="none" w:sz="0" w:space="0" w:color="auto"/>
        <w:bottom w:val="none" w:sz="0" w:space="0" w:color="auto"/>
        <w:right w:val="none" w:sz="0" w:space="0" w:color="auto"/>
      </w:divBdr>
      <w:divsChild>
        <w:div w:id="474877792">
          <w:marLeft w:val="0"/>
          <w:marRight w:val="0"/>
          <w:marTop w:val="0"/>
          <w:marBottom w:val="0"/>
          <w:divBdr>
            <w:top w:val="single" w:sz="6" w:space="0" w:color="auto"/>
            <w:left w:val="single" w:sz="6" w:space="0" w:color="auto"/>
            <w:bottom w:val="single" w:sz="6" w:space="0" w:color="auto"/>
            <w:right w:val="single" w:sz="6" w:space="0" w:color="auto"/>
          </w:divBdr>
        </w:div>
      </w:divsChild>
    </w:div>
    <w:div w:id="999506779">
      <w:bodyDiv w:val="1"/>
      <w:marLeft w:val="0"/>
      <w:marRight w:val="0"/>
      <w:marTop w:val="0"/>
      <w:marBottom w:val="0"/>
      <w:divBdr>
        <w:top w:val="none" w:sz="0" w:space="0" w:color="auto"/>
        <w:left w:val="none" w:sz="0" w:space="0" w:color="auto"/>
        <w:bottom w:val="none" w:sz="0" w:space="0" w:color="auto"/>
        <w:right w:val="none" w:sz="0" w:space="0" w:color="auto"/>
      </w:divBdr>
    </w:div>
    <w:div w:id="999694712">
      <w:bodyDiv w:val="1"/>
      <w:marLeft w:val="0"/>
      <w:marRight w:val="0"/>
      <w:marTop w:val="0"/>
      <w:marBottom w:val="0"/>
      <w:divBdr>
        <w:top w:val="none" w:sz="0" w:space="0" w:color="auto"/>
        <w:left w:val="none" w:sz="0" w:space="0" w:color="auto"/>
        <w:bottom w:val="none" w:sz="0" w:space="0" w:color="auto"/>
        <w:right w:val="none" w:sz="0" w:space="0" w:color="auto"/>
      </w:divBdr>
    </w:div>
    <w:div w:id="1010765275">
      <w:bodyDiv w:val="1"/>
      <w:marLeft w:val="0"/>
      <w:marRight w:val="0"/>
      <w:marTop w:val="0"/>
      <w:marBottom w:val="0"/>
      <w:divBdr>
        <w:top w:val="none" w:sz="0" w:space="0" w:color="auto"/>
        <w:left w:val="none" w:sz="0" w:space="0" w:color="auto"/>
        <w:bottom w:val="none" w:sz="0" w:space="0" w:color="auto"/>
        <w:right w:val="none" w:sz="0" w:space="0" w:color="auto"/>
      </w:divBdr>
    </w:div>
    <w:div w:id="1011226942">
      <w:bodyDiv w:val="1"/>
      <w:marLeft w:val="0"/>
      <w:marRight w:val="0"/>
      <w:marTop w:val="0"/>
      <w:marBottom w:val="0"/>
      <w:divBdr>
        <w:top w:val="none" w:sz="0" w:space="0" w:color="auto"/>
        <w:left w:val="none" w:sz="0" w:space="0" w:color="auto"/>
        <w:bottom w:val="none" w:sz="0" w:space="0" w:color="auto"/>
        <w:right w:val="none" w:sz="0" w:space="0" w:color="auto"/>
      </w:divBdr>
    </w:div>
    <w:div w:id="1017848361">
      <w:bodyDiv w:val="1"/>
      <w:marLeft w:val="0"/>
      <w:marRight w:val="0"/>
      <w:marTop w:val="0"/>
      <w:marBottom w:val="0"/>
      <w:divBdr>
        <w:top w:val="none" w:sz="0" w:space="0" w:color="auto"/>
        <w:left w:val="none" w:sz="0" w:space="0" w:color="auto"/>
        <w:bottom w:val="none" w:sz="0" w:space="0" w:color="auto"/>
        <w:right w:val="none" w:sz="0" w:space="0" w:color="auto"/>
      </w:divBdr>
      <w:divsChild>
        <w:div w:id="820848285">
          <w:marLeft w:val="0"/>
          <w:marRight w:val="0"/>
          <w:marTop w:val="0"/>
          <w:marBottom w:val="0"/>
          <w:divBdr>
            <w:top w:val="single" w:sz="6" w:space="0" w:color="auto"/>
            <w:left w:val="single" w:sz="6" w:space="0" w:color="auto"/>
            <w:bottom w:val="single" w:sz="6" w:space="0" w:color="auto"/>
            <w:right w:val="single" w:sz="6" w:space="0" w:color="auto"/>
          </w:divBdr>
        </w:div>
      </w:divsChild>
    </w:div>
    <w:div w:id="1053967565">
      <w:bodyDiv w:val="1"/>
      <w:marLeft w:val="0"/>
      <w:marRight w:val="0"/>
      <w:marTop w:val="0"/>
      <w:marBottom w:val="0"/>
      <w:divBdr>
        <w:top w:val="none" w:sz="0" w:space="0" w:color="auto"/>
        <w:left w:val="none" w:sz="0" w:space="0" w:color="auto"/>
        <w:bottom w:val="none" w:sz="0" w:space="0" w:color="auto"/>
        <w:right w:val="none" w:sz="0" w:space="0" w:color="auto"/>
      </w:divBdr>
    </w:div>
    <w:div w:id="1061169819">
      <w:bodyDiv w:val="1"/>
      <w:marLeft w:val="0"/>
      <w:marRight w:val="0"/>
      <w:marTop w:val="0"/>
      <w:marBottom w:val="0"/>
      <w:divBdr>
        <w:top w:val="none" w:sz="0" w:space="0" w:color="auto"/>
        <w:left w:val="none" w:sz="0" w:space="0" w:color="auto"/>
        <w:bottom w:val="none" w:sz="0" w:space="0" w:color="auto"/>
        <w:right w:val="none" w:sz="0" w:space="0" w:color="auto"/>
      </w:divBdr>
    </w:div>
    <w:div w:id="1064991618">
      <w:bodyDiv w:val="1"/>
      <w:marLeft w:val="0"/>
      <w:marRight w:val="0"/>
      <w:marTop w:val="0"/>
      <w:marBottom w:val="0"/>
      <w:divBdr>
        <w:top w:val="none" w:sz="0" w:space="0" w:color="auto"/>
        <w:left w:val="none" w:sz="0" w:space="0" w:color="auto"/>
        <w:bottom w:val="none" w:sz="0" w:space="0" w:color="auto"/>
        <w:right w:val="none" w:sz="0" w:space="0" w:color="auto"/>
      </w:divBdr>
    </w:div>
    <w:div w:id="1065373509">
      <w:bodyDiv w:val="1"/>
      <w:marLeft w:val="0"/>
      <w:marRight w:val="0"/>
      <w:marTop w:val="0"/>
      <w:marBottom w:val="0"/>
      <w:divBdr>
        <w:top w:val="none" w:sz="0" w:space="0" w:color="auto"/>
        <w:left w:val="none" w:sz="0" w:space="0" w:color="auto"/>
        <w:bottom w:val="none" w:sz="0" w:space="0" w:color="auto"/>
        <w:right w:val="none" w:sz="0" w:space="0" w:color="auto"/>
      </w:divBdr>
      <w:divsChild>
        <w:div w:id="1184442687">
          <w:marLeft w:val="0"/>
          <w:marRight w:val="0"/>
          <w:marTop w:val="0"/>
          <w:marBottom w:val="0"/>
          <w:divBdr>
            <w:top w:val="single" w:sz="6" w:space="0" w:color="auto"/>
            <w:left w:val="single" w:sz="6" w:space="0" w:color="auto"/>
            <w:bottom w:val="single" w:sz="6" w:space="0" w:color="auto"/>
            <w:right w:val="single" w:sz="6" w:space="0" w:color="auto"/>
          </w:divBdr>
        </w:div>
      </w:divsChild>
    </w:div>
    <w:div w:id="1071587395">
      <w:bodyDiv w:val="1"/>
      <w:marLeft w:val="0"/>
      <w:marRight w:val="0"/>
      <w:marTop w:val="0"/>
      <w:marBottom w:val="0"/>
      <w:divBdr>
        <w:top w:val="none" w:sz="0" w:space="0" w:color="auto"/>
        <w:left w:val="none" w:sz="0" w:space="0" w:color="auto"/>
        <w:bottom w:val="none" w:sz="0" w:space="0" w:color="auto"/>
        <w:right w:val="none" w:sz="0" w:space="0" w:color="auto"/>
      </w:divBdr>
      <w:divsChild>
        <w:div w:id="2130662481">
          <w:marLeft w:val="0"/>
          <w:marRight w:val="0"/>
          <w:marTop w:val="0"/>
          <w:marBottom w:val="0"/>
          <w:divBdr>
            <w:top w:val="single" w:sz="6" w:space="0" w:color="auto"/>
            <w:left w:val="single" w:sz="6" w:space="0" w:color="auto"/>
            <w:bottom w:val="single" w:sz="6" w:space="0" w:color="auto"/>
            <w:right w:val="single" w:sz="6" w:space="0" w:color="auto"/>
          </w:divBdr>
        </w:div>
      </w:divsChild>
    </w:div>
    <w:div w:id="1078526508">
      <w:bodyDiv w:val="1"/>
      <w:marLeft w:val="0"/>
      <w:marRight w:val="0"/>
      <w:marTop w:val="0"/>
      <w:marBottom w:val="0"/>
      <w:divBdr>
        <w:top w:val="none" w:sz="0" w:space="0" w:color="auto"/>
        <w:left w:val="none" w:sz="0" w:space="0" w:color="auto"/>
        <w:bottom w:val="none" w:sz="0" w:space="0" w:color="auto"/>
        <w:right w:val="none" w:sz="0" w:space="0" w:color="auto"/>
      </w:divBdr>
    </w:div>
    <w:div w:id="1083916841">
      <w:bodyDiv w:val="1"/>
      <w:marLeft w:val="0"/>
      <w:marRight w:val="0"/>
      <w:marTop w:val="0"/>
      <w:marBottom w:val="0"/>
      <w:divBdr>
        <w:top w:val="none" w:sz="0" w:space="0" w:color="auto"/>
        <w:left w:val="none" w:sz="0" w:space="0" w:color="auto"/>
        <w:bottom w:val="none" w:sz="0" w:space="0" w:color="auto"/>
        <w:right w:val="none" w:sz="0" w:space="0" w:color="auto"/>
      </w:divBdr>
    </w:div>
    <w:div w:id="1088888272">
      <w:bodyDiv w:val="1"/>
      <w:marLeft w:val="0"/>
      <w:marRight w:val="0"/>
      <w:marTop w:val="0"/>
      <w:marBottom w:val="0"/>
      <w:divBdr>
        <w:top w:val="none" w:sz="0" w:space="0" w:color="auto"/>
        <w:left w:val="none" w:sz="0" w:space="0" w:color="auto"/>
        <w:bottom w:val="none" w:sz="0" w:space="0" w:color="auto"/>
        <w:right w:val="none" w:sz="0" w:space="0" w:color="auto"/>
      </w:divBdr>
    </w:div>
    <w:div w:id="1095370846">
      <w:bodyDiv w:val="1"/>
      <w:marLeft w:val="0"/>
      <w:marRight w:val="0"/>
      <w:marTop w:val="0"/>
      <w:marBottom w:val="0"/>
      <w:divBdr>
        <w:top w:val="none" w:sz="0" w:space="0" w:color="auto"/>
        <w:left w:val="none" w:sz="0" w:space="0" w:color="auto"/>
        <w:bottom w:val="none" w:sz="0" w:space="0" w:color="auto"/>
        <w:right w:val="none" w:sz="0" w:space="0" w:color="auto"/>
      </w:divBdr>
    </w:div>
    <w:div w:id="1120413642">
      <w:bodyDiv w:val="1"/>
      <w:marLeft w:val="0"/>
      <w:marRight w:val="0"/>
      <w:marTop w:val="0"/>
      <w:marBottom w:val="0"/>
      <w:divBdr>
        <w:top w:val="none" w:sz="0" w:space="0" w:color="auto"/>
        <w:left w:val="none" w:sz="0" w:space="0" w:color="auto"/>
        <w:bottom w:val="none" w:sz="0" w:space="0" w:color="auto"/>
        <w:right w:val="none" w:sz="0" w:space="0" w:color="auto"/>
      </w:divBdr>
      <w:divsChild>
        <w:div w:id="1049379269">
          <w:marLeft w:val="0"/>
          <w:marRight w:val="0"/>
          <w:marTop w:val="0"/>
          <w:marBottom w:val="0"/>
          <w:divBdr>
            <w:top w:val="single" w:sz="6" w:space="0" w:color="auto"/>
            <w:left w:val="single" w:sz="6" w:space="0" w:color="auto"/>
            <w:bottom w:val="single" w:sz="6" w:space="0" w:color="auto"/>
            <w:right w:val="single" w:sz="6" w:space="0" w:color="auto"/>
          </w:divBdr>
        </w:div>
      </w:divsChild>
    </w:div>
    <w:div w:id="1130366430">
      <w:bodyDiv w:val="1"/>
      <w:marLeft w:val="0"/>
      <w:marRight w:val="0"/>
      <w:marTop w:val="0"/>
      <w:marBottom w:val="0"/>
      <w:divBdr>
        <w:top w:val="none" w:sz="0" w:space="0" w:color="auto"/>
        <w:left w:val="none" w:sz="0" w:space="0" w:color="auto"/>
        <w:bottom w:val="none" w:sz="0" w:space="0" w:color="auto"/>
        <w:right w:val="none" w:sz="0" w:space="0" w:color="auto"/>
      </w:divBdr>
    </w:div>
    <w:div w:id="1137530499">
      <w:bodyDiv w:val="1"/>
      <w:marLeft w:val="0"/>
      <w:marRight w:val="0"/>
      <w:marTop w:val="0"/>
      <w:marBottom w:val="0"/>
      <w:divBdr>
        <w:top w:val="none" w:sz="0" w:space="0" w:color="auto"/>
        <w:left w:val="none" w:sz="0" w:space="0" w:color="auto"/>
        <w:bottom w:val="none" w:sz="0" w:space="0" w:color="auto"/>
        <w:right w:val="none" w:sz="0" w:space="0" w:color="auto"/>
      </w:divBdr>
    </w:div>
    <w:div w:id="1138649477">
      <w:bodyDiv w:val="1"/>
      <w:marLeft w:val="0"/>
      <w:marRight w:val="0"/>
      <w:marTop w:val="0"/>
      <w:marBottom w:val="0"/>
      <w:divBdr>
        <w:top w:val="none" w:sz="0" w:space="0" w:color="auto"/>
        <w:left w:val="none" w:sz="0" w:space="0" w:color="auto"/>
        <w:bottom w:val="none" w:sz="0" w:space="0" w:color="auto"/>
        <w:right w:val="none" w:sz="0" w:space="0" w:color="auto"/>
      </w:divBdr>
    </w:div>
    <w:div w:id="1140422794">
      <w:bodyDiv w:val="1"/>
      <w:marLeft w:val="0"/>
      <w:marRight w:val="0"/>
      <w:marTop w:val="0"/>
      <w:marBottom w:val="0"/>
      <w:divBdr>
        <w:top w:val="none" w:sz="0" w:space="0" w:color="auto"/>
        <w:left w:val="none" w:sz="0" w:space="0" w:color="auto"/>
        <w:bottom w:val="none" w:sz="0" w:space="0" w:color="auto"/>
        <w:right w:val="none" w:sz="0" w:space="0" w:color="auto"/>
      </w:divBdr>
    </w:div>
    <w:div w:id="1141381421">
      <w:bodyDiv w:val="1"/>
      <w:marLeft w:val="0"/>
      <w:marRight w:val="0"/>
      <w:marTop w:val="0"/>
      <w:marBottom w:val="0"/>
      <w:divBdr>
        <w:top w:val="none" w:sz="0" w:space="0" w:color="auto"/>
        <w:left w:val="none" w:sz="0" w:space="0" w:color="auto"/>
        <w:bottom w:val="none" w:sz="0" w:space="0" w:color="auto"/>
        <w:right w:val="none" w:sz="0" w:space="0" w:color="auto"/>
      </w:divBdr>
    </w:div>
    <w:div w:id="1157766416">
      <w:bodyDiv w:val="1"/>
      <w:marLeft w:val="0"/>
      <w:marRight w:val="0"/>
      <w:marTop w:val="0"/>
      <w:marBottom w:val="0"/>
      <w:divBdr>
        <w:top w:val="none" w:sz="0" w:space="0" w:color="auto"/>
        <w:left w:val="none" w:sz="0" w:space="0" w:color="auto"/>
        <w:bottom w:val="none" w:sz="0" w:space="0" w:color="auto"/>
        <w:right w:val="none" w:sz="0" w:space="0" w:color="auto"/>
      </w:divBdr>
    </w:div>
    <w:div w:id="1174956043">
      <w:bodyDiv w:val="1"/>
      <w:marLeft w:val="0"/>
      <w:marRight w:val="0"/>
      <w:marTop w:val="0"/>
      <w:marBottom w:val="0"/>
      <w:divBdr>
        <w:top w:val="none" w:sz="0" w:space="0" w:color="auto"/>
        <w:left w:val="none" w:sz="0" w:space="0" w:color="auto"/>
        <w:bottom w:val="none" w:sz="0" w:space="0" w:color="auto"/>
        <w:right w:val="none" w:sz="0" w:space="0" w:color="auto"/>
      </w:divBdr>
    </w:div>
    <w:div w:id="1184829648">
      <w:bodyDiv w:val="1"/>
      <w:marLeft w:val="0"/>
      <w:marRight w:val="0"/>
      <w:marTop w:val="0"/>
      <w:marBottom w:val="0"/>
      <w:divBdr>
        <w:top w:val="none" w:sz="0" w:space="0" w:color="auto"/>
        <w:left w:val="none" w:sz="0" w:space="0" w:color="auto"/>
        <w:bottom w:val="none" w:sz="0" w:space="0" w:color="auto"/>
        <w:right w:val="none" w:sz="0" w:space="0" w:color="auto"/>
      </w:divBdr>
    </w:div>
    <w:div w:id="1188105172">
      <w:bodyDiv w:val="1"/>
      <w:marLeft w:val="0"/>
      <w:marRight w:val="0"/>
      <w:marTop w:val="0"/>
      <w:marBottom w:val="0"/>
      <w:divBdr>
        <w:top w:val="none" w:sz="0" w:space="0" w:color="auto"/>
        <w:left w:val="none" w:sz="0" w:space="0" w:color="auto"/>
        <w:bottom w:val="none" w:sz="0" w:space="0" w:color="auto"/>
        <w:right w:val="none" w:sz="0" w:space="0" w:color="auto"/>
      </w:divBdr>
    </w:div>
    <w:div w:id="1199464891">
      <w:bodyDiv w:val="1"/>
      <w:marLeft w:val="0"/>
      <w:marRight w:val="0"/>
      <w:marTop w:val="0"/>
      <w:marBottom w:val="0"/>
      <w:divBdr>
        <w:top w:val="none" w:sz="0" w:space="0" w:color="auto"/>
        <w:left w:val="none" w:sz="0" w:space="0" w:color="auto"/>
        <w:bottom w:val="none" w:sz="0" w:space="0" w:color="auto"/>
        <w:right w:val="none" w:sz="0" w:space="0" w:color="auto"/>
      </w:divBdr>
      <w:divsChild>
        <w:div w:id="2144231337">
          <w:marLeft w:val="0"/>
          <w:marRight w:val="0"/>
          <w:marTop w:val="0"/>
          <w:marBottom w:val="0"/>
          <w:divBdr>
            <w:top w:val="single" w:sz="6" w:space="0" w:color="auto"/>
            <w:left w:val="single" w:sz="6" w:space="0" w:color="auto"/>
            <w:bottom w:val="single" w:sz="6" w:space="0" w:color="auto"/>
            <w:right w:val="single" w:sz="6" w:space="0" w:color="auto"/>
          </w:divBdr>
        </w:div>
      </w:divsChild>
    </w:div>
    <w:div w:id="1203207394">
      <w:bodyDiv w:val="1"/>
      <w:marLeft w:val="0"/>
      <w:marRight w:val="0"/>
      <w:marTop w:val="0"/>
      <w:marBottom w:val="0"/>
      <w:divBdr>
        <w:top w:val="none" w:sz="0" w:space="0" w:color="auto"/>
        <w:left w:val="none" w:sz="0" w:space="0" w:color="auto"/>
        <w:bottom w:val="none" w:sz="0" w:space="0" w:color="auto"/>
        <w:right w:val="none" w:sz="0" w:space="0" w:color="auto"/>
      </w:divBdr>
      <w:divsChild>
        <w:div w:id="1501965987">
          <w:marLeft w:val="0"/>
          <w:marRight w:val="0"/>
          <w:marTop w:val="0"/>
          <w:marBottom w:val="0"/>
          <w:divBdr>
            <w:top w:val="single" w:sz="6" w:space="0" w:color="auto"/>
            <w:left w:val="single" w:sz="6" w:space="0" w:color="auto"/>
            <w:bottom w:val="single" w:sz="6" w:space="0" w:color="auto"/>
            <w:right w:val="single" w:sz="6" w:space="0" w:color="auto"/>
          </w:divBdr>
        </w:div>
      </w:divsChild>
    </w:div>
    <w:div w:id="1213299915">
      <w:bodyDiv w:val="1"/>
      <w:marLeft w:val="0"/>
      <w:marRight w:val="0"/>
      <w:marTop w:val="0"/>
      <w:marBottom w:val="0"/>
      <w:divBdr>
        <w:top w:val="none" w:sz="0" w:space="0" w:color="auto"/>
        <w:left w:val="none" w:sz="0" w:space="0" w:color="auto"/>
        <w:bottom w:val="none" w:sz="0" w:space="0" w:color="auto"/>
        <w:right w:val="none" w:sz="0" w:space="0" w:color="auto"/>
      </w:divBdr>
    </w:div>
    <w:div w:id="1214930375">
      <w:bodyDiv w:val="1"/>
      <w:marLeft w:val="0"/>
      <w:marRight w:val="0"/>
      <w:marTop w:val="0"/>
      <w:marBottom w:val="0"/>
      <w:divBdr>
        <w:top w:val="none" w:sz="0" w:space="0" w:color="auto"/>
        <w:left w:val="none" w:sz="0" w:space="0" w:color="auto"/>
        <w:bottom w:val="none" w:sz="0" w:space="0" w:color="auto"/>
        <w:right w:val="none" w:sz="0" w:space="0" w:color="auto"/>
      </w:divBdr>
    </w:div>
    <w:div w:id="1216505173">
      <w:bodyDiv w:val="1"/>
      <w:marLeft w:val="0"/>
      <w:marRight w:val="0"/>
      <w:marTop w:val="0"/>
      <w:marBottom w:val="0"/>
      <w:divBdr>
        <w:top w:val="none" w:sz="0" w:space="0" w:color="auto"/>
        <w:left w:val="none" w:sz="0" w:space="0" w:color="auto"/>
        <w:bottom w:val="none" w:sz="0" w:space="0" w:color="auto"/>
        <w:right w:val="none" w:sz="0" w:space="0" w:color="auto"/>
      </w:divBdr>
    </w:div>
    <w:div w:id="1233735755">
      <w:bodyDiv w:val="1"/>
      <w:marLeft w:val="0"/>
      <w:marRight w:val="0"/>
      <w:marTop w:val="0"/>
      <w:marBottom w:val="0"/>
      <w:divBdr>
        <w:top w:val="none" w:sz="0" w:space="0" w:color="auto"/>
        <w:left w:val="none" w:sz="0" w:space="0" w:color="auto"/>
        <w:bottom w:val="none" w:sz="0" w:space="0" w:color="auto"/>
        <w:right w:val="none" w:sz="0" w:space="0" w:color="auto"/>
      </w:divBdr>
    </w:div>
    <w:div w:id="1236278681">
      <w:bodyDiv w:val="1"/>
      <w:marLeft w:val="0"/>
      <w:marRight w:val="0"/>
      <w:marTop w:val="0"/>
      <w:marBottom w:val="0"/>
      <w:divBdr>
        <w:top w:val="none" w:sz="0" w:space="0" w:color="auto"/>
        <w:left w:val="none" w:sz="0" w:space="0" w:color="auto"/>
        <w:bottom w:val="none" w:sz="0" w:space="0" w:color="auto"/>
        <w:right w:val="none" w:sz="0" w:space="0" w:color="auto"/>
      </w:divBdr>
      <w:divsChild>
        <w:div w:id="1600943561">
          <w:marLeft w:val="0"/>
          <w:marRight w:val="0"/>
          <w:marTop w:val="0"/>
          <w:marBottom w:val="0"/>
          <w:divBdr>
            <w:top w:val="single" w:sz="6" w:space="0" w:color="auto"/>
            <w:left w:val="single" w:sz="6" w:space="0" w:color="auto"/>
            <w:bottom w:val="single" w:sz="6" w:space="0" w:color="auto"/>
            <w:right w:val="single" w:sz="6" w:space="0" w:color="auto"/>
          </w:divBdr>
        </w:div>
      </w:divsChild>
    </w:div>
    <w:div w:id="1266116247">
      <w:bodyDiv w:val="1"/>
      <w:marLeft w:val="0"/>
      <w:marRight w:val="0"/>
      <w:marTop w:val="0"/>
      <w:marBottom w:val="0"/>
      <w:divBdr>
        <w:top w:val="none" w:sz="0" w:space="0" w:color="auto"/>
        <w:left w:val="none" w:sz="0" w:space="0" w:color="auto"/>
        <w:bottom w:val="none" w:sz="0" w:space="0" w:color="auto"/>
        <w:right w:val="none" w:sz="0" w:space="0" w:color="auto"/>
      </w:divBdr>
    </w:div>
    <w:div w:id="1277129803">
      <w:bodyDiv w:val="1"/>
      <w:marLeft w:val="0"/>
      <w:marRight w:val="0"/>
      <w:marTop w:val="0"/>
      <w:marBottom w:val="0"/>
      <w:divBdr>
        <w:top w:val="none" w:sz="0" w:space="0" w:color="auto"/>
        <w:left w:val="none" w:sz="0" w:space="0" w:color="auto"/>
        <w:bottom w:val="none" w:sz="0" w:space="0" w:color="auto"/>
        <w:right w:val="none" w:sz="0" w:space="0" w:color="auto"/>
      </w:divBdr>
    </w:div>
    <w:div w:id="1282373839">
      <w:bodyDiv w:val="1"/>
      <w:marLeft w:val="0"/>
      <w:marRight w:val="0"/>
      <w:marTop w:val="0"/>
      <w:marBottom w:val="0"/>
      <w:divBdr>
        <w:top w:val="none" w:sz="0" w:space="0" w:color="auto"/>
        <w:left w:val="none" w:sz="0" w:space="0" w:color="auto"/>
        <w:bottom w:val="none" w:sz="0" w:space="0" w:color="auto"/>
        <w:right w:val="none" w:sz="0" w:space="0" w:color="auto"/>
      </w:divBdr>
    </w:div>
    <w:div w:id="1284073955">
      <w:bodyDiv w:val="1"/>
      <w:marLeft w:val="0"/>
      <w:marRight w:val="0"/>
      <w:marTop w:val="0"/>
      <w:marBottom w:val="0"/>
      <w:divBdr>
        <w:top w:val="none" w:sz="0" w:space="0" w:color="auto"/>
        <w:left w:val="none" w:sz="0" w:space="0" w:color="auto"/>
        <w:bottom w:val="none" w:sz="0" w:space="0" w:color="auto"/>
        <w:right w:val="none" w:sz="0" w:space="0" w:color="auto"/>
      </w:divBdr>
      <w:divsChild>
        <w:div w:id="320742180">
          <w:marLeft w:val="0"/>
          <w:marRight w:val="0"/>
          <w:marTop w:val="0"/>
          <w:marBottom w:val="0"/>
          <w:divBdr>
            <w:top w:val="single" w:sz="6" w:space="0" w:color="auto"/>
            <w:left w:val="single" w:sz="6" w:space="0" w:color="auto"/>
            <w:bottom w:val="single" w:sz="6" w:space="0" w:color="auto"/>
            <w:right w:val="single" w:sz="6" w:space="0" w:color="auto"/>
          </w:divBdr>
        </w:div>
      </w:divsChild>
    </w:div>
    <w:div w:id="1285427805">
      <w:bodyDiv w:val="1"/>
      <w:marLeft w:val="0"/>
      <w:marRight w:val="0"/>
      <w:marTop w:val="0"/>
      <w:marBottom w:val="0"/>
      <w:divBdr>
        <w:top w:val="none" w:sz="0" w:space="0" w:color="auto"/>
        <w:left w:val="none" w:sz="0" w:space="0" w:color="auto"/>
        <w:bottom w:val="none" w:sz="0" w:space="0" w:color="auto"/>
        <w:right w:val="none" w:sz="0" w:space="0" w:color="auto"/>
      </w:divBdr>
    </w:div>
    <w:div w:id="1289627619">
      <w:bodyDiv w:val="1"/>
      <w:marLeft w:val="0"/>
      <w:marRight w:val="0"/>
      <w:marTop w:val="0"/>
      <w:marBottom w:val="0"/>
      <w:divBdr>
        <w:top w:val="none" w:sz="0" w:space="0" w:color="auto"/>
        <w:left w:val="none" w:sz="0" w:space="0" w:color="auto"/>
        <w:bottom w:val="none" w:sz="0" w:space="0" w:color="auto"/>
        <w:right w:val="none" w:sz="0" w:space="0" w:color="auto"/>
      </w:divBdr>
    </w:div>
    <w:div w:id="1295410427">
      <w:bodyDiv w:val="1"/>
      <w:marLeft w:val="0"/>
      <w:marRight w:val="0"/>
      <w:marTop w:val="0"/>
      <w:marBottom w:val="0"/>
      <w:divBdr>
        <w:top w:val="none" w:sz="0" w:space="0" w:color="auto"/>
        <w:left w:val="none" w:sz="0" w:space="0" w:color="auto"/>
        <w:bottom w:val="none" w:sz="0" w:space="0" w:color="auto"/>
        <w:right w:val="none" w:sz="0" w:space="0" w:color="auto"/>
      </w:divBdr>
    </w:div>
    <w:div w:id="1311591853">
      <w:bodyDiv w:val="1"/>
      <w:marLeft w:val="0"/>
      <w:marRight w:val="0"/>
      <w:marTop w:val="0"/>
      <w:marBottom w:val="0"/>
      <w:divBdr>
        <w:top w:val="none" w:sz="0" w:space="0" w:color="auto"/>
        <w:left w:val="none" w:sz="0" w:space="0" w:color="auto"/>
        <w:bottom w:val="none" w:sz="0" w:space="0" w:color="auto"/>
        <w:right w:val="none" w:sz="0" w:space="0" w:color="auto"/>
      </w:divBdr>
    </w:div>
    <w:div w:id="1314530900">
      <w:bodyDiv w:val="1"/>
      <w:marLeft w:val="0"/>
      <w:marRight w:val="0"/>
      <w:marTop w:val="0"/>
      <w:marBottom w:val="0"/>
      <w:divBdr>
        <w:top w:val="none" w:sz="0" w:space="0" w:color="auto"/>
        <w:left w:val="none" w:sz="0" w:space="0" w:color="auto"/>
        <w:bottom w:val="none" w:sz="0" w:space="0" w:color="auto"/>
        <w:right w:val="none" w:sz="0" w:space="0" w:color="auto"/>
      </w:divBdr>
    </w:div>
    <w:div w:id="1337541950">
      <w:bodyDiv w:val="1"/>
      <w:marLeft w:val="0"/>
      <w:marRight w:val="0"/>
      <w:marTop w:val="0"/>
      <w:marBottom w:val="0"/>
      <w:divBdr>
        <w:top w:val="none" w:sz="0" w:space="0" w:color="auto"/>
        <w:left w:val="none" w:sz="0" w:space="0" w:color="auto"/>
        <w:bottom w:val="none" w:sz="0" w:space="0" w:color="auto"/>
        <w:right w:val="none" w:sz="0" w:space="0" w:color="auto"/>
      </w:divBdr>
    </w:div>
    <w:div w:id="1347173477">
      <w:bodyDiv w:val="1"/>
      <w:marLeft w:val="0"/>
      <w:marRight w:val="0"/>
      <w:marTop w:val="0"/>
      <w:marBottom w:val="0"/>
      <w:divBdr>
        <w:top w:val="none" w:sz="0" w:space="0" w:color="auto"/>
        <w:left w:val="none" w:sz="0" w:space="0" w:color="auto"/>
        <w:bottom w:val="none" w:sz="0" w:space="0" w:color="auto"/>
        <w:right w:val="none" w:sz="0" w:space="0" w:color="auto"/>
      </w:divBdr>
    </w:div>
    <w:div w:id="1361123344">
      <w:bodyDiv w:val="1"/>
      <w:marLeft w:val="0"/>
      <w:marRight w:val="0"/>
      <w:marTop w:val="0"/>
      <w:marBottom w:val="0"/>
      <w:divBdr>
        <w:top w:val="none" w:sz="0" w:space="0" w:color="auto"/>
        <w:left w:val="none" w:sz="0" w:space="0" w:color="auto"/>
        <w:bottom w:val="none" w:sz="0" w:space="0" w:color="auto"/>
        <w:right w:val="none" w:sz="0" w:space="0" w:color="auto"/>
      </w:divBdr>
    </w:div>
    <w:div w:id="1369334526">
      <w:bodyDiv w:val="1"/>
      <w:marLeft w:val="0"/>
      <w:marRight w:val="0"/>
      <w:marTop w:val="0"/>
      <w:marBottom w:val="0"/>
      <w:divBdr>
        <w:top w:val="none" w:sz="0" w:space="0" w:color="auto"/>
        <w:left w:val="none" w:sz="0" w:space="0" w:color="auto"/>
        <w:bottom w:val="none" w:sz="0" w:space="0" w:color="auto"/>
        <w:right w:val="none" w:sz="0" w:space="0" w:color="auto"/>
      </w:divBdr>
      <w:divsChild>
        <w:div w:id="153843078">
          <w:marLeft w:val="0"/>
          <w:marRight w:val="0"/>
          <w:marTop w:val="0"/>
          <w:marBottom w:val="0"/>
          <w:divBdr>
            <w:top w:val="single" w:sz="6" w:space="0" w:color="auto"/>
            <w:left w:val="single" w:sz="6" w:space="0" w:color="auto"/>
            <w:bottom w:val="single" w:sz="6" w:space="0" w:color="auto"/>
            <w:right w:val="single" w:sz="6" w:space="0" w:color="auto"/>
          </w:divBdr>
        </w:div>
      </w:divsChild>
    </w:div>
    <w:div w:id="1377123884">
      <w:bodyDiv w:val="1"/>
      <w:marLeft w:val="0"/>
      <w:marRight w:val="0"/>
      <w:marTop w:val="0"/>
      <w:marBottom w:val="0"/>
      <w:divBdr>
        <w:top w:val="none" w:sz="0" w:space="0" w:color="auto"/>
        <w:left w:val="none" w:sz="0" w:space="0" w:color="auto"/>
        <w:bottom w:val="none" w:sz="0" w:space="0" w:color="auto"/>
        <w:right w:val="none" w:sz="0" w:space="0" w:color="auto"/>
      </w:divBdr>
    </w:div>
    <w:div w:id="1382555875">
      <w:bodyDiv w:val="1"/>
      <w:marLeft w:val="0"/>
      <w:marRight w:val="0"/>
      <w:marTop w:val="0"/>
      <w:marBottom w:val="0"/>
      <w:divBdr>
        <w:top w:val="none" w:sz="0" w:space="0" w:color="auto"/>
        <w:left w:val="none" w:sz="0" w:space="0" w:color="auto"/>
        <w:bottom w:val="none" w:sz="0" w:space="0" w:color="auto"/>
        <w:right w:val="none" w:sz="0" w:space="0" w:color="auto"/>
      </w:divBdr>
      <w:divsChild>
        <w:div w:id="680623675">
          <w:marLeft w:val="0"/>
          <w:marRight w:val="0"/>
          <w:marTop w:val="0"/>
          <w:marBottom w:val="0"/>
          <w:divBdr>
            <w:top w:val="single" w:sz="6" w:space="0" w:color="auto"/>
            <w:left w:val="single" w:sz="6" w:space="0" w:color="auto"/>
            <w:bottom w:val="single" w:sz="6" w:space="0" w:color="auto"/>
            <w:right w:val="single" w:sz="6" w:space="0" w:color="auto"/>
          </w:divBdr>
        </w:div>
      </w:divsChild>
    </w:div>
    <w:div w:id="1384063665">
      <w:bodyDiv w:val="1"/>
      <w:marLeft w:val="0"/>
      <w:marRight w:val="0"/>
      <w:marTop w:val="0"/>
      <w:marBottom w:val="0"/>
      <w:divBdr>
        <w:top w:val="none" w:sz="0" w:space="0" w:color="auto"/>
        <w:left w:val="none" w:sz="0" w:space="0" w:color="auto"/>
        <w:bottom w:val="none" w:sz="0" w:space="0" w:color="auto"/>
        <w:right w:val="none" w:sz="0" w:space="0" w:color="auto"/>
      </w:divBdr>
    </w:div>
    <w:div w:id="1388072263">
      <w:bodyDiv w:val="1"/>
      <w:marLeft w:val="0"/>
      <w:marRight w:val="0"/>
      <w:marTop w:val="0"/>
      <w:marBottom w:val="0"/>
      <w:divBdr>
        <w:top w:val="none" w:sz="0" w:space="0" w:color="auto"/>
        <w:left w:val="none" w:sz="0" w:space="0" w:color="auto"/>
        <w:bottom w:val="none" w:sz="0" w:space="0" w:color="auto"/>
        <w:right w:val="none" w:sz="0" w:space="0" w:color="auto"/>
      </w:divBdr>
    </w:div>
    <w:div w:id="1392578544">
      <w:bodyDiv w:val="1"/>
      <w:marLeft w:val="0"/>
      <w:marRight w:val="0"/>
      <w:marTop w:val="0"/>
      <w:marBottom w:val="0"/>
      <w:divBdr>
        <w:top w:val="none" w:sz="0" w:space="0" w:color="auto"/>
        <w:left w:val="none" w:sz="0" w:space="0" w:color="auto"/>
        <w:bottom w:val="none" w:sz="0" w:space="0" w:color="auto"/>
        <w:right w:val="none" w:sz="0" w:space="0" w:color="auto"/>
      </w:divBdr>
    </w:div>
    <w:div w:id="1396515721">
      <w:bodyDiv w:val="1"/>
      <w:marLeft w:val="0"/>
      <w:marRight w:val="0"/>
      <w:marTop w:val="0"/>
      <w:marBottom w:val="0"/>
      <w:divBdr>
        <w:top w:val="none" w:sz="0" w:space="0" w:color="auto"/>
        <w:left w:val="none" w:sz="0" w:space="0" w:color="auto"/>
        <w:bottom w:val="none" w:sz="0" w:space="0" w:color="auto"/>
        <w:right w:val="none" w:sz="0" w:space="0" w:color="auto"/>
      </w:divBdr>
      <w:divsChild>
        <w:div w:id="761534543">
          <w:marLeft w:val="0"/>
          <w:marRight w:val="0"/>
          <w:marTop w:val="0"/>
          <w:marBottom w:val="0"/>
          <w:divBdr>
            <w:top w:val="single" w:sz="6" w:space="0" w:color="auto"/>
            <w:left w:val="single" w:sz="6" w:space="0" w:color="auto"/>
            <w:bottom w:val="single" w:sz="6" w:space="0" w:color="auto"/>
            <w:right w:val="single" w:sz="6" w:space="0" w:color="auto"/>
          </w:divBdr>
        </w:div>
      </w:divsChild>
    </w:div>
    <w:div w:id="1399595198">
      <w:bodyDiv w:val="1"/>
      <w:marLeft w:val="0"/>
      <w:marRight w:val="0"/>
      <w:marTop w:val="0"/>
      <w:marBottom w:val="0"/>
      <w:divBdr>
        <w:top w:val="none" w:sz="0" w:space="0" w:color="auto"/>
        <w:left w:val="none" w:sz="0" w:space="0" w:color="auto"/>
        <w:bottom w:val="none" w:sz="0" w:space="0" w:color="auto"/>
        <w:right w:val="none" w:sz="0" w:space="0" w:color="auto"/>
      </w:divBdr>
    </w:div>
    <w:div w:id="1402214727">
      <w:bodyDiv w:val="1"/>
      <w:marLeft w:val="0"/>
      <w:marRight w:val="0"/>
      <w:marTop w:val="0"/>
      <w:marBottom w:val="0"/>
      <w:divBdr>
        <w:top w:val="none" w:sz="0" w:space="0" w:color="auto"/>
        <w:left w:val="none" w:sz="0" w:space="0" w:color="auto"/>
        <w:bottom w:val="none" w:sz="0" w:space="0" w:color="auto"/>
        <w:right w:val="none" w:sz="0" w:space="0" w:color="auto"/>
      </w:divBdr>
    </w:div>
    <w:div w:id="1402679406">
      <w:bodyDiv w:val="1"/>
      <w:marLeft w:val="0"/>
      <w:marRight w:val="0"/>
      <w:marTop w:val="0"/>
      <w:marBottom w:val="0"/>
      <w:divBdr>
        <w:top w:val="none" w:sz="0" w:space="0" w:color="auto"/>
        <w:left w:val="none" w:sz="0" w:space="0" w:color="auto"/>
        <w:bottom w:val="none" w:sz="0" w:space="0" w:color="auto"/>
        <w:right w:val="none" w:sz="0" w:space="0" w:color="auto"/>
      </w:divBdr>
    </w:div>
    <w:div w:id="1423987879">
      <w:bodyDiv w:val="1"/>
      <w:marLeft w:val="0"/>
      <w:marRight w:val="0"/>
      <w:marTop w:val="0"/>
      <w:marBottom w:val="0"/>
      <w:divBdr>
        <w:top w:val="none" w:sz="0" w:space="0" w:color="auto"/>
        <w:left w:val="none" w:sz="0" w:space="0" w:color="auto"/>
        <w:bottom w:val="none" w:sz="0" w:space="0" w:color="auto"/>
        <w:right w:val="none" w:sz="0" w:space="0" w:color="auto"/>
      </w:divBdr>
    </w:div>
    <w:div w:id="1425153557">
      <w:bodyDiv w:val="1"/>
      <w:marLeft w:val="0"/>
      <w:marRight w:val="0"/>
      <w:marTop w:val="0"/>
      <w:marBottom w:val="0"/>
      <w:divBdr>
        <w:top w:val="none" w:sz="0" w:space="0" w:color="auto"/>
        <w:left w:val="none" w:sz="0" w:space="0" w:color="auto"/>
        <w:bottom w:val="none" w:sz="0" w:space="0" w:color="auto"/>
        <w:right w:val="none" w:sz="0" w:space="0" w:color="auto"/>
      </w:divBdr>
    </w:div>
    <w:div w:id="1438258861">
      <w:bodyDiv w:val="1"/>
      <w:marLeft w:val="0"/>
      <w:marRight w:val="0"/>
      <w:marTop w:val="0"/>
      <w:marBottom w:val="0"/>
      <w:divBdr>
        <w:top w:val="none" w:sz="0" w:space="0" w:color="auto"/>
        <w:left w:val="none" w:sz="0" w:space="0" w:color="auto"/>
        <w:bottom w:val="none" w:sz="0" w:space="0" w:color="auto"/>
        <w:right w:val="none" w:sz="0" w:space="0" w:color="auto"/>
      </w:divBdr>
    </w:div>
    <w:div w:id="1453010568">
      <w:bodyDiv w:val="1"/>
      <w:marLeft w:val="0"/>
      <w:marRight w:val="0"/>
      <w:marTop w:val="0"/>
      <w:marBottom w:val="0"/>
      <w:divBdr>
        <w:top w:val="none" w:sz="0" w:space="0" w:color="auto"/>
        <w:left w:val="none" w:sz="0" w:space="0" w:color="auto"/>
        <w:bottom w:val="none" w:sz="0" w:space="0" w:color="auto"/>
        <w:right w:val="none" w:sz="0" w:space="0" w:color="auto"/>
      </w:divBdr>
      <w:divsChild>
        <w:div w:id="698310789">
          <w:marLeft w:val="0"/>
          <w:marRight w:val="0"/>
          <w:marTop w:val="0"/>
          <w:marBottom w:val="0"/>
          <w:divBdr>
            <w:top w:val="single" w:sz="6" w:space="0" w:color="auto"/>
            <w:left w:val="single" w:sz="6" w:space="0" w:color="auto"/>
            <w:bottom w:val="single" w:sz="6" w:space="0" w:color="auto"/>
            <w:right w:val="single" w:sz="6" w:space="0" w:color="auto"/>
          </w:divBdr>
        </w:div>
      </w:divsChild>
    </w:div>
    <w:div w:id="1456018717">
      <w:bodyDiv w:val="1"/>
      <w:marLeft w:val="0"/>
      <w:marRight w:val="0"/>
      <w:marTop w:val="0"/>
      <w:marBottom w:val="0"/>
      <w:divBdr>
        <w:top w:val="none" w:sz="0" w:space="0" w:color="auto"/>
        <w:left w:val="none" w:sz="0" w:space="0" w:color="auto"/>
        <w:bottom w:val="none" w:sz="0" w:space="0" w:color="auto"/>
        <w:right w:val="none" w:sz="0" w:space="0" w:color="auto"/>
      </w:divBdr>
    </w:div>
    <w:div w:id="1463111640">
      <w:bodyDiv w:val="1"/>
      <w:marLeft w:val="0"/>
      <w:marRight w:val="0"/>
      <w:marTop w:val="0"/>
      <w:marBottom w:val="0"/>
      <w:divBdr>
        <w:top w:val="none" w:sz="0" w:space="0" w:color="auto"/>
        <w:left w:val="none" w:sz="0" w:space="0" w:color="auto"/>
        <w:bottom w:val="none" w:sz="0" w:space="0" w:color="auto"/>
        <w:right w:val="none" w:sz="0" w:space="0" w:color="auto"/>
      </w:divBdr>
    </w:div>
    <w:div w:id="1468937890">
      <w:bodyDiv w:val="1"/>
      <w:marLeft w:val="0"/>
      <w:marRight w:val="0"/>
      <w:marTop w:val="0"/>
      <w:marBottom w:val="0"/>
      <w:divBdr>
        <w:top w:val="none" w:sz="0" w:space="0" w:color="auto"/>
        <w:left w:val="none" w:sz="0" w:space="0" w:color="auto"/>
        <w:bottom w:val="none" w:sz="0" w:space="0" w:color="auto"/>
        <w:right w:val="none" w:sz="0" w:space="0" w:color="auto"/>
      </w:divBdr>
    </w:div>
    <w:div w:id="1470513306">
      <w:bodyDiv w:val="1"/>
      <w:marLeft w:val="0"/>
      <w:marRight w:val="0"/>
      <w:marTop w:val="0"/>
      <w:marBottom w:val="0"/>
      <w:divBdr>
        <w:top w:val="none" w:sz="0" w:space="0" w:color="auto"/>
        <w:left w:val="none" w:sz="0" w:space="0" w:color="auto"/>
        <w:bottom w:val="none" w:sz="0" w:space="0" w:color="auto"/>
        <w:right w:val="none" w:sz="0" w:space="0" w:color="auto"/>
      </w:divBdr>
      <w:divsChild>
        <w:div w:id="1793130865">
          <w:marLeft w:val="0"/>
          <w:marRight w:val="0"/>
          <w:marTop w:val="0"/>
          <w:marBottom w:val="0"/>
          <w:divBdr>
            <w:top w:val="single" w:sz="6" w:space="0" w:color="auto"/>
            <w:left w:val="single" w:sz="6" w:space="0" w:color="auto"/>
            <w:bottom w:val="single" w:sz="6" w:space="0" w:color="auto"/>
            <w:right w:val="single" w:sz="6" w:space="0" w:color="auto"/>
          </w:divBdr>
        </w:div>
      </w:divsChild>
    </w:div>
    <w:div w:id="1483695240">
      <w:bodyDiv w:val="1"/>
      <w:marLeft w:val="0"/>
      <w:marRight w:val="0"/>
      <w:marTop w:val="0"/>
      <w:marBottom w:val="0"/>
      <w:divBdr>
        <w:top w:val="none" w:sz="0" w:space="0" w:color="auto"/>
        <w:left w:val="none" w:sz="0" w:space="0" w:color="auto"/>
        <w:bottom w:val="none" w:sz="0" w:space="0" w:color="auto"/>
        <w:right w:val="none" w:sz="0" w:space="0" w:color="auto"/>
      </w:divBdr>
      <w:divsChild>
        <w:div w:id="2000498073">
          <w:marLeft w:val="0"/>
          <w:marRight w:val="0"/>
          <w:marTop w:val="0"/>
          <w:marBottom w:val="0"/>
          <w:divBdr>
            <w:top w:val="single" w:sz="6" w:space="0" w:color="auto"/>
            <w:left w:val="single" w:sz="6" w:space="0" w:color="auto"/>
            <w:bottom w:val="single" w:sz="6" w:space="0" w:color="auto"/>
            <w:right w:val="single" w:sz="6" w:space="0" w:color="auto"/>
          </w:divBdr>
        </w:div>
      </w:divsChild>
    </w:div>
    <w:div w:id="1521427602">
      <w:bodyDiv w:val="1"/>
      <w:marLeft w:val="0"/>
      <w:marRight w:val="0"/>
      <w:marTop w:val="0"/>
      <w:marBottom w:val="0"/>
      <w:divBdr>
        <w:top w:val="none" w:sz="0" w:space="0" w:color="auto"/>
        <w:left w:val="none" w:sz="0" w:space="0" w:color="auto"/>
        <w:bottom w:val="none" w:sz="0" w:space="0" w:color="auto"/>
        <w:right w:val="none" w:sz="0" w:space="0" w:color="auto"/>
      </w:divBdr>
      <w:divsChild>
        <w:div w:id="1340498120">
          <w:marLeft w:val="0"/>
          <w:marRight w:val="0"/>
          <w:marTop w:val="0"/>
          <w:marBottom w:val="0"/>
          <w:divBdr>
            <w:top w:val="single" w:sz="6" w:space="0" w:color="auto"/>
            <w:left w:val="single" w:sz="6" w:space="0" w:color="auto"/>
            <w:bottom w:val="single" w:sz="6" w:space="0" w:color="auto"/>
            <w:right w:val="single" w:sz="6" w:space="0" w:color="auto"/>
          </w:divBdr>
        </w:div>
      </w:divsChild>
    </w:div>
    <w:div w:id="1522236048">
      <w:bodyDiv w:val="1"/>
      <w:marLeft w:val="0"/>
      <w:marRight w:val="0"/>
      <w:marTop w:val="0"/>
      <w:marBottom w:val="0"/>
      <w:divBdr>
        <w:top w:val="none" w:sz="0" w:space="0" w:color="auto"/>
        <w:left w:val="none" w:sz="0" w:space="0" w:color="auto"/>
        <w:bottom w:val="none" w:sz="0" w:space="0" w:color="auto"/>
        <w:right w:val="none" w:sz="0" w:space="0" w:color="auto"/>
      </w:divBdr>
    </w:div>
    <w:div w:id="1528564635">
      <w:bodyDiv w:val="1"/>
      <w:marLeft w:val="0"/>
      <w:marRight w:val="0"/>
      <w:marTop w:val="0"/>
      <w:marBottom w:val="0"/>
      <w:divBdr>
        <w:top w:val="none" w:sz="0" w:space="0" w:color="auto"/>
        <w:left w:val="none" w:sz="0" w:space="0" w:color="auto"/>
        <w:bottom w:val="none" w:sz="0" w:space="0" w:color="auto"/>
        <w:right w:val="none" w:sz="0" w:space="0" w:color="auto"/>
      </w:divBdr>
    </w:div>
    <w:div w:id="1534154870">
      <w:bodyDiv w:val="1"/>
      <w:marLeft w:val="0"/>
      <w:marRight w:val="0"/>
      <w:marTop w:val="0"/>
      <w:marBottom w:val="0"/>
      <w:divBdr>
        <w:top w:val="none" w:sz="0" w:space="0" w:color="auto"/>
        <w:left w:val="none" w:sz="0" w:space="0" w:color="auto"/>
        <w:bottom w:val="none" w:sz="0" w:space="0" w:color="auto"/>
        <w:right w:val="none" w:sz="0" w:space="0" w:color="auto"/>
      </w:divBdr>
    </w:div>
    <w:div w:id="1535071808">
      <w:bodyDiv w:val="1"/>
      <w:marLeft w:val="0"/>
      <w:marRight w:val="0"/>
      <w:marTop w:val="0"/>
      <w:marBottom w:val="0"/>
      <w:divBdr>
        <w:top w:val="none" w:sz="0" w:space="0" w:color="auto"/>
        <w:left w:val="none" w:sz="0" w:space="0" w:color="auto"/>
        <w:bottom w:val="none" w:sz="0" w:space="0" w:color="auto"/>
        <w:right w:val="none" w:sz="0" w:space="0" w:color="auto"/>
      </w:divBdr>
    </w:div>
    <w:div w:id="1539050504">
      <w:bodyDiv w:val="1"/>
      <w:marLeft w:val="0"/>
      <w:marRight w:val="0"/>
      <w:marTop w:val="0"/>
      <w:marBottom w:val="0"/>
      <w:divBdr>
        <w:top w:val="none" w:sz="0" w:space="0" w:color="auto"/>
        <w:left w:val="none" w:sz="0" w:space="0" w:color="auto"/>
        <w:bottom w:val="none" w:sz="0" w:space="0" w:color="auto"/>
        <w:right w:val="none" w:sz="0" w:space="0" w:color="auto"/>
      </w:divBdr>
    </w:div>
    <w:div w:id="1539389128">
      <w:bodyDiv w:val="1"/>
      <w:marLeft w:val="0"/>
      <w:marRight w:val="0"/>
      <w:marTop w:val="0"/>
      <w:marBottom w:val="0"/>
      <w:divBdr>
        <w:top w:val="none" w:sz="0" w:space="0" w:color="auto"/>
        <w:left w:val="none" w:sz="0" w:space="0" w:color="auto"/>
        <w:bottom w:val="none" w:sz="0" w:space="0" w:color="auto"/>
        <w:right w:val="none" w:sz="0" w:space="0" w:color="auto"/>
      </w:divBdr>
    </w:div>
    <w:div w:id="1548295413">
      <w:bodyDiv w:val="1"/>
      <w:marLeft w:val="0"/>
      <w:marRight w:val="0"/>
      <w:marTop w:val="0"/>
      <w:marBottom w:val="0"/>
      <w:divBdr>
        <w:top w:val="none" w:sz="0" w:space="0" w:color="auto"/>
        <w:left w:val="none" w:sz="0" w:space="0" w:color="auto"/>
        <w:bottom w:val="none" w:sz="0" w:space="0" w:color="auto"/>
        <w:right w:val="none" w:sz="0" w:space="0" w:color="auto"/>
      </w:divBdr>
    </w:div>
    <w:div w:id="1564100602">
      <w:bodyDiv w:val="1"/>
      <w:marLeft w:val="0"/>
      <w:marRight w:val="0"/>
      <w:marTop w:val="0"/>
      <w:marBottom w:val="0"/>
      <w:divBdr>
        <w:top w:val="none" w:sz="0" w:space="0" w:color="auto"/>
        <w:left w:val="none" w:sz="0" w:space="0" w:color="auto"/>
        <w:bottom w:val="none" w:sz="0" w:space="0" w:color="auto"/>
        <w:right w:val="none" w:sz="0" w:space="0" w:color="auto"/>
      </w:divBdr>
    </w:div>
    <w:div w:id="1584801153">
      <w:bodyDiv w:val="1"/>
      <w:marLeft w:val="0"/>
      <w:marRight w:val="0"/>
      <w:marTop w:val="0"/>
      <w:marBottom w:val="0"/>
      <w:divBdr>
        <w:top w:val="none" w:sz="0" w:space="0" w:color="auto"/>
        <w:left w:val="none" w:sz="0" w:space="0" w:color="auto"/>
        <w:bottom w:val="none" w:sz="0" w:space="0" w:color="auto"/>
        <w:right w:val="none" w:sz="0" w:space="0" w:color="auto"/>
      </w:divBdr>
    </w:div>
    <w:div w:id="1591885744">
      <w:bodyDiv w:val="1"/>
      <w:marLeft w:val="0"/>
      <w:marRight w:val="0"/>
      <w:marTop w:val="0"/>
      <w:marBottom w:val="0"/>
      <w:divBdr>
        <w:top w:val="none" w:sz="0" w:space="0" w:color="auto"/>
        <w:left w:val="none" w:sz="0" w:space="0" w:color="auto"/>
        <w:bottom w:val="none" w:sz="0" w:space="0" w:color="auto"/>
        <w:right w:val="none" w:sz="0" w:space="0" w:color="auto"/>
      </w:divBdr>
      <w:divsChild>
        <w:div w:id="1036930300">
          <w:marLeft w:val="0"/>
          <w:marRight w:val="0"/>
          <w:marTop w:val="0"/>
          <w:marBottom w:val="0"/>
          <w:divBdr>
            <w:top w:val="single" w:sz="6" w:space="0" w:color="auto"/>
            <w:left w:val="single" w:sz="6" w:space="0" w:color="auto"/>
            <w:bottom w:val="single" w:sz="6" w:space="0" w:color="auto"/>
            <w:right w:val="single" w:sz="6" w:space="0" w:color="auto"/>
          </w:divBdr>
        </w:div>
      </w:divsChild>
    </w:div>
    <w:div w:id="1609001057">
      <w:bodyDiv w:val="1"/>
      <w:marLeft w:val="0"/>
      <w:marRight w:val="0"/>
      <w:marTop w:val="0"/>
      <w:marBottom w:val="0"/>
      <w:divBdr>
        <w:top w:val="none" w:sz="0" w:space="0" w:color="auto"/>
        <w:left w:val="none" w:sz="0" w:space="0" w:color="auto"/>
        <w:bottom w:val="none" w:sz="0" w:space="0" w:color="auto"/>
        <w:right w:val="none" w:sz="0" w:space="0" w:color="auto"/>
      </w:divBdr>
    </w:div>
    <w:div w:id="1622226331">
      <w:bodyDiv w:val="1"/>
      <w:marLeft w:val="0"/>
      <w:marRight w:val="0"/>
      <w:marTop w:val="0"/>
      <w:marBottom w:val="0"/>
      <w:divBdr>
        <w:top w:val="none" w:sz="0" w:space="0" w:color="auto"/>
        <w:left w:val="none" w:sz="0" w:space="0" w:color="auto"/>
        <w:bottom w:val="none" w:sz="0" w:space="0" w:color="auto"/>
        <w:right w:val="none" w:sz="0" w:space="0" w:color="auto"/>
      </w:divBdr>
      <w:divsChild>
        <w:div w:id="1713113119">
          <w:marLeft w:val="0"/>
          <w:marRight w:val="0"/>
          <w:marTop w:val="0"/>
          <w:marBottom w:val="0"/>
          <w:divBdr>
            <w:top w:val="single" w:sz="6" w:space="0" w:color="auto"/>
            <w:left w:val="single" w:sz="6" w:space="0" w:color="auto"/>
            <w:bottom w:val="single" w:sz="6" w:space="0" w:color="auto"/>
            <w:right w:val="single" w:sz="6" w:space="0" w:color="auto"/>
          </w:divBdr>
        </w:div>
      </w:divsChild>
    </w:div>
    <w:div w:id="1630042249">
      <w:bodyDiv w:val="1"/>
      <w:marLeft w:val="0"/>
      <w:marRight w:val="0"/>
      <w:marTop w:val="0"/>
      <w:marBottom w:val="0"/>
      <w:divBdr>
        <w:top w:val="none" w:sz="0" w:space="0" w:color="auto"/>
        <w:left w:val="none" w:sz="0" w:space="0" w:color="auto"/>
        <w:bottom w:val="none" w:sz="0" w:space="0" w:color="auto"/>
        <w:right w:val="none" w:sz="0" w:space="0" w:color="auto"/>
      </w:divBdr>
    </w:div>
    <w:div w:id="1631279720">
      <w:bodyDiv w:val="1"/>
      <w:marLeft w:val="0"/>
      <w:marRight w:val="0"/>
      <w:marTop w:val="0"/>
      <w:marBottom w:val="0"/>
      <w:divBdr>
        <w:top w:val="none" w:sz="0" w:space="0" w:color="auto"/>
        <w:left w:val="none" w:sz="0" w:space="0" w:color="auto"/>
        <w:bottom w:val="none" w:sz="0" w:space="0" w:color="auto"/>
        <w:right w:val="none" w:sz="0" w:space="0" w:color="auto"/>
      </w:divBdr>
    </w:div>
    <w:div w:id="1655061443">
      <w:bodyDiv w:val="1"/>
      <w:marLeft w:val="0"/>
      <w:marRight w:val="0"/>
      <w:marTop w:val="0"/>
      <w:marBottom w:val="0"/>
      <w:divBdr>
        <w:top w:val="none" w:sz="0" w:space="0" w:color="auto"/>
        <w:left w:val="none" w:sz="0" w:space="0" w:color="auto"/>
        <w:bottom w:val="none" w:sz="0" w:space="0" w:color="auto"/>
        <w:right w:val="none" w:sz="0" w:space="0" w:color="auto"/>
      </w:divBdr>
    </w:div>
    <w:div w:id="1660110243">
      <w:bodyDiv w:val="1"/>
      <w:marLeft w:val="0"/>
      <w:marRight w:val="0"/>
      <w:marTop w:val="0"/>
      <w:marBottom w:val="0"/>
      <w:divBdr>
        <w:top w:val="none" w:sz="0" w:space="0" w:color="auto"/>
        <w:left w:val="none" w:sz="0" w:space="0" w:color="auto"/>
        <w:bottom w:val="none" w:sz="0" w:space="0" w:color="auto"/>
        <w:right w:val="none" w:sz="0" w:space="0" w:color="auto"/>
      </w:divBdr>
    </w:div>
    <w:div w:id="1674185444">
      <w:bodyDiv w:val="1"/>
      <w:marLeft w:val="0"/>
      <w:marRight w:val="0"/>
      <w:marTop w:val="0"/>
      <w:marBottom w:val="0"/>
      <w:divBdr>
        <w:top w:val="none" w:sz="0" w:space="0" w:color="auto"/>
        <w:left w:val="none" w:sz="0" w:space="0" w:color="auto"/>
        <w:bottom w:val="none" w:sz="0" w:space="0" w:color="auto"/>
        <w:right w:val="none" w:sz="0" w:space="0" w:color="auto"/>
      </w:divBdr>
    </w:div>
    <w:div w:id="1684209697">
      <w:bodyDiv w:val="1"/>
      <w:marLeft w:val="0"/>
      <w:marRight w:val="0"/>
      <w:marTop w:val="0"/>
      <w:marBottom w:val="0"/>
      <w:divBdr>
        <w:top w:val="none" w:sz="0" w:space="0" w:color="auto"/>
        <w:left w:val="none" w:sz="0" w:space="0" w:color="auto"/>
        <w:bottom w:val="none" w:sz="0" w:space="0" w:color="auto"/>
        <w:right w:val="none" w:sz="0" w:space="0" w:color="auto"/>
      </w:divBdr>
    </w:div>
    <w:div w:id="1685400583">
      <w:bodyDiv w:val="1"/>
      <w:marLeft w:val="0"/>
      <w:marRight w:val="0"/>
      <w:marTop w:val="0"/>
      <w:marBottom w:val="0"/>
      <w:divBdr>
        <w:top w:val="none" w:sz="0" w:space="0" w:color="auto"/>
        <w:left w:val="none" w:sz="0" w:space="0" w:color="auto"/>
        <w:bottom w:val="none" w:sz="0" w:space="0" w:color="auto"/>
        <w:right w:val="none" w:sz="0" w:space="0" w:color="auto"/>
      </w:divBdr>
    </w:div>
    <w:div w:id="1686983315">
      <w:bodyDiv w:val="1"/>
      <w:marLeft w:val="0"/>
      <w:marRight w:val="0"/>
      <w:marTop w:val="0"/>
      <w:marBottom w:val="0"/>
      <w:divBdr>
        <w:top w:val="none" w:sz="0" w:space="0" w:color="auto"/>
        <w:left w:val="none" w:sz="0" w:space="0" w:color="auto"/>
        <w:bottom w:val="none" w:sz="0" w:space="0" w:color="auto"/>
        <w:right w:val="none" w:sz="0" w:space="0" w:color="auto"/>
      </w:divBdr>
    </w:div>
    <w:div w:id="1698847254">
      <w:bodyDiv w:val="1"/>
      <w:marLeft w:val="0"/>
      <w:marRight w:val="0"/>
      <w:marTop w:val="0"/>
      <w:marBottom w:val="0"/>
      <w:divBdr>
        <w:top w:val="none" w:sz="0" w:space="0" w:color="auto"/>
        <w:left w:val="none" w:sz="0" w:space="0" w:color="auto"/>
        <w:bottom w:val="none" w:sz="0" w:space="0" w:color="auto"/>
        <w:right w:val="none" w:sz="0" w:space="0" w:color="auto"/>
      </w:divBdr>
    </w:div>
    <w:div w:id="1703750467">
      <w:bodyDiv w:val="1"/>
      <w:marLeft w:val="0"/>
      <w:marRight w:val="0"/>
      <w:marTop w:val="0"/>
      <w:marBottom w:val="0"/>
      <w:divBdr>
        <w:top w:val="none" w:sz="0" w:space="0" w:color="auto"/>
        <w:left w:val="none" w:sz="0" w:space="0" w:color="auto"/>
        <w:bottom w:val="none" w:sz="0" w:space="0" w:color="auto"/>
        <w:right w:val="none" w:sz="0" w:space="0" w:color="auto"/>
      </w:divBdr>
    </w:div>
    <w:div w:id="1705979264">
      <w:bodyDiv w:val="1"/>
      <w:marLeft w:val="0"/>
      <w:marRight w:val="0"/>
      <w:marTop w:val="0"/>
      <w:marBottom w:val="0"/>
      <w:divBdr>
        <w:top w:val="none" w:sz="0" w:space="0" w:color="auto"/>
        <w:left w:val="none" w:sz="0" w:space="0" w:color="auto"/>
        <w:bottom w:val="none" w:sz="0" w:space="0" w:color="auto"/>
        <w:right w:val="none" w:sz="0" w:space="0" w:color="auto"/>
      </w:divBdr>
    </w:div>
    <w:div w:id="1717779458">
      <w:bodyDiv w:val="1"/>
      <w:marLeft w:val="0"/>
      <w:marRight w:val="0"/>
      <w:marTop w:val="0"/>
      <w:marBottom w:val="0"/>
      <w:divBdr>
        <w:top w:val="none" w:sz="0" w:space="0" w:color="auto"/>
        <w:left w:val="none" w:sz="0" w:space="0" w:color="auto"/>
        <w:bottom w:val="none" w:sz="0" w:space="0" w:color="auto"/>
        <w:right w:val="none" w:sz="0" w:space="0" w:color="auto"/>
      </w:divBdr>
    </w:div>
    <w:div w:id="1732118160">
      <w:bodyDiv w:val="1"/>
      <w:marLeft w:val="0"/>
      <w:marRight w:val="0"/>
      <w:marTop w:val="0"/>
      <w:marBottom w:val="0"/>
      <w:divBdr>
        <w:top w:val="none" w:sz="0" w:space="0" w:color="auto"/>
        <w:left w:val="none" w:sz="0" w:space="0" w:color="auto"/>
        <w:bottom w:val="none" w:sz="0" w:space="0" w:color="auto"/>
        <w:right w:val="none" w:sz="0" w:space="0" w:color="auto"/>
      </w:divBdr>
    </w:div>
    <w:div w:id="1734769442">
      <w:bodyDiv w:val="1"/>
      <w:marLeft w:val="0"/>
      <w:marRight w:val="0"/>
      <w:marTop w:val="0"/>
      <w:marBottom w:val="0"/>
      <w:divBdr>
        <w:top w:val="none" w:sz="0" w:space="0" w:color="auto"/>
        <w:left w:val="none" w:sz="0" w:space="0" w:color="auto"/>
        <w:bottom w:val="none" w:sz="0" w:space="0" w:color="auto"/>
        <w:right w:val="none" w:sz="0" w:space="0" w:color="auto"/>
      </w:divBdr>
    </w:div>
    <w:div w:id="1737194139">
      <w:bodyDiv w:val="1"/>
      <w:marLeft w:val="0"/>
      <w:marRight w:val="0"/>
      <w:marTop w:val="0"/>
      <w:marBottom w:val="0"/>
      <w:divBdr>
        <w:top w:val="none" w:sz="0" w:space="0" w:color="auto"/>
        <w:left w:val="none" w:sz="0" w:space="0" w:color="auto"/>
        <w:bottom w:val="none" w:sz="0" w:space="0" w:color="auto"/>
        <w:right w:val="none" w:sz="0" w:space="0" w:color="auto"/>
      </w:divBdr>
    </w:div>
    <w:div w:id="1762724787">
      <w:bodyDiv w:val="1"/>
      <w:marLeft w:val="0"/>
      <w:marRight w:val="0"/>
      <w:marTop w:val="0"/>
      <w:marBottom w:val="0"/>
      <w:divBdr>
        <w:top w:val="none" w:sz="0" w:space="0" w:color="auto"/>
        <w:left w:val="none" w:sz="0" w:space="0" w:color="auto"/>
        <w:bottom w:val="none" w:sz="0" w:space="0" w:color="auto"/>
        <w:right w:val="none" w:sz="0" w:space="0" w:color="auto"/>
      </w:divBdr>
      <w:divsChild>
        <w:div w:id="1933465250">
          <w:marLeft w:val="0"/>
          <w:marRight w:val="0"/>
          <w:marTop w:val="0"/>
          <w:marBottom w:val="0"/>
          <w:divBdr>
            <w:top w:val="single" w:sz="6" w:space="0" w:color="auto"/>
            <w:left w:val="single" w:sz="6" w:space="0" w:color="auto"/>
            <w:bottom w:val="single" w:sz="6" w:space="0" w:color="auto"/>
            <w:right w:val="single" w:sz="6" w:space="0" w:color="auto"/>
          </w:divBdr>
        </w:div>
      </w:divsChild>
    </w:div>
    <w:div w:id="1767387717">
      <w:bodyDiv w:val="1"/>
      <w:marLeft w:val="0"/>
      <w:marRight w:val="0"/>
      <w:marTop w:val="0"/>
      <w:marBottom w:val="0"/>
      <w:divBdr>
        <w:top w:val="none" w:sz="0" w:space="0" w:color="auto"/>
        <w:left w:val="none" w:sz="0" w:space="0" w:color="auto"/>
        <w:bottom w:val="none" w:sz="0" w:space="0" w:color="auto"/>
        <w:right w:val="none" w:sz="0" w:space="0" w:color="auto"/>
      </w:divBdr>
    </w:div>
    <w:div w:id="1795321092">
      <w:bodyDiv w:val="1"/>
      <w:marLeft w:val="0"/>
      <w:marRight w:val="0"/>
      <w:marTop w:val="0"/>
      <w:marBottom w:val="0"/>
      <w:divBdr>
        <w:top w:val="none" w:sz="0" w:space="0" w:color="auto"/>
        <w:left w:val="none" w:sz="0" w:space="0" w:color="auto"/>
        <w:bottom w:val="none" w:sz="0" w:space="0" w:color="auto"/>
        <w:right w:val="none" w:sz="0" w:space="0" w:color="auto"/>
      </w:divBdr>
    </w:div>
    <w:div w:id="1799566440">
      <w:bodyDiv w:val="1"/>
      <w:marLeft w:val="0"/>
      <w:marRight w:val="0"/>
      <w:marTop w:val="0"/>
      <w:marBottom w:val="0"/>
      <w:divBdr>
        <w:top w:val="none" w:sz="0" w:space="0" w:color="auto"/>
        <w:left w:val="none" w:sz="0" w:space="0" w:color="auto"/>
        <w:bottom w:val="none" w:sz="0" w:space="0" w:color="auto"/>
        <w:right w:val="none" w:sz="0" w:space="0" w:color="auto"/>
      </w:divBdr>
    </w:div>
    <w:div w:id="1800995812">
      <w:bodyDiv w:val="1"/>
      <w:marLeft w:val="0"/>
      <w:marRight w:val="0"/>
      <w:marTop w:val="0"/>
      <w:marBottom w:val="0"/>
      <w:divBdr>
        <w:top w:val="none" w:sz="0" w:space="0" w:color="auto"/>
        <w:left w:val="none" w:sz="0" w:space="0" w:color="auto"/>
        <w:bottom w:val="none" w:sz="0" w:space="0" w:color="auto"/>
        <w:right w:val="none" w:sz="0" w:space="0" w:color="auto"/>
      </w:divBdr>
    </w:div>
    <w:div w:id="1802916640">
      <w:bodyDiv w:val="1"/>
      <w:marLeft w:val="0"/>
      <w:marRight w:val="0"/>
      <w:marTop w:val="0"/>
      <w:marBottom w:val="0"/>
      <w:divBdr>
        <w:top w:val="none" w:sz="0" w:space="0" w:color="auto"/>
        <w:left w:val="none" w:sz="0" w:space="0" w:color="auto"/>
        <w:bottom w:val="none" w:sz="0" w:space="0" w:color="auto"/>
        <w:right w:val="none" w:sz="0" w:space="0" w:color="auto"/>
      </w:divBdr>
    </w:div>
    <w:div w:id="1831948209">
      <w:bodyDiv w:val="1"/>
      <w:marLeft w:val="0"/>
      <w:marRight w:val="0"/>
      <w:marTop w:val="0"/>
      <w:marBottom w:val="0"/>
      <w:divBdr>
        <w:top w:val="none" w:sz="0" w:space="0" w:color="auto"/>
        <w:left w:val="none" w:sz="0" w:space="0" w:color="auto"/>
        <w:bottom w:val="none" w:sz="0" w:space="0" w:color="auto"/>
        <w:right w:val="none" w:sz="0" w:space="0" w:color="auto"/>
      </w:divBdr>
    </w:div>
    <w:div w:id="1836530275">
      <w:bodyDiv w:val="1"/>
      <w:marLeft w:val="0"/>
      <w:marRight w:val="0"/>
      <w:marTop w:val="0"/>
      <w:marBottom w:val="0"/>
      <w:divBdr>
        <w:top w:val="none" w:sz="0" w:space="0" w:color="auto"/>
        <w:left w:val="none" w:sz="0" w:space="0" w:color="auto"/>
        <w:bottom w:val="none" w:sz="0" w:space="0" w:color="auto"/>
        <w:right w:val="none" w:sz="0" w:space="0" w:color="auto"/>
      </w:divBdr>
    </w:div>
    <w:div w:id="1842894484">
      <w:bodyDiv w:val="1"/>
      <w:marLeft w:val="0"/>
      <w:marRight w:val="0"/>
      <w:marTop w:val="0"/>
      <w:marBottom w:val="0"/>
      <w:divBdr>
        <w:top w:val="none" w:sz="0" w:space="0" w:color="auto"/>
        <w:left w:val="none" w:sz="0" w:space="0" w:color="auto"/>
        <w:bottom w:val="none" w:sz="0" w:space="0" w:color="auto"/>
        <w:right w:val="none" w:sz="0" w:space="0" w:color="auto"/>
      </w:divBdr>
    </w:div>
    <w:div w:id="1843351661">
      <w:bodyDiv w:val="1"/>
      <w:marLeft w:val="0"/>
      <w:marRight w:val="0"/>
      <w:marTop w:val="0"/>
      <w:marBottom w:val="0"/>
      <w:divBdr>
        <w:top w:val="none" w:sz="0" w:space="0" w:color="auto"/>
        <w:left w:val="none" w:sz="0" w:space="0" w:color="auto"/>
        <w:bottom w:val="none" w:sz="0" w:space="0" w:color="auto"/>
        <w:right w:val="none" w:sz="0" w:space="0" w:color="auto"/>
      </w:divBdr>
    </w:div>
    <w:div w:id="1852333129">
      <w:bodyDiv w:val="1"/>
      <w:marLeft w:val="0"/>
      <w:marRight w:val="0"/>
      <w:marTop w:val="0"/>
      <w:marBottom w:val="0"/>
      <w:divBdr>
        <w:top w:val="none" w:sz="0" w:space="0" w:color="auto"/>
        <w:left w:val="none" w:sz="0" w:space="0" w:color="auto"/>
        <w:bottom w:val="none" w:sz="0" w:space="0" w:color="auto"/>
        <w:right w:val="none" w:sz="0" w:space="0" w:color="auto"/>
      </w:divBdr>
    </w:div>
    <w:div w:id="1861579542">
      <w:bodyDiv w:val="1"/>
      <w:marLeft w:val="0"/>
      <w:marRight w:val="0"/>
      <w:marTop w:val="0"/>
      <w:marBottom w:val="0"/>
      <w:divBdr>
        <w:top w:val="none" w:sz="0" w:space="0" w:color="auto"/>
        <w:left w:val="none" w:sz="0" w:space="0" w:color="auto"/>
        <w:bottom w:val="none" w:sz="0" w:space="0" w:color="auto"/>
        <w:right w:val="none" w:sz="0" w:space="0" w:color="auto"/>
      </w:divBdr>
    </w:div>
    <w:div w:id="1867016372">
      <w:bodyDiv w:val="1"/>
      <w:marLeft w:val="0"/>
      <w:marRight w:val="0"/>
      <w:marTop w:val="0"/>
      <w:marBottom w:val="0"/>
      <w:divBdr>
        <w:top w:val="none" w:sz="0" w:space="0" w:color="auto"/>
        <w:left w:val="none" w:sz="0" w:space="0" w:color="auto"/>
        <w:bottom w:val="none" w:sz="0" w:space="0" w:color="auto"/>
        <w:right w:val="none" w:sz="0" w:space="0" w:color="auto"/>
      </w:divBdr>
      <w:divsChild>
        <w:div w:id="713894730">
          <w:marLeft w:val="0"/>
          <w:marRight w:val="0"/>
          <w:marTop w:val="0"/>
          <w:marBottom w:val="0"/>
          <w:divBdr>
            <w:top w:val="single" w:sz="6" w:space="0" w:color="auto"/>
            <w:left w:val="single" w:sz="6" w:space="0" w:color="auto"/>
            <w:bottom w:val="single" w:sz="6" w:space="0" w:color="auto"/>
            <w:right w:val="single" w:sz="6" w:space="0" w:color="auto"/>
          </w:divBdr>
        </w:div>
      </w:divsChild>
    </w:div>
    <w:div w:id="1877816066">
      <w:bodyDiv w:val="1"/>
      <w:marLeft w:val="0"/>
      <w:marRight w:val="0"/>
      <w:marTop w:val="0"/>
      <w:marBottom w:val="0"/>
      <w:divBdr>
        <w:top w:val="none" w:sz="0" w:space="0" w:color="auto"/>
        <w:left w:val="none" w:sz="0" w:space="0" w:color="auto"/>
        <w:bottom w:val="none" w:sz="0" w:space="0" w:color="auto"/>
        <w:right w:val="none" w:sz="0" w:space="0" w:color="auto"/>
      </w:divBdr>
    </w:div>
    <w:div w:id="1894852454">
      <w:bodyDiv w:val="1"/>
      <w:marLeft w:val="0"/>
      <w:marRight w:val="0"/>
      <w:marTop w:val="0"/>
      <w:marBottom w:val="0"/>
      <w:divBdr>
        <w:top w:val="none" w:sz="0" w:space="0" w:color="auto"/>
        <w:left w:val="none" w:sz="0" w:space="0" w:color="auto"/>
        <w:bottom w:val="none" w:sz="0" w:space="0" w:color="auto"/>
        <w:right w:val="none" w:sz="0" w:space="0" w:color="auto"/>
      </w:divBdr>
    </w:div>
    <w:div w:id="1896505754">
      <w:bodyDiv w:val="1"/>
      <w:marLeft w:val="0"/>
      <w:marRight w:val="0"/>
      <w:marTop w:val="0"/>
      <w:marBottom w:val="0"/>
      <w:divBdr>
        <w:top w:val="none" w:sz="0" w:space="0" w:color="auto"/>
        <w:left w:val="none" w:sz="0" w:space="0" w:color="auto"/>
        <w:bottom w:val="none" w:sz="0" w:space="0" w:color="auto"/>
        <w:right w:val="none" w:sz="0" w:space="0" w:color="auto"/>
      </w:divBdr>
    </w:div>
    <w:div w:id="1896892874">
      <w:bodyDiv w:val="1"/>
      <w:marLeft w:val="0"/>
      <w:marRight w:val="0"/>
      <w:marTop w:val="0"/>
      <w:marBottom w:val="0"/>
      <w:divBdr>
        <w:top w:val="none" w:sz="0" w:space="0" w:color="auto"/>
        <w:left w:val="none" w:sz="0" w:space="0" w:color="auto"/>
        <w:bottom w:val="none" w:sz="0" w:space="0" w:color="auto"/>
        <w:right w:val="none" w:sz="0" w:space="0" w:color="auto"/>
      </w:divBdr>
    </w:div>
    <w:div w:id="1897663320">
      <w:bodyDiv w:val="1"/>
      <w:marLeft w:val="0"/>
      <w:marRight w:val="0"/>
      <w:marTop w:val="0"/>
      <w:marBottom w:val="0"/>
      <w:divBdr>
        <w:top w:val="none" w:sz="0" w:space="0" w:color="auto"/>
        <w:left w:val="none" w:sz="0" w:space="0" w:color="auto"/>
        <w:bottom w:val="none" w:sz="0" w:space="0" w:color="auto"/>
        <w:right w:val="none" w:sz="0" w:space="0" w:color="auto"/>
      </w:divBdr>
    </w:div>
    <w:div w:id="1906836232">
      <w:bodyDiv w:val="1"/>
      <w:marLeft w:val="0"/>
      <w:marRight w:val="0"/>
      <w:marTop w:val="0"/>
      <w:marBottom w:val="0"/>
      <w:divBdr>
        <w:top w:val="none" w:sz="0" w:space="0" w:color="auto"/>
        <w:left w:val="none" w:sz="0" w:space="0" w:color="auto"/>
        <w:bottom w:val="none" w:sz="0" w:space="0" w:color="auto"/>
        <w:right w:val="none" w:sz="0" w:space="0" w:color="auto"/>
      </w:divBdr>
    </w:div>
    <w:div w:id="1932229207">
      <w:bodyDiv w:val="1"/>
      <w:marLeft w:val="0"/>
      <w:marRight w:val="0"/>
      <w:marTop w:val="0"/>
      <w:marBottom w:val="0"/>
      <w:divBdr>
        <w:top w:val="none" w:sz="0" w:space="0" w:color="auto"/>
        <w:left w:val="none" w:sz="0" w:space="0" w:color="auto"/>
        <w:bottom w:val="none" w:sz="0" w:space="0" w:color="auto"/>
        <w:right w:val="none" w:sz="0" w:space="0" w:color="auto"/>
      </w:divBdr>
    </w:div>
    <w:div w:id="1932396198">
      <w:bodyDiv w:val="1"/>
      <w:marLeft w:val="0"/>
      <w:marRight w:val="0"/>
      <w:marTop w:val="0"/>
      <w:marBottom w:val="0"/>
      <w:divBdr>
        <w:top w:val="none" w:sz="0" w:space="0" w:color="auto"/>
        <w:left w:val="none" w:sz="0" w:space="0" w:color="auto"/>
        <w:bottom w:val="none" w:sz="0" w:space="0" w:color="auto"/>
        <w:right w:val="none" w:sz="0" w:space="0" w:color="auto"/>
      </w:divBdr>
    </w:div>
    <w:div w:id="1933007571">
      <w:bodyDiv w:val="1"/>
      <w:marLeft w:val="0"/>
      <w:marRight w:val="0"/>
      <w:marTop w:val="0"/>
      <w:marBottom w:val="0"/>
      <w:divBdr>
        <w:top w:val="none" w:sz="0" w:space="0" w:color="auto"/>
        <w:left w:val="none" w:sz="0" w:space="0" w:color="auto"/>
        <w:bottom w:val="none" w:sz="0" w:space="0" w:color="auto"/>
        <w:right w:val="none" w:sz="0" w:space="0" w:color="auto"/>
      </w:divBdr>
    </w:div>
    <w:div w:id="1969163617">
      <w:bodyDiv w:val="1"/>
      <w:marLeft w:val="0"/>
      <w:marRight w:val="0"/>
      <w:marTop w:val="0"/>
      <w:marBottom w:val="0"/>
      <w:divBdr>
        <w:top w:val="none" w:sz="0" w:space="0" w:color="auto"/>
        <w:left w:val="none" w:sz="0" w:space="0" w:color="auto"/>
        <w:bottom w:val="none" w:sz="0" w:space="0" w:color="auto"/>
        <w:right w:val="none" w:sz="0" w:space="0" w:color="auto"/>
      </w:divBdr>
    </w:div>
    <w:div w:id="1972325632">
      <w:bodyDiv w:val="1"/>
      <w:marLeft w:val="0"/>
      <w:marRight w:val="0"/>
      <w:marTop w:val="0"/>
      <w:marBottom w:val="0"/>
      <w:divBdr>
        <w:top w:val="none" w:sz="0" w:space="0" w:color="auto"/>
        <w:left w:val="none" w:sz="0" w:space="0" w:color="auto"/>
        <w:bottom w:val="none" w:sz="0" w:space="0" w:color="auto"/>
        <w:right w:val="none" w:sz="0" w:space="0" w:color="auto"/>
      </w:divBdr>
      <w:divsChild>
        <w:div w:id="1446542339">
          <w:marLeft w:val="0"/>
          <w:marRight w:val="0"/>
          <w:marTop w:val="0"/>
          <w:marBottom w:val="0"/>
          <w:divBdr>
            <w:top w:val="single" w:sz="6" w:space="0" w:color="auto"/>
            <w:left w:val="single" w:sz="6" w:space="0" w:color="auto"/>
            <w:bottom w:val="single" w:sz="6" w:space="0" w:color="auto"/>
            <w:right w:val="single" w:sz="6" w:space="0" w:color="auto"/>
          </w:divBdr>
        </w:div>
      </w:divsChild>
    </w:div>
    <w:div w:id="1976914058">
      <w:bodyDiv w:val="1"/>
      <w:marLeft w:val="0"/>
      <w:marRight w:val="0"/>
      <w:marTop w:val="0"/>
      <w:marBottom w:val="0"/>
      <w:divBdr>
        <w:top w:val="none" w:sz="0" w:space="0" w:color="auto"/>
        <w:left w:val="none" w:sz="0" w:space="0" w:color="auto"/>
        <w:bottom w:val="none" w:sz="0" w:space="0" w:color="auto"/>
        <w:right w:val="none" w:sz="0" w:space="0" w:color="auto"/>
      </w:divBdr>
      <w:divsChild>
        <w:div w:id="2092702518">
          <w:marLeft w:val="0"/>
          <w:marRight w:val="0"/>
          <w:marTop w:val="0"/>
          <w:marBottom w:val="0"/>
          <w:divBdr>
            <w:top w:val="single" w:sz="6" w:space="0" w:color="auto"/>
            <w:left w:val="single" w:sz="6" w:space="0" w:color="auto"/>
            <w:bottom w:val="single" w:sz="6" w:space="0" w:color="auto"/>
            <w:right w:val="single" w:sz="6" w:space="0" w:color="auto"/>
          </w:divBdr>
        </w:div>
      </w:divsChild>
    </w:div>
    <w:div w:id="1984384356">
      <w:bodyDiv w:val="1"/>
      <w:marLeft w:val="0"/>
      <w:marRight w:val="0"/>
      <w:marTop w:val="0"/>
      <w:marBottom w:val="0"/>
      <w:divBdr>
        <w:top w:val="none" w:sz="0" w:space="0" w:color="auto"/>
        <w:left w:val="none" w:sz="0" w:space="0" w:color="auto"/>
        <w:bottom w:val="none" w:sz="0" w:space="0" w:color="auto"/>
        <w:right w:val="none" w:sz="0" w:space="0" w:color="auto"/>
      </w:divBdr>
    </w:div>
    <w:div w:id="2006787167">
      <w:bodyDiv w:val="1"/>
      <w:marLeft w:val="0"/>
      <w:marRight w:val="0"/>
      <w:marTop w:val="0"/>
      <w:marBottom w:val="0"/>
      <w:divBdr>
        <w:top w:val="none" w:sz="0" w:space="0" w:color="auto"/>
        <w:left w:val="none" w:sz="0" w:space="0" w:color="auto"/>
        <w:bottom w:val="none" w:sz="0" w:space="0" w:color="auto"/>
        <w:right w:val="none" w:sz="0" w:space="0" w:color="auto"/>
      </w:divBdr>
      <w:divsChild>
        <w:div w:id="1206332382">
          <w:marLeft w:val="0"/>
          <w:marRight w:val="0"/>
          <w:marTop w:val="0"/>
          <w:marBottom w:val="0"/>
          <w:divBdr>
            <w:top w:val="single" w:sz="6" w:space="0" w:color="auto"/>
            <w:left w:val="single" w:sz="6" w:space="0" w:color="auto"/>
            <w:bottom w:val="single" w:sz="6" w:space="0" w:color="auto"/>
            <w:right w:val="single" w:sz="6" w:space="0" w:color="auto"/>
          </w:divBdr>
        </w:div>
      </w:divsChild>
    </w:div>
    <w:div w:id="2017489552">
      <w:bodyDiv w:val="1"/>
      <w:marLeft w:val="0"/>
      <w:marRight w:val="0"/>
      <w:marTop w:val="0"/>
      <w:marBottom w:val="0"/>
      <w:divBdr>
        <w:top w:val="none" w:sz="0" w:space="0" w:color="auto"/>
        <w:left w:val="none" w:sz="0" w:space="0" w:color="auto"/>
        <w:bottom w:val="none" w:sz="0" w:space="0" w:color="auto"/>
        <w:right w:val="none" w:sz="0" w:space="0" w:color="auto"/>
      </w:divBdr>
    </w:div>
    <w:div w:id="2023390525">
      <w:bodyDiv w:val="1"/>
      <w:marLeft w:val="0"/>
      <w:marRight w:val="0"/>
      <w:marTop w:val="0"/>
      <w:marBottom w:val="0"/>
      <w:divBdr>
        <w:top w:val="none" w:sz="0" w:space="0" w:color="auto"/>
        <w:left w:val="none" w:sz="0" w:space="0" w:color="auto"/>
        <w:bottom w:val="none" w:sz="0" w:space="0" w:color="auto"/>
        <w:right w:val="none" w:sz="0" w:space="0" w:color="auto"/>
      </w:divBdr>
    </w:div>
    <w:div w:id="2029868795">
      <w:bodyDiv w:val="1"/>
      <w:marLeft w:val="0"/>
      <w:marRight w:val="0"/>
      <w:marTop w:val="0"/>
      <w:marBottom w:val="0"/>
      <w:divBdr>
        <w:top w:val="none" w:sz="0" w:space="0" w:color="auto"/>
        <w:left w:val="none" w:sz="0" w:space="0" w:color="auto"/>
        <w:bottom w:val="none" w:sz="0" w:space="0" w:color="auto"/>
        <w:right w:val="none" w:sz="0" w:space="0" w:color="auto"/>
      </w:divBdr>
    </w:div>
    <w:div w:id="2035841521">
      <w:bodyDiv w:val="1"/>
      <w:marLeft w:val="0"/>
      <w:marRight w:val="0"/>
      <w:marTop w:val="0"/>
      <w:marBottom w:val="0"/>
      <w:divBdr>
        <w:top w:val="none" w:sz="0" w:space="0" w:color="auto"/>
        <w:left w:val="none" w:sz="0" w:space="0" w:color="auto"/>
        <w:bottom w:val="none" w:sz="0" w:space="0" w:color="auto"/>
        <w:right w:val="none" w:sz="0" w:space="0" w:color="auto"/>
      </w:divBdr>
    </w:div>
    <w:div w:id="2038696750">
      <w:bodyDiv w:val="1"/>
      <w:marLeft w:val="0"/>
      <w:marRight w:val="0"/>
      <w:marTop w:val="0"/>
      <w:marBottom w:val="0"/>
      <w:divBdr>
        <w:top w:val="none" w:sz="0" w:space="0" w:color="auto"/>
        <w:left w:val="none" w:sz="0" w:space="0" w:color="auto"/>
        <w:bottom w:val="none" w:sz="0" w:space="0" w:color="auto"/>
        <w:right w:val="none" w:sz="0" w:space="0" w:color="auto"/>
      </w:divBdr>
    </w:div>
    <w:div w:id="2040280470">
      <w:bodyDiv w:val="1"/>
      <w:marLeft w:val="0"/>
      <w:marRight w:val="0"/>
      <w:marTop w:val="0"/>
      <w:marBottom w:val="0"/>
      <w:divBdr>
        <w:top w:val="none" w:sz="0" w:space="0" w:color="auto"/>
        <w:left w:val="none" w:sz="0" w:space="0" w:color="auto"/>
        <w:bottom w:val="none" w:sz="0" w:space="0" w:color="auto"/>
        <w:right w:val="none" w:sz="0" w:space="0" w:color="auto"/>
      </w:divBdr>
    </w:div>
    <w:div w:id="2045211031">
      <w:bodyDiv w:val="1"/>
      <w:marLeft w:val="0"/>
      <w:marRight w:val="0"/>
      <w:marTop w:val="0"/>
      <w:marBottom w:val="0"/>
      <w:divBdr>
        <w:top w:val="none" w:sz="0" w:space="0" w:color="auto"/>
        <w:left w:val="none" w:sz="0" w:space="0" w:color="auto"/>
        <w:bottom w:val="none" w:sz="0" w:space="0" w:color="auto"/>
        <w:right w:val="none" w:sz="0" w:space="0" w:color="auto"/>
      </w:divBdr>
    </w:div>
    <w:div w:id="2057193778">
      <w:bodyDiv w:val="1"/>
      <w:marLeft w:val="0"/>
      <w:marRight w:val="0"/>
      <w:marTop w:val="0"/>
      <w:marBottom w:val="0"/>
      <w:divBdr>
        <w:top w:val="none" w:sz="0" w:space="0" w:color="auto"/>
        <w:left w:val="none" w:sz="0" w:space="0" w:color="auto"/>
        <w:bottom w:val="none" w:sz="0" w:space="0" w:color="auto"/>
        <w:right w:val="none" w:sz="0" w:space="0" w:color="auto"/>
      </w:divBdr>
    </w:div>
    <w:div w:id="2058502736">
      <w:bodyDiv w:val="1"/>
      <w:marLeft w:val="0"/>
      <w:marRight w:val="0"/>
      <w:marTop w:val="0"/>
      <w:marBottom w:val="0"/>
      <w:divBdr>
        <w:top w:val="none" w:sz="0" w:space="0" w:color="auto"/>
        <w:left w:val="none" w:sz="0" w:space="0" w:color="auto"/>
        <w:bottom w:val="none" w:sz="0" w:space="0" w:color="auto"/>
        <w:right w:val="none" w:sz="0" w:space="0" w:color="auto"/>
      </w:divBdr>
    </w:div>
    <w:div w:id="2060396789">
      <w:bodyDiv w:val="1"/>
      <w:marLeft w:val="0"/>
      <w:marRight w:val="0"/>
      <w:marTop w:val="0"/>
      <w:marBottom w:val="0"/>
      <w:divBdr>
        <w:top w:val="none" w:sz="0" w:space="0" w:color="auto"/>
        <w:left w:val="none" w:sz="0" w:space="0" w:color="auto"/>
        <w:bottom w:val="none" w:sz="0" w:space="0" w:color="auto"/>
        <w:right w:val="none" w:sz="0" w:space="0" w:color="auto"/>
      </w:divBdr>
    </w:div>
    <w:div w:id="2082169592">
      <w:bodyDiv w:val="1"/>
      <w:marLeft w:val="0"/>
      <w:marRight w:val="0"/>
      <w:marTop w:val="0"/>
      <w:marBottom w:val="0"/>
      <w:divBdr>
        <w:top w:val="none" w:sz="0" w:space="0" w:color="auto"/>
        <w:left w:val="none" w:sz="0" w:space="0" w:color="auto"/>
        <w:bottom w:val="none" w:sz="0" w:space="0" w:color="auto"/>
        <w:right w:val="none" w:sz="0" w:space="0" w:color="auto"/>
      </w:divBdr>
      <w:divsChild>
        <w:div w:id="1766808397">
          <w:marLeft w:val="0"/>
          <w:marRight w:val="0"/>
          <w:marTop w:val="0"/>
          <w:marBottom w:val="0"/>
          <w:divBdr>
            <w:top w:val="single" w:sz="6" w:space="0" w:color="auto"/>
            <w:left w:val="single" w:sz="6" w:space="0" w:color="auto"/>
            <w:bottom w:val="single" w:sz="6" w:space="0" w:color="auto"/>
            <w:right w:val="single" w:sz="6" w:space="0" w:color="auto"/>
          </w:divBdr>
        </w:div>
      </w:divsChild>
    </w:div>
    <w:div w:id="2085756299">
      <w:bodyDiv w:val="1"/>
      <w:marLeft w:val="0"/>
      <w:marRight w:val="0"/>
      <w:marTop w:val="0"/>
      <w:marBottom w:val="0"/>
      <w:divBdr>
        <w:top w:val="none" w:sz="0" w:space="0" w:color="auto"/>
        <w:left w:val="none" w:sz="0" w:space="0" w:color="auto"/>
        <w:bottom w:val="none" w:sz="0" w:space="0" w:color="auto"/>
        <w:right w:val="none" w:sz="0" w:space="0" w:color="auto"/>
      </w:divBdr>
    </w:div>
    <w:div w:id="2093311786">
      <w:bodyDiv w:val="1"/>
      <w:marLeft w:val="0"/>
      <w:marRight w:val="0"/>
      <w:marTop w:val="0"/>
      <w:marBottom w:val="0"/>
      <w:divBdr>
        <w:top w:val="none" w:sz="0" w:space="0" w:color="auto"/>
        <w:left w:val="none" w:sz="0" w:space="0" w:color="auto"/>
        <w:bottom w:val="none" w:sz="0" w:space="0" w:color="auto"/>
        <w:right w:val="none" w:sz="0" w:space="0" w:color="auto"/>
      </w:divBdr>
    </w:div>
    <w:div w:id="2095742893">
      <w:bodyDiv w:val="1"/>
      <w:marLeft w:val="0"/>
      <w:marRight w:val="0"/>
      <w:marTop w:val="0"/>
      <w:marBottom w:val="0"/>
      <w:divBdr>
        <w:top w:val="none" w:sz="0" w:space="0" w:color="auto"/>
        <w:left w:val="none" w:sz="0" w:space="0" w:color="auto"/>
        <w:bottom w:val="none" w:sz="0" w:space="0" w:color="auto"/>
        <w:right w:val="none" w:sz="0" w:space="0" w:color="auto"/>
      </w:divBdr>
    </w:div>
    <w:div w:id="2098401130">
      <w:bodyDiv w:val="1"/>
      <w:marLeft w:val="0"/>
      <w:marRight w:val="0"/>
      <w:marTop w:val="0"/>
      <w:marBottom w:val="0"/>
      <w:divBdr>
        <w:top w:val="none" w:sz="0" w:space="0" w:color="auto"/>
        <w:left w:val="none" w:sz="0" w:space="0" w:color="auto"/>
        <w:bottom w:val="none" w:sz="0" w:space="0" w:color="auto"/>
        <w:right w:val="none" w:sz="0" w:space="0" w:color="auto"/>
      </w:divBdr>
    </w:div>
    <w:div w:id="2101217955">
      <w:bodyDiv w:val="1"/>
      <w:marLeft w:val="0"/>
      <w:marRight w:val="0"/>
      <w:marTop w:val="0"/>
      <w:marBottom w:val="0"/>
      <w:divBdr>
        <w:top w:val="none" w:sz="0" w:space="0" w:color="auto"/>
        <w:left w:val="none" w:sz="0" w:space="0" w:color="auto"/>
        <w:bottom w:val="none" w:sz="0" w:space="0" w:color="auto"/>
        <w:right w:val="none" w:sz="0" w:space="0" w:color="auto"/>
      </w:divBdr>
    </w:div>
    <w:div w:id="2105760190">
      <w:bodyDiv w:val="1"/>
      <w:marLeft w:val="0"/>
      <w:marRight w:val="0"/>
      <w:marTop w:val="0"/>
      <w:marBottom w:val="0"/>
      <w:divBdr>
        <w:top w:val="none" w:sz="0" w:space="0" w:color="auto"/>
        <w:left w:val="none" w:sz="0" w:space="0" w:color="auto"/>
        <w:bottom w:val="none" w:sz="0" w:space="0" w:color="auto"/>
        <w:right w:val="none" w:sz="0" w:space="0" w:color="auto"/>
      </w:divBdr>
    </w:div>
    <w:div w:id="2111243462">
      <w:bodyDiv w:val="1"/>
      <w:marLeft w:val="0"/>
      <w:marRight w:val="0"/>
      <w:marTop w:val="0"/>
      <w:marBottom w:val="0"/>
      <w:divBdr>
        <w:top w:val="none" w:sz="0" w:space="0" w:color="auto"/>
        <w:left w:val="none" w:sz="0" w:space="0" w:color="auto"/>
        <w:bottom w:val="none" w:sz="0" w:space="0" w:color="auto"/>
        <w:right w:val="none" w:sz="0" w:space="0" w:color="auto"/>
      </w:divBdr>
    </w:div>
    <w:div w:id="2111316647">
      <w:bodyDiv w:val="1"/>
      <w:marLeft w:val="0"/>
      <w:marRight w:val="0"/>
      <w:marTop w:val="0"/>
      <w:marBottom w:val="0"/>
      <w:divBdr>
        <w:top w:val="none" w:sz="0" w:space="0" w:color="auto"/>
        <w:left w:val="none" w:sz="0" w:space="0" w:color="auto"/>
        <w:bottom w:val="none" w:sz="0" w:space="0" w:color="auto"/>
        <w:right w:val="none" w:sz="0" w:space="0" w:color="auto"/>
      </w:divBdr>
    </w:div>
    <w:div w:id="2111701731">
      <w:bodyDiv w:val="1"/>
      <w:marLeft w:val="0"/>
      <w:marRight w:val="0"/>
      <w:marTop w:val="0"/>
      <w:marBottom w:val="0"/>
      <w:divBdr>
        <w:top w:val="none" w:sz="0" w:space="0" w:color="auto"/>
        <w:left w:val="none" w:sz="0" w:space="0" w:color="auto"/>
        <w:bottom w:val="none" w:sz="0" w:space="0" w:color="auto"/>
        <w:right w:val="none" w:sz="0" w:space="0" w:color="auto"/>
      </w:divBdr>
      <w:divsChild>
        <w:div w:id="498733878">
          <w:marLeft w:val="0"/>
          <w:marRight w:val="0"/>
          <w:marTop w:val="0"/>
          <w:marBottom w:val="0"/>
          <w:divBdr>
            <w:top w:val="single" w:sz="6" w:space="0" w:color="auto"/>
            <w:left w:val="single" w:sz="6" w:space="0" w:color="auto"/>
            <w:bottom w:val="single" w:sz="6" w:space="0" w:color="auto"/>
            <w:right w:val="single" w:sz="6" w:space="0" w:color="auto"/>
          </w:divBdr>
        </w:div>
      </w:divsChild>
    </w:div>
    <w:div w:id="2119449441">
      <w:bodyDiv w:val="1"/>
      <w:marLeft w:val="0"/>
      <w:marRight w:val="0"/>
      <w:marTop w:val="0"/>
      <w:marBottom w:val="0"/>
      <w:divBdr>
        <w:top w:val="none" w:sz="0" w:space="0" w:color="auto"/>
        <w:left w:val="none" w:sz="0" w:space="0" w:color="auto"/>
        <w:bottom w:val="none" w:sz="0" w:space="0" w:color="auto"/>
        <w:right w:val="none" w:sz="0" w:space="0" w:color="auto"/>
      </w:divBdr>
    </w:div>
    <w:div w:id="2125222707">
      <w:bodyDiv w:val="1"/>
      <w:marLeft w:val="0"/>
      <w:marRight w:val="0"/>
      <w:marTop w:val="0"/>
      <w:marBottom w:val="0"/>
      <w:divBdr>
        <w:top w:val="none" w:sz="0" w:space="0" w:color="auto"/>
        <w:left w:val="none" w:sz="0" w:space="0" w:color="auto"/>
        <w:bottom w:val="none" w:sz="0" w:space="0" w:color="auto"/>
        <w:right w:val="none" w:sz="0" w:space="0" w:color="auto"/>
      </w:divBdr>
    </w:div>
    <w:div w:id="2132240431">
      <w:bodyDiv w:val="1"/>
      <w:marLeft w:val="0"/>
      <w:marRight w:val="0"/>
      <w:marTop w:val="0"/>
      <w:marBottom w:val="0"/>
      <w:divBdr>
        <w:top w:val="none" w:sz="0" w:space="0" w:color="auto"/>
        <w:left w:val="none" w:sz="0" w:space="0" w:color="auto"/>
        <w:bottom w:val="none" w:sz="0" w:space="0" w:color="auto"/>
        <w:right w:val="none" w:sz="0" w:space="0" w:color="auto"/>
      </w:divBdr>
    </w:div>
    <w:div w:id="2135561101">
      <w:bodyDiv w:val="1"/>
      <w:marLeft w:val="0"/>
      <w:marRight w:val="0"/>
      <w:marTop w:val="0"/>
      <w:marBottom w:val="0"/>
      <w:divBdr>
        <w:top w:val="none" w:sz="0" w:space="0" w:color="auto"/>
        <w:left w:val="none" w:sz="0" w:space="0" w:color="auto"/>
        <w:bottom w:val="none" w:sz="0" w:space="0" w:color="auto"/>
        <w:right w:val="none" w:sz="0" w:space="0" w:color="auto"/>
      </w:divBdr>
    </w:div>
    <w:div w:id="2137405852">
      <w:bodyDiv w:val="1"/>
      <w:marLeft w:val="0"/>
      <w:marRight w:val="0"/>
      <w:marTop w:val="0"/>
      <w:marBottom w:val="0"/>
      <w:divBdr>
        <w:top w:val="none" w:sz="0" w:space="0" w:color="auto"/>
        <w:left w:val="none" w:sz="0" w:space="0" w:color="auto"/>
        <w:bottom w:val="none" w:sz="0" w:space="0" w:color="auto"/>
        <w:right w:val="none" w:sz="0" w:space="0" w:color="auto"/>
      </w:divBdr>
    </w:div>
    <w:div w:id="214060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Cor15</b:Tag>
    <b:SourceType>InternetSite</b:SourceType>
    <b:Guid>{406F6B34-463D-4C55-839D-A2F0031F30A4}</b:Guid>
    <b:Author>
      <b:Author>
        <b:Corporate>Corporate Finance Institute</b:Corporate>
      </b:Author>
    </b:Author>
    <b:Title>2008-2009 Global Financial Crisis</b:Title>
    <b:Year>2015</b:Year>
    <b:YearAccessed>2024</b:YearAccessed>
    <b:MonthAccessed>March</b:MonthAccessed>
    <b:DayAccessed>10</b:DayAccessed>
    <b:URL>https://corporatefinanceinstitute.com/resources/economics/2008-2009-global-financial-crisis/</b:URL>
    <b:RefOrder>1</b:RefOrder>
  </b:Source>
  <b:Source>
    <b:Tag>Inv231</b:Tag>
    <b:SourceType>InternetSite</b:SourceType>
    <b:Guid>{F2CA2581-8BDE-40E1-939E-BD3CE23B1D04}</b:Guid>
    <b:Author>
      <b:Author>
        <b:Corporate>Investopedia</b:Corporate>
      </b:Author>
    </b:Author>
    <b:Title>The Fall of the Market in the Fall of 2008</b:Title>
    <b:Year>2023</b:Year>
    <b:YearAccessed>2024</b:YearAccessed>
    <b:MonthAccessed>March</b:MonthAccessed>
    <b:DayAccessed>10</b:DayAccessed>
    <b:URL>https://www.investopedia.com/articles/economics/09/subprime-market-2008.asp</b:URL>
    <b:RefOrder>2</b:RefOrder>
  </b:Source>
  <b:Source>
    <b:Tag>SPD21</b:Tag>
    <b:SourceType>InternetSite</b:SourceType>
    <b:Guid>{B9B276A9-45D6-45BE-A063-1B6E83056D02}</b:Guid>
    <b:Author>
      <b:Author>
        <b:Corporate>S&amp;P Dow Jones Indices LLC</b:Corporate>
      </b:Author>
    </b:Author>
    <b:Title>S&amp;P/Case-Shiller U.S. National Home Price Index [CSUSHPINSA]</b:Title>
    <b:Year>2021</b:Year>
    <b:YearAccessed>2024</b:YearAccessed>
    <b:MonthAccessed>March</b:MonthAccessed>
    <b:DayAccessed>10</b:DayAccessed>
    <b:URL>https://fred.stlouisfed.org/series/CSUSHPINSA</b:URL>
    <b:RefOrder>3</b:RefOrder>
  </b:Source>
  <b:Source>
    <b:Tag>Int09</b:Tag>
    <b:SourceType>InternetSite</b:SourceType>
    <b:Guid>{97474094-CF41-425E-80A6-B0F6FE43E56A}</b:Guid>
    <b:Author>
      <b:Author>
        <b:Corporate>International Monetary Fund</b:Corporate>
      </b:Author>
    </b:Author>
    <b:Title>World Economic Outlook</b:Title>
    <b:Year>2009</b:Year>
    <b:YearAccessed>2024</b:YearAccessed>
    <b:MonthAccessed>March</b:MonthAccessed>
    <b:DayAccessed>10</b:DayAccessed>
    <b:URL>https://www.imf.org/en/Publications/WEO/Issues/2016/12/31/World-Economic-Outlook-April-2009-Crisis-and-Recovery-22575</b:URL>
    <b:RefOrder>4</b:RefOrder>
  </b:Source>
  <b:Source>
    <b:Tag>Gov10</b:Tag>
    <b:SourceType>InternetSite</b:SourceType>
    <b:Guid>{0C1F5D16-630E-4C35-B22A-1E334EB4C902}</b:Guid>
    <b:Author>
      <b:Author>
        <b:Corporate>GovInfo</b:Corporate>
      </b:Author>
    </b:Author>
    <b:Title>Public Law 111 - 203 - Dodd-Frank Wall Street Reform and Consumer Protection Act</b:Title>
    <b:Year>2010</b:Year>
    <b:YearAccessed>2024</b:YearAccessed>
    <b:MonthAccessed>March</b:MonthAccessed>
    <b:DayAccessed>10</b:DayAccessed>
    <b:URL>https://www.govinfo.gov/app/details/PLAW-111publ203</b:URL>
    <b:RefOrder>5</b:RefOrder>
  </b:Source>
  <b:Source>
    <b:Tag>Fed20</b:Tag>
    <b:SourceType>InternetSite</b:SourceType>
    <b:Guid>{42ACE80B-3524-4CBB-9027-61B2631FCD21}</b:Guid>
    <b:Title>Volcker Rule</b:Title>
    <b:Year>2020</b:Year>
    <b:YearAccessed>2024</b:YearAccessed>
    <b:MonthAccessed>March</b:MonthAccessed>
    <b:DayAccessed>12</b:DayAccessed>
    <b:URL>https://www.federalreserve.gov/supervisionreg/volcker-rule.htm</b:URL>
    <b:Author>
      <b:Author>
        <b:Corporate>Federal Reserve Board</b:Corporate>
      </b:Author>
    </b:Author>
    <b:RefOrder>6</b:RefOrder>
  </b:Source>
  <b:Source>
    <b:Tag>Fed09</b:Tag>
    <b:SourceType>InternetSite</b:SourceType>
    <b:Guid>{AA8D3432-3A95-441B-900C-AA8D69E8594E}</b:Guid>
    <b:Author>
      <b:Author>
        <b:Corporate>Federal Trade Commission</b:Corporate>
      </b:Author>
    </b:Author>
    <b:Title>Credit Card Accountability Responsibility and Disclosure Act of 2009 (Credit CARD Act)</b:Title>
    <b:Year>2009</b:Year>
    <b:YearAccessed>2024</b:YearAccessed>
    <b:MonthAccessed>March</b:MonthAccessed>
    <b:DayAccessed>10</b:DayAccessed>
    <b:URL>https://www.ftc.gov/legal-library/browse/statutes/credit-card-accountability-responsibility-disclosure-act-2009-credit-card-act</b:URL>
    <b:RefOrder>7</b:RefOrder>
  </b:Source>
  <b:Source>
    <b:Tag>USD12</b:Tag>
    <b:SourceType>InternetSite</b:SourceType>
    <b:Guid>{929CCC53-8A87-40A9-80EF-6AB14CB07585}</b:Guid>
    <b:Author>
      <b:Author>
        <b:Corporate>U.S Department of the Treasury</b:Corporate>
      </b:Author>
    </b:Author>
    <b:Title>Home Affordable Modification Program (HAMP)</b:Title>
    <b:Year>2012</b:Year>
    <b:YearAccessed>2024</b:YearAccessed>
    <b:MonthAccessed>March</b:MonthAccessed>
    <b:DayAccessed>10</b:DayAccessed>
    <b:URL>https://home.treasury.gov/data/troubled-assets-relief-program/housing/mha/hamp</b:URL>
    <b:RefOrder>8</b:RefOrder>
  </b:Source>
  <b:Source>
    <b:Tag>Nat20</b:Tag>
    <b:SourceType>InternetSite</b:SourceType>
    <b:Guid>{AF3D1187-E2FD-49D9-806A-B80E243F63F1}</b:Guid>
    <b:Author>
      <b:Author>
        <b:Corporate> National Credit Union Administration</b:Corporate>
      </b:Author>
    </b:Author>
    <b:Title>SAFE Act</b:Title>
    <b:Year>2020</b:Year>
    <b:YearAccessed>2024</b:YearAccessed>
    <b:MonthAccessed>March</b:MonthAccessed>
    <b:DayAccessed>10</b:DayAccessed>
    <b:URL>https://ncua.gov/regulation-supervision/manuals-guides/federal-consumer-financial-protection-guide/compliance-management/lending-regulations/secure-and-fair-enforcement-mortgage-licensing-act-safe-act-regulation-g#:~:text=The%20Secure%20and%20Fair%20Enfor</b:URL>
    <b:RefOrder>9</b:RefOrder>
  </b:Source>
  <b:Source>
    <b:Tag>Con21</b:Tag>
    <b:SourceType>InternetSite</b:SourceType>
    <b:Guid>{B5C1674E-1A48-4133-85D4-A2D1974EF3C8}</b:Guid>
    <b:Author>
      <b:Author>
        <b:Corporate>Consumer Financial Protection Bureau</b:Corporate>
      </b:Author>
    </b:Author>
    <b:Title>Enforcement actions</b:Title>
    <b:Year>2021</b:Year>
    <b:YearAccessed>2024</b:YearAccessed>
    <b:MonthAccessed>March</b:MonthAccessed>
    <b:DayAccessed>11</b:DayAccessed>
    <b:URL>https://www.consumerfinance.gov/enforcement/actions/</b:URL>
    <b:RefOrder>10</b:RefOrder>
  </b:Source>
  <b:Source>
    <b:Tag>Off211</b:Tag>
    <b:SourceType>InternetSite</b:SourceType>
    <b:Guid>{BD10CB6B-E137-48AA-92DA-3AE69E191C98}</b:Guid>
    <b:Author>
      <b:Author>
        <b:Corporate>Office for National Statistics</b:Corporate>
      </b:Author>
    </b:Author>
    <b:Title>Gross Domestic Product: Year on Year growth: CVM SA %</b:Title>
    <b:Year>2021</b:Year>
    <b:YearAccessed>2024</b:YearAccessed>
    <b:MonthAccessed>March</b:MonthAccessed>
    <b:DayAccessed>12</b:DayAccessed>
    <b:URL>https://www.ons.gov.uk/economy/grossdomesticproductgdp/timeseries/ihyp/qna</b:URL>
    <b:RefOrder>11</b:RefOrder>
  </b:Source>
  <b:Source>
    <b:Tag>Nat09</b:Tag>
    <b:SourceType>InternetSite</b:SourceType>
    <b:Guid>{994ED38C-755E-43BD-B949-C866CE79DC95}</b:Guid>
    <b:Author>
      <b:Author>
        <b:Corporate>National Audit Office</b:Corporate>
      </b:Author>
    </b:Author>
    <b:Title>Maintaining financial stability across the United Kingdom’s banking system</b:Title>
    <b:Year>2009</b:Year>
    <b:YearAccessed>2024</b:YearAccessed>
    <b:MonthAccessed>March</b:MonthAccessed>
    <b:DayAccessed>11</b:DayAccessed>
    <b:URL>https://www.nao.org.uk/wp-content/uploads/2009/12/091091.pdf</b:URL>
    <b:RefOrder>12</b:RefOrder>
  </b:Source>
  <b:Source>
    <b:Tag>Fin12</b:Tag>
    <b:SourceType>InternetSite</b:SourceType>
    <b:Guid>{6C8221FA-5BEE-4DC9-BA9C-6729F56DF75D}</b:Guid>
    <b:Author>
      <b:Author>
        <b:Corporate>Financial services act</b:Corporate>
      </b:Author>
    </b:Author>
    <b:Title>Financial Services Act 2012</b:Title>
    <b:Year>2012</b:Year>
    <b:YearAccessed>2024</b:YearAccessed>
    <b:MonthAccessed>March </b:MonthAccessed>
    <b:DayAccessed>12</b:DayAccessed>
    <b:URL>https://www.legislation.gov.uk/ukpga/2012/21/contents</b:URL>
    <b:RefOrder>13</b:RefOrder>
  </b:Source>
  <b:Source>
    <b:Tag>Ban09</b:Tag>
    <b:SourceType>InternetSite</b:SourceType>
    <b:Guid>{E3DAC100-2673-402F-B4E6-848F026E0B17}</b:Guid>
    <b:Author>
      <b:Author>
        <b:Corporate>Banking Act</b:Corporate>
      </b:Author>
    </b:Author>
    <b:Title>Banking Act 2009</b:Title>
    <b:Year>2009</b:Year>
    <b:YearAccessed>2024</b:YearAccessed>
    <b:MonthAccessed>March</b:MonthAccessed>
    <b:DayAccessed>12</b:DayAccessed>
    <b:URL>https://www.legislation.gov.uk/ukpga/2009/1/contents</b:URL>
    <b:RefOrder>26</b:RefOrder>
  </b:Source>
  <b:Source>
    <b:Tag>Ban082</b:Tag>
    <b:SourceType>InternetSite</b:SourceType>
    <b:Guid>{687BB963-E978-4D9D-B171-07F05ABD8C82}</b:Guid>
    <b:Author>
      <b:Author>
        <b:Corporate>Bank of England</b:Corporate>
      </b:Author>
    </b:Author>
    <b:Title>Recapitalisation of the UK Banking System</b:Title>
    <b:Year>2008</b:Year>
    <b:YearAccessed>2024</b:YearAccessed>
    <b:MonthAccessed>March</b:MonthAccessed>
    <b:DayAccessed>12</b:DayAccessed>
    <b:URL>https://www.bankofengland.co.uk/news/2008/october/recapitalisation-of-the-uk-banking-system</b:URL>
    <b:RefOrder>14</b:RefOrder>
  </b:Source>
  <b:Source>
    <b:Tag>HMT10</b:Tag>
    <b:SourceType>InternetSite</b:SourceType>
    <b:Guid>{F2FE4DC4-FF3F-4076-8D5A-2F06B232B1EF}</b:Guid>
    <b:Author>
      <b:Author>
        <b:Corporate>HM Treasury</b:Corporate>
      </b:Author>
    </b:Author>
    <b:Title>HM Treasury: The Asset Protection Scheme</b:Title>
    <b:Year>2010</b:Year>
    <b:YearAccessed>2024</b:YearAccessed>
    <b:MonthAccessed>March</b:MonthAccessed>
    <b:DayAccessed>12</b:DayAccessed>
    <b:URL>https://www.nao.org.uk/reports/hm-treasury-the-asset-protection-scheme/</b:URL>
    <b:RefOrder>15</b:RefOrder>
  </b:Source>
  <b:Source>
    <b:Tag>Uni08</b:Tag>
    <b:SourceType>InternetSite</b:SourceType>
    <b:Guid>{83911A21-D7C8-46DE-8A2B-03CD84D4667D}</b:Guid>
    <b:Author>
      <b:Author>
        <b:Corporate>UK Debt Management Offive</b:Corporate>
      </b:Author>
    </b:Author>
    <b:Title>2008 Credit Gurantee Scheme</b:Title>
    <b:Year>2008</b:Year>
    <b:YearAccessed>2024</b:YearAccessed>
    <b:MonthAccessed>March</b:MonthAccessed>
    <b:DayAccessed>12</b:DayAccessed>
    <b:URL>https://www.dmo.gov.uk/responsibilities/guarantee-schemes/credit-guarantee-scheme/</b:URL>
    <b:RefOrder>16</b:RefOrder>
  </b:Source>
  <b:Source>
    <b:Tag>Ban21</b:Tag>
    <b:SourceType>InternetSite</b:SourceType>
    <b:Guid>{2F444397-6F69-46B7-929F-3ED1F749CF4F}</b:Guid>
    <b:Author>
      <b:Author>
        <b:Corporate>Bank of England</b:Corporate>
      </b:Author>
    </b:Author>
    <b:Title>Prudent Regulation</b:Title>
    <b:Year>2021</b:Year>
    <b:YearAccessed>2024</b:YearAccessed>
    <b:MonthAccessed>March</b:MonthAccessed>
    <b:DayAccessed>12</b:DayAccessed>
    <b:URL>https://www.bankofengland.co.uk/prudential-regulation</b:URL>
    <b:RefOrder>17</b:RefOrder>
  </b:Source>
  <b:Source>
    <b:Tag>Ban19</b:Tag>
    <b:SourceType>InternetSite</b:SourceType>
    <b:Guid>{42B43234-107D-410F-BD06-3149ADEADA03}</b:Guid>
    <b:Author>
      <b:Author>
        <b:Corporate>Bank of England</b:Corporate>
      </b:Author>
    </b:Author>
    <b:Title>Ring-fencing</b:Title>
    <b:Year>2019</b:Year>
    <b:YearAccessed>2024</b:YearAccessed>
    <b:MonthAccessed>March</b:MonthAccessed>
    <b:DayAccessed>13</b:DayAccessed>
    <b:URL>https://www.bankofengland.co.uk/prudential-regulation/key-initiatives/ring-fencing</b:URL>
    <b:RefOrder>18</b:RefOrder>
  </b:Source>
  <b:Source>
    <b:Tag>Ban20</b:Tag>
    <b:SourceType>InternetSite</b:SourceType>
    <b:Guid>{71E3897D-89A0-47E1-A432-ABB920538B2C}</b:Guid>
    <b:Author>
      <b:Author>
        <b:Corporate>Bank of England</b:Corporate>
      </b:Author>
    </b:Author>
    <b:Title>Financial Stability Reports</b:Title>
    <b:Year>2020</b:Year>
    <b:YearAccessed>2024</b:YearAccessed>
    <b:MonthAccessed>March</b:MonthAccessed>
    <b:DayAccessed>12</b:DayAccessed>
    <b:URL>https://www.bankofengland.co.uk/financial-stability-report/financial-stability-reports</b:URL>
    <b:RefOrder>19</b:RefOrder>
  </b:Source>
  <b:Source>
    <b:Tag>Ban201</b:Tag>
    <b:SourceType>InternetSite</b:SourceType>
    <b:Guid>{C7EBF0F3-8CDB-45D1-B9F5-043054C72DB0}</b:Guid>
    <b:Author>
      <b:Author>
        <b:Corporate>Bank of England</b:Corporate>
      </b:Author>
    </b:Author>
    <b:Title>Financial stability Reports</b:Title>
    <b:Year>2020</b:Year>
    <b:YearAccessed>2024</b:YearAccessed>
    <b:MonthAccessed>March</b:MonthAccessed>
    <b:DayAccessed>12</b:DayAccessed>
    <b:URL>https://www.bankofengland.co.uk/-/media/boe/files/financial-stability-report/2020/august-2020.pdf</b:URL>
    <b:RefOrder>20</b:RefOrder>
  </b:Source>
  <b:Source>
    <b:Tag>Wel24</b:Tag>
    <b:SourceType>InternetSite</b:SourceType>
    <b:Guid>{AA84BD77-1918-4AB2-BFE9-172359B3B922}</b:Guid>
    <b:Author>
      <b:Author>
        <b:Corporate>Wells Fargo &amp; Company</b:Corporate>
      </b:Author>
    </b:Author>
    <b:Title>About</b:Title>
    <b:Year>2024</b:Year>
    <b:YearAccessed>2024</b:YearAccessed>
    <b:MonthAccessed>March</b:MonthAccessed>
    <b:DayAccessed>12</b:DayAccessed>
    <b:URL>https://www.wellsfargo.com/about/</b:URL>
    <b:RefOrder>21</b:RefOrder>
  </b:Source>
  <b:Source>
    <b:Tag>Mac232</b:Tag>
    <b:SourceType>InternetSite</b:SourceType>
    <b:Guid>{1AB8D9F8-5A71-448C-8564-DB20F2C07CAA}</b:Guid>
    <b:Author>
      <b:Author>
        <b:Corporate>Macrotrends</b:Corporate>
      </b:Author>
    </b:Author>
    <b:Title>Wells Fargo: Number of Employees 2010-2023 | WFC</b:Title>
    <b:Year>2023</b:Year>
    <b:YearAccessed>2023</b:YearAccessed>
    <b:MonthAccessed>March</b:MonthAccessed>
    <b:DayAccessed>12</b:DayAccessed>
    <b:URL>https://www.macrotrends.net/stocks/charts/WFC/wells-fargo/number-of-employees</b:URL>
    <b:RefOrder>22</b:RefOrder>
  </b:Source>
  <b:Source>
    <b:Tag>Wel07</b:Tag>
    <b:SourceType>InternetSite</b:SourceType>
    <b:Guid>{AE25F740-8AD5-4AC6-BECE-31DB5F935B75}</b:Guid>
    <b:Author>
      <b:Author>
        <b:Corporate>Wells Fargo &amp; Company</b:Corporate>
      </b:Author>
    </b:Author>
    <b:Title>Annual Report 2007</b:Title>
    <b:Year>2007</b:Year>
    <b:YearAccessed>2024</b:YearAccessed>
    <b:MonthAccessed>March</b:MonthAccessed>
    <b:DayAccessed>12</b:DayAccessed>
    <b:URL>https://www.annualreports.com/HostedData/AnnualReportArchive/w/NYSE_WFC_2007.pdf</b:URL>
    <b:RefOrder>23</b:RefOrder>
  </b:Source>
  <b:Source>
    <b:Tag>Wel20</b:Tag>
    <b:SourceType>InternetSite</b:SourceType>
    <b:Guid>{89611BF0-206E-4A87-A693-A6E8D31560AF}</b:Guid>
    <b:Author>
      <b:Author>
        <b:Corporate>Wells Fargo &amp; Company</b:Corporate>
      </b:Author>
    </b:Author>
    <b:Title>Annual Report 2020</b:Title>
    <b:Year>2020</b:Year>
    <b:YearAccessed>2024</b:YearAccessed>
    <b:MonthAccessed>March</b:MonthAccessed>
    <b:DayAccessed>12</b:DayAccessed>
    <b:URL>https://www08.wellsfargomedia.com/assets/pdf/about/investor-relations/annual-reports/2020-annual-report.pdf</b:URL>
    <b:RefOrder>24</b:RefOrder>
  </b:Source>
  <b:Source>
    <b:Tag>Wel19</b:Tag>
    <b:SourceType>InternetSite</b:SourceType>
    <b:Guid>{4E65CCC0-624B-46B8-8F03-55FF369514A9}</b:Guid>
    <b:Author>
      <b:Author>
        <b:Corporate>Wells Fargo &amp; Company</b:Corporate>
      </b:Author>
    </b:Author>
    <b:Title>Wells Fargo to Sell Institutional Retirement &amp; Trust Business to Principal Financial Group</b:Title>
    <b:Year>2019</b:Year>
    <b:YearAccessed>2024</b:YearAccessed>
    <b:MonthAccessed>March</b:MonthAccessed>
    <b:DayAccessed>12</b:DayAccessed>
    <b:URL>https://newsroom.wf.com/English/news-releases/news-release-details/2019/Wells-Fargo-to-Sell-Institutional-Retirement--Trust-Business-to-Principal-Financial-Group/default.aspx</b:URL>
    <b:RefOrder>25</b:RefOrder>
  </b:Source>
</b:Sources>
</file>

<file path=customXml/itemProps1.xml><?xml version="1.0" encoding="utf-8"?>
<ds:datastoreItem xmlns:ds="http://schemas.openxmlformats.org/officeDocument/2006/customXml" ds:itemID="{B35D4E3C-595F-40FE-845C-DE36EEA99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22</Pages>
  <Words>6915</Words>
  <Characters>40734</Characters>
  <Application>Microsoft Office Word</Application>
  <DocSecurity>0</DocSecurity>
  <Lines>678</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Joseph Vemula</dc:creator>
  <cp:keywords/>
  <dc:description/>
  <cp:lastModifiedBy>Microsoft account</cp:lastModifiedBy>
  <cp:revision>3</cp:revision>
  <dcterms:created xsi:type="dcterms:W3CDTF">2024-04-19T19:02:00Z</dcterms:created>
  <dcterms:modified xsi:type="dcterms:W3CDTF">2024-04-26T12:49:00Z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a1b824c8f787b8fd0c142e9173e949f7382abe397e8a34afcaa5df5f13a4704e</vt:lpwstr>
  </property>
</Properties>
</file>