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3DBD34" w14:textId="367A8446" w:rsidR="00983688" w:rsidRDefault="00983688" w:rsidP="00350899">
      <w:pPr>
        <w:spacing w:line="480" w:lineRule="auto"/>
        <w:jc w:val="center"/>
      </w:pPr>
    </w:p>
    <w:p w14:paraId="153136BE" w14:textId="0122C465" w:rsidR="00BB69AF" w:rsidRDefault="00BB69AF" w:rsidP="00350899">
      <w:pPr>
        <w:spacing w:line="480" w:lineRule="auto"/>
        <w:jc w:val="center"/>
      </w:pPr>
    </w:p>
    <w:p w14:paraId="2DD501ED" w14:textId="77777777" w:rsidR="00BB69AF" w:rsidRPr="00350899" w:rsidRDefault="00BB69AF" w:rsidP="00350899">
      <w:pPr>
        <w:spacing w:line="480" w:lineRule="auto"/>
        <w:jc w:val="center"/>
      </w:pPr>
    </w:p>
    <w:p w14:paraId="069A148A" w14:textId="62EC06FE" w:rsidR="00BB69AF" w:rsidRDefault="00BB69AF" w:rsidP="00BB69AF">
      <w:pPr>
        <w:tabs>
          <w:tab w:val="left" w:pos="3105"/>
        </w:tabs>
        <w:spacing w:after="0" w:line="360" w:lineRule="auto"/>
        <w:jc w:val="center"/>
        <w:rPr>
          <w:rFonts w:ascii="Arial" w:eastAsia="Arial" w:hAnsi="Arial" w:cs="Arial"/>
          <w:b/>
          <w:color w:val="222222"/>
          <w:kern w:val="0"/>
          <w:sz w:val="28"/>
          <w:szCs w:val="28"/>
          <w14:ligatures w14:val="none"/>
        </w:rPr>
      </w:pPr>
      <w:r w:rsidRPr="00E603C1">
        <w:rPr>
          <w:rFonts w:ascii="Arial" w:eastAsia="Arial" w:hAnsi="Arial" w:cs="Arial"/>
          <w:b/>
          <w:color w:val="222222"/>
          <w:kern w:val="0"/>
          <w:sz w:val="28"/>
          <w:szCs w:val="28"/>
          <w14:ligatures w14:val="none"/>
        </w:rPr>
        <w:t>BA (Hons) Business Management</w:t>
      </w:r>
    </w:p>
    <w:p w14:paraId="6012B198" w14:textId="77777777" w:rsidR="00BB69AF" w:rsidRPr="00E603C1" w:rsidRDefault="00BB69AF" w:rsidP="00BB69AF">
      <w:pPr>
        <w:tabs>
          <w:tab w:val="left" w:pos="3105"/>
        </w:tabs>
        <w:spacing w:after="0" w:line="360" w:lineRule="auto"/>
        <w:jc w:val="center"/>
        <w:rPr>
          <w:rFonts w:ascii="Arial" w:eastAsia="Arial" w:hAnsi="Arial" w:cs="Arial"/>
          <w:b/>
          <w:color w:val="222222"/>
          <w:kern w:val="0"/>
          <w:sz w:val="28"/>
          <w:szCs w:val="28"/>
          <w14:ligatures w14:val="none"/>
        </w:rPr>
      </w:pPr>
      <w:r>
        <w:rPr>
          <w:rFonts w:ascii="Arial" w:eastAsia="Arial" w:hAnsi="Arial" w:cs="Arial"/>
          <w:b/>
          <w:color w:val="222222"/>
          <w:kern w:val="0"/>
          <w:sz w:val="28"/>
          <w:szCs w:val="28"/>
          <w14:ligatures w14:val="none"/>
        </w:rPr>
        <w:t>Academic Year: 2024/2025</w:t>
      </w:r>
    </w:p>
    <w:p w14:paraId="48340EA7" w14:textId="77777777" w:rsidR="00BB69AF" w:rsidRPr="00E603C1" w:rsidRDefault="00BB69AF" w:rsidP="00BB69AF">
      <w:pPr>
        <w:tabs>
          <w:tab w:val="left" w:pos="3105"/>
        </w:tabs>
        <w:spacing w:after="0" w:line="360" w:lineRule="auto"/>
        <w:jc w:val="center"/>
        <w:rPr>
          <w:rFonts w:ascii="Arial" w:eastAsia="Arial" w:hAnsi="Arial" w:cs="Arial"/>
          <w:b/>
          <w:color w:val="222222"/>
          <w:kern w:val="0"/>
          <w:sz w:val="28"/>
          <w:szCs w:val="28"/>
          <w14:ligatures w14:val="none"/>
        </w:rPr>
      </w:pPr>
      <w:r w:rsidRPr="00E603C1">
        <w:rPr>
          <w:rFonts w:ascii="Arial" w:eastAsia="Arial" w:hAnsi="Arial" w:cs="Arial"/>
          <w:b/>
          <w:color w:val="222222"/>
          <w:kern w:val="0"/>
          <w:sz w:val="28"/>
          <w:szCs w:val="28"/>
          <w14:ligatures w14:val="none"/>
        </w:rPr>
        <w:t>Student Name: Ileana Lupu</w:t>
      </w:r>
    </w:p>
    <w:p w14:paraId="1022EEDE" w14:textId="77777777" w:rsidR="00BB69AF" w:rsidRPr="00E603C1" w:rsidRDefault="00BB69AF" w:rsidP="00BB69AF">
      <w:pPr>
        <w:tabs>
          <w:tab w:val="left" w:pos="3105"/>
        </w:tabs>
        <w:spacing w:after="0" w:line="360" w:lineRule="auto"/>
        <w:jc w:val="center"/>
        <w:rPr>
          <w:rFonts w:ascii="Arial" w:eastAsia="Arial" w:hAnsi="Arial" w:cs="Arial"/>
          <w:b/>
          <w:color w:val="222222"/>
          <w:kern w:val="0"/>
          <w:sz w:val="28"/>
          <w:szCs w:val="28"/>
          <w14:ligatures w14:val="none"/>
        </w:rPr>
      </w:pPr>
      <w:r w:rsidRPr="00E603C1">
        <w:rPr>
          <w:rFonts w:ascii="Arial" w:eastAsia="Arial" w:hAnsi="Arial" w:cs="Arial"/>
          <w:b/>
          <w:color w:val="222222"/>
          <w:kern w:val="0"/>
          <w:sz w:val="28"/>
          <w:szCs w:val="28"/>
          <w14:ligatures w14:val="none"/>
        </w:rPr>
        <w:t>Student Number: 2231908</w:t>
      </w:r>
    </w:p>
    <w:p w14:paraId="27327817" w14:textId="599D5D6C" w:rsidR="00BB69AF" w:rsidRPr="00BB69AF" w:rsidRDefault="00BB69AF" w:rsidP="00BB69AF">
      <w:pPr>
        <w:tabs>
          <w:tab w:val="left" w:pos="3105"/>
        </w:tabs>
        <w:spacing w:after="0" w:line="360" w:lineRule="auto"/>
        <w:jc w:val="center"/>
        <w:rPr>
          <w:rFonts w:ascii="Arial" w:eastAsia="Arial" w:hAnsi="Arial" w:cs="Arial"/>
          <w:b/>
          <w:color w:val="222222"/>
          <w:kern w:val="0"/>
          <w:sz w:val="28"/>
          <w:szCs w:val="28"/>
          <w:lang w:val="en-GB"/>
          <w14:ligatures w14:val="none"/>
        </w:rPr>
      </w:pPr>
      <w:r w:rsidRPr="00E603C1">
        <w:rPr>
          <w:rFonts w:ascii="Arial" w:eastAsia="Arial" w:hAnsi="Arial" w:cs="Arial"/>
          <w:b/>
          <w:color w:val="222222"/>
          <w:kern w:val="0"/>
          <w:sz w:val="28"/>
          <w:szCs w:val="28"/>
          <w14:ligatures w14:val="none"/>
        </w:rPr>
        <w:t>Lecturer Name:</w:t>
      </w:r>
      <w:r>
        <w:rPr>
          <w:rFonts w:ascii="Arial" w:eastAsia="Arial" w:hAnsi="Arial" w:cs="Arial"/>
          <w:b/>
          <w:color w:val="222222"/>
          <w:kern w:val="0"/>
          <w:sz w:val="28"/>
          <w:szCs w:val="28"/>
          <w14:ligatures w14:val="none"/>
        </w:rPr>
        <w:t xml:space="preserve"> </w:t>
      </w:r>
      <w:r w:rsidRPr="00BB69AF">
        <w:rPr>
          <w:rFonts w:ascii="Arial" w:eastAsia="Arial" w:hAnsi="Arial" w:cs="Arial"/>
          <w:b/>
          <w:bCs/>
          <w:color w:val="222222"/>
          <w:kern w:val="0"/>
          <w:sz w:val="28"/>
          <w:szCs w:val="28"/>
          <w:lang w:val="en-GB"/>
          <w14:ligatures w14:val="none"/>
        </w:rPr>
        <w:t>Dr Mudassar Hasan</w:t>
      </w:r>
    </w:p>
    <w:p w14:paraId="5635E218" w14:textId="79BF831F" w:rsidR="00BB69AF" w:rsidRPr="00E603C1" w:rsidRDefault="00BB69AF" w:rsidP="00BB69AF">
      <w:pPr>
        <w:tabs>
          <w:tab w:val="left" w:pos="3105"/>
        </w:tabs>
        <w:spacing w:after="0" w:line="360" w:lineRule="auto"/>
        <w:jc w:val="center"/>
        <w:rPr>
          <w:rFonts w:ascii="Arial" w:eastAsia="Arial" w:hAnsi="Arial" w:cs="Arial"/>
          <w:b/>
          <w:bCs/>
          <w:color w:val="222222"/>
          <w:kern w:val="0"/>
          <w:sz w:val="28"/>
          <w:szCs w:val="28"/>
          <w:lang w:val="en-GB"/>
          <w14:ligatures w14:val="none"/>
        </w:rPr>
      </w:pPr>
      <w:r w:rsidRPr="00BB69AF">
        <w:rPr>
          <w:rFonts w:ascii="Arial" w:eastAsia="Arial" w:hAnsi="Arial" w:cs="Arial"/>
          <w:b/>
          <w:bCs/>
          <w:color w:val="222222"/>
          <w:kern w:val="0"/>
          <w:sz w:val="28"/>
          <w:szCs w:val="28"/>
          <w:lang w:val="en-GB"/>
          <w14:ligatures w14:val="none"/>
        </w:rPr>
        <w:t>LCBB6002</w:t>
      </w:r>
      <w:r w:rsidRPr="00E603C1">
        <w:rPr>
          <w:rFonts w:ascii="Arial" w:eastAsia="Arial" w:hAnsi="Arial" w:cs="Arial"/>
          <w:b/>
          <w:bCs/>
          <w:color w:val="222222"/>
          <w:kern w:val="0"/>
          <w:sz w:val="28"/>
          <w:szCs w:val="28"/>
          <w:lang w:val="en-GB"/>
          <w14:ligatures w14:val="none"/>
        </w:rPr>
        <w:t>_BIRM</w:t>
      </w:r>
    </w:p>
    <w:p w14:paraId="3CB6914B" w14:textId="77777777" w:rsidR="00BB69AF" w:rsidRDefault="00BB69AF" w:rsidP="00BB69AF">
      <w:pPr>
        <w:spacing w:line="480" w:lineRule="auto"/>
        <w:jc w:val="center"/>
        <w:rPr>
          <w:rFonts w:ascii="Arial" w:eastAsia="Arial" w:hAnsi="Arial" w:cs="Arial"/>
          <w:b/>
          <w:color w:val="222222"/>
          <w:kern w:val="0"/>
          <w:sz w:val="32"/>
          <w:szCs w:val="32"/>
          <w14:ligatures w14:val="none"/>
        </w:rPr>
      </w:pPr>
      <w:r w:rsidRPr="00BB69AF">
        <w:rPr>
          <w:rFonts w:ascii="Arial" w:eastAsia="Arial" w:hAnsi="Arial" w:cs="Arial"/>
          <w:b/>
          <w:color w:val="222222"/>
          <w:kern w:val="0"/>
          <w:sz w:val="32"/>
          <w:szCs w:val="32"/>
          <w14:ligatures w14:val="none"/>
        </w:rPr>
        <w:t xml:space="preserve">International Financial Management </w:t>
      </w:r>
    </w:p>
    <w:p w14:paraId="2C901503" w14:textId="022ACBB9" w:rsidR="00983688" w:rsidRPr="00BB69AF" w:rsidRDefault="00BB69AF" w:rsidP="00BB69AF">
      <w:pPr>
        <w:spacing w:line="480" w:lineRule="auto"/>
        <w:jc w:val="center"/>
        <w:rPr>
          <w:rFonts w:ascii="Arial" w:hAnsi="Arial" w:cs="Arial"/>
          <w:b/>
          <w:sz w:val="28"/>
          <w:szCs w:val="28"/>
        </w:rPr>
      </w:pPr>
      <w:r>
        <w:rPr>
          <w:rFonts w:ascii="Arial" w:hAnsi="Arial" w:cs="Arial"/>
          <w:b/>
          <w:sz w:val="28"/>
          <w:szCs w:val="28"/>
        </w:rPr>
        <w:t xml:space="preserve">Written Report - </w:t>
      </w:r>
      <w:r w:rsidR="00983688" w:rsidRPr="00BB69AF">
        <w:rPr>
          <w:rFonts w:ascii="Arial" w:hAnsi="Arial" w:cs="Arial"/>
          <w:b/>
          <w:sz w:val="28"/>
          <w:szCs w:val="28"/>
        </w:rPr>
        <w:t>Corporate Governance and Strategic Control</w:t>
      </w:r>
      <w:r w:rsidR="00E068E7" w:rsidRPr="00BB69AF">
        <w:rPr>
          <w:rFonts w:ascii="Arial" w:hAnsi="Arial" w:cs="Arial"/>
          <w:b/>
          <w:sz w:val="28"/>
          <w:szCs w:val="28"/>
        </w:rPr>
        <w:t xml:space="preserve"> </w:t>
      </w:r>
      <w:r w:rsidR="00983688" w:rsidRPr="00BB69AF">
        <w:rPr>
          <w:rFonts w:ascii="Arial" w:hAnsi="Arial" w:cs="Arial"/>
          <w:b/>
          <w:sz w:val="28"/>
          <w:szCs w:val="28"/>
        </w:rPr>
        <w:t xml:space="preserve"> </w:t>
      </w:r>
    </w:p>
    <w:p w14:paraId="2E82D282" w14:textId="77777777" w:rsidR="00983688" w:rsidRPr="00350899" w:rsidRDefault="00983688" w:rsidP="00350899">
      <w:pPr>
        <w:spacing w:line="480" w:lineRule="auto"/>
        <w:jc w:val="center"/>
        <w:rPr>
          <w:bCs/>
        </w:rPr>
      </w:pPr>
    </w:p>
    <w:p w14:paraId="0630AEC3" w14:textId="6B041003" w:rsidR="00983688" w:rsidRPr="00350899" w:rsidRDefault="00983688" w:rsidP="00350899">
      <w:pPr>
        <w:spacing w:line="480" w:lineRule="auto"/>
        <w:jc w:val="center"/>
        <w:rPr>
          <w:bCs/>
        </w:rPr>
      </w:pPr>
    </w:p>
    <w:p w14:paraId="14AD271D" w14:textId="77777777" w:rsidR="00983688" w:rsidRPr="00350899" w:rsidRDefault="00983688" w:rsidP="00350899">
      <w:pPr>
        <w:spacing w:line="480" w:lineRule="auto"/>
        <w:rPr>
          <w:bCs/>
        </w:rPr>
      </w:pPr>
      <w:r w:rsidRPr="00350899">
        <w:rPr>
          <w:bCs/>
        </w:rPr>
        <w:br w:type="page"/>
      </w:r>
    </w:p>
    <w:p w14:paraId="51C246D2" w14:textId="77777777" w:rsidR="00A1273F" w:rsidRPr="005D784F" w:rsidRDefault="00A1273F" w:rsidP="005D784F">
      <w:pPr>
        <w:pStyle w:val="Heading1"/>
      </w:pPr>
      <w:bookmarkStart w:id="0" w:name="_Toc191042494"/>
      <w:r w:rsidRPr="005D784F">
        <w:lastRenderedPageBreak/>
        <w:t>Executive Summary</w:t>
      </w:r>
      <w:bookmarkEnd w:id="0"/>
    </w:p>
    <w:p w14:paraId="2523C47A" w14:textId="77777777" w:rsidR="000D653F" w:rsidRPr="00BB69AF" w:rsidRDefault="00B304AC" w:rsidP="00BB69AF">
      <w:pPr>
        <w:spacing w:line="360" w:lineRule="auto"/>
        <w:jc w:val="both"/>
        <w:rPr>
          <w:rFonts w:ascii="Arial" w:hAnsi="Arial" w:cs="Arial"/>
          <w:bCs/>
          <w:sz w:val="22"/>
          <w:szCs w:val="22"/>
        </w:rPr>
      </w:pPr>
      <w:r w:rsidRPr="00BB69AF">
        <w:rPr>
          <w:rFonts w:ascii="Arial" w:hAnsi="Arial" w:cs="Arial"/>
          <w:bCs/>
          <w:sz w:val="22"/>
          <w:szCs w:val="22"/>
        </w:rPr>
        <w:t>This report considers significant tenets and concerns of theory of agency in preparing for UK Alternative Investment Market (AIM) listing, such as significant processes in maintaining family control over a company with a reduced level of shareholding, for instance, dual-class stocks, shareholder agreements, and collaboration with institution investors. It advises best practice with regard to pay for directors, for instance, performance-related pay, options, and claw-backs, in a form that will have the system seen to be fair and transparent. It contrasts and compares institution governance discrepancies between UK, Shanghai, and Netherlands with regard to governance frameworks, investors' protection, and governance structures in a corporation. Analysis concludes with strategic propositions for choosing an ideal location for a listing with its governance requirements accompanying it. Sound governance processes, in addition to incentives for executives in harmony with shareholder objectives, enable long-term steadiness in a corporation and maintenance of strategic control in post-listing environments.</w:t>
      </w:r>
      <w:r w:rsidR="000D653F" w:rsidRPr="00BB69AF">
        <w:rPr>
          <w:rFonts w:ascii="Arial" w:hAnsi="Arial" w:cs="Arial"/>
          <w:bCs/>
          <w:sz w:val="22"/>
          <w:szCs w:val="22"/>
        </w:rPr>
        <w:br w:type="page"/>
      </w:r>
    </w:p>
    <w:p w14:paraId="68353C28" w14:textId="77777777" w:rsidR="00A1273F" w:rsidRPr="00BB69AF" w:rsidRDefault="00A1273F" w:rsidP="00BB69AF">
      <w:pPr>
        <w:spacing w:line="360" w:lineRule="auto"/>
        <w:jc w:val="both"/>
        <w:rPr>
          <w:rFonts w:ascii="Arial" w:hAnsi="Arial" w:cs="Arial"/>
          <w:bCs/>
          <w:sz w:val="22"/>
          <w:szCs w:val="22"/>
        </w:rPr>
      </w:pPr>
    </w:p>
    <w:sdt>
      <w:sdtPr>
        <w:rPr>
          <w:rFonts w:ascii="Times New Roman" w:eastAsiaTheme="minorHAnsi" w:hAnsi="Times New Roman" w:cs="Times New Roman"/>
          <w:color w:val="auto"/>
          <w:kern w:val="2"/>
          <w:sz w:val="24"/>
          <w:szCs w:val="24"/>
          <w14:ligatures w14:val="standardContextual"/>
        </w:rPr>
        <w:id w:val="1224177999"/>
        <w:docPartObj>
          <w:docPartGallery w:val="Table of Contents"/>
          <w:docPartUnique/>
        </w:docPartObj>
      </w:sdtPr>
      <w:sdtEndPr>
        <w:rPr>
          <w:rFonts w:ascii="Arial" w:hAnsi="Arial"/>
          <w:b/>
          <w:bCs/>
          <w:noProof/>
          <w:sz w:val="22"/>
          <w:szCs w:val="22"/>
        </w:rPr>
      </w:sdtEndPr>
      <w:sdtContent>
        <w:p w14:paraId="5D51C171" w14:textId="77777777" w:rsidR="000D653F" w:rsidRPr="00D22D7F" w:rsidRDefault="000D653F" w:rsidP="005D784F">
          <w:pPr>
            <w:pStyle w:val="TOCHeading"/>
            <w:rPr>
              <w:rFonts w:ascii="Arial" w:hAnsi="Arial"/>
              <w:sz w:val="22"/>
              <w:szCs w:val="22"/>
            </w:rPr>
          </w:pPr>
          <w:r w:rsidRPr="00D22D7F">
            <w:rPr>
              <w:rFonts w:ascii="Arial" w:hAnsi="Arial"/>
              <w:sz w:val="22"/>
              <w:szCs w:val="22"/>
            </w:rPr>
            <w:t>Table of Contents</w:t>
          </w:r>
        </w:p>
        <w:p w14:paraId="4D42D7B2" w14:textId="57294824" w:rsidR="00D22D7F" w:rsidRPr="00D22D7F" w:rsidRDefault="000D653F">
          <w:pPr>
            <w:pStyle w:val="TOC1"/>
            <w:tabs>
              <w:tab w:val="right" w:leader="dot" w:pos="9350"/>
            </w:tabs>
            <w:rPr>
              <w:rFonts w:ascii="Arial" w:eastAsiaTheme="minorEastAsia" w:hAnsi="Arial" w:cs="Arial"/>
              <w:noProof/>
              <w:kern w:val="0"/>
              <w:sz w:val="22"/>
              <w:szCs w:val="22"/>
              <w:lang w:val="en-GB" w:eastAsia="en-GB"/>
              <w14:ligatures w14:val="none"/>
            </w:rPr>
          </w:pPr>
          <w:r w:rsidRPr="00D22D7F">
            <w:rPr>
              <w:rFonts w:ascii="Arial" w:hAnsi="Arial" w:cs="Arial"/>
              <w:sz w:val="22"/>
              <w:szCs w:val="22"/>
            </w:rPr>
            <w:fldChar w:fldCharType="begin"/>
          </w:r>
          <w:r w:rsidRPr="00D22D7F">
            <w:rPr>
              <w:rFonts w:ascii="Arial" w:hAnsi="Arial" w:cs="Arial"/>
              <w:sz w:val="22"/>
              <w:szCs w:val="22"/>
            </w:rPr>
            <w:instrText xml:space="preserve"> TOC \o "1-3" \h \z \u </w:instrText>
          </w:r>
          <w:r w:rsidRPr="00D22D7F">
            <w:rPr>
              <w:rFonts w:ascii="Arial" w:hAnsi="Arial" w:cs="Arial"/>
              <w:sz w:val="22"/>
              <w:szCs w:val="22"/>
            </w:rPr>
            <w:fldChar w:fldCharType="separate"/>
          </w:r>
          <w:hyperlink w:anchor="_Toc191042494" w:history="1">
            <w:r w:rsidR="00D22D7F" w:rsidRPr="00D22D7F">
              <w:rPr>
                <w:rStyle w:val="Hyperlink"/>
                <w:rFonts w:ascii="Arial" w:hAnsi="Arial" w:cs="Arial"/>
                <w:noProof/>
                <w:sz w:val="22"/>
                <w:szCs w:val="22"/>
              </w:rPr>
              <w:t>Executive Summary</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_Toc191042494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2</w:t>
            </w:r>
            <w:r w:rsidR="00D22D7F" w:rsidRPr="00D22D7F">
              <w:rPr>
                <w:rFonts w:ascii="Arial" w:hAnsi="Arial" w:cs="Arial"/>
                <w:noProof/>
                <w:webHidden/>
                <w:sz w:val="22"/>
                <w:szCs w:val="22"/>
              </w:rPr>
              <w:fldChar w:fldCharType="end"/>
            </w:r>
          </w:hyperlink>
        </w:p>
        <w:p w14:paraId="18599418" w14:textId="3D81A1BA"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495" w:history="1">
            <w:r w:rsidR="00D22D7F" w:rsidRPr="00D22D7F">
              <w:rPr>
                <w:rStyle w:val="Hyperlink"/>
                <w:rFonts w:ascii="Arial" w:hAnsi="Arial" w:cs="Arial"/>
                <w:noProof/>
                <w:sz w:val="22"/>
                <w:szCs w:val="22"/>
              </w:rPr>
              <w:t>1. Introduction</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_Toc191042495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4</w:t>
            </w:r>
            <w:r w:rsidR="00D22D7F" w:rsidRPr="00D22D7F">
              <w:rPr>
                <w:rFonts w:ascii="Arial" w:hAnsi="Arial" w:cs="Arial"/>
                <w:noProof/>
                <w:webHidden/>
                <w:sz w:val="22"/>
                <w:szCs w:val="22"/>
              </w:rPr>
              <w:fldChar w:fldCharType="end"/>
            </w:r>
          </w:hyperlink>
        </w:p>
        <w:p w14:paraId="3F931AAF" w14:textId="3704EDF3"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496" w:history="1">
            <w:r w:rsidR="00D22D7F" w:rsidRPr="00D22D7F">
              <w:rPr>
                <w:rStyle w:val="Hyperlink"/>
                <w:rFonts w:ascii="Arial" w:hAnsi="Arial" w:cs="Arial"/>
                <w:noProof/>
                <w:sz w:val="22"/>
                <w:szCs w:val="22"/>
              </w:rPr>
              <w:t>2. Corporate Governance and Agency Theory</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_Toc191042496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4</w:t>
            </w:r>
            <w:r w:rsidR="00D22D7F" w:rsidRPr="00D22D7F">
              <w:rPr>
                <w:rFonts w:ascii="Arial" w:hAnsi="Arial" w:cs="Arial"/>
                <w:noProof/>
                <w:webHidden/>
                <w:sz w:val="22"/>
                <w:szCs w:val="22"/>
              </w:rPr>
              <w:fldChar w:fldCharType="end"/>
            </w:r>
          </w:hyperlink>
        </w:p>
        <w:p w14:paraId="09738DBC" w14:textId="067A48D2" w:rsidR="00D22D7F" w:rsidRPr="00D22D7F" w:rsidRDefault="002C53DF">
          <w:pPr>
            <w:pStyle w:val="TOC2"/>
            <w:tabs>
              <w:tab w:val="right" w:leader="dot" w:pos="9350"/>
            </w:tabs>
            <w:rPr>
              <w:rFonts w:ascii="Arial" w:hAnsi="Arial" w:cs="Arial"/>
              <w:noProof/>
              <w:sz w:val="22"/>
              <w:szCs w:val="22"/>
            </w:rPr>
          </w:pPr>
          <w:hyperlink w:anchor="_Toc191042497" w:history="1">
            <w:r w:rsidR="00D22D7F" w:rsidRPr="00D22D7F">
              <w:rPr>
                <w:rStyle w:val="Hyperlink"/>
                <w:rFonts w:ascii="Arial" w:hAnsi="Arial" w:cs="Arial"/>
                <w:noProof/>
                <w:sz w:val="22"/>
                <w:szCs w:val="22"/>
              </w:rPr>
              <w:t>2.1. Concept, Requirements and Relevance</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_Toc191042497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4</w:t>
            </w:r>
            <w:r w:rsidR="00D22D7F" w:rsidRPr="00D22D7F">
              <w:rPr>
                <w:rFonts w:ascii="Arial" w:hAnsi="Arial" w:cs="Arial"/>
                <w:noProof/>
                <w:webHidden/>
                <w:sz w:val="22"/>
                <w:szCs w:val="22"/>
              </w:rPr>
              <w:fldChar w:fldCharType="end"/>
            </w:r>
          </w:hyperlink>
        </w:p>
        <w:p w14:paraId="311116D3" w14:textId="0FB495B2"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498" w:history="1">
            <w:r w:rsidR="00D22D7F" w:rsidRPr="00D22D7F">
              <w:rPr>
                <w:rStyle w:val="Hyperlink"/>
                <w:rFonts w:ascii="Arial" w:hAnsi="Arial" w:cs="Arial"/>
                <w:noProof/>
                <w:sz w:val="22"/>
                <w:szCs w:val="22"/>
              </w:rPr>
              <w:t>3.Retaining Control with 30% Shareholding</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_Toc191042498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5</w:t>
            </w:r>
            <w:r w:rsidR="00D22D7F" w:rsidRPr="00D22D7F">
              <w:rPr>
                <w:rFonts w:ascii="Arial" w:hAnsi="Arial" w:cs="Arial"/>
                <w:noProof/>
                <w:webHidden/>
                <w:sz w:val="22"/>
                <w:szCs w:val="22"/>
              </w:rPr>
              <w:fldChar w:fldCharType="end"/>
            </w:r>
          </w:hyperlink>
        </w:p>
        <w:p w14:paraId="77A578F6" w14:textId="2CF74151"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499" w:history="1">
            <w:r w:rsidR="00D22D7F" w:rsidRPr="00D22D7F">
              <w:rPr>
                <w:rStyle w:val="Hyperlink"/>
                <w:rFonts w:ascii="Arial" w:hAnsi="Arial" w:cs="Arial"/>
                <w:noProof/>
                <w:sz w:val="22"/>
                <w:szCs w:val="22"/>
              </w:rPr>
              <w:t>4. Director Remuneration, a Governance Framework and Determination</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_Toc191042499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6</w:t>
            </w:r>
            <w:r w:rsidR="00D22D7F" w:rsidRPr="00D22D7F">
              <w:rPr>
                <w:rFonts w:ascii="Arial" w:hAnsi="Arial" w:cs="Arial"/>
                <w:noProof/>
                <w:webHidden/>
                <w:sz w:val="22"/>
                <w:szCs w:val="22"/>
              </w:rPr>
              <w:fldChar w:fldCharType="end"/>
            </w:r>
          </w:hyperlink>
        </w:p>
        <w:p w14:paraId="221E6D2E" w14:textId="64F39B15"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500" w:history="1">
            <w:r w:rsidR="00D22D7F" w:rsidRPr="00D22D7F">
              <w:rPr>
                <w:rStyle w:val="Hyperlink"/>
                <w:rFonts w:ascii="Arial" w:hAnsi="Arial" w:cs="Arial"/>
                <w:noProof/>
                <w:sz w:val="22"/>
                <w:szCs w:val="22"/>
              </w:rPr>
              <w:t>5. Institutional Differences Between the UK, Shanghai, and the Netherlands</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_Toc191042500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7</w:t>
            </w:r>
            <w:r w:rsidR="00D22D7F" w:rsidRPr="00D22D7F">
              <w:rPr>
                <w:rFonts w:ascii="Arial" w:hAnsi="Arial" w:cs="Arial"/>
                <w:noProof/>
                <w:webHidden/>
                <w:sz w:val="22"/>
                <w:szCs w:val="22"/>
              </w:rPr>
              <w:fldChar w:fldCharType="end"/>
            </w:r>
          </w:hyperlink>
        </w:p>
        <w:p w14:paraId="044F4246" w14:textId="27F8323F"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501" w:history="1">
            <w:r w:rsidR="00D22D7F" w:rsidRPr="00D22D7F">
              <w:rPr>
                <w:rStyle w:val="Hyperlink"/>
                <w:rFonts w:ascii="Arial" w:hAnsi="Arial" w:cs="Arial"/>
                <w:noProof/>
                <w:sz w:val="22"/>
                <w:szCs w:val="22"/>
              </w:rPr>
              <w:t>6. Conclusion</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_Toc191042501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8</w:t>
            </w:r>
            <w:r w:rsidR="00D22D7F" w:rsidRPr="00D22D7F">
              <w:rPr>
                <w:rFonts w:ascii="Arial" w:hAnsi="Arial" w:cs="Arial"/>
                <w:noProof/>
                <w:webHidden/>
                <w:sz w:val="22"/>
                <w:szCs w:val="22"/>
              </w:rPr>
              <w:fldChar w:fldCharType="end"/>
            </w:r>
          </w:hyperlink>
        </w:p>
        <w:p w14:paraId="6FAE329F" w14:textId="7FE67341"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502" w:history="1">
            <w:r w:rsidR="00D22D7F" w:rsidRPr="00D22D7F">
              <w:rPr>
                <w:rStyle w:val="Hyperlink"/>
                <w:rFonts w:ascii="Arial" w:hAnsi="Arial" w:cs="Arial"/>
                <w:noProof/>
                <w:sz w:val="22"/>
                <w:szCs w:val="22"/>
              </w:rPr>
              <w:t>7. Recommendations</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_Toc191042502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8</w:t>
            </w:r>
            <w:r w:rsidR="00D22D7F" w:rsidRPr="00D22D7F">
              <w:rPr>
                <w:rFonts w:ascii="Arial" w:hAnsi="Arial" w:cs="Arial"/>
                <w:noProof/>
                <w:webHidden/>
                <w:sz w:val="22"/>
                <w:szCs w:val="22"/>
              </w:rPr>
              <w:fldChar w:fldCharType="end"/>
            </w:r>
          </w:hyperlink>
        </w:p>
        <w:p w14:paraId="08D8EAA3" w14:textId="44BD5B01" w:rsidR="00D22D7F" w:rsidRPr="00D22D7F" w:rsidRDefault="002C53DF">
          <w:pPr>
            <w:pStyle w:val="TOC1"/>
            <w:tabs>
              <w:tab w:val="right" w:leader="dot" w:pos="9350"/>
            </w:tabs>
            <w:rPr>
              <w:rFonts w:ascii="Arial" w:eastAsiaTheme="minorEastAsia" w:hAnsi="Arial" w:cs="Arial"/>
              <w:noProof/>
              <w:kern w:val="0"/>
              <w:sz w:val="22"/>
              <w:szCs w:val="22"/>
              <w:lang w:val="en-GB" w:eastAsia="en-GB"/>
              <w14:ligatures w14:val="none"/>
            </w:rPr>
          </w:pPr>
          <w:hyperlink w:anchor="_Toc191042503" w:history="1">
            <w:r w:rsidR="00D22D7F" w:rsidRPr="00D22D7F">
              <w:rPr>
                <w:rStyle w:val="Hyperlink"/>
                <w:rFonts w:ascii="Arial" w:hAnsi="Arial" w:cs="Arial"/>
                <w:noProof/>
                <w:sz w:val="22"/>
                <w:szCs w:val="22"/>
              </w:rPr>
              <w:t>8. References</w:t>
            </w:r>
            <w:r w:rsidR="00D22D7F" w:rsidRPr="00D22D7F">
              <w:rPr>
                <w:rFonts w:ascii="Arial" w:hAnsi="Arial" w:cs="Arial"/>
                <w:noProof/>
                <w:webHidden/>
                <w:sz w:val="22"/>
                <w:szCs w:val="22"/>
              </w:rPr>
              <w:tab/>
            </w:r>
            <w:r w:rsidR="00D22D7F" w:rsidRPr="00D22D7F">
              <w:rPr>
                <w:rFonts w:ascii="Arial" w:hAnsi="Arial" w:cs="Arial"/>
                <w:noProof/>
                <w:webHidden/>
                <w:sz w:val="22"/>
                <w:szCs w:val="22"/>
              </w:rPr>
              <w:fldChar w:fldCharType="begin"/>
            </w:r>
            <w:r w:rsidR="00D22D7F" w:rsidRPr="00D22D7F">
              <w:rPr>
                <w:rFonts w:ascii="Arial" w:hAnsi="Arial" w:cs="Arial"/>
                <w:noProof/>
                <w:webHidden/>
                <w:sz w:val="22"/>
                <w:szCs w:val="22"/>
              </w:rPr>
              <w:instrText xml:space="preserve"> PAGEREF _Toc191042503 \h </w:instrText>
            </w:r>
            <w:r w:rsidR="00D22D7F" w:rsidRPr="00D22D7F">
              <w:rPr>
                <w:rFonts w:ascii="Arial" w:hAnsi="Arial" w:cs="Arial"/>
                <w:noProof/>
                <w:webHidden/>
                <w:sz w:val="22"/>
                <w:szCs w:val="22"/>
              </w:rPr>
            </w:r>
            <w:r w:rsidR="00D22D7F" w:rsidRPr="00D22D7F">
              <w:rPr>
                <w:rFonts w:ascii="Arial" w:hAnsi="Arial" w:cs="Arial"/>
                <w:noProof/>
                <w:webHidden/>
                <w:sz w:val="22"/>
                <w:szCs w:val="22"/>
              </w:rPr>
              <w:fldChar w:fldCharType="separate"/>
            </w:r>
            <w:r w:rsidR="00D22D7F" w:rsidRPr="00D22D7F">
              <w:rPr>
                <w:rFonts w:ascii="Arial" w:hAnsi="Arial" w:cs="Arial"/>
                <w:noProof/>
                <w:webHidden/>
                <w:sz w:val="22"/>
                <w:szCs w:val="22"/>
              </w:rPr>
              <w:t>9</w:t>
            </w:r>
            <w:r w:rsidR="00D22D7F" w:rsidRPr="00D22D7F">
              <w:rPr>
                <w:rFonts w:ascii="Arial" w:hAnsi="Arial" w:cs="Arial"/>
                <w:noProof/>
                <w:webHidden/>
                <w:sz w:val="22"/>
                <w:szCs w:val="22"/>
              </w:rPr>
              <w:fldChar w:fldCharType="end"/>
            </w:r>
          </w:hyperlink>
        </w:p>
        <w:p w14:paraId="02ED2DCF" w14:textId="2AD5203F" w:rsidR="000D653F" w:rsidRPr="00BB69AF" w:rsidRDefault="000D653F" w:rsidP="00BB69AF">
          <w:pPr>
            <w:spacing w:line="360" w:lineRule="auto"/>
            <w:jc w:val="both"/>
            <w:rPr>
              <w:rFonts w:ascii="Arial" w:hAnsi="Arial" w:cs="Arial"/>
              <w:sz w:val="22"/>
              <w:szCs w:val="22"/>
            </w:rPr>
          </w:pPr>
          <w:r w:rsidRPr="00D22D7F">
            <w:rPr>
              <w:rFonts w:ascii="Arial" w:hAnsi="Arial" w:cs="Arial"/>
              <w:b/>
              <w:bCs/>
              <w:noProof/>
              <w:sz w:val="22"/>
              <w:szCs w:val="22"/>
            </w:rPr>
            <w:fldChar w:fldCharType="end"/>
          </w:r>
        </w:p>
      </w:sdtContent>
    </w:sdt>
    <w:p w14:paraId="60030576" w14:textId="77777777" w:rsidR="004575C9" w:rsidRPr="00BB69AF" w:rsidRDefault="000D653F" w:rsidP="00BB69AF">
      <w:pPr>
        <w:spacing w:line="360" w:lineRule="auto"/>
        <w:jc w:val="both"/>
        <w:rPr>
          <w:rFonts w:ascii="Arial" w:hAnsi="Arial" w:cs="Arial"/>
          <w:bCs/>
          <w:sz w:val="22"/>
          <w:szCs w:val="22"/>
        </w:rPr>
      </w:pPr>
      <w:r w:rsidRPr="00BB69AF">
        <w:rPr>
          <w:rFonts w:ascii="Arial" w:hAnsi="Arial" w:cs="Arial"/>
          <w:bCs/>
          <w:sz w:val="22"/>
          <w:szCs w:val="22"/>
        </w:rPr>
        <w:br w:type="page"/>
      </w:r>
    </w:p>
    <w:p w14:paraId="6EF56099" w14:textId="47447783" w:rsidR="0057633D" w:rsidRPr="00BB69AF" w:rsidRDefault="00532364" w:rsidP="005D784F">
      <w:pPr>
        <w:pStyle w:val="Heading1"/>
      </w:pPr>
      <w:bookmarkStart w:id="1" w:name="_Toc191042495"/>
      <w:r>
        <w:t xml:space="preserve">1. </w:t>
      </w:r>
      <w:r w:rsidR="0057633D" w:rsidRPr="00BB69AF">
        <w:t>Introduction</w:t>
      </w:r>
      <w:bookmarkEnd w:id="1"/>
      <w:r w:rsidR="0057633D" w:rsidRPr="00BB69AF">
        <w:t xml:space="preserve"> </w:t>
      </w:r>
    </w:p>
    <w:p w14:paraId="5687D188" w14:textId="5ECEDC35" w:rsidR="00B304AC" w:rsidRPr="00BB69AF" w:rsidRDefault="000B07A2" w:rsidP="00BB69AF">
      <w:pPr>
        <w:spacing w:line="360" w:lineRule="auto"/>
        <w:jc w:val="both"/>
        <w:rPr>
          <w:rFonts w:ascii="Arial" w:hAnsi="Arial" w:cs="Arial"/>
          <w:sz w:val="22"/>
          <w:szCs w:val="22"/>
        </w:rPr>
      </w:pPr>
      <w:r w:rsidRPr="00BB69AF">
        <w:rPr>
          <w:rFonts w:ascii="Arial" w:hAnsi="Arial" w:cs="Arial"/>
          <w:sz w:val="22"/>
          <w:szCs w:val="22"/>
        </w:rPr>
        <w:t>According to World Bank, c</w:t>
      </w:r>
      <w:r w:rsidR="00B304AC" w:rsidRPr="00BB69AF">
        <w:rPr>
          <w:rFonts w:ascii="Arial" w:hAnsi="Arial" w:cs="Arial"/>
          <w:sz w:val="22"/>
          <w:szCs w:val="22"/>
        </w:rPr>
        <w:t>orporate governance and theory of agency form a basis for financial administration for public companies and most particularly for family companies transitioning towards a model of public ownership</w:t>
      </w:r>
      <w:r w:rsidRPr="00BB69AF">
        <w:rPr>
          <w:rFonts w:ascii="Arial" w:hAnsi="Arial" w:cs="Arial"/>
          <w:sz w:val="22"/>
          <w:szCs w:val="22"/>
        </w:rPr>
        <w:t xml:space="preserve"> (Claessens, 2006)</w:t>
      </w:r>
      <w:r w:rsidR="00532364">
        <w:rPr>
          <w:rFonts w:ascii="Arial" w:hAnsi="Arial" w:cs="Arial"/>
          <w:sz w:val="22"/>
          <w:szCs w:val="22"/>
        </w:rPr>
        <w:t>.</w:t>
      </w:r>
      <w:r w:rsidR="00B304AC" w:rsidRPr="00BB69AF">
        <w:rPr>
          <w:rFonts w:ascii="Arial" w:hAnsi="Arial" w:cs="Arial"/>
          <w:sz w:val="22"/>
          <w:szCs w:val="22"/>
        </w:rPr>
        <w:t xml:space="preserve"> With float preparation onto Alternative Investment Market (AIM) in UK, awareness of these two terms is most applicable in terms of transparency and accountability, with an eye towards securing direction</w:t>
      </w:r>
      <w:r w:rsidR="002306EB" w:rsidRPr="00BB69AF">
        <w:rPr>
          <w:rFonts w:ascii="Arial" w:hAnsi="Arial" w:cs="Arial"/>
          <w:sz w:val="22"/>
          <w:szCs w:val="22"/>
        </w:rPr>
        <w:t xml:space="preserve"> (</w:t>
      </w:r>
      <w:r w:rsidR="002306EB" w:rsidRPr="00BB69AF">
        <w:rPr>
          <w:rFonts w:ascii="Arial" w:hAnsi="Arial" w:cs="Arial"/>
          <w:color w:val="222222"/>
          <w:sz w:val="22"/>
          <w:szCs w:val="22"/>
          <w:shd w:val="clear" w:color="auto" w:fill="FFFFFF"/>
        </w:rPr>
        <w:t>Almulhim, 2020).</w:t>
      </w:r>
      <w:r w:rsidR="00B304AC" w:rsidRPr="00BB69AF">
        <w:rPr>
          <w:rFonts w:ascii="Arial" w:hAnsi="Arial" w:cs="Arial"/>
          <w:sz w:val="22"/>
          <w:szCs w:val="22"/>
        </w:rPr>
        <w:t xml:space="preserve"> Agency theory brings to fore shareholder and management conflicts, and strong governance structures become a necessity</w:t>
      </w:r>
      <w:r w:rsidRPr="00BB69AF">
        <w:rPr>
          <w:rFonts w:ascii="Arial" w:hAnsi="Arial" w:cs="Arial"/>
          <w:sz w:val="22"/>
          <w:szCs w:val="22"/>
        </w:rPr>
        <w:t xml:space="preserve"> (Das, 2013)</w:t>
      </w:r>
      <w:r w:rsidR="00B304AC" w:rsidRPr="00BB69AF">
        <w:rPr>
          <w:rFonts w:ascii="Arial" w:hAnsi="Arial" w:cs="Arial"/>
          <w:sz w:val="22"/>
          <w:szCs w:val="22"/>
        </w:rPr>
        <w:t xml:space="preserve">. Besides, private-public transition in terms of ownership brings complications in controlling corporation, compensating for board, and governance structures at an international level. In this report, critical analysis will assess tenets of corporate governance, maintenance of family influence post-float, fair pay structures for board, and </w:t>
      </w:r>
      <w:r w:rsidR="00532364" w:rsidRPr="00BB69AF">
        <w:rPr>
          <w:rFonts w:ascii="Arial" w:hAnsi="Arial" w:cs="Arial"/>
          <w:sz w:val="22"/>
          <w:szCs w:val="22"/>
        </w:rPr>
        <w:t>institutionalism</w:t>
      </w:r>
      <w:r w:rsidR="00B304AC" w:rsidRPr="00BB69AF">
        <w:rPr>
          <w:rFonts w:ascii="Arial" w:hAnsi="Arial" w:cs="Arial"/>
          <w:sz w:val="22"/>
          <w:szCs w:val="22"/>
        </w:rPr>
        <w:t xml:space="preserve"> of governance between UK, Shanghai, and Netherlands. Recommendations will follow for a successful float.</w:t>
      </w:r>
    </w:p>
    <w:p w14:paraId="0A287D8F" w14:textId="41738BF2" w:rsidR="006B3D42" w:rsidRDefault="00532364" w:rsidP="005D784F">
      <w:pPr>
        <w:pStyle w:val="Heading1"/>
      </w:pPr>
      <w:bookmarkStart w:id="2" w:name="_Toc191042496"/>
      <w:r>
        <w:t xml:space="preserve">2. </w:t>
      </w:r>
      <w:r w:rsidR="00B304AC" w:rsidRPr="00BB69AF">
        <w:t>Corpora</w:t>
      </w:r>
      <w:r w:rsidR="006B3D42">
        <w:t>te Governance and Agency Theory</w:t>
      </w:r>
      <w:bookmarkEnd w:id="2"/>
    </w:p>
    <w:p w14:paraId="337E234D" w14:textId="41738BF2" w:rsidR="00B304AC" w:rsidRDefault="006B3D42" w:rsidP="006B3D42">
      <w:pPr>
        <w:pStyle w:val="Heading2"/>
      </w:pPr>
      <w:bookmarkStart w:id="3" w:name="_Toc191042497"/>
      <w:r w:rsidRPr="006B3D42">
        <w:t>2.1.</w:t>
      </w:r>
      <w:r w:rsidR="00B304AC" w:rsidRPr="006B3D42">
        <w:t xml:space="preserve"> Concept, Requirements and Relevance</w:t>
      </w:r>
      <w:bookmarkStart w:id="4" w:name="_GoBack"/>
      <w:bookmarkEnd w:id="3"/>
      <w:bookmarkEnd w:id="4"/>
    </w:p>
    <w:p w14:paraId="4C118B49" w14:textId="77777777" w:rsidR="006B3D42" w:rsidRPr="006B3D42" w:rsidRDefault="006B3D42" w:rsidP="006B3D42"/>
    <w:p w14:paraId="091D1319" w14:textId="39FB702D" w:rsidR="00A1273F" w:rsidRPr="00BB69AF" w:rsidRDefault="0060764E" w:rsidP="00BB69AF">
      <w:pPr>
        <w:spacing w:line="360" w:lineRule="auto"/>
        <w:jc w:val="both"/>
        <w:rPr>
          <w:rFonts w:ascii="Arial" w:hAnsi="Arial" w:cs="Arial"/>
          <w:sz w:val="22"/>
          <w:szCs w:val="22"/>
        </w:rPr>
      </w:pPr>
      <w:r w:rsidRPr="0060764E">
        <w:rPr>
          <w:rFonts w:ascii="Arial" w:hAnsi="Arial" w:cs="Arial"/>
          <w:sz w:val="22"/>
          <w:szCs w:val="22"/>
        </w:rPr>
        <w:t>A corporation is managed and directed by a set of procedures, guidelines, and practice</w:t>
      </w:r>
      <w:r>
        <w:rPr>
          <w:rFonts w:ascii="Arial" w:hAnsi="Arial" w:cs="Arial"/>
          <w:sz w:val="22"/>
          <w:szCs w:val="22"/>
        </w:rPr>
        <w:t>s known as corporate governance</w:t>
      </w:r>
      <w:r w:rsidR="00006420" w:rsidRPr="00BB69AF">
        <w:rPr>
          <w:rFonts w:ascii="Arial" w:hAnsi="Arial" w:cs="Arial"/>
          <w:sz w:val="22"/>
          <w:szCs w:val="22"/>
        </w:rPr>
        <w:t xml:space="preserve"> (</w:t>
      </w:r>
      <w:r w:rsidR="00006420" w:rsidRPr="00BB69AF">
        <w:rPr>
          <w:rFonts w:ascii="Arial" w:hAnsi="Arial" w:cs="Arial"/>
          <w:color w:val="222222"/>
          <w:sz w:val="22"/>
          <w:szCs w:val="22"/>
          <w:shd w:val="clear" w:color="auto" w:fill="FFFFFF"/>
        </w:rPr>
        <w:t xml:space="preserve">Aguilera and Crespi-Cladera,2016). </w:t>
      </w:r>
      <w:r w:rsidR="00B304AC" w:rsidRPr="00BB69AF">
        <w:rPr>
          <w:rFonts w:ascii="Arial" w:hAnsi="Arial" w:cs="Arial"/>
          <w:sz w:val="22"/>
          <w:szCs w:val="22"/>
        </w:rPr>
        <w:t>It creates a basis for balancing between a range of disparate groups such as shareholder, management, customer, regulators, and society at a larger level. Governance at a corporation level ensures transparency, accountability, and long-term viability</w:t>
      </w:r>
      <w:r w:rsidR="00006420" w:rsidRPr="00BB69AF">
        <w:rPr>
          <w:rFonts w:ascii="Arial" w:hAnsi="Arial" w:cs="Arial"/>
          <w:sz w:val="22"/>
          <w:szCs w:val="22"/>
        </w:rPr>
        <w:t xml:space="preserve"> (</w:t>
      </w:r>
      <w:r w:rsidR="00006420" w:rsidRPr="00BB69AF">
        <w:rPr>
          <w:rFonts w:ascii="Arial" w:hAnsi="Arial" w:cs="Arial"/>
          <w:color w:val="222222"/>
          <w:sz w:val="22"/>
          <w:szCs w:val="22"/>
          <w:shd w:val="clear" w:color="auto" w:fill="FFFFFF"/>
        </w:rPr>
        <w:t>Tricker, 2015). </w:t>
      </w:r>
      <w:r w:rsidR="00B304AC" w:rsidRPr="00BB69AF">
        <w:rPr>
          <w:rFonts w:ascii="Arial" w:hAnsi="Arial" w:cs="Arial"/>
          <w:sz w:val="22"/>
          <w:szCs w:val="22"/>
        </w:rPr>
        <w:t>UK Corporate Governance Code formulates in terms of board leadership, risk management, remuneration policies, and communicating and reporting with and to a range of disparate groups, guiding sound decision-making for companies in a public</w:t>
      </w:r>
      <w:r w:rsidR="0043345A" w:rsidRPr="00BB69AF">
        <w:rPr>
          <w:rFonts w:ascii="Arial" w:hAnsi="Arial" w:cs="Arial"/>
          <w:sz w:val="22"/>
          <w:szCs w:val="22"/>
        </w:rPr>
        <w:t xml:space="preserve"> </w:t>
      </w:r>
      <w:r w:rsidR="000B07A2" w:rsidRPr="00BB69AF">
        <w:rPr>
          <w:rFonts w:ascii="Arial" w:hAnsi="Arial" w:cs="Arial"/>
          <w:sz w:val="22"/>
          <w:szCs w:val="22"/>
        </w:rPr>
        <w:t>(Financial Reporting Council</w:t>
      </w:r>
      <w:r w:rsidR="0043345A" w:rsidRPr="00BB69AF">
        <w:rPr>
          <w:rFonts w:ascii="Arial" w:hAnsi="Arial" w:cs="Arial"/>
          <w:sz w:val="22"/>
          <w:szCs w:val="22"/>
        </w:rPr>
        <w:t xml:space="preserve">, </w:t>
      </w:r>
      <w:r w:rsidR="000B07A2" w:rsidRPr="00BB69AF">
        <w:rPr>
          <w:rFonts w:ascii="Arial" w:hAnsi="Arial" w:cs="Arial"/>
          <w:sz w:val="22"/>
          <w:szCs w:val="22"/>
        </w:rPr>
        <w:t>2018)</w:t>
      </w:r>
      <w:r>
        <w:rPr>
          <w:rFonts w:ascii="Arial" w:hAnsi="Arial" w:cs="Arial"/>
          <w:sz w:val="22"/>
          <w:szCs w:val="22"/>
        </w:rPr>
        <w:t>.</w:t>
      </w:r>
      <w:r w:rsidR="000B07A2" w:rsidRPr="00BB69AF">
        <w:rPr>
          <w:rFonts w:ascii="Arial" w:hAnsi="Arial" w:cs="Arial"/>
          <w:sz w:val="22"/>
          <w:szCs w:val="22"/>
        </w:rPr>
        <w:t xml:space="preserve"> </w:t>
      </w:r>
      <w:r w:rsidR="00A2592B" w:rsidRPr="00A2592B">
        <w:rPr>
          <w:rFonts w:ascii="Arial" w:hAnsi="Arial" w:cs="Arial"/>
          <w:sz w:val="22"/>
          <w:szCs w:val="22"/>
        </w:rPr>
        <w:t xml:space="preserve">Jensen and Meckling (1976) initially proposed agency theory, which analyses the connection between principals and agents, where managers are supposed to operate in the </w:t>
      </w:r>
      <w:r w:rsidR="00A2592B">
        <w:rPr>
          <w:rFonts w:ascii="Arial" w:hAnsi="Arial" w:cs="Arial"/>
          <w:sz w:val="22"/>
          <w:szCs w:val="22"/>
        </w:rPr>
        <w:t xml:space="preserve">best interests of shareholders </w:t>
      </w:r>
      <w:r w:rsidR="00006420" w:rsidRPr="00BB69AF">
        <w:rPr>
          <w:rFonts w:ascii="Arial" w:hAnsi="Arial" w:cs="Arial"/>
          <w:sz w:val="22"/>
          <w:szCs w:val="22"/>
        </w:rPr>
        <w:t>(</w:t>
      </w:r>
      <w:r w:rsidR="00006420" w:rsidRPr="00BB69AF">
        <w:rPr>
          <w:rFonts w:ascii="Arial" w:hAnsi="Arial" w:cs="Arial"/>
          <w:color w:val="222222"/>
          <w:sz w:val="22"/>
          <w:szCs w:val="22"/>
          <w:shd w:val="clear" w:color="auto" w:fill="FFFFFF"/>
        </w:rPr>
        <w:t xml:space="preserve">Bo and Driver, 2012). </w:t>
      </w:r>
      <w:r w:rsidR="00A1273F" w:rsidRPr="00BB69AF">
        <w:rPr>
          <w:rFonts w:ascii="Arial" w:hAnsi="Arial" w:cs="Arial"/>
          <w:sz w:val="22"/>
          <w:szCs w:val="22"/>
        </w:rPr>
        <w:t xml:space="preserve"> Agency problems arise for public firms when managers maximize personal benefits at the expense of shareholder value. In such a case, </w:t>
      </w:r>
      <w:r w:rsidR="0073197F">
        <w:rPr>
          <w:rFonts w:ascii="Arial" w:hAnsi="Arial" w:cs="Arial"/>
          <w:sz w:val="22"/>
          <w:szCs w:val="22"/>
        </w:rPr>
        <w:t>t</w:t>
      </w:r>
      <w:r w:rsidR="0073197F" w:rsidRPr="0073197F">
        <w:rPr>
          <w:rFonts w:ascii="Arial" w:hAnsi="Arial" w:cs="Arial"/>
          <w:sz w:val="22"/>
          <w:szCs w:val="22"/>
        </w:rPr>
        <w:t>o reduce this kind of risk, governance tools including independent committees, protests from shareholders, CEO compensation plans, and regulatory supervision would be crucial.</w:t>
      </w:r>
      <w:r w:rsidR="000B07A2" w:rsidRPr="00BB69AF">
        <w:rPr>
          <w:rFonts w:ascii="Arial" w:hAnsi="Arial" w:cs="Arial"/>
          <w:sz w:val="22"/>
          <w:szCs w:val="22"/>
        </w:rPr>
        <w:t xml:space="preserve"> (Davies, 2013)</w:t>
      </w:r>
      <w:r w:rsidR="00A1273F" w:rsidRPr="00BB69AF">
        <w:rPr>
          <w:rFonts w:ascii="Arial" w:hAnsi="Arial" w:cs="Arial"/>
          <w:sz w:val="22"/>
          <w:szCs w:val="22"/>
        </w:rPr>
        <w:t xml:space="preserve">. In the case of a private firm transitioning to a public limited liability company, corporate governance is one of the key factors that establish investor confidence and ensure regulatory compliance. A listing on AIM will subject the company to external scrutiny, where the governance standards for fair financial disclosure and equitable treatment of shareholders will have to be adhered to. </w:t>
      </w:r>
    </w:p>
    <w:p w14:paraId="3B725C8E" w14:textId="355C08DB" w:rsidR="00E068E7" w:rsidRPr="00BB69AF" w:rsidRDefault="00532364" w:rsidP="00BB69AF">
      <w:pPr>
        <w:spacing w:line="360" w:lineRule="auto"/>
        <w:jc w:val="both"/>
        <w:rPr>
          <w:rFonts w:ascii="Arial" w:hAnsi="Arial" w:cs="Arial"/>
          <w:sz w:val="22"/>
          <w:szCs w:val="22"/>
        </w:rPr>
      </w:pPr>
      <w:r>
        <w:rPr>
          <w:rFonts w:ascii="Arial" w:hAnsi="Arial" w:cs="Arial"/>
          <w:sz w:val="22"/>
          <w:szCs w:val="22"/>
        </w:rPr>
        <w:t xml:space="preserve">                               </w:t>
      </w:r>
      <w:r w:rsidR="00E068E7" w:rsidRPr="00BB69AF">
        <w:rPr>
          <w:rFonts w:ascii="Arial" w:hAnsi="Arial" w:cs="Arial"/>
          <w:noProof/>
          <w:sz w:val="22"/>
          <w:szCs w:val="22"/>
          <w:lang w:val="en-GB" w:eastAsia="en-GB"/>
        </w:rPr>
        <w:drawing>
          <wp:inline distT="0" distB="0" distL="0" distR="0" wp14:anchorId="1CD12406" wp14:editId="1F7185CE">
            <wp:extent cx="3573162" cy="3966210"/>
            <wp:effectExtent l="114300" t="114300" r="141605" b="148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9664" cy="39734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D558F73" w14:textId="7A3C0C1C" w:rsidR="00E068E7" w:rsidRPr="00BB69AF" w:rsidRDefault="00532364" w:rsidP="00BB69AF">
      <w:pPr>
        <w:spacing w:line="360" w:lineRule="auto"/>
        <w:jc w:val="both"/>
        <w:rPr>
          <w:rFonts w:ascii="Arial" w:hAnsi="Arial" w:cs="Arial"/>
          <w:sz w:val="22"/>
          <w:szCs w:val="22"/>
        </w:rPr>
      </w:pPr>
      <w:r>
        <w:rPr>
          <w:rFonts w:ascii="Arial" w:hAnsi="Arial" w:cs="Arial"/>
          <w:sz w:val="22"/>
          <w:szCs w:val="22"/>
        </w:rPr>
        <w:t xml:space="preserve">                            </w:t>
      </w:r>
      <w:r w:rsidR="00E068E7" w:rsidRPr="00BB69AF">
        <w:rPr>
          <w:rFonts w:ascii="Arial" w:hAnsi="Arial" w:cs="Arial"/>
          <w:sz w:val="22"/>
          <w:szCs w:val="22"/>
        </w:rPr>
        <w:t xml:space="preserve">Figure 1. Components of corporate governance </w:t>
      </w:r>
      <w:r>
        <w:rPr>
          <w:rFonts w:ascii="Arial" w:hAnsi="Arial" w:cs="Arial"/>
          <w:sz w:val="22"/>
          <w:szCs w:val="22"/>
        </w:rPr>
        <w:t>(Tricker,</w:t>
      </w:r>
      <w:r w:rsidR="00E068E7" w:rsidRPr="00BB69AF">
        <w:rPr>
          <w:rFonts w:ascii="Arial" w:hAnsi="Arial" w:cs="Arial"/>
          <w:sz w:val="22"/>
          <w:szCs w:val="22"/>
        </w:rPr>
        <w:t xml:space="preserve"> 2015)</w:t>
      </w:r>
      <w:r>
        <w:rPr>
          <w:rFonts w:ascii="Arial" w:hAnsi="Arial" w:cs="Arial"/>
          <w:sz w:val="22"/>
          <w:szCs w:val="22"/>
        </w:rPr>
        <w:t>.</w:t>
      </w:r>
    </w:p>
    <w:p w14:paraId="466CFCC7" w14:textId="341666E3" w:rsidR="00892CFA" w:rsidRPr="00BB69AF" w:rsidRDefault="00532364" w:rsidP="005D784F">
      <w:pPr>
        <w:pStyle w:val="Heading1"/>
      </w:pPr>
      <w:bookmarkStart w:id="5" w:name="_Toc191042498"/>
      <w:r>
        <w:t>3.</w:t>
      </w:r>
      <w:r w:rsidR="00892CFA" w:rsidRPr="00BB69AF">
        <w:t>Retaining Control with 30% Shareholding</w:t>
      </w:r>
      <w:bookmarkEnd w:id="5"/>
      <w:r w:rsidR="00892CFA" w:rsidRPr="00BB69AF">
        <w:t xml:space="preserve"> </w:t>
      </w:r>
    </w:p>
    <w:p w14:paraId="5E2A3B81" w14:textId="558BBC2A" w:rsidR="0005166D" w:rsidRPr="00BB69AF" w:rsidRDefault="00892CFA" w:rsidP="00BB69AF">
      <w:pPr>
        <w:spacing w:line="360" w:lineRule="auto"/>
        <w:jc w:val="both"/>
        <w:rPr>
          <w:rFonts w:ascii="Arial" w:hAnsi="Arial" w:cs="Arial"/>
          <w:sz w:val="22"/>
          <w:szCs w:val="22"/>
        </w:rPr>
      </w:pPr>
      <w:r w:rsidRPr="00BB69AF">
        <w:rPr>
          <w:rFonts w:ascii="Arial" w:hAnsi="Arial" w:cs="Arial"/>
          <w:sz w:val="22"/>
          <w:szCs w:val="22"/>
        </w:rPr>
        <w:t>As the company becomes a publicly quoted company on AIM, the family board's shareholding will reduce to 30% of the total shareholding</w:t>
      </w:r>
      <w:r w:rsidR="00006420" w:rsidRPr="00BB69AF">
        <w:rPr>
          <w:rFonts w:ascii="Arial" w:hAnsi="Arial" w:cs="Arial"/>
          <w:color w:val="222222"/>
          <w:sz w:val="22"/>
          <w:szCs w:val="22"/>
          <w:shd w:val="clear" w:color="auto" w:fill="FFFFFF"/>
        </w:rPr>
        <w:t>.</w:t>
      </w:r>
      <w:r w:rsidRPr="00BB69AF">
        <w:rPr>
          <w:rFonts w:ascii="Arial" w:hAnsi="Arial" w:cs="Arial"/>
          <w:sz w:val="22"/>
          <w:szCs w:val="22"/>
        </w:rPr>
        <w:t xml:space="preserve"> It will be important that the family board adopt a number of strategies to help to protect its influence over strategic decisions, growth directions, and dividend policies</w:t>
      </w:r>
      <w:r w:rsidR="00532364">
        <w:rPr>
          <w:rFonts w:ascii="Arial" w:hAnsi="Arial" w:cs="Arial"/>
          <w:sz w:val="22"/>
          <w:szCs w:val="22"/>
        </w:rPr>
        <w:t xml:space="preserve"> </w:t>
      </w:r>
      <w:r w:rsidR="000B07A2" w:rsidRPr="00BB69AF">
        <w:rPr>
          <w:rFonts w:ascii="Arial" w:hAnsi="Arial" w:cs="Arial"/>
          <w:sz w:val="22"/>
          <w:szCs w:val="22"/>
        </w:rPr>
        <w:t xml:space="preserve">(Klein et </w:t>
      </w:r>
      <w:r w:rsidR="006B3D42" w:rsidRPr="00BB69AF">
        <w:rPr>
          <w:rFonts w:ascii="Arial" w:hAnsi="Arial" w:cs="Arial"/>
          <w:sz w:val="22"/>
          <w:szCs w:val="22"/>
        </w:rPr>
        <w:t>al.</w:t>
      </w:r>
      <w:r w:rsidR="000B07A2" w:rsidRPr="00BB69AF">
        <w:rPr>
          <w:rFonts w:ascii="Arial" w:hAnsi="Arial" w:cs="Arial"/>
          <w:sz w:val="22"/>
          <w:szCs w:val="22"/>
        </w:rPr>
        <w:t>, 2005)</w:t>
      </w:r>
      <w:r w:rsidRPr="00BB69AF">
        <w:rPr>
          <w:rFonts w:ascii="Arial" w:hAnsi="Arial" w:cs="Arial"/>
          <w:sz w:val="22"/>
          <w:szCs w:val="22"/>
        </w:rPr>
        <w:t>. Dual-class share issuance permits the existence of different share classes with various voting rights. The family would thus retain Class A shares with greater voting rights</w:t>
      </w:r>
      <w:r w:rsidR="00E068E7" w:rsidRPr="00BB69AF">
        <w:rPr>
          <w:rFonts w:ascii="Arial" w:hAnsi="Arial" w:cs="Arial"/>
          <w:sz w:val="22"/>
          <w:szCs w:val="22"/>
        </w:rPr>
        <w:t xml:space="preserve">, </w:t>
      </w:r>
      <w:r w:rsidRPr="00BB69AF">
        <w:rPr>
          <w:rFonts w:ascii="Arial" w:hAnsi="Arial" w:cs="Arial"/>
          <w:sz w:val="22"/>
          <w:szCs w:val="22"/>
        </w:rPr>
        <w:t>or instance, 10 votes per share while outside investors hold Class B shares with normal voting power, one vote per share. This ownership structure is currently used by the majority of the most prominent family-controlled firms, including Facebook and Alphabet, to have control over the decision-making process while maintaining minority ownership interest</w:t>
      </w:r>
      <w:r w:rsidR="00006420" w:rsidRPr="00BB69AF">
        <w:rPr>
          <w:rFonts w:ascii="Arial" w:hAnsi="Arial" w:cs="Arial"/>
          <w:sz w:val="22"/>
          <w:szCs w:val="22"/>
        </w:rPr>
        <w:t xml:space="preserve"> (</w:t>
      </w:r>
      <w:r w:rsidR="00006420" w:rsidRPr="00BB69AF">
        <w:rPr>
          <w:rFonts w:ascii="Arial" w:hAnsi="Arial" w:cs="Arial"/>
          <w:color w:val="222222"/>
          <w:sz w:val="22"/>
          <w:szCs w:val="22"/>
          <w:shd w:val="clear" w:color="auto" w:fill="FFFFFF"/>
        </w:rPr>
        <w:t xml:space="preserve">Goergen and Mira, 2023). </w:t>
      </w:r>
      <w:r w:rsidRPr="00BB69AF">
        <w:rPr>
          <w:rFonts w:ascii="Arial" w:hAnsi="Arial" w:cs="Arial"/>
          <w:sz w:val="22"/>
          <w:szCs w:val="22"/>
        </w:rPr>
        <w:t>Another strategy is the creation of a shareholder agreement, which legally binds some external investors to vote with the founding family on critical decisions in order to ensure alignment in governance matters</w:t>
      </w:r>
      <w:r w:rsidR="008E288B">
        <w:rPr>
          <w:rFonts w:ascii="Arial" w:hAnsi="Arial" w:cs="Arial"/>
          <w:sz w:val="22"/>
          <w:szCs w:val="22"/>
        </w:rPr>
        <w:t>.</w:t>
      </w:r>
      <w:r w:rsidR="0005166D" w:rsidRPr="00BB69AF">
        <w:rPr>
          <w:rFonts w:ascii="Arial" w:hAnsi="Arial" w:cs="Arial"/>
          <w:sz w:val="22"/>
          <w:szCs w:val="22"/>
        </w:rPr>
        <w:t xml:space="preserve"> In addition, family board reservations and staggered board election can be incorporated in board controls by the company in an attempt to limit outsiders' role in nominating directors. In addition, having alliances with long-term institutional investors will contribute towards sustained steadiness</w:t>
      </w:r>
      <w:r w:rsidR="00AA2BDC" w:rsidRPr="00BB69AF">
        <w:rPr>
          <w:rFonts w:ascii="Arial" w:hAnsi="Arial" w:cs="Arial"/>
          <w:sz w:val="22"/>
          <w:szCs w:val="22"/>
        </w:rPr>
        <w:t xml:space="preserve"> (</w:t>
      </w:r>
      <w:r w:rsidR="00AA2BDC" w:rsidRPr="00BB69AF">
        <w:rPr>
          <w:rStyle w:val="Strong"/>
          <w:rFonts w:ascii="Arial" w:hAnsi="Arial" w:cs="Arial"/>
          <w:b w:val="0"/>
          <w:sz w:val="22"/>
          <w:szCs w:val="22"/>
        </w:rPr>
        <w:t>Financial Conduct Authority, 2017</w:t>
      </w:r>
      <w:r w:rsidR="00532364" w:rsidRPr="00BB69AF">
        <w:rPr>
          <w:rStyle w:val="Strong"/>
          <w:rFonts w:ascii="Arial" w:hAnsi="Arial" w:cs="Arial"/>
          <w:sz w:val="22"/>
          <w:szCs w:val="22"/>
        </w:rPr>
        <w:t>)</w:t>
      </w:r>
      <w:r w:rsidR="00532364" w:rsidRPr="00BB69AF">
        <w:rPr>
          <w:rFonts w:ascii="Arial" w:hAnsi="Arial" w:cs="Arial"/>
          <w:sz w:val="22"/>
          <w:szCs w:val="22"/>
        </w:rPr>
        <w:t>.</w:t>
      </w:r>
      <w:r w:rsidR="0005166D" w:rsidRPr="00BB69AF">
        <w:rPr>
          <w:rFonts w:ascii="Arial" w:hAnsi="Arial" w:cs="Arial"/>
          <w:sz w:val="22"/>
          <w:szCs w:val="22"/>
        </w:rPr>
        <w:t xml:space="preserve"> Alternative options involve having poison pill provisions, such as shareholder rights plans, in an attempt to guard against hostile takeover through holding dilution in terms of ownership through acquired entities. With such governance structures, effective family control over key decision and corporation policies is enjoyed with a holding in a position of a minority. </w:t>
      </w:r>
    </w:p>
    <w:p w14:paraId="15399C35" w14:textId="69C41D55" w:rsidR="0005166D" w:rsidRPr="00BB69AF" w:rsidRDefault="00532364" w:rsidP="005D784F">
      <w:pPr>
        <w:pStyle w:val="Heading1"/>
      </w:pPr>
      <w:bookmarkStart w:id="6" w:name="_Toc191042499"/>
      <w:r>
        <w:t xml:space="preserve">4. </w:t>
      </w:r>
      <w:r w:rsidR="0005166D" w:rsidRPr="00BB69AF">
        <w:t>Director Remuneration</w:t>
      </w:r>
      <w:r w:rsidR="00E068E7" w:rsidRPr="00BB69AF">
        <w:t xml:space="preserve">, </w:t>
      </w:r>
      <w:r w:rsidRPr="00BB69AF">
        <w:t>a Governance</w:t>
      </w:r>
      <w:r w:rsidR="006B3D42">
        <w:t xml:space="preserve"> Framework</w:t>
      </w:r>
      <w:r w:rsidR="0005166D" w:rsidRPr="00BB69AF">
        <w:t xml:space="preserve"> and Determination</w:t>
      </w:r>
      <w:bookmarkEnd w:id="6"/>
    </w:p>
    <w:p w14:paraId="5E2A56A6" w14:textId="1D61B0D5" w:rsidR="0005166D" w:rsidRPr="00BB69AF" w:rsidRDefault="0005166D" w:rsidP="00BB69AF">
      <w:pPr>
        <w:spacing w:line="360" w:lineRule="auto"/>
        <w:jc w:val="both"/>
        <w:rPr>
          <w:rFonts w:ascii="Arial" w:hAnsi="Arial" w:cs="Arial"/>
          <w:sz w:val="22"/>
          <w:szCs w:val="22"/>
        </w:rPr>
      </w:pPr>
      <w:r w:rsidRPr="00BB69AF">
        <w:rPr>
          <w:rFonts w:ascii="Arial" w:hAnsi="Arial" w:cs="Arial"/>
          <w:sz w:val="22"/>
          <w:szCs w:val="22"/>
        </w:rPr>
        <w:t>The pay for the directors must be designed in a manner in an attempt to make executives' incentives harmonized with that of owners, but in a fair and transparent manner</w:t>
      </w:r>
      <w:r w:rsidR="00C03BE2" w:rsidRPr="00BB69AF">
        <w:rPr>
          <w:rFonts w:ascii="Arial" w:hAnsi="Arial" w:cs="Arial"/>
          <w:sz w:val="22"/>
          <w:szCs w:val="22"/>
        </w:rPr>
        <w:t xml:space="preserve"> (</w:t>
      </w:r>
      <w:r w:rsidR="00C03BE2" w:rsidRPr="00BB69AF">
        <w:rPr>
          <w:rFonts w:ascii="Arial" w:hAnsi="Arial" w:cs="Arial"/>
          <w:color w:val="222222"/>
          <w:sz w:val="22"/>
          <w:szCs w:val="22"/>
          <w:shd w:val="clear" w:color="auto" w:fill="FFFFFF"/>
        </w:rPr>
        <w:t xml:space="preserve">Goergen and Mira, 2023). </w:t>
      </w:r>
      <w:r w:rsidRPr="00BB69AF">
        <w:rPr>
          <w:rFonts w:ascii="Arial" w:hAnsi="Arial" w:cs="Arial"/>
          <w:sz w:val="22"/>
          <w:szCs w:val="22"/>
        </w:rPr>
        <w:t>With the transformation of the company into a publicly traded one, its pay policies must be designed in a manner in consonance with best practice in terms of governance and requirements under AIM. An effective pay structure attracts and holds onto qualified directors and lessens agency conflicts through harmonization with performance. In an attempt to make that a reality, the company must have a Remuneration Committee (RemCo) consisting of NEDs who monitor pay structure free of bias. That works towards an objective determination of pay in a manner best for owners' interest. It must benchmark pay for directors with regard to its practice in industries, financial performance, and with regard to best practice in terms of governance such as UK Corporate Governance Code. The remuneration must have an even proportion between performance and fixed pay, and both must contribute towards long-term corporation development</w:t>
      </w:r>
      <w:r w:rsidR="002306EB" w:rsidRPr="00BB69AF">
        <w:rPr>
          <w:rFonts w:ascii="Arial" w:hAnsi="Arial" w:cs="Arial"/>
          <w:sz w:val="22"/>
          <w:szCs w:val="22"/>
        </w:rPr>
        <w:t xml:space="preserve"> (</w:t>
      </w:r>
      <w:r w:rsidR="006B3D42" w:rsidRPr="00BB69AF">
        <w:rPr>
          <w:rFonts w:ascii="Arial" w:hAnsi="Arial" w:cs="Arial"/>
          <w:color w:val="222222"/>
          <w:sz w:val="22"/>
          <w:szCs w:val="22"/>
          <w:shd w:val="clear" w:color="auto" w:fill="FFFFFF"/>
        </w:rPr>
        <w:t>Crafford,</w:t>
      </w:r>
      <w:r w:rsidR="002306EB" w:rsidRPr="00BB69AF">
        <w:rPr>
          <w:rFonts w:ascii="Arial" w:hAnsi="Arial" w:cs="Arial"/>
          <w:color w:val="222222"/>
          <w:sz w:val="22"/>
          <w:szCs w:val="22"/>
          <w:shd w:val="clear" w:color="auto" w:fill="FFFFFF"/>
        </w:rPr>
        <w:t xml:space="preserve"> 2015).</w:t>
      </w:r>
      <w:r w:rsidRPr="00BB69AF">
        <w:rPr>
          <w:rFonts w:ascii="Arial" w:hAnsi="Arial" w:cs="Arial"/>
          <w:sz w:val="22"/>
          <w:szCs w:val="22"/>
        </w:rPr>
        <w:t xml:space="preserve"> There must be a competitive level of fixed pay with consideration for role, expertise, and practice in an industry for a director, and must instill steadiness and not overreliance in incentives in a short-term duration. That is, performance-related incentives must correspond with key financial and operational performance such as growth in revenues, return in investments, and sustainability, in a view to reward value creation for directors. Besides, form of payment in terms of equity, whether in terms of restricted stocks, options, is in harmony with shareholder and director interests in compensating for long-term price growth in stocks</w:t>
      </w:r>
      <w:r w:rsidR="00AA2BDC" w:rsidRPr="00BB69AF">
        <w:rPr>
          <w:rFonts w:ascii="Arial" w:hAnsi="Arial" w:cs="Arial"/>
          <w:sz w:val="22"/>
          <w:szCs w:val="22"/>
        </w:rPr>
        <w:t xml:space="preserve"> (</w:t>
      </w:r>
      <w:r w:rsidR="00AA2BDC" w:rsidRPr="00BB69AF">
        <w:rPr>
          <w:rStyle w:val="Strong"/>
          <w:rFonts w:ascii="Arial" w:hAnsi="Arial" w:cs="Arial"/>
          <w:b w:val="0"/>
          <w:sz w:val="22"/>
          <w:szCs w:val="22"/>
        </w:rPr>
        <w:t>World Bank</w:t>
      </w:r>
      <w:r w:rsidR="00AA2BDC" w:rsidRPr="00BB69AF">
        <w:rPr>
          <w:rStyle w:val="Strong"/>
          <w:rFonts w:ascii="Arial" w:hAnsi="Arial" w:cs="Arial"/>
          <w:sz w:val="22"/>
          <w:szCs w:val="22"/>
        </w:rPr>
        <w:t xml:space="preserve"> ,</w:t>
      </w:r>
      <w:r w:rsidR="00AA2BDC" w:rsidRPr="00BB69AF">
        <w:rPr>
          <w:rFonts w:ascii="Arial" w:hAnsi="Arial" w:cs="Arial"/>
          <w:sz w:val="22"/>
          <w:szCs w:val="22"/>
        </w:rPr>
        <w:t xml:space="preserve">2025). </w:t>
      </w:r>
      <w:r w:rsidRPr="00BB69AF">
        <w:rPr>
          <w:rFonts w:ascii="Arial" w:hAnsi="Arial" w:cs="Arial"/>
          <w:sz w:val="22"/>
          <w:szCs w:val="22"/>
        </w:rPr>
        <w:t xml:space="preserve"> To boot, in an attempt to counteract malpractice and win investors' trust, provisions for claw backing must be in place such that in cases of financial misstatement and moral failure, the corporation can have access to recovered incentives such as in terms of payment of bonuses. </w:t>
      </w:r>
    </w:p>
    <w:p w14:paraId="194AFD64" w14:textId="28B8E7A7" w:rsidR="00892CFA" w:rsidRPr="00BB69AF" w:rsidRDefault="00532364" w:rsidP="005D784F">
      <w:pPr>
        <w:pStyle w:val="Heading1"/>
      </w:pPr>
      <w:bookmarkStart w:id="7" w:name="_Toc191042500"/>
      <w:r>
        <w:t xml:space="preserve">5. </w:t>
      </w:r>
      <w:r w:rsidR="00892CFA" w:rsidRPr="00BB69AF">
        <w:t>Institutional Differences Between the UK, Shanghai, and the Netherlands</w:t>
      </w:r>
      <w:bookmarkEnd w:id="7"/>
    </w:p>
    <w:p w14:paraId="6CE7AC0F" w14:textId="7AC9012A" w:rsidR="001769A0" w:rsidRDefault="0005166D" w:rsidP="00BB69AF">
      <w:pPr>
        <w:spacing w:line="360" w:lineRule="auto"/>
        <w:jc w:val="both"/>
        <w:rPr>
          <w:rFonts w:ascii="Arial" w:hAnsi="Arial" w:cs="Arial"/>
          <w:sz w:val="22"/>
          <w:szCs w:val="22"/>
        </w:rPr>
      </w:pPr>
      <w:r w:rsidRPr="00BB69AF">
        <w:rPr>
          <w:rFonts w:ascii="Arial" w:hAnsi="Arial" w:cs="Arial"/>
          <w:sz w:val="22"/>
          <w:szCs w:val="22"/>
        </w:rPr>
        <w:t>As the corporation approaches a listing in Shanghai or in Netherlands, it will have to understand institution variation with regard to regimes of supervision, institution variation in terms of governance, and protection of investors</w:t>
      </w:r>
      <w:r w:rsidR="002306EB" w:rsidRPr="00BB69AF">
        <w:rPr>
          <w:rFonts w:ascii="Arial" w:hAnsi="Arial" w:cs="Arial"/>
          <w:sz w:val="22"/>
          <w:szCs w:val="22"/>
        </w:rPr>
        <w:t xml:space="preserve"> (</w:t>
      </w:r>
      <w:r w:rsidR="006B3D42" w:rsidRPr="00BB69AF">
        <w:rPr>
          <w:rFonts w:ascii="Arial" w:hAnsi="Arial" w:cs="Arial"/>
          <w:color w:val="222222"/>
          <w:sz w:val="22"/>
          <w:szCs w:val="22"/>
          <w:shd w:val="clear" w:color="auto" w:fill="FFFFFF"/>
        </w:rPr>
        <w:t>Zhang,</w:t>
      </w:r>
      <w:r w:rsidR="002306EB" w:rsidRPr="00BB69AF">
        <w:rPr>
          <w:rFonts w:ascii="Arial" w:hAnsi="Arial" w:cs="Arial"/>
          <w:color w:val="222222"/>
          <w:sz w:val="22"/>
          <w:szCs w:val="22"/>
          <w:shd w:val="clear" w:color="auto" w:fill="FFFFFF"/>
        </w:rPr>
        <w:t xml:space="preserve"> 2011). </w:t>
      </w:r>
      <w:r w:rsidRPr="00BB69AF">
        <w:rPr>
          <w:rFonts w:ascii="Arial" w:hAnsi="Arial" w:cs="Arial"/>
          <w:sz w:val="22"/>
          <w:szCs w:val="22"/>
        </w:rPr>
        <w:t>All such markets will have opportunity and challenge with regard to decision, compliance, and its capacity for exercising strategic control. UK Corporate Governance Code, with its bias towards board independence, shareholder rights, and transparency, puts UK's governance in motion</w:t>
      </w:r>
      <w:r w:rsidR="002306EB" w:rsidRPr="00BB69AF">
        <w:rPr>
          <w:rFonts w:ascii="Arial" w:hAnsi="Arial" w:cs="Arial"/>
          <w:sz w:val="22"/>
          <w:szCs w:val="22"/>
        </w:rPr>
        <w:t xml:space="preserve"> (</w:t>
      </w:r>
      <w:r w:rsidR="006B3D42" w:rsidRPr="00BB69AF">
        <w:rPr>
          <w:rFonts w:ascii="Arial" w:hAnsi="Arial" w:cs="Arial"/>
          <w:color w:val="222222"/>
          <w:sz w:val="22"/>
          <w:szCs w:val="22"/>
          <w:shd w:val="clear" w:color="auto" w:fill="FFFFFF"/>
        </w:rPr>
        <w:t>Mallin,</w:t>
      </w:r>
      <w:r w:rsidR="002306EB" w:rsidRPr="00BB69AF">
        <w:rPr>
          <w:rFonts w:ascii="Arial" w:hAnsi="Arial" w:cs="Arial"/>
          <w:color w:val="222222"/>
          <w:sz w:val="22"/>
          <w:szCs w:val="22"/>
          <w:shd w:val="clear" w:color="auto" w:fill="FFFFFF"/>
        </w:rPr>
        <w:t xml:space="preserve"> 2019). </w:t>
      </w:r>
      <w:r w:rsidRPr="00BB69AF">
        <w:rPr>
          <w:rFonts w:ascii="Arial" w:hAnsi="Arial" w:cs="Arial"/>
          <w:sz w:val="22"/>
          <w:szCs w:val="22"/>
        </w:rPr>
        <w:t>All companies whose stocks are listed in AIM will have to follow financial reporting requirements in a manner that will keep investors' confidence at a high level. UK governance structures can protect minorities at a price of mandating companies to disclose executives' pay and submit to governance requirements that make direct family control less feasible. In Shanghai, governance in a corporation is mandated under Chinese Company Law and respective laws and legislation under China Securities Regulatory Commission (CSRC). Chinese financial marketplace is operated under state-guided system under which state intervention plays larger role. Listing in Shanghai will give an enterprise access to a behemoth domestic pool of investors and additional encouragement with government support. It will have to convert to domestic governance standards, ally with government, and Chinese regulators. This family control could face challenge in terms of state-owned investment entities that could have dominant voice in boardrooms. Netherlands is operated under Dutch Corporate Governance Code, under which strong preference for stakeholder governance over shareholder concerns can be noticed</w:t>
      </w:r>
      <w:r w:rsidR="002306EB" w:rsidRPr="00BB69AF">
        <w:rPr>
          <w:rFonts w:ascii="Arial" w:hAnsi="Arial" w:cs="Arial"/>
          <w:sz w:val="22"/>
          <w:szCs w:val="22"/>
        </w:rPr>
        <w:t xml:space="preserve"> (</w:t>
      </w:r>
      <w:r w:rsidR="002306EB" w:rsidRPr="00BB69AF">
        <w:rPr>
          <w:rFonts w:ascii="Arial" w:hAnsi="Arial" w:cs="Arial"/>
          <w:color w:val="222222"/>
          <w:sz w:val="22"/>
          <w:szCs w:val="22"/>
          <w:shd w:val="clear" w:color="auto" w:fill="FFFFFF"/>
        </w:rPr>
        <w:t xml:space="preserve">Van Bekkum et </w:t>
      </w:r>
      <w:r w:rsidR="00D22D7F" w:rsidRPr="00BB69AF">
        <w:rPr>
          <w:rFonts w:ascii="Arial" w:hAnsi="Arial" w:cs="Arial"/>
          <w:color w:val="222222"/>
          <w:sz w:val="22"/>
          <w:szCs w:val="22"/>
          <w:shd w:val="clear" w:color="auto" w:fill="FFFFFF"/>
        </w:rPr>
        <w:t>al.</w:t>
      </w:r>
      <w:r w:rsidR="002306EB" w:rsidRPr="00BB69AF">
        <w:rPr>
          <w:rFonts w:ascii="Arial" w:hAnsi="Arial" w:cs="Arial"/>
          <w:color w:val="222222"/>
          <w:sz w:val="22"/>
          <w:szCs w:val="22"/>
          <w:shd w:val="clear" w:color="auto" w:fill="FFFFFF"/>
        </w:rPr>
        <w:t>, 2010</w:t>
      </w:r>
      <w:r w:rsidR="00D22D7F" w:rsidRPr="00BB69AF">
        <w:rPr>
          <w:rFonts w:ascii="Arial" w:hAnsi="Arial" w:cs="Arial"/>
          <w:color w:val="222222"/>
          <w:sz w:val="22"/>
          <w:szCs w:val="22"/>
          <w:shd w:val="clear" w:color="auto" w:fill="FFFFFF"/>
        </w:rPr>
        <w:t>). Dutch</w:t>
      </w:r>
      <w:r w:rsidRPr="00BB69AF">
        <w:rPr>
          <w:rFonts w:ascii="Arial" w:hAnsi="Arial" w:cs="Arial"/>
          <w:sz w:val="22"/>
          <w:szCs w:val="22"/>
        </w:rPr>
        <w:t xml:space="preserve"> companies have two-tier board structure under which executive management is distinguished and divorced from supervision, and independence in decision could suffer. The Dutch model also accommodates "stichting" (foundation) structures, with family control and less shareholding permissible. There is a range of governance structures, regulative requirements, and national factors in each nation. There is a development of a capital market in Shanghai but at a price in state control; a stakeholder model with a range of legal structuring tools for family control in the Netherlands; and shareholder protection in the UK at a price in governance standards to be achieved.</w:t>
      </w:r>
    </w:p>
    <w:p w14:paraId="0C3E955B" w14:textId="55F1F2A4" w:rsidR="00D22D7F" w:rsidRDefault="00D22D7F" w:rsidP="00BB69AF">
      <w:pPr>
        <w:spacing w:line="360" w:lineRule="auto"/>
        <w:jc w:val="both"/>
        <w:rPr>
          <w:rFonts w:ascii="Arial" w:hAnsi="Arial" w:cs="Arial"/>
          <w:sz w:val="22"/>
          <w:szCs w:val="22"/>
        </w:rPr>
      </w:pPr>
    </w:p>
    <w:p w14:paraId="3DF66607" w14:textId="4674A050" w:rsidR="00D22D7F" w:rsidRDefault="00D22D7F" w:rsidP="00BB69AF">
      <w:pPr>
        <w:spacing w:line="360" w:lineRule="auto"/>
        <w:jc w:val="both"/>
        <w:rPr>
          <w:rFonts w:ascii="Arial" w:hAnsi="Arial" w:cs="Arial"/>
          <w:sz w:val="22"/>
          <w:szCs w:val="22"/>
        </w:rPr>
      </w:pPr>
    </w:p>
    <w:p w14:paraId="0336E85F" w14:textId="77777777" w:rsidR="00D22D7F" w:rsidRPr="00BB69AF" w:rsidRDefault="00D22D7F" w:rsidP="00BB69AF">
      <w:pPr>
        <w:spacing w:line="360" w:lineRule="auto"/>
        <w:jc w:val="both"/>
        <w:rPr>
          <w:rFonts w:ascii="Arial" w:hAnsi="Arial" w:cs="Arial"/>
          <w:sz w:val="22"/>
          <w:szCs w:val="22"/>
        </w:rPr>
      </w:pPr>
    </w:p>
    <w:p w14:paraId="0EC0A746" w14:textId="5DEEB124" w:rsidR="0005166D" w:rsidRPr="00BB69AF" w:rsidRDefault="00532364" w:rsidP="005D784F">
      <w:pPr>
        <w:pStyle w:val="Heading1"/>
      </w:pPr>
      <w:bookmarkStart w:id="8" w:name="_Toc191042501"/>
      <w:r>
        <w:t xml:space="preserve">6. </w:t>
      </w:r>
      <w:r w:rsidR="0005166D" w:rsidRPr="00BB69AF">
        <w:t>Conclusion</w:t>
      </w:r>
      <w:bookmarkEnd w:id="8"/>
    </w:p>
    <w:p w14:paraId="0FDDEA98" w14:textId="77777777" w:rsidR="0005166D" w:rsidRPr="00BB69AF" w:rsidRDefault="0005166D" w:rsidP="00BB69AF">
      <w:pPr>
        <w:spacing w:line="360" w:lineRule="auto"/>
        <w:jc w:val="both"/>
        <w:rPr>
          <w:rFonts w:ascii="Arial" w:hAnsi="Arial" w:cs="Arial"/>
          <w:sz w:val="22"/>
          <w:szCs w:val="22"/>
        </w:rPr>
      </w:pPr>
      <w:r w:rsidRPr="00BB69AF">
        <w:rPr>
          <w:rFonts w:ascii="Arial" w:hAnsi="Arial" w:cs="Arial"/>
          <w:sz w:val="22"/>
          <w:szCs w:val="22"/>
        </w:rPr>
        <w:t>Corporate governance and theory of agency become relevant when gearing for a float, providing for transparency, investors' trust, and long-term development. Having family control with less shareholding requires governance structures in position, such as dual-class shares and shareholder agreements. An effective designed system of pay will pay fairly and align executives' incentives with shareholder aims. Where to float, UK, Shanghai, or Netherlands, is a choice with a whole range of enormously different regulative and governance factors at issue; each must be balanced out. Navigating through transition to a public corporation and at the same time, having a successful transition with continued strategic contribution and long-term steadiness through effective governance structures is a real opportunity for the corporation.</w:t>
      </w:r>
    </w:p>
    <w:p w14:paraId="4F7D8B9B" w14:textId="5C75024C" w:rsidR="0005166D" w:rsidRPr="00BB69AF" w:rsidRDefault="00532364" w:rsidP="005D784F">
      <w:pPr>
        <w:pStyle w:val="Heading1"/>
      </w:pPr>
      <w:bookmarkStart w:id="9" w:name="_Toc191042502"/>
      <w:r>
        <w:t xml:space="preserve">7. </w:t>
      </w:r>
      <w:r w:rsidR="0005166D" w:rsidRPr="00BB69AF">
        <w:t>Recommendations</w:t>
      </w:r>
      <w:bookmarkEnd w:id="9"/>
    </w:p>
    <w:p w14:paraId="1E61909A" w14:textId="2C52912C" w:rsidR="00E068E7" w:rsidRPr="00BB69AF" w:rsidRDefault="0005166D" w:rsidP="00BB69AF">
      <w:pPr>
        <w:spacing w:line="360" w:lineRule="auto"/>
        <w:jc w:val="both"/>
        <w:rPr>
          <w:rFonts w:ascii="Arial" w:hAnsi="Arial" w:cs="Arial"/>
          <w:sz w:val="22"/>
          <w:szCs w:val="22"/>
        </w:rPr>
      </w:pPr>
      <w:r w:rsidRPr="00BB69AF">
        <w:rPr>
          <w:rFonts w:ascii="Arial" w:hAnsi="Arial" w:cs="Arial"/>
          <w:sz w:val="22"/>
          <w:szCs w:val="22"/>
        </w:rPr>
        <w:t>In order for a successful transition to a public company with continuous strategic control, key governance structures must first be in position, and then implemented through the board. First, a dual-class share structure will enable voting powers for family even with a smaller holding. Having a shareholder agreement with key investors can contribute towards locking in decision powers even more</w:t>
      </w:r>
      <w:r w:rsidR="002306EB" w:rsidRPr="00BB69AF">
        <w:rPr>
          <w:rFonts w:ascii="Arial" w:hAnsi="Arial" w:cs="Arial"/>
          <w:sz w:val="22"/>
          <w:szCs w:val="22"/>
        </w:rPr>
        <w:t xml:space="preserve"> (</w:t>
      </w:r>
      <w:r w:rsidR="002306EB" w:rsidRPr="00BB69AF">
        <w:rPr>
          <w:rFonts w:ascii="Arial" w:hAnsi="Arial" w:cs="Arial"/>
          <w:color w:val="222222"/>
          <w:sz w:val="22"/>
          <w:szCs w:val="22"/>
          <w:shd w:val="clear" w:color="auto" w:fill="FFFFFF"/>
        </w:rPr>
        <w:t>Dent</w:t>
      </w:r>
      <w:r w:rsidR="00C03BE2" w:rsidRPr="00BB69AF">
        <w:rPr>
          <w:rFonts w:ascii="Arial" w:hAnsi="Arial" w:cs="Arial"/>
          <w:color w:val="222222"/>
          <w:sz w:val="22"/>
          <w:szCs w:val="22"/>
          <w:shd w:val="clear" w:color="auto" w:fill="FFFFFF"/>
        </w:rPr>
        <w:t xml:space="preserve"> ,</w:t>
      </w:r>
      <w:r w:rsidR="002306EB" w:rsidRPr="00BB69AF">
        <w:rPr>
          <w:rFonts w:ascii="Arial" w:hAnsi="Arial" w:cs="Arial"/>
          <w:color w:val="222222"/>
          <w:sz w:val="22"/>
          <w:szCs w:val="22"/>
          <w:shd w:val="clear" w:color="auto" w:fill="FFFFFF"/>
        </w:rPr>
        <w:t>2010</w:t>
      </w:r>
      <w:r w:rsidR="00D22D7F" w:rsidRPr="00BB69AF">
        <w:rPr>
          <w:rFonts w:ascii="Arial" w:hAnsi="Arial" w:cs="Arial"/>
          <w:color w:val="222222"/>
          <w:sz w:val="22"/>
          <w:szCs w:val="22"/>
          <w:shd w:val="clear" w:color="auto" w:fill="FFFFFF"/>
        </w:rPr>
        <w:t>).</w:t>
      </w:r>
      <w:r w:rsidR="00D22D7F" w:rsidRPr="00BB69AF">
        <w:rPr>
          <w:rFonts w:ascii="Arial" w:hAnsi="Arial" w:cs="Arial"/>
          <w:sz w:val="22"/>
          <w:szCs w:val="22"/>
        </w:rPr>
        <w:t xml:space="preserve"> There</w:t>
      </w:r>
      <w:r w:rsidRPr="00BB69AF">
        <w:rPr>
          <w:rFonts w:ascii="Arial" w:hAnsi="Arial" w:cs="Arial"/>
          <w:sz w:val="22"/>
          <w:szCs w:val="22"/>
        </w:rPr>
        <w:t xml:space="preserve"> must be an independent non-executive director Remuneration Committee responsible for pay for executives, with pay in relation to performance and shareholder concerns. All pay must have a balanced mix of a base salary, performance-related incentives, and options with a claw back arrangement to discourage financial abuse. In choosing a location for a listing, a governance model, investor protection, and compliance requirements must be considered</w:t>
      </w:r>
      <w:r w:rsidR="00001121" w:rsidRPr="00BB69AF">
        <w:rPr>
          <w:rFonts w:ascii="Arial" w:hAnsi="Arial" w:cs="Arial"/>
          <w:sz w:val="22"/>
          <w:szCs w:val="22"/>
        </w:rPr>
        <w:t xml:space="preserve"> </w:t>
      </w:r>
      <w:r w:rsidR="002306EB" w:rsidRPr="00BB69AF">
        <w:rPr>
          <w:rFonts w:ascii="Arial" w:hAnsi="Arial" w:cs="Arial"/>
          <w:sz w:val="22"/>
          <w:szCs w:val="22"/>
        </w:rPr>
        <w:t>(</w:t>
      </w:r>
      <w:r w:rsidR="00001121" w:rsidRPr="00BB69AF">
        <w:rPr>
          <w:rFonts w:ascii="Arial" w:hAnsi="Arial" w:cs="Arial"/>
          <w:color w:val="222222"/>
          <w:sz w:val="22"/>
          <w:szCs w:val="22"/>
          <w:shd w:val="clear" w:color="auto" w:fill="FFFFFF"/>
        </w:rPr>
        <w:t xml:space="preserve">Armour et </w:t>
      </w:r>
      <w:r w:rsidR="00D22D7F" w:rsidRPr="00BB69AF">
        <w:rPr>
          <w:rFonts w:ascii="Arial" w:hAnsi="Arial" w:cs="Arial"/>
          <w:color w:val="222222"/>
          <w:sz w:val="22"/>
          <w:szCs w:val="22"/>
          <w:shd w:val="clear" w:color="auto" w:fill="FFFFFF"/>
        </w:rPr>
        <w:t>al.</w:t>
      </w:r>
      <w:r w:rsidR="00001121" w:rsidRPr="00BB69AF">
        <w:rPr>
          <w:rFonts w:ascii="Arial" w:hAnsi="Arial" w:cs="Arial"/>
          <w:color w:val="222222"/>
          <w:sz w:val="22"/>
          <w:szCs w:val="22"/>
          <w:shd w:val="clear" w:color="auto" w:fill="FFFFFF"/>
        </w:rPr>
        <w:t>, 2017).</w:t>
      </w:r>
      <w:r w:rsidRPr="00BB69AF">
        <w:rPr>
          <w:rFonts w:ascii="Arial" w:hAnsi="Arial" w:cs="Arial"/>
          <w:sz w:val="22"/>
          <w:szCs w:val="22"/>
        </w:rPr>
        <w:t xml:space="preserve"> There is high confidence in investors in the UK but stricter compliance requirements; expansion in terms of a new marketplace in Shanghai but state intervention; and a governance with a stakeholder-</w:t>
      </w:r>
      <w:r w:rsidR="00C03BE2" w:rsidRPr="00BB69AF">
        <w:rPr>
          <w:rFonts w:ascii="Arial" w:hAnsi="Arial" w:cs="Arial"/>
          <w:sz w:val="22"/>
          <w:szCs w:val="22"/>
        </w:rPr>
        <w:t>focused</w:t>
      </w:r>
      <w:r w:rsidRPr="00BB69AF">
        <w:rPr>
          <w:rFonts w:ascii="Arial" w:hAnsi="Arial" w:cs="Arial"/>
          <w:sz w:val="22"/>
          <w:szCs w:val="22"/>
        </w:rPr>
        <w:t xml:space="preserve"> model with family controls through legal channels in the Netherlands. There must be consideration for long-term strategic objectives and choosing an appropriately fitting location for a listing.</w:t>
      </w:r>
    </w:p>
    <w:p w14:paraId="1FF52EE0" w14:textId="77777777" w:rsidR="0005166D" w:rsidRPr="00BB69AF" w:rsidRDefault="00E068E7" w:rsidP="00BB69AF">
      <w:pPr>
        <w:spacing w:line="360" w:lineRule="auto"/>
        <w:jc w:val="both"/>
        <w:rPr>
          <w:rFonts w:ascii="Arial" w:hAnsi="Arial" w:cs="Arial"/>
          <w:sz w:val="22"/>
          <w:szCs w:val="22"/>
        </w:rPr>
      </w:pPr>
      <w:r w:rsidRPr="00BB69AF">
        <w:rPr>
          <w:rFonts w:ascii="Arial" w:hAnsi="Arial" w:cs="Arial"/>
          <w:sz w:val="22"/>
          <w:szCs w:val="22"/>
        </w:rPr>
        <w:br w:type="page"/>
      </w:r>
    </w:p>
    <w:p w14:paraId="1C14136E" w14:textId="2BCDD582" w:rsidR="00AA2BDC" w:rsidRPr="00BB69AF" w:rsidRDefault="00532364" w:rsidP="005D784F">
      <w:pPr>
        <w:pStyle w:val="Heading1"/>
      </w:pPr>
      <w:bookmarkStart w:id="10" w:name="_Toc191042503"/>
      <w:r>
        <w:t xml:space="preserve">8. </w:t>
      </w:r>
      <w:r w:rsidR="00A6491C" w:rsidRPr="00BB69AF">
        <w:t>References</w:t>
      </w:r>
      <w:bookmarkEnd w:id="10"/>
      <w:r w:rsidR="00A6491C" w:rsidRPr="00BB69AF">
        <w:t xml:space="preserve"> </w:t>
      </w:r>
    </w:p>
    <w:p w14:paraId="493A2473"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Aguilera, R.V. and Crespi-Cladera, R., 2016. Global corporate governance: On the relevance of firms’ ownership structure. </w:t>
      </w:r>
      <w:r w:rsidRPr="00BB69AF">
        <w:rPr>
          <w:rFonts w:ascii="Arial" w:hAnsi="Arial" w:cs="Arial"/>
          <w:i/>
          <w:iCs/>
          <w:color w:val="222222"/>
          <w:sz w:val="22"/>
          <w:szCs w:val="22"/>
          <w:shd w:val="clear" w:color="auto" w:fill="FFFFFF"/>
        </w:rPr>
        <w:t>Journal of World Business</w:t>
      </w:r>
      <w:r w:rsidRPr="00BB69AF">
        <w:rPr>
          <w:rFonts w:ascii="Arial" w:hAnsi="Arial" w:cs="Arial"/>
          <w:color w:val="222222"/>
          <w:sz w:val="22"/>
          <w:szCs w:val="22"/>
          <w:shd w:val="clear" w:color="auto" w:fill="FFFFFF"/>
        </w:rPr>
        <w:t>, </w:t>
      </w:r>
      <w:r w:rsidRPr="00BB69AF">
        <w:rPr>
          <w:rFonts w:ascii="Arial" w:hAnsi="Arial" w:cs="Arial"/>
          <w:i/>
          <w:iCs/>
          <w:color w:val="222222"/>
          <w:sz w:val="22"/>
          <w:szCs w:val="22"/>
          <w:shd w:val="clear" w:color="auto" w:fill="FFFFFF"/>
        </w:rPr>
        <w:t>51</w:t>
      </w:r>
      <w:r w:rsidRPr="00BB69AF">
        <w:rPr>
          <w:rFonts w:ascii="Arial" w:hAnsi="Arial" w:cs="Arial"/>
          <w:color w:val="222222"/>
          <w:sz w:val="22"/>
          <w:szCs w:val="22"/>
          <w:shd w:val="clear" w:color="auto" w:fill="FFFFFF"/>
        </w:rPr>
        <w:t xml:space="preserve">(1), pp.50-57. </w:t>
      </w:r>
    </w:p>
    <w:p w14:paraId="5695202D"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Almulhim, A., 2020. </w:t>
      </w:r>
      <w:r w:rsidRPr="00BB69AF">
        <w:rPr>
          <w:rFonts w:ascii="Arial" w:hAnsi="Arial" w:cs="Arial"/>
          <w:i/>
          <w:iCs/>
          <w:color w:val="222222"/>
          <w:sz w:val="22"/>
          <w:szCs w:val="22"/>
          <w:shd w:val="clear" w:color="auto" w:fill="FFFFFF"/>
        </w:rPr>
        <w:t>Effects of corporate governance quality and ownership structure on stock liquidity: Evidence from the alternative investment market (AIM)</w:t>
      </w:r>
      <w:r w:rsidRPr="00BB69AF">
        <w:rPr>
          <w:rFonts w:ascii="Arial" w:hAnsi="Arial" w:cs="Arial"/>
          <w:color w:val="222222"/>
          <w:sz w:val="22"/>
          <w:szCs w:val="22"/>
          <w:shd w:val="clear" w:color="auto" w:fill="FFFFFF"/>
        </w:rPr>
        <w:t xml:space="preserve">. The University of Liverpool (United Kingdom). </w:t>
      </w:r>
    </w:p>
    <w:p w14:paraId="3200345E"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Armour, J., Bengtzen, M. and Enriques, L., 2017. Investor choice in global securities markets. </w:t>
      </w:r>
      <w:r w:rsidRPr="00BB69AF">
        <w:rPr>
          <w:rFonts w:ascii="Arial" w:hAnsi="Arial" w:cs="Arial"/>
          <w:i/>
          <w:iCs/>
          <w:color w:val="222222"/>
          <w:sz w:val="22"/>
          <w:szCs w:val="22"/>
          <w:shd w:val="clear" w:color="auto" w:fill="FFFFFF"/>
        </w:rPr>
        <w:t>European Corporate Governance Institute (ECGI)-Law Working Paper</w:t>
      </w:r>
      <w:r w:rsidRPr="00BB69AF">
        <w:rPr>
          <w:rFonts w:ascii="Arial" w:hAnsi="Arial" w:cs="Arial"/>
          <w:color w:val="222222"/>
          <w:sz w:val="22"/>
          <w:szCs w:val="22"/>
          <w:shd w:val="clear" w:color="auto" w:fill="FFFFFF"/>
        </w:rPr>
        <w:t>, (371).</w:t>
      </w:r>
    </w:p>
    <w:p w14:paraId="4CE5C1B4"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Bo, H. and Driver, C., 2012. Agency theory, corporate governance and finance. In </w:t>
      </w:r>
      <w:r w:rsidRPr="00BB69AF">
        <w:rPr>
          <w:rFonts w:ascii="Arial" w:hAnsi="Arial" w:cs="Arial"/>
          <w:i/>
          <w:iCs/>
          <w:color w:val="222222"/>
          <w:sz w:val="22"/>
          <w:szCs w:val="22"/>
          <w:shd w:val="clear" w:color="auto" w:fill="FFFFFF"/>
        </w:rPr>
        <w:t>Handbook on the economics and theory of the firm</w:t>
      </w:r>
      <w:r w:rsidRPr="00BB69AF">
        <w:rPr>
          <w:rFonts w:ascii="Arial" w:hAnsi="Arial" w:cs="Arial"/>
          <w:color w:val="222222"/>
          <w:sz w:val="22"/>
          <w:szCs w:val="22"/>
          <w:shd w:val="clear" w:color="auto" w:fill="FFFFFF"/>
        </w:rPr>
        <w:t xml:space="preserve">. Edward Elgar Publishing. </w:t>
      </w:r>
    </w:p>
    <w:p w14:paraId="25450224"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Claessens, S. (2006) 'Corporate governance and development', </w:t>
      </w:r>
      <w:r w:rsidRPr="00BB69AF">
        <w:rPr>
          <w:rFonts w:ascii="Arial" w:hAnsi="Arial" w:cs="Arial"/>
          <w:i/>
          <w:iCs/>
          <w:color w:val="222222"/>
          <w:sz w:val="22"/>
          <w:szCs w:val="22"/>
          <w:shd w:val="clear" w:color="auto" w:fill="FFFFFF"/>
        </w:rPr>
        <w:t>World Bank Research Observer</w:t>
      </w:r>
      <w:r w:rsidRPr="00BB69AF">
        <w:rPr>
          <w:rFonts w:ascii="Arial" w:hAnsi="Arial" w:cs="Arial"/>
          <w:color w:val="222222"/>
          <w:sz w:val="22"/>
          <w:szCs w:val="22"/>
          <w:shd w:val="clear" w:color="auto" w:fill="FFFFFF"/>
        </w:rPr>
        <w:t xml:space="preserve">, 21(1), pp. 91-122. Available at: </w:t>
      </w:r>
      <w:hyperlink r:id="rId9" w:tgtFrame="_new" w:history="1">
        <w:r w:rsidRPr="00BB69AF">
          <w:rPr>
            <w:rStyle w:val="Hyperlink"/>
            <w:rFonts w:ascii="Arial" w:hAnsi="Arial" w:cs="Arial"/>
            <w:sz w:val="22"/>
            <w:szCs w:val="22"/>
            <w:shd w:val="clear" w:color="auto" w:fill="FFFFFF"/>
          </w:rPr>
          <w:t>https://openknowledge.worldbank.org/bitstream/handle/10986/16395/767550JRN0WBRO00Box374387B00PUBLIC0.pdf?sequence=1&amp;utm_source=chatgpt.com</w:t>
        </w:r>
      </w:hyperlink>
      <w:r w:rsidRPr="00BB69AF">
        <w:rPr>
          <w:rFonts w:ascii="Arial" w:hAnsi="Arial" w:cs="Arial"/>
          <w:color w:val="222222"/>
          <w:sz w:val="22"/>
          <w:szCs w:val="22"/>
          <w:shd w:val="clear" w:color="auto" w:fill="FFFFFF"/>
        </w:rPr>
        <w:t xml:space="preserve"> (Accessed: 8 February 2025).</w:t>
      </w:r>
    </w:p>
    <w:p w14:paraId="636FDA32"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Crafford, W.L., 2015. </w:t>
      </w:r>
      <w:r w:rsidRPr="00BB69AF">
        <w:rPr>
          <w:rFonts w:ascii="Arial" w:hAnsi="Arial" w:cs="Arial"/>
          <w:i/>
          <w:iCs/>
          <w:color w:val="222222"/>
          <w:sz w:val="22"/>
          <w:szCs w:val="22"/>
          <w:shd w:val="clear" w:color="auto" w:fill="FFFFFF"/>
        </w:rPr>
        <w:t>The relationship between directors' remuneration and financial performance: an investigation into South African JSE-listed industrial firms</w:t>
      </w:r>
      <w:r w:rsidRPr="00BB69AF">
        <w:rPr>
          <w:rFonts w:ascii="Arial" w:hAnsi="Arial" w:cs="Arial"/>
          <w:color w:val="222222"/>
          <w:sz w:val="22"/>
          <w:szCs w:val="22"/>
          <w:shd w:val="clear" w:color="auto" w:fill="FFFFFF"/>
        </w:rPr>
        <w:t> (Doctoral dissertation, Stellenbosch: Stellenbosch University).</w:t>
      </w:r>
    </w:p>
    <w:p w14:paraId="55129611" w14:textId="7DF9B5E4"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Das, S.C., 2013. </w:t>
      </w:r>
      <w:r w:rsidRPr="00BB69AF">
        <w:rPr>
          <w:rFonts w:ascii="Arial" w:hAnsi="Arial" w:cs="Arial"/>
          <w:i/>
          <w:iCs/>
          <w:color w:val="222222"/>
          <w:sz w:val="22"/>
          <w:szCs w:val="22"/>
          <w:shd w:val="clear" w:color="auto" w:fill="FFFFFF"/>
        </w:rPr>
        <w:t>Corporate governance: Codes, systems, standards and practices</w:t>
      </w:r>
      <w:r w:rsidRPr="00BB69AF">
        <w:rPr>
          <w:rFonts w:ascii="Arial" w:hAnsi="Arial" w:cs="Arial"/>
          <w:color w:val="222222"/>
          <w:sz w:val="22"/>
          <w:szCs w:val="22"/>
          <w:shd w:val="clear" w:color="auto" w:fill="FFFFFF"/>
        </w:rPr>
        <w:t xml:space="preserve">. PHI Learning Pvt. </w:t>
      </w:r>
      <w:r w:rsidR="006B3D42" w:rsidRPr="00BB69AF">
        <w:rPr>
          <w:rFonts w:ascii="Arial" w:hAnsi="Arial" w:cs="Arial"/>
          <w:color w:val="222222"/>
          <w:sz w:val="22"/>
          <w:szCs w:val="22"/>
          <w:shd w:val="clear" w:color="auto" w:fill="FFFFFF"/>
        </w:rPr>
        <w:t>Ltd.</w:t>
      </w:r>
      <w:r w:rsidRPr="00BB69AF">
        <w:rPr>
          <w:rFonts w:ascii="Arial" w:hAnsi="Arial" w:cs="Arial"/>
          <w:color w:val="222222"/>
          <w:sz w:val="22"/>
          <w:szCs w:val="22"/>
          <w:shd w:val="clear" w:color="auto" w:fill="FFFFFF"/>
        </w:rPr>
        <w:t xml:space="preserve"> </w:t>
      </w:r>
    </w:p>
    <w:p w14:paraId="4513E537"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Davies, P., 2013. Corporate boards in the United Kingdom. </w:t>
      </w:r>
      <w:r w:rsidRPr="00BB69AF">
        <w:rPr>
          <w:rFonts w:ascii="Arial" w:hAnsi="Arial" w:cs="Arial"/>
          <w:i/>
          <w:iCs/>
          <w:color w:val="222222"/>
          <w:sz w:val="22"/>
          <w:szCs w:val="22"/>
          <w:shd w:val="clear" w:color="auto" w:fill="FFFFFF"/>
        </w:rPr>
        <w:t>Corporate boards in law and practice: a comparative analysis in Europe. OUP, Oxford</w:t>
      </w:r>
      <w:r w:rsidRPr="00BB69AF">
        <w:rPr>
          <w:rFonts w:ascii="Arial" w:hAnsi="Arial" w:cs="Arial"/>
          <w:color w:val="222222"/>
          <w:sz w:val="22"/>
          <w:szCs w:val="22"/>
          <w:shd w:val="clear" w:color="auto" w:fill="FFFFFF"/>
        </w:rPr>
        <w:t>, pp.713-787.</w:t>
      </w:r>
    </w:p>
    <w:p w14:paraId="274D3D0F" w14:textId="77777777" w:rsidR="00E068E7"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Dent Jr, G.W., 2010. The essential unity of shareholders and the myth of investor short-termism. </w:t>
      </w:r>
      <w:r w:rsidRPr="00BB69AF">
        <w:rPr>
          <w:rFonts w:ascii="Arial" w:hAnsi="Arial" w:cs="Arial"/>
          <w:i/>
          <w:iCs/>
          <w:color w:val="222222"/>
          <w:sz w:val="22"/>
          <w:szCs w:val="22"/>
          <w:shd w:val="clear" w:color="auto" w:fill="FFFFFF"/>
        </w:rPr>
        <w:t>Del. J. Corp. L.</w:t>
      </w:r>
      <w:r w:rsidRPr="00BB69AF">
        <w:rPr>
          <w:rFonts w:ascii="Arial" w:hAnsi="Arial" w:cs="Arial"/>
          <w:color w:val="222222"/>
          <w:sz w:val="22"/>
          <w:szCs w:val="22"/>
          <w:shd w:val="clear" w:color="auto" w:fill="FFFFFF"/>
        </w:rPr>
        <w:t>, </w:t>
      </w:r>
      <w:r w:rsidRPr="00BB69AF">
        <w:rPr>
          <w:rFonts w:ascii="Arial" w:hAnsi="Arial" w:cs="Arial"/>
          <w:i/>
          <w:iCs/>
          <w:color w:val="222222"/>
          <w:sz w:val="22"/>
          <w:szCs w:val="22"/>
          <w:shd w:val="clear" w:color="auto" w:fill="FFFFFF"/>
        </w:rPr>
        <w:t>35</w:t>
      </w:r>
      <w:r w:rsidRPr="00BB69AF">
        <w:rPr>
          <w:rFonts w:ascii="Arial" w:hAnsi="Arial" w:cs="Arial"/>
          <w:color w:val="222222"/>
          <w:sz w:val="22"/>
          <w:szCs w:val="22"/>
          <w:shd w:val="clear" w:color="auto" w:fill="FFFFFF"/>
        </w:rPr>
        <w:t>, p.97.</w:t>
      </w:r>
    </w:p>
    <w:p w14:paraId="592C2644"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Style w:val="Strong"/>
          <w:rFonts w:ascii="Arial" w:hAnsi="Arial" w:cs="Arial"/>
          <w:b w:val="0"/>
          <w:sz w:val="22"/>
          <w:szCs w:val="22"/>
        </w:rPr>
        <w:t>Financial Conduct Authority (FCA) (2017</w:t>
      </w:r>
      <w:r w:rsidRPr="00BB69AF">
        <w:rPr>
          <w:rStyle w:val="Strong"/>
          <w:rFonts w:ascii="Arial" w:hAnsi="Arial" w:cs="Arial"/>
          <w:sz w:val="22"/>
          <w:szCs w:val="22"/>
        </w:rPr>
        <w:t>)</w:t>
      </w:r>
      <w:r w:rsidRPr="00BB69AF">
        <w:rPr>
          <w:rFonts w:ascii="Arial" w:hAnsi="Arial" w:cs="Arial"/>
          <w:sz w:val="22"/>
          <w:szCs w:val="22"/>
        </w:rPr>
        <w:t xml:space="preserve"> ‘Discussion Paper DP17/01: Illiquid assets and open-ended investment funds’, </w:t>
      </w:r>
      <w:r w:rsidRPr="00BB69AF">
        <w:rPr>
          <w:rStyle w:val="Emphasis"/>
          <w:rFonts w:ascii="Arial" w:hAnsi="Arial" w:cs="Arial"/>
          <w:sz w:val="22"/>
          <w:szCs w:val="22"/>
        </w:rPr>
        <w:t>Financial Conduct Authority</w:t>
      </w:r>
      <w:r w:rsidRPr="00BB69AF">
        <w:rPr>
          <w:rFonts w:ascii="Arial" w:hAnsi="Arial" w:cs="Arial"/>
          <w:sz w:val="22"/>
          <w:szCs w:val="22"/>
        </w:rPr>
        <w:t xml:space="preserve">. Available at: </w:t>
      </w:r>
      <w:hyperlink r:id="rId10" w:tgtFrame="_new" w:history="1">
        <w:r w:rsidRPr="00BB69AF">
          <w:rPr>
            <w:rStyle w:val="Hyperlink"/>
            <w:rFonts w:ascii="Arial" w:hAnsi="Arial" w:cs="Arial"/>
            <w:sz w:val="22"/>
            <w:szCs w:val="22"/>
          </w:rPr>
          <w:t>https://www.fca.org.uk/publication/discussion/dp17-01.pdf</w:t>
        </w:r>
      </w:hyperlink>
      <w:r w:rsidRPr="00BB69AF">
        <w:rPr>
          <w:rFonts w:ascii="Arial" w:hAnsi="Arial" w:cs="Arial"/>
          <w:sz w:val="22"/>
          <w:szCs w:val="22"/>
        </w:rPr>
        <w:t xml:space="preserve"> (Accessed: 8 February 2025).</w:t>
      </w:r>
    </w:p>
    <w:p w14:paraId="0DC4D2ED"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Financial Reporting Council (2018) 'The UK Corporate Governance Code'. Available at: https://www.frc.org.uk/directors/corporate-governance-and-stewardship/uk-corporate-governance-code (Accessed: 8 February 2025).</w:t>
      </w:r>
    </w:p>
    <w:p w14:paraId="52DC87DE"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Goergen, M. and Mira, S., 2023. An overview of recent changes to corporate governance frameworks as it pertains to executive remuneration.</w:t>
      </w:r>
    </w:p>
    <w:p w14:paraId="71552B35"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Goergen, M. and Mira, S., 2023. Measuring the ownership and control of UK listed firms: Some methodological challenges. </w:t>
      </w:r>
      <w:r w:rsidRPr="00BB69AF">
        <w:rPr>
          <w:rFonts w:ascii="Arial" w:hAnsi="Arial" w:cs="Arial"/>
          <w:i/>
          <w:iCs/>
          <w:color w:val="222222"/>
          <w:sz w:val="22"/>
          <w:szCs w:val="22"/>
          <w:shd w:val="clear" w:color="auto" w:fill="FFFFFF"/>
        </w:rPr>
        <w:t>The British Accounting Review</w:t>
      </w:r>
      <w:r w:rsidRPr="00BB69AF">
        <w:rPr>
          <w:rFonts w:ascii="Arial" w:hAnsi="Arial" w:cs="Arial"/>
          <w:color w:val="222222"/>
          <w:sz w:val="22"/>
          <w:szCs w:val="22"/>
          <w:shd w:val="clear" w:color="auto" w:fill="FFFFFF"/>
        </w:rPr>
        <w:t>, </w:t>
      </w:r>
      <w:r w:rsidRPr="00BB69AF">
        <w:rPr>
          <w:rFonts w:ascii="Arial" w:hAnsi="Arial" w:cs="Arial"/>
          <w:i/>
          <w:iCs/>
          <w:color w:val="222222"/>
          <w:sz w:val="22"/>
          <w:szCs w:val="22"/>
          <w:shd w:val="clear" w:color="auto" w:fill="FFFFFF"/>
        </w:rPr>
        <w:t>55</w:t>
      </w:r>
      <w:r w:rsidRPr="00BB69AF">
        <w:rPr>
          <w:rFonts w:ascii="Arial" w:hAnsi="Arial" w:cs="Arial"/>
          <w:color w:val="222222"/>
          <w:sz w:val="22"/>
          <w:szCs w:val="22"/>
          <w:shd w:val="clear" w:color="auto" w:fill="FFFFFF"/>
        </w:rPr>
        <w:t>(6), p.101272.</w:t>
      </w:r>
    </w:p>
    <w:p w14:paraId="6B678F1B"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Klein, P., Shapiro, D. and Young, J., 2005. Corporate governance, family ownership and firm value: the Canadian evidence. </w:t>
      </w:r>
      <w:r w:rsidRPr="00BB69AF">
        <w:rPr>
          <w:rFonts w:ascii="Arial" w:hAnsi="Arial" w:cs="Arial"/>
          <w:i/>
          <w:iCs/>
          <w:color w:val="222222"/>
          <w:sz w:val="22"/>
          <w:szCs w:val="22"/>
          <w:shd w:val="clear" w:color="auto" w:fill="FFFFFF"/>
        </w:rPr>
        <w:t>Corporate Governance: An International Review</w:t>
      </w:r>
      <w:r w:rsidRPr="00BB69AF">
        <w:rPr>
          <w:rFonts w:ascii="Arial" w:hAnsi="Arial" w:cs="Arial"/>
          <w:color w:val="222222"/>
          <w:sz w:val="22"/>
          <w:szCs w:val="22"/>
          <w:shd w:val="clear" w:color="auto" w:fill="FFFFFF"/>
        </w:rPr>
        <w:t>, </w:t>
      </w:r>
      <w:r w:rsidRPr="00BB69AF">
        <w:rPr>
          <w:rFonts w:ascii="Arial" w:hAnsi="Arial" w:cs="Arial"/>
          <w:i/>
          <w:iCs/>
          <w:color w:val="222222"/>
          <w:sz w:val="22"/>
          <w:szCs w:val="22"/>
          <w:shd w:val="clear" w:color="auto" w:fill="FFFFFF"/>
        </w:rPr>
        <w:t>13</w:t>
      </w:r>
      <w:r w:rsidRPr="00BB69AF">
        <w:rPr>
          <w:rFonts w:ascii="Arial" w:hAnsi="Arial" w:cs="Arial"/>
          <w:color w:val="222222"/>
          <w:sz w:val="22"/>
          <w:szCs w:val="22"/>
          <w:shd w:val="clear" w:color="auto" w:fill="FFFFFF"/>
        </w:rPr>
        <w:t>(6), pp.769-784.</w:t>
      </w:r>
    </w:p>
    <w:p w14:paraId="7EE9EC93"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Mallin, C.A., 2019. </w:t>
      </w:r>
      <w:r w:rsidRPr="00BB69AF">
        <w:rPr>
          <w:rFonts w:ascii="Arial" w:hAnsi="Arial" w:cs="Arial"/>
          <w:i/>
          <w:iCs/>
          <w:color w:val="222222"/>
          <w:sz w:val="22"/>
          <w:szCs w:val="22"/>
          <w:shd w:val="clear" w:color="auto" w:fill="FFFFFF"/>
        </w:rPr>
        <w:t>Corporate governance</w:t>
      </w:r>
      <w:r w:rsidRPr="00BB69AF">
        <w:rPr>
          <w:rFonts w:ascii="Arial" w:hAnsi="Arial" w:cs="Arial"/>
          <w:color w:val="222222"/>
          <w:sz w:val="22"/>
          <w:szCs w:val="22"/>
          <w:shd w:val="clear" w:color="auto" w:fill="FFFFFF"/>
        </w:rPr>
        <w:t>. Oxford university press.</w:t>
      </w:r>
    </w:p>
    <w:p w14:paraId="6F25C7A6"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Tricker, R.I., 2015. </w:t>
      </w:r>
      <w:r w:rsidRPr="00BB69AF">
        <w:rPr>
          <w:rFonts w:ascii="Arial" w:hAnsi="Arial" w:cs="Arial"/>
          <w:i/>
          <w:iCs/>
          <w:color w:val="222222"/>
          <w:sz w:val="22"/>
          <w:szCs w:val="22"/>
          <w:shd w:val="clear" w:color="auto" w:fill="FFFFFF"/>
        </w:rPr>
        <w:t>Corporate governance: Principles, policies, and practices</w:t>
      </w:r>
      <w:r w:rsidRPr="00BB69AF">
        <w:rPr>
          <w:rFonts w:ascii="Arial" w:hAnsi="Arial" w:cs="Arial"/>
          <w:color w:val="222222"/>
          <w:sz w:val="22"/>
          <w:szCs w:val="22"/>
          <w:shd w:val="clear" w:color="auto" w:fill="FFFFFF"/>
        </w:rPr>
        <w:t>. Oxford University Press, USA.</w:t>
      </w:r>
    </w:p>
    <w:p w14:paraId="17691C13" w14:textId="77777777" w:rsidR="00E068E7"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Van Bekkum, J., Hijink, S., Schouten, M.C. and Winter, J.W., 2010, November. Corporate governance in the Netherlands. In </w:t>
      </w:r>
      <w:r w:rsidRPr="00BB69AF">
        <w:rPr>
          <w:rFonts w:ascii="Arial" w:hAnsi="Arial" w:cs="Arial"/>
          <w:i/>
          <w:iCs/>
          <w:color w:val="222222"/>
          <w:sz w:val="22"/>
          <w:szCs w:val="22"/>
          <w:shd w:val="clear" w:color="auto" w:fill="FFFFFF"/>
        </w:rPr>
        <w:t>International congress on comparative law, Washington</w:t>
      </w:r>
      <w:r w:rsidRPr="00BB69AF">
        <w:rPr>
          <w:rFonts w:ascii="Arial" w:hAnsi="Arial" w:cs="Arial"/>
          <w:color w:val="222222"/>
          <w:sz w:val="22"/>
          <w:szCs w:val="22"/>
          <w:shd w:val="clear" w:color="auto" w:fill="FFFFFF"/>
        </w:rPr>
        <w:t xml:space="preserve">. </w:t>
      </w:r>
    </w:p>
    <w:p w14:paraId="3666C69E" w14:textId="77777777" w:rsidR="00E068E7"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Style w:val="Strong"/>
          <w:rFonts w:ascii="Arial" w:hAnsi="Arial" w:cs="Arial"/>
          <w:b w:val="0"/>
          <w:sz w:val="22"/>
          <w:szCs w:val="22"/>
        </w:rPr>
        <w:t>World Bank.</w:t>
      </w:r>
      <w:r w:rsidRPr="00BB69AF">
        <w:rPr>
          <w:rFonts w:ascii="Arial" w:hAnsi="Arial" w:cs="Arial"/>
          <w:sz w:val="22"/>
          <w:szCs w:val="22"/>
        </w:rPr>
        <w:t xml:space="preserve"> (2025). </w:t>
      </w:r>
      <w:r w:rsidRPr="00BB69AF">
        <w:rPr>
          <w:rStyle w:val="Emphasis"/>
          <w:rFonts w:ascii="Arial" w:hAnsi="Arial" w:cs="Arial"/>
          <w:sz w:val="22"/>
          <w:szCs w:val="22"/>
        </w:rPr>
        <w:t>Stocks traded, total value (% of GDP)</w:t>
      </w:r>
      <w:r w:rsidRPr="00BB69AF">
        <w:rPr>
          <w:rFonts w:ascii="Arial" w:hAnsi="Arial" w:cs="Arial"/>
          <w:sz w:val="22"/>
          <w:szCs w:val="22"/>
        </w:rPr>
        <w:t xml:space="preserve">. World Development Indicators. Available at: </w:t>
      </w:r>
      <w:hyperlink r:id="rId11" w:tgtFrame="_new" w:history="1">
        <w:r w:rsidRPr="00BB69AF">
          <w:rPr>
            <w:rStyle w:val="Hyperlink"/>
            <w:rFonts w:ascii="Arial" w:hAnsi="Arial" w:cs="Arial"/>
            <w:sz w:val="22"/>
            <w:szCs w:val="22"/>
          </w:rPr>
          <w:t>https://databank.worldbank.org/metadataglossary/world-development-indicators/series/CM.MKT.TRAD.GD.ZS</w:t>
        </w:r>
      </w:hyperlink>
      <w:r w:rsidRPr="00BB69AF">
        <w:rPr>
          <w:rFonts w:ascii="Arial" w:hAnsi="Arial" w:cs="Arial"/>
          <w:sz w:val="22"/>
          <w:szCs w:val="22"/>
        </w:rPr>
        <w:t xml:space="preserve"> [Accessed 8 February 2025].</w:t>
      </w:r>
    </w:p>
    <w:p w14:paraId="1FDE5A57"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r w:rsidRPr="00BB69AF">
        <w:rPr>
          <w:rFonts w:ascii="Arial" w:hAnsi="Arial" w:cs="Arial"/>
          <w:color w:val="222222"/>
          <w:sz w:val="22"/>
          <w:szCs w:val="22"/>
          <w:shd w:val="clear" w:color="auto" w:fill="FFFFFF"/>
        </w:rPr>
        <w:t xml:space="preserve"> Zhang, L., 2011. </w:t>
      </w:r>
      <w:r w:rsidRPr="00BB69AF">
        <w:rPr>
          <w:rFonts w:ascii="Arial" w:hAnsi="Arial" w:cs="Arial"/>
          <w:i/>
          <w:iCs/>
          <w:color w:val="222222"/>
          <w:sz w:val="22"/>
          <w:szCs w:val="22"/>
          <w:shd w:val="clear" w:color="auto" w:fill="FFFFFF"/>
        </w:rPr>
        <w:t>Venture capital and the corporate governance of Chinese listed companies</w:t>
      </w:r>
      <w:r w:rsidRPr="00BB69AF">
        <w:rPr>
          <w:rFonts w:ascii="Arial" w:hAnsi="Arial" w:cs="Arial"/>
          <w:color w:val="222222"/>
          <w:sz w:val="22"/>
          <w:szCs w:val="22"/>
          <w:shd w:val="clear" w:color="auto" w:fill="FFFFFF"/>
        </w:rPr>
        <w:t>. Springer Science &amp; Business Media.</w:t>
      </w:r>
    </w:p>
    <w:p w14:paraId="303C8543" w14:textId="77777777" w:rsidR="00AA2BDC" w:rsidRPr="00BB69AF" w:rsidRDefault="00AA2BDC" w:rsidP="00BB69AF">
      <w:pPr>
        <w:spacing w:line="360" w:lineRule="auto"/>
        <w:ind w:left="720" w:hanging="720"/>
        <w:jc w:val="both"/>
        <w:rPr>
          <w:rFonts w:ascii="Arial" w:hAnsi="Arial" w:cs="Arial"/>
          <w:color w:val="222222"/>
          <w:sz w:val="22"/>
          <w:szCs w:val="22"/>
          <w:shd w:val="clear" w:color="auto" w:fill="FFFFFF"/>
        </w:rPr>
      </w:pPr>
    </w:p>
    <w:sectPr w:rsidR="00AA2BDC" w:rsidRPr="00BB69AF">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74A3F5" w14:textId="77777777" w:rsidR="002C53DF" w:rsidRDefault="002C53DF" w:rsidP="00E068E7">
      <w:pPr>
        <w:spacing w:after="0" w:line="240" w:lineRule="auto"/>
      </w:pPr>
      <w:r>
        <w:separator/>
      </w:r>
    </w:p>
  </w:endnote>
  <w:endnote w:type="continuationSeparator" w:id="0">
    <w:p w14:paraId="399BCE14" w14:textId="77777777" w:rsidR="002C53DF" w:rsidRDefault="002C53DF" w:rsidP="00E06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775851"/>
      <w:docPartObj>
        <w:docPartGallery w:val="Page Numbers (Bottom of Page)"/>
        <w:docPartUnique/>
      </w:docPartObj>
    </w:sdtPr>
    <w:sdtEndPr>
      <w:rPr>
        <w:color w:val="7F7F7F" w:themeColor="background1" w:themeShade="7F"/>
        <w:spacing w:val="60"/>
      </w:rPr>
    </w:sdtEndPr>
    <w:sdtContent>
      <w:p w14:paraId="588ACA16" w14:textId="6DD6D61A" w:rsidR="005D784F" w:rsidRDefault="005D784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C53DF" w:rsidRPr="002C53DF">
          <w:rPr>
            <w:b/>
            <w:bCs/>
            <w:noProof/>
          </w:rPr>
          <w:t>1</w:t>
        </w:r>
        <w:r>
          <w:rPr>
            <w:b/>
            <w:bCs/>
            <w:noProof/>
          </w:rPr>
          <w:fldChar w:fldCharType="end"/>
        </w:r>
        <w:r>
          <w:rPr>
            <w:b/>
            <w:bCs/>
          </w:rPr>
          <w:t xml:space="preserve"> | </w:t>
        </w:r>
        <w:r>
          <w:rPr>
            <w:color w:val="7F7F7F" w:themeColor="background1" w:themeShade="7F"/>
            <w:spacing w:val="60"/>
          </w:rPr>
          <w:t>Page</w:t>
        </w:r>
      </w:p>
    </w:sdtContent>
  </w:sdt>
  <w:p w14:paraId="1803835B" w14:textId="77777777" w:rsidR="005D784F" w:rsidRDefault="005D7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810DFC" w14:textId="77777777" w:rsidR="002C53DF" w:rsidRDefault="002C53DF" w:rsidP="00E068E7">
      <w:pPr>
        <w:spacing w:after="0" w:line="240" w:lineRule="auto"/>
      </w:pPr>
      <w:r>
        <w:separator/>
      </w:r>
    </w:p>
  </w:footnote>
  <w:footnote w:type="continuationSeparator" w:id="0">
    <w:p w14:paraId="55A1BB29" w14:textId="77777777" w:rsidR="002C53DF" w:rsidRDefault="002C53DF" w:rsidP="00E06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865241" w14:textId="270B10C9" w:rsidR="00E068E7" w:rsidRDefault="00E068E7">
    <w:pPr>
      <w:pStyle w:val="Header"/>
      <w:jc w:val="right"/>
    </w:pPr>
  </w:p>
  <w:p w14:paraId="390E45E1" w14:textId="77777777" w:rsidR="00E068E7" w:rsidRDefault="00E068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845898"/>
    <w:multiLevelType w:val="multilevel"/>
    <w:tmpl w:val="1938B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7B6"/>
    <w:rsid w:val="00001121"/>
    <w:rsid w:val="00006420"/>
    <w:rsid w:val="0005166D"/>
    <w:rsid w:val="00080171"/>
    <w:rsid w:val="000B07A2"/>
    <w:rsid w:val="000D653F"/>
    <w:rsid w:val="0012574B"/>
    <w:rsid w:val="001769A0"/>
    <w:rsid w:val="001C0E9B"/>
    <w:rsid w:val="002306EB"/>
    <w:rsid w:val="002719E5"/>
    <w:rsid w:val="002C53DF"/>
    <w:rsid w:val="00336D28"/>
    <w:rsid w:val="00350899"/>
    <w:rsid w:val="00376087"/>
    <w:rsid w:val="00390626"/>
    <w:rsid w:val="003C0715"/>
    <w:rsid w:val="0041495B"/>
    <w:rsid w:val="0043345A"/>
    <w:rsid w:val="00452647"/>
    <w:rsid w:val="004575C9"/>
    <w:rsid w:val="004957B6"/>
    <w:rsid w:val="00532364"/>
    <w:rsid w:val="0057633D"/>
    <w:rsid w:val="005D784F"/>
    <w:rsid w:val="0060764E"/>
    <w:rsid w:val="006B2F0D"/>
    <w:rsid w:val="006B3D42"/>
    <w:rsid w:val="0073197F"/>
    <w:rsid w:val="00753A6A"/>
    <w:rsid w:val="007C3765"/>
    <w:rsid w:val="00807967"/>
    <w:rsid w:val="008362A9"/>
    <w:rsid w:val="00892CFA"/>
    <w:rsid w:val="008E288B"/>
    <w:rsid w:val="00924905"/>
    <w:rsid w:val="00951B89"/>
    <w:rsid w:val="00963EC1"/>
    <w:rsid w:val="00983688"/>
    <w:rsid w:val="009D70E3"/>
    <w:rsid w:val="00A1273F"/>
    <w:rsid w:val="00A2592B"/>
    <w:rsid w:val="00A600D9"/>
    <w:rsid w:val="00A6491C"/>
    <w:rsid w:val="00A82DA5"/>
    <w:rsid w:val="00AA2BDC"/>
    <w:rsid w:val="00B304AC"/>
    <w:rsid w:val="00B361CF"/>
    <w:rsid w:val="00BB69AF"/>
    <w:rsid w:val="00C03BE2"/>
    <w:rsid w:val="00D22D7F"/>
    <w:rsid w:val="00E068E7"/>
    <w:rsid w:val="00F363C5"/>
    <w:rsid w:val="00FE4236"/>
    <w:rsid w:val="00FF5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4D27B"/>
  <w15:chartTrackingRefBased/>
  <w15:docId w15:val="{7919A0B9-1E68-492B-816B-AA6FA8FF9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5D784F"/>
    <w:pPr>
      <w:keepNext/>
      <w:keepLines/>
      <w:spacing w:before="240" w:after="0" w:line="480" w:lineRule="auto"/>
      <w:jc w:val="center"/>
      <w:outlineLvl w:val="0"/>
    </w:pPr>
    <w:rPr>
      <w:rFonts w:ascii="Arial" w:eastAsiaTheme="majorEastAsia" w:hAnsi="Arial" w:cs="Arial"/>
      <w:b/>
      <w:szCs w:val="32"/>
    </w:rPr>
  </w:style>
  <w:style w:type="paragraph" w:styleId="Heading2">
    <w:name w:val="heading 2"/>
    <w:basedOn w:val="Normal"/>
    <w:next w:val="Normal"/>
    <w:link w:val="Heading2Char"/>
    <w:autoRedefine/>
    <w:uiPriority w:val="9"/>
    <w:unhideWhenUsed/>
    <w:qFormat/>
    <w:rsid w:val="006B3D42"/>
    <w:pPr>
      <w:keepNext/>
      <w:keepLines/>
      <w:spacing w:before="40" w:after="0"/>
      <w:outlineLvl w:val="1"/>
    </w:pPr>
    <w:rPr>
      <w:rFonts w:ascii="Arial" w:eastAsiaTheme="majorEastAsia" w:hAnsi="Arial"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3D42"/>
    <w:rPr>
      <w:rFonts w:ascii="Arial" w:eastAsiaTheme="majorEastAsia" w:hAnsi="Arial" w:cs="Arial"/>
      <w:b/>
    </w:rPr>
  </w:style>
  <w:style w:type="character" w:customStyle="1" w:styleId="Heading1Char">
    <w:name w:val="Heading 1 Char"/>
    <w:basedOn w:val="DefaultParagraphFont"/>
    <w:link w:val="Heading1"/>
    <w:uiPriority w:val="9"/>
    <w:rsid w:val="005D784F"/>
    <w:rPr>
      <w:rFonts w:ascii="Arial" w:eastAsiaTheme="majorEastAsia" w:hAnsi="Arial" w:cs="Arial"/>
      <w:b/>
      <w:szCs w:val="32"/>
    </w:rPr>
  </w:style>
  <w:style w:type="paragraph" w:styleId="TOCHeading">
    <w:name w:val="TOC Heading"/>
    <w:basedOn w:val="Heading1"/>
    <w:next w:val="Normal"/>
    <w:uiPriority w:val="39"/>
    <w:unhideWhenUsed/>
    <w:qFormat/>
    <w:rsid w:val="000D653F"/>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D653F"/>
    <w:pPr>
      <w:spacing w:after="100"/>
    </w:pPr>
  </w:style>
  <w:style w:type="character" w:styleId="Hyperlink">
    <w:name w:val="Hyperlink"/>
    <w:basedOn w:val="DefaultParagraphFont"/>
    <w:uiPriority w:val="99"/>
    <w:unhideWhenUsed/>
    <w:rsid w:val="000D653F"/>
    <w:rPr>
      <w:color w:val="0563C1" w:themeColor="hyperlink"/>
      <w:u w:val="single"/>
    </w:rPr>
  </w:style>
  <w:style w:type="character" w:styleId="Strong">
    <w:name w:val="Strong"/>
    <w:basedOn w:val="DefaultParagraphFont"/>
    <w:uiPriority w:val="22"/>
    <w:qFormat/>
    <w:rsid w:val="004575C9"/>
    <w:rPr>
      <w:b/>
      <w:bCs/>
    </w:rPr>
  </w:style>
  <w:style w:type="character" w:customStyle="1" w:styleId="UnresolvedMention">
    <w:name w:val="Unresolved Mention"/>
    <w:basedOn w:val="DefaultParagraphFont"/>
    <w:uiPriority w:val="99"/>
    <w:semiHidden/>
    <w:unhideWhenUsed/>
    <w:rsid w:val="000B07A2"/>
    <w:rPr>
      <w:color w:val="605E5C"/>
      <w:shd w:val="clear" w:color="auto" w:fill="E1DFDD"/>
    </w:rPr>
  </w:style>
  <w:style w:type="character" w:styleId="Emphasis">
    <w:name w:val="Emphasis"/>
    <w:basedOn w:val="DefaultParagraphFont"/>
    <w:uiPriority w:val="20"/>
    <w:qFormat/>
    <w:rsid w:val="00AA2BDC"/>
    <w:rPr>
      <w:i/>
      <w:iCs/>
    </w:rPr>
  </w:style>
  <w:style w:type="paragraph" w:styleId="Header">
    <w:name w:val="header"/>
    <w:basedOn w:val="Normal"/>
    <w:link w:val="HeaderChar"/>
    <w:uiPriority w:val="99"/>
    <w:unhideWhenUsed/>
    <w:rsid w:val="00E068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68E7"/>
  </w:style>
  <w:style w:type="paragraph" w:styleId="Footer">
    <w:name w:val="footer"/>
    <w:basedOn w:val="Normal"/>
    <w:link w:val="FooterChar"/>
    <w:uiPriority w:val="99"/>
    <w:unhideWhenUsed/>
    <w:rsid w:val="00E068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68E7"/>
  </w:style>
  <w:style w:type="paragraph" w:styleId="TOC2">
    <w:name w:val="toc 2"/>
    <w:basedOn w:val="Normal"/>
    <w:next w:val="Normal"/>
    <w:autoRedefine/>
    <w:uiPriority w:val="39"/>
    <w:unhideWhenUsed/>
    <w:rsid w:val="00D22D7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632649">
      <w:bodyDiv w:val="1"/>
      <w:marLeft w:val="0"/>
      <w:marRight w:val="0"/>
      <w:marTop w:val="0"/>
      <w:marBottom w:val="0"/>
      <w:divBdr>
        <w:top w:val="none" w:sz="0" w:space="0" w:color="auto"/>
        <w:left w:val="none" w:sz="0" w:space="0" w:color="auto"/>
        <w:bottom w:val="none" w:sz="0" w:space="0" w:color="auto"/>
        <w:right w:val="none" w:sz="0" w:space="0" w:color="auto"/>
      </w:divBdr>
    </w:div>
    <w:div w:id="348681909">
      <w:bodyDiv w:val="1"/>
      <w:marLeft w:val="0"/>
      <w:marRight w:val="0"/>
      <w:marTop w:val="0"/>
      <w:marBottom w:val="0"/>
      <w:divBdr>
        <w:top w:val="none" w:sz="0" w:space="0" w:color="auto"/>
        <w:left w:val="none" w:sz="0" w:space="0" w:color="auto"/>
        <w:bottom w:val="none" w:sz="0" w:space="0" w:color="auto"/>
        <w:right w:val="none" w:sz="0" w:space="0" w:color="auto"/>
      </w:divBdr>
    </w:div>
    <w:div w:id="355810904">
      <w:bodyDiv w:val="1"/>
      <w:marLeft w:val="0"/>
      <w:marRight w:val="0"/>
      <w:marTop w:val="0"/>
      <w:marBottom w:val="0"/>
      <w:divBdr>
        <w:top w:val="none" w:sz="0" w:space="0" w:color="auto"/>
        <w:left w:val="none" w:sz="0" w:space="0" w:color="auto"/>
        <w:bottom w:val="none" w:sz="0" w:space="0" w:color="auto"/>
        <w:right w:val="none" w:sz="0" w:space="0" w:color="auto"/>
      </w:divBdr>
    </w:div>
    <w:div w:id="595944690">
      <w:bodyDiv w:val="1"/>
      <w:marLeft w:val="0"/>
      <w:marRight w:val="0"/>
      <w:marTop w:val="0"/>
      <w:marBottom w:val="0"/>
      <w:divBdr>
        <w:top w:val="none" w:sz="0" w:space="0" w:color="auto"/>
        <w:left w:val="none" w:sz="0" w:space="0" w:color="auto"/>
        <w:bottom w:val="none" w:sz="0" w:space="0" w:color="auto"/>
        <w:right w:val="none" w:sz="0" w:space="0" w:color="auto"/>
      </w:divBdr>
    </w:div>
    <w:div w:id="686368480">
      <w:bodyDiv w:val="1"/>
      <w:marLeft w:val="0"/>
      <w:marRight w:val="0"/>
      <w:marTop w:val="0"/>
      <w:marBottom w:val="0"/>
      <w:divBdr>
        <w:top w:val="none" w:sz="0" w:space="0" w:color="auto"/>
        <w:left w:val="none" w:sz="0" w:space="0" w:color="auto"/>
        <w:bottom w:val="none" w:sz="0" w:space="0" w:color="auto"/>
        <w:right w:val="none" w:sz="0" w:space="0" w:color="auto"/>
      </w:divBdr>
    </w:div>
    <w:div w:id="786701868">
      <w:bodyDiv w:val="1"/>
      <w:marLeft w:val="0"/>
      <w:marRight w:val="0"/>
      <w:marTop w:val="0"/>
      <w:marBottom w:val="0"/>
      <w:divBdr>
        <w:top w:val="none" w:sz="0" w:space="0" w:color="auto"/>
        <w:left w:val="none" w:sz="0" w:space="0" w:color="auto"/>
        <w:bottom w:val="none" w:sz="0" w:space="0" w:color="auto"/>
        <w:right w:val="none" w:sz="0" w:space="0" w:color="auto"/>
      </w:divBdr>
    </w:div>
    <w:div w:id="990449442">
      <w:bodyDiv w:val="1"/>
      <w:marLeft w:val="0"/>
      <w:marRight w:val="0"/>
      <w:marTop w:val="0"/>
      <w:marBottom w:val="0"/>
      <w:divBdr>
        <w:top w:val="none" w:sz="0" w:space="0" w:color="auto"/>
        <w:left w:val="none" w:sz="0" w:space="0" w:color="auto"/>
        <w:bottom w:val="none" w:sz="0" w:space="0" w:color="auto"/>
        <w:right w:val="none" w:sz="0" w:space="0" w:color="auto"/>
      </w:divBdr>
    </w:div>
    <w:div w:id="1109469355">
      <w:bodyDiv w:val="1"/>
      <w:marLeft w:val="0"/>
      <w:marRight w:val="0"/>
      <w:marTop w:val="0"/>
      <w:marBottom w:val="0"/>
      <w:divBdr>
        <w:top w:val="none" w:sz="0" w:space="0" w:color="auto"/>
        <w:left w:val="none" w:sz="0" w:space="0" w:color="auto"/>
        <w:bottom w:val="none" w:sz="0" w:space="0" w:color="auto"/>
        <w:right w:val="none" w:sz="0" w:space="0" w:color="auto"/>
      </w:divBdr>
    </w:div>
    <w:div w:id="1282878834">
      <w:bodyDiv w:val="1"/>
      <w:marLeft w:val="0"/>
      <w:marRight w:val="0"/>
      <w:marTop w:val="0"/>
      <w:marBottom w:val="0"/>
      <w:divBdr>
        <w:top w:val="none" w:sz="0" w:space="0" w:color="auto"/>
        <w:left w:val="none" w:sz="0" w:space="0" w:color="auto"/>
        <w:bottom w:val="none" w:sz="0" w:space="0" w:color="auto"/>
        <w:right w:val="none" w:sz="0" w:space="0" w:color="auto"/>
      </w:divBdr>
    </w:div>
    <w:div w:id="1616404385">
      <w:bodyDiv w:val="1"/>
      <w:marLeft w:val="0"/>
      <w:marRight w:val="0"/>
      <w:marTop w:val="0"/>
      <w:marBottom w:val="0"/>
      <w:divBdr>
        <w:top w:val="none" w:sz="0" w:space="0" w:color="auto"/>
        <w:left w:val="none" w:sz="0" w:space="0" w:color="auto"/>
        <w:bottom w:val="none" w:sz="0" w:space="0" w:color="auto"/>
        <w:right w:val="none" w:sz="0" w:space="0" w:color="auto"/>
      </w:divBdr>
    </w:div>
    <w:div w:id="2024894667">
      <w:bodyDiv w:val="1"/>
      <w:marLeft w:val="0"/>
      <w:marRight w:val="0"/>
      <w:marTop w:val="0"/>
      <w:marBottom w:val="0"/>
      <w:divBdr>
        <w:top w:val="none" w:sz="0" w:space="0" w:color="auto"/>
        <w:left w:val="none" w:sz="0" w:space="0" w:color="auto"/>
        <w:bottom w:val="none" w:sz="0" w:space="0" w:color="auto"/>
        <w:right w:val="none" w:sz="0" w:space="0" w:color="auto"/>
      </w:divBdr>
    </w:div>
    <w:div w:id="2136632335">
      <w:bodyDiv w:val="1"/>
      <w:marLeft w:val="0"/>
      <w:marRight w:val="0"/>
      <w:marTop w:val="0"/>
      <w:marBottom w:val="0"/>
      <w:divBdr>
        <w:top w:val="none" w:sz="0" w:space="0" w:color="auto"/>
        <w:left w:val="none" w:sz="0" w:space="0" w:color="auto"/>
        <w:bottom w:val="none" w:sz="0" w:space="0" w:color="auto"/>
        <w:right w:val="none" w:sz="0" w:space="0" w:color="auto"/>
      </w:divBdr>
      <w:divsChild>
        <w:div w:id="171383885">
          <w:marLeft w:val="0"/>
          <w:marRight w:val="0"/>
          <w:marTop w:val="0"/>
          <w:marBottom w:val="0"/>
          <w:divBdr>
            <w:top w:val="none" w:sz="0" w:space="0" w:color="auto"/>
            <w:left w:val="none" w:sz="0" w:space="0" w:color="auto"/>
            <w:bottom w:val="none" w:sz="0" w:space="0" w:color="auto"/>
            <w:right w:val="none" w:sz="0" w:space="0" w:color="auto"/>
          </w:divBdr>
          <w:divsChild>
            <w:div w:id="868879301">
              <w:marLeft w:val="0"/>
              <w:marRight w:val="0"/>
              <w:marTop w:val="0"/>
              <w:marBottom w:val="0"/>
              <w:divBdr>
                <w:top w:val="none" w:sz="0" w:space="0" w:color="auto"/>
                <w:left w:val="none" w:sz="0" w:space="0" w:color="auto"/>
                <w:bottom w:val="none" w:sz="0" w:space="0" w:color="auto"/>
                <w:right w:val="none" w:sz="0" w:space="0" w:color="auto"/>
              </w:divBdr>
              <w:divsChild>
                <w:div w:id="1456944003">
                  <w:marLeft w:val="0"/>
                  <w:marRight w:val="0"/>
                  <w:marTop w:val="0"/>
                  <w:marBottom w:val="0"/>
                  <w:divBdr>
                    <w:top w:val="none" w:sz="0" w:space="0" w:color="auto"/>
                    <w:left w:val="none" w:sz="0" w:space="0" w:color="auto"/>
                    <w:bottom w:val="none" w:sz="0" w:space="0" w:color="auto"/>
                    <w:right w:val="none" w:sz="0" w:space="0" w:color="auto"/>
                  </w:divBdr>
                  <w:divsChild>
                    <w:div w:id="1621186925">
                      <w:marLeft w:val="0"/>
                      <w:marRight w:val="0"/>
                      <w:marTop w:val="0"/>
                      <w:marBottom w:val="0"/>
                      <w:divBdr>
                        <w:top w:val="none" w:sz="0" w:space="0" w:color="auto"/>
                        <w:left w:val="none" w:sz="0" w:space="0" w:color="auto"/>
                        <w:bottom w:val="none" w:sz="0" w:space="0" w:color="auto"/>
                        <w:right w:val="none" w:sz="0" w:space="0" w:color="auto"/>
                      </w:divBdr>
                      <w:divsChild>
                        <w:div w:id="1409691547">
                          <w:marLeft w:val="0"/>
                          <w:marRight w:val="0"/>
                          <w:marTop w:val="0"/>
                          <w:marBottom w:val="0"/>
                          <w:divBdr>
                            <w:top w:val="none" w:sz="0" w:space="0" w:color="auto"/>
                            <w:left w:val="none" w:sz="0" w:space="0" w:color="auto"/>
                            <w:bottom w:val="none" w:sz="0" w:space="0" w:color="auto"/>
                            <w:right w:val="none" w:sz="0" w:space="0" w:color="auto"/>
                          </w:divBdr>
                          <w:divsChild>
                            <w:div w:id="663893191">
                              <w:marLeft w:val="0"/>
                              <w:marRight w:val="0"/>
                              <w:marTop w:val="0"/>
                              <w:marBottom w:val="0"/>
                              <w:divBdr>
                                <w:top w:val="none" w:sz="0" w:space="0" w:color="auto"/>
                                <w:left w:val="none" w:sz="0" w:space="0" w:color="auto"/>
                                <w:bottom w:val="none" w:sz="0" w:space="0" w:color="auto"/>
                                <w:right w:val="none" w:sz="0" w:space="0" w:color="auto"/>
                              </w:divBdr>
                              <w:divsChild>
                                <w:div w:id="1572616123">
                                  <w:marLeft w:val="0"/>
                                  <w:marRight w:val="0"/>
                                  <w:marTop w:val="0"/>
                                  <w:marBottom w:val="0"/>
                                  <w:divBdr>
                                    <w:top w:val="none" w:sz="0" w:space="0" w:color="auto"/>
                                    <w:left w:val="none" w:sz="0" w:space="0" w:color="auto"/>
                                    <w:bottom w:val="none" w:sz="0" w:space="0" w:color="auto"/>
                                    <w:right w:val="none" w:sz="0" w:space="0" w:color="auto"/>
                                  </w:divBdr>
                                  <w:divsChild>
                                    <w:div w:id="98134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8039599">
          <w:marLeft w:val="0"/>
          <w:marRight w:val="0"/>
          <w:marTop w:val="0"/>
          <w:marBottom w:val="0"/>
          <w:divBdr>
            <w:top w:val="none" w:sz="0" w:space="0" w:color="auto"/>
            <w:left w:val="none" w:sz="0" w:space="0" w:color="auto"/>
            <w:bottom w:val="none" w:sz="0" w:space="0" w:color="auto"/>
            <w:right w:val="none" w:sz="0" w:space="0" w:color="auto"/>
          </w:divBdr>
          <w:divsChild>
            <w:div w:id="1302735353">
              <w:marLeft w:val="0"/>
              <w:marRight w:val="0"/>
              <w:marTop w:val="0"/>
              <w:marBottom w:val="0"/>
              <w:divBdr>
                <w:top w:val="none" w:sz="0" w:space="0" w:color="auto"/>
                <w:left w:val="none" w:sz="0" w:space="0" w:color="auto"/>
                <w:bottom w:val="none" w:sz="0" w:space="0" w:color="auto"/>
                <w:right w:val="none" w:sz="0" w:space="0" w:color="auto"/>
              </w:divBdr>
              <w:divsChild>
                <w:div w:id="1040394842">
                  <w:marLeft w:val="0"/>
                  <w:marRight w:val="0"/>
                  <w:marTop w:val="0"/>
                  <w:marBottom w:val="0"/>
                  <w:divBdr>
                    <w:top w:val="none" w:sz="0" w:space="0" w:color="auto"/>
                    <w:left w:val="none" w:sz="0" w:space="0" w:color="auto"/>
                    <w:bottom w:val="none" w:sz="0" w:space="0" w:color="auto"/>
                    <w:right w:val="none" w:sz="0" w:space="0" w:color="auto"/>
                  </w:divBdr>
                  <w:divsChild>
                    <w:div w:id="639386864">
                      <w:marLeft w:val="0"/>
                      <w:marRight w:val="0"/>
                      <w:marTop w:val="0"/>
                      <w:marBottom w:val="0"/>
                      <w:divBdr>
                        <w:top w:val="none" w:sz="0" w:space="0" w:color="auto"/>
                        <w:left w:val="none" w:sz="0" w:space="0" w:color="auto"/>
                        <w:bottom w:val="none" w:sz="0" w:space="0" w:color="auto"/>
                        <w:right w:val="none" w:sz="0" w:space="0" w:color="auto"/>
                      </w:divBdr>
                      <w:divsChild>
                        <w:div w:id="516388530">
                          <w:marLeft w:val="0"/>
                          <w:marRight w:val="0"/>
                          <w:marTop w:val="0"/>
                          <w:marBottom w:val="0"/>
                          <w:divBdr>
                            <w:top w:val="none" w:sz="0" w:space="0" w:color="auto"/>
                            <w:left w:val="none" w:sz="0" w:space="0" w:color="auto"/>
                            <w:bottom w:val="none" w:sz="0" w:space="0" w:color="auto"/>
                            <w:right w:val="none" w:sz="0" w:space="0" w:color="auto"/>
                          </w:divBdr>
                          <w:divsChild>
                            <w:div w:id="109057934">
                              <w:marLeft w:val="0"/>
                              <w:marRight w:val="0"/>
                              <w:marTop w:val="0"/>
                              <w:marBottom w:val="0"/>
                              <w:divBdr>
                                <w:top w:val="none" w:sz="0" w:space="0" w:color="auto"/>
                                <w:left w:val="none" w:sz="0" w:space="0" w:color="auto"/>
                                <w:bottom w:val="none" w:sz="0" w:space="0" w:color="auto"/>
                                <w:right w:val="none" w:sz="0" w:space="0" w:color="auto"/>
                              </w:divBdr>
                              <w:divsChild>
                                <w:div w:id="1790540298">
                                  <w:marLeft w:val="0"/>
                                  <w:marRight w:val="0"/>
                                  <w:marTop w:val="0"/>
                                  <w:marBottom w:val="0"/>
                                  <w:divBdr>
                                    <w:top w:val="none" w:sz="0" w:space="0" w:color="auto"/>
                                    <w:left w:val="none" w:sz="0" w:space="0" w:color="auto"/>
                                    <w:bottom w:val="none" w:sz="0" w:space="0" w:color="auto"/>
                                    <w:right w:val="none" w:sz="0" w:space="0" w:color="auto"/>
                                  </w:divBdr>
                                  <w:divsChild>
                                    <w:div w:id="1249846687">
                                      <w:marLeft w:val="0"/>
                                      <w:marRight w:val="0"/>
                                      <w:marTop w:val="0"/>
                                      <w:marBottom w:val="0"/>
                                      <w:divBdr>
                                        <w:top w:val="none" w:sz="0" w:space="0" w:color="auto"/>
                                        <w:left w:val="none" w:sz="0" w:space="0" w:color="auto"/>
                                        <w:bottom w:val="none" w:sz="0" w:space="0" w:color="auto"/>
                                        <w:right w:val="none" w:sz="0" w:space="0" w:color="auto"/>
                                      </w:divBdr>
                                      <w:divsChild>
                                        <w:div w:id="133958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3231192">
          <w:marLeft w:val="0"/>
          <w:marRight w:val="0"/>
          <w:marTop w:val="0"/>
          <w:marBottom w:val="0"/>
          <w:divBdr>
            <w:top w:val="none" w:sz="0" w:space="0" w:color="auto"/>
            <w:left w:val="none" w:sz="0" w:space="0" w:color="auto"/>
            <w:bottom w:val="none" w:sz="0" w:space="0" w:color="auto"/>
            <w:right w:val="none" w:sz="0" w:space="0" w:color="auto"/>
          </w:divBdr>
          <w:divsChild>
            <w:div w:id="331300866">
              <w:marLeft w:val="0"/>
              <w:marRight w:val="0"/>
              <w:marTop w:val="0"/>
              <w:marBottom w:val="0"/>
              <w:divBdr>
                <w:top w:val="none" w:sz="0" w:space="0" w:color="auto"/>
                <w:left w:val="none" w:sz="0" w:space="0" w:color="auto"/>
                <w:bottom w:val="none" w:sz="0" w:space="0" w:color="auto"/>
                <w:right w:val="none" w:sz="0" w:space="0" w:color="auto"/>
              </w:divBdr>
              <w:divsChild>
                <w:div w:id="1973436478">
                  <w:marLeft w:val="0"/>
                  <w:marRight w:val="0"/>
                  <w:marTop w:val="0"/>
                  <w:marBottom w:val="0"/>
                  <w:divBdr>
                    <w:top w:val="none" w:sz="0" w:space="0" w:color="auto"/>
                    <w:left w:val="none" w:sz="0" w:space="0" w:color="auto"/>
                    <w:bottom w:val="none" w:sz="0" w:space="0" w:color="auto"/>
                    <w:right w:val="none" w:sz="0" w:space="0" w:color="auto"/>
                  </w:divBdr>
                  <w:divsChild>
                    <w:div w:id="421269118">
                      <w:marLeft w:val="0"/>
                      <w:marRight w:val="0"/>
                      <w:marTop w:val="0"/>
                      <w:marBottom w:val="0"/>
                      <w:divBdr>
                        <w:top w:val="none" w:sz="0" w:space="0" w:color="auto"/>
                        <w:left w:val="none" w:sz="0" w:space="0" w:color="auto"/>
                        <w:bottom w:val="none" w:sz="0" w:space="0" w:color="auto"/>
                        <w:right w:val="none" w:sz="0" w:space="0" w:color="auto"/>
                      </w:divBdr>
                      <w:divsChild>
                        <w:div w:id="1906448273">
                          <w:marLeft w:val="0"/>
                          <w:marRight w:val="0"/>
                          <w:marTop w:val="0"/>
                          <w:marBottom w:val="0"/>
                          <w:divBdr>
                            <w:top w:val="none" w:sz="0" w:space="0" w:color="auto"/>
                            <w:left w:val="none" w:sz="0" w:space="0" w:color="auto"/>
                            <w:bottom w:val="none" w:sz="0" w:space="0" w:color="auto"/>
                            <w:right w:val="none" w:sz="0" w:space="0" w:color="auto"/>
                          </w:divBdr>
                          <w:divsChild>
                            <w:div w:id="1215627907">
                              <w:marLeft w:val="0"/>
                              <w:marRight w:val="0"/>
                              <w:marTop w:val="0"/>
                              <w:marBottom w:val="0"/>
                              <w:divBdr>
                                <w:top w:val="none" w:sz="0" w:space="0" w:color="auto"/>
                                <w:left w:val="none" w:sz="0" w:space="0" w:color="auto"/>
                                <w:bottom w:val="none" w:sz="0" w:space="0" w:color="auto"/>
                                <w:right w:val="none" w:sz="0" w:space="0" w:color="auto"/>
                              </w:divBdr>
                              <w:divsChild>
                                <w:div w:id="438374953">
                                  <w:marLeft w:val="0"/>
                                  <w:marRight w:val="0"/>
                                  <w:marTop w:val="0"/>
                                  <w:marBottom w:val="0"/>
                                  <w:divBdr>
                                    <w:top w:val="none" w:sz="0" w:space="0" w:color="auto"/>
                                    <w:left w:val="none" w:sz="0" w:space="0" w:color="auto"/>
                                    <w:bottom w:val="none" w:sz="0" w:space="0" w:color="auto"/>
                                    <w:right w:val="none" w:sz="0" w:space="0" w:color="auto"/>
                                  </w:divBdr>
                                  <w:divsChild>
                                    <w:div w:id="132300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atabank.worldbank.org/metadataglossary/world-development-indicators/series/CM.MKT.TRAD.GD.Z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ca.org.uk/publication/discussion/dp17-01.pdf" TargetMode="External"/><Relationship Id="rId4" Type="http://schemas.openxmlformats.org/officeDocument/2006/relationships/settings" Target="settings.xml"/><Relationship Id="rId9" Type="http://schemas.openxmlformats.org/officeDocument/2006/relationships/hyperlink" Target="https://openknowledge.worldbank.org/bitstream/handle/10986/16395/767550JRN0WBRO00Box374387B00PUBLIC0.pdf?sequence=1&amp;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EF314-44C6-481D-B53A-970CDCB8B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10</Pages>
  <Words>2642</Words>
  <Characters>15061</Characters>
  <Application>Microsoft Office Word</Application>
  <DocSecurity>0</DocSecurity>
  <Lines>125</Lines>
  <Paragraphs>35</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Executive Summary</vt:lpstr>
      <vt:lpstr>1. Introduction </vt:lpstr>
      <vt:lpstr>2. Corporate Governance and Agency Theory</vt:lpstr>
      <vt:lpstr>    2.1. Concept, Requirements and Relevance</vt:lpstr>
      <vt:lpstr>3.Retaining Control with 30% Shareholding </vt:lpstr>
      <vt:lpstr>4. Director Remuneration, a Governance Framework and Determination</vt:lpstr>
      <vt:lpstr>5. Institutional Differences Between the UK, Shanghai, and the Netherlands</vt:lpstr>
      <vt:lpstr>6. Conclusion</vt:lpstr>
      <vt:lpstr>7. Recommendations</vt:lpstr>
      <vt:lpstr>8. References </vt:lpstr>
    </vt:vector>
  </TitlesOfParts>
  <Company/>
  <LinksUpToDate>false</LinksUpToDate>
  <CharactersWithSpaces>17668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Matthews</dc:creator>
  <cp:keywords/>
  <dc:description/>
  <cp:lastModifiedBy>Zoe Matthews</cp:lastModifiedBy>
  <cp:revision>10</cp:revision>
  <dcterms:created xsi:type="dcterms:W3CDTF">2025-02-20T09:37:00Z</dcterms:created>
  <dcterms:modified xsi:type="dcterms:W3CDTF">2025-02-21T16:28:00Z</dcterms:modified>
</cp:coreProperties>
</file>