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95C6A" w14:textId="0412ECC6" w:rsidR="00180005" w:rsidRPr="00BD459D" w:rsidRDefault="003B5C7C" w:rsidP="00556BC2">
      <w:pPr>
        <w:spacing w:line="360" w:lineRule="auto"/>
        <w:jc w:val="center"/>
        <w:rPr>
          <w:rFonts w:ascii="Arial" w:hAnsi="Arial" w:cs="Arial"/>
          <w:b/>
          <w:bCs/>
          <w:sz w:val="44"/>
          <w:szCs w:val="44"/>
        </w:rPr>
      </w:pPr>
      <w:r w:rsidRPr="00BD459D">
        <w:rPr>
          <w:rFonts w:ascii="Arial" w:hAnsi="Arial" w:cs="Arial"/>
          <w:b/>
          <w:bCs/>
          <w:sz w:val="44"/>
          <w:szCs w:val="44"/>
        </w:rPr>
        <w:t>BMHP6026</w:t>
      </w:r>
      <w:r w:rsidR="007017E7" w:rsidRPr="00BD459D">
        <w:rPr>
          <w:rFonts w:ascii="Arial" w:hAnsi="Arial" w:cs="Arial"/>
          <w:b/>
          <w:bCs/>
          <w:sz w:val="44"/>
          <w:szCs w:val="44"/>
        </w:rPr>
        <w:t xml:space="preserve"> -</w:t>
      </w:r>
      <w:r w:rsidR="00A23B63" w:rsidRPr="00BD459D">
        <w:rPr>
          <w:rFonts w:ascii="Arial" w:hAnsi="Arial" w:cs="Arial"/>
          <w:b/>
          <w:bCs/>
          <w:sz w:val="44"/>
          <w:szCs w:val="44"/>
        </w:rPr>
        <w:t xml:space="preserve"> Digital </w:t>
      </w:r>
      <w:r w:rsidR="00086D5E" w:rsidRPr="00BD459D">
        <w:rPr>
          <w:rFonts w:ascii="Arial" w:hAnsi="Arial" w:cs="Arial"/>
          <w:b/>
          <w:bCs/>
          <w:sz w:val="44"/>
          <w:szCs w:val="44"/>
        </w:rPr>
        <w:t>Transformation in Health and Care Profession</w:t>
      </w:r>
      <w:r w:rsidR="002B718B" w:rsidRPr="00BD459D">
        <w:rPr>
          <w:rFonts w:ascii="Arial" w:hAnsi="Arial" w:cs="Arial"/>
          <w:b/>
          <w:bCs/>
          <w:sz w:val="44"/>
          <w:szCs w:val="44"/>
        </w:rPr>
        <w:t>s</w:t>
      </w:r>
    </w:p>
    <w:p w14:paraId="02FF667D" w14:textId="77777777" w:rsidR="00671B97" w:rsidRDefault="00671B97" w:rsidP="00556BC2">
      <w:pPr>
        <w:spacing w:line="360" w:lineRule="auto"/>
        <w:jc w:val="center"/>
        <w:rPr>
          <w:rFonts w:ascii="Arial" w:hAnsi="Arial" w:cs="Arial"/>
          <w:b/>
          <w:bCs/>
          <w:sz w:val="44"/>
          <w:szCs w:val="44"/>
        </w:rPr>
      </w:pPr>
    </w:p>
    <w:p w14:paraId="501DC707" w14:textId="77777777" w:rsidR="00136C12" w:rsidRDefault="00C34929" w:rsidP="00FC29EB">
      <w:pPr>
        <w:spacing w:line="360" w:lineRule="auto"/>
        <w:jc w:val="center"/>
        <w:rPr>
          <w:rFonts w:ascii="Arial" w:hAnsi="Arial" w:cs="Arial"/>
          <w:b/>
          <w:bCs/>
          <w:sz w:val="44"/>
          <w:szCs w:val="44"/>
        </w:rPr>
      </w:pPr>
      <w:r w:rsidRPr="00BD459D">
        <w:rPr>
          <w:rFonts w:ascii="Arial" w:hAnsi="Arial" w:cs="Arial"/>
          <w:b/>
          <w:bCs/>
          <w:sz w:val="44"/>
          <w:szCs w:val="44"/>
        </w:rPr>
        <w:t>Component One</w:t>
      </w:r>
    </w:p>
    <w:p w14:paraId="63A08AB9" w14:textId="39140558" w:rsidR="00260968" w:rsidRPr="00BD459D" w:rsidRDefault="00260968" w:rsidP="00FC29EB">
      <w:pPr>
        <w:spacing w:line="360" w:lineRule="auto"/>
        <w:jc w:val="center"/>
        <w:rPr>
          <w:rFonts w:ascii="Arial" w:hAnsi="Arial" w:cs="Arial"/>
          <w:b/>
          <w:bCs/>
          <w:sz w:val="44"/>
          <w:szCs w:val="44"/>
        </w:rPr>
      </w:pPr>
      <w:r w:rsidRPr="00BD459D">
        <w:rPr>
          <w:rFonts w:ascii="Arial" w:hAnsi="Arial" w:cs="Arial"/>
          <w:b/>
          <w:bCs/>
          <w:sz w:val="44"/>
          <w:szCs w:val="44"/>
        </w:rPr>
        <w:t>Lecturer</w:t>
      </w:r>
      <w:r w:rsidR="009C45F7" w:rsidRPr="00BD459D">
        <w:rPr>
          <w:rFonts w:ascii="Arial" w:hAnsi="Arial" w:cs="Arial"/>
          <w:b/>
          <w:bCs/>
          <w:sz w:val="44"/>
          <w:szCs w:val="44"/>
        </w:rPr>
        <w:t xml:space="preserve">: </w:t>
      </w:r>
      <w:r w:rsidR="00594727" w:rsidRPr="00BD459D">
        <w:rPr>
          <w:rFonts w:ascii="Arial" w:hAnsi="Arial" w:cs="Arial"/>
          <w:b/>
          <w:bCs/>
          <w:sz w:val="44"/>
          <w:szCs w:val="44"/>
        </w:rPr>
        <w:t>Joanne D</w:t>
      </w:r>
      <w:r w:rsidR="007017E7" w:rsidRPr="00BD459D">
        <w:rPr>
          <w:rFonts w:ascii="Arial" w:hAnsi="Arial" w:cs="Arial"/>
          <w:b/>
          <w:bCs/>
          <w:sz w:val="44"/>
          <w:szCs w:val="44"/>
        </w:rPr>
        <w:t>a</w:t>
      </w:r>
      <w:r w:rsidR="00594727" w:rsidRPr="00BD459D">
        <w:rPr>
          <w:rFonts w:ascii="Arial" w:hAnsi="Arial" w:cs="Arial"/>
          <w:b/>
          <w:bCs/>
          <w:sz w:val="44"/>
          <w:szCs w:val="44"/>
        </w:rPr>
        <w:t>vies</w:t>
      </w:r>
    </w:p>
    <w:p w14:paraId="41A2D507" w14:textId="77777777" w:rsidR="00671B97" w:rsidRDefault="00671B97" w:rsidP="00556BC2">
      <w:pPr>
        <w:spacing w:line="360" w:lineRule="auto"/>
        <w:jc w:val="center"/>
        <w:rPr>
          <w:rFonts w:ascii="Arial" w:hAnsi="Arial" w:cs="Arial"/>
          <w:b/>
          <w:bCs/>
          <w:sz w:val="44"/>
          <w:szCs w:val="44"/>
        </w:rPr>
      </w:pPr>
    </w:p>
    <w:p w14:paraId="1BB0C2BB" w14:textId="1C1DE339" w:rsidR="00260968" w:rsidRPr="00BD459D" w:rsidRDefault="00777090" w:rsidP="00556BC2">
      <w:pPr>
        <w:spacing w:line="360" w:lineRule="auto"/>
        <w:jc w:val="center"/>
        <w:rPr>
          <w:rFonts w:ascii="Arial" w:hAnsi="Arial" w:cs="Arial"/>
          <w:b/>
          <w:bCs/>
          <w:sz w:val="44"/>
          <w:szCs w:val="44"/>
        </w:rPr>
      </w:pPr>
      <w:r w:rsidRPr="00BD459D">
        <w:rPr>
          <w:rFonts w:ascii="Arial" w:hAnsi="Arial" w:cs="Arial"/>
          <w:b/>
          <w:bCs/>
          <w:sz w:val="44"/>
          <w:szCs w:val="44"/>
        </w:rPr>
        <w:t>Afiya Barakat</w:t>
      </w:r>
    </w:p>
    <w:p w14:paraId="630A5F14" w14:textId="11880C6D" w:rsidR="00260968" w:rsidRPr="00BD459D" w:rsidRDefault="00777090" w:rsidP="00556BC2">
      <w:pPr>
        <w:spacing w:line="360" w:lineRule="auto"/>
        <w:jc w:val="center"/>
        <w:rPr>
          <w:rFonts w:ascii="Arial" w:hAnsi="Arial" w:cs="Arial"/>
          <w:b/>
          <w:bCs/>
          <w:sz w:val="44"/>
          <w:szCs w:val="44"/>
        </w:rPr>
      </w:pPr>
      <w:r w:rsidRPr="00BD459D">
        <w:rPr>
          <w:rFonts w:ascii="Arial" w:hAnsi="Arial" w:cs="Arial"/>
          <w:b/>
          <w:bCs/>
          <w:sz w:val="44"/>
          <w:szCs w:val="44"/>
        </w:rPr>
        <w:t>2314493</w:t>
      </w:r>
    </w:p>
    <w:p w14:paraId="45244954" w14:textId="77777777" w:rsidR="00671B97" w:rsidRDefault="00671B97" w:rsidP="00556BC2">
      <w:pPr>
        <w:spacing w:line="360" w:lineRule="auto"/>
        <w:jc w:val="center"/>
        <w:rPr>
          <w:rFonts w:ascii="Arial" w:hAnsi="Arial" w:cs="Arial"/>
          <w:b/>
          <w:bCs/>
          <w:sz w:val="44"/>
          <w:szCs w:val="44"/>
        </w:rPr>
      </w:pPr>
    </w:p>
    <w:p w14:paraId="7F1609A5" w14:textId="42BF6F79" w:rsidR="002B718B" w:rsidRPr="00BD459D" w:rsidRDefault="002B718B" w:rsidP="00556BC2">
      <w:pPr>
        <w:spacing w:line="360" w:lineRule="auto"/>
        <w:jc w:val="center"/>
        <w:rPr>
          <w:rFonts w:ascii="Arial" w:hAnsi="Arial" w:cs="Arial"/>
          <w:b/>
          <w:bCs/>
          <w:sz w:val="44"/>
          <w:szCs w:val="44"/>
        </w:rPr>
      </w:pPr>
      <w:r w:rsidRPr="00BD459D">
        <w:rPr>
          <w:rFonts w:ascii="Arial" w:hAnsi="Arial" w:cs="Arial"/>
          <w:b/>
          <w:bCs/>
          <w:sz w:val="44"/>
          <w:szCs w:val="44"/>
        </w:rPr>
        <w:t>26</w:t>
      </w:r>
      <w:r w:rsidRPr="00BD459D">
        <w:rPr>
          <w:rFonts w:ascii="Arial" w:hAnsi="Arial" w:cs="Arial"/>
          <w:b/>
          <w:bCs/>
          <w:sz w:val="44"/>
          <w:szCs w:val="44"/>
          <w:vertAlign w:val="superscript"/>
        </w:rPr>
        <w:t>th</w:t>
      </w:r>
      <w:r w:rsidRPr="00BD459D">
        <w:rPr>
          <w:rFonts w:ascii="Arial" w:hAnsi="Arial" w:cs="Arial"/>
          <w:b/>
          <w:bCs/>
          <w:sz w:val="44"/>
          <w:szCs w:val="44"/>
        </w:rPr>
        <w:t xml:space="preserve"> October 2025</w:t>
      </w:r>
    </w:p>
    <w:p w14:paraId="27E5C327" w14:textId="77777777" w:rsidR="002C71B7" w:rsidRPr="00BD459D" w:rsidRDefault="002C71B7">
      <w:pPr>
        <w:rPr>
          <w:sz w:val="44"/>
          <w:szCs w:val="44"/>
        </w:rPr>
      </w:pPr>
    </w:p>
    <w:p w14:paraId="40EA4BC7" w14:textId="12E0F421" w:rsidR="00CD5C47" w:rsidRPr="0016538D" w:rsidRDefault="007C603D" w:rsidP="00C73E19">
      <w:pPr>
        <w:jc w:val="center"/>
        <w:rPr>
          <w:rFonts w:ascii="Arial" w:hAnsi="Arial" w:cs="Arial"/>
          <w:b/>
          <w:bCs/>
          <w:sz w:val="28"/>
          <w:szCs w:val="28"/>
        </w:rPr>
      </w:pPr>
      <w:r w:rsidRPr="0016538D">
        <w:rPr>
          <w:rFonts w:ascii="Arial" w:hAnsi="Arial" w:cs="Arial"/>
          <w:b/>
          <w:bCs/>
          <w:sz w:val="28"/>
          <w:szCs w:val="28"/>
        </w:rPr>
        <w:t>The 100,000 Genomes</w:t>
      </w:r>
      <w:r w:rsidR="00C73E19" w:rsidRPr="0016538D">
        <w:rPr>
          <w:rFonts w:ascii="Arial" w:hAnsi="Arial" w:cs="Arial"/>
          <w:b/>
          <w:bCs/>
          <w:sz w:val="28"/>
          <w:szCs w:val="28"/>
        </w:rPr>
        <w:t xml:space="preserve"> Project</w:t>
      </w:r>
    </w:p>
    <w:p w14:paraId="35F562F2" w14:textId="6C3CADB0" w:rsidR="00CD5C47" w:rsidRDefault="00CD5C47"/>
    <w:p w14:paraId="6AFCFCAA" w14:textId="77777777" w:rsidR="00CD5C47" w:rsidRDefault="00CD5C47"/>
    <w:p w14:paraId="7446345C" w14:textId="77777777" w:rsidR="00CD5C47" w:rsidRDefault="00CD5C47"/>
    <w:p w14:paraId="56BD6187" w14:textId="77777777" w:rsidR="00CD5C47" w:rsidRDefault="00CD5C47"/>
    <w:p w14:paraId="2A0036B2" w14:textId="77777777" w:rsidR="00CD5C47" w:rsidRDefault="00CD5C47"/>
    <w:p w14:paraId="420F1E8B" w14:textId="77777777" w:rsidR="00CD5C47" w:rsidRDefault="00CD5C47"/>
    <w:p w14:paraId="4DCD3675" w14:textId="77777777" w:rsidR="009F1D45" w:rsidRDefault="009F1D45">
      <w:pPr>
        <w:rPr>
          <w:rFonts w:ascii="Arial" w:hAnsi="Arial" w:cs="Arial"/>
          <w:b/>
          <w:bCs/>
          <w:sz w:val="28"/>
          <w:szCs w:val="28"/>
        </w:rPr>
      </w:pPr>
    </w:p>
    <w:p w14:paraId="597BF854" w14:textId="77777777" w:rsidR="009F1D45" w:rsidRDefault="009F1D45">
      <w:pPr>
        <w:rPr>
          <w:rFonts w:ascii="Arial" w:hAnsi="Arial" w:cs="Arial"/>
          <w:b/>
          <w:bCs/>
          <w:sz w:val="28"/>
          <w:szCs w:val="28"/>
        </w:rPr>
      </w:pPr>
    </w:p>
    <w:p w14:paraId="610303D5" w14:textId="54AF05BD" w:rsidR="00CD5C47" w:rsidRPr="006F0934" w:rsidRDefault="00671B97">
      <w:pPr>
        <w:rPr>
          <w:rFonts w:ascii="Arial" w:hAnsi="Arial" w:cs="Arial"/>
          <w:b/>
          <w:bCs/>
          <w:sz w:val="28"/>
          <w:szCs w:val="28"/>
          <w:u w:val="single"/>
        </w:rPr>
      </w:pPr>
      <w:r w:rsidRPr="006F0934">
        <w:rPr>
          <w:rFonts w:ascii="Arial" w:hAnsi="Arial" w:cs="Arial"/>
          <w:b/>
          <w:bCs/>
          <w:sz w:val="28"/>
          <w:szCs w:val="28"/>
          <w:u w:val="single"/>
        </w:rPr>
        <w:lastRenderedPageBreak/>
        <w:t>Contents</w:t>
      </w:r>
    </w:p>
    <w:p w14:paraId="167FDCE9" w14:textId="77777777" w:rsidR="00E251D6" w:rsidRDefault="00E251D6">
      <w:pPr>
        <w:rPr>
          <w:rFonts w:ascii="Arial" w:hAnsi="Arial" w:cs="Arial"/>
          <w:b/>
          <w:bCs/>
          <w:sz w:val="28"/>
          <w:szCs w:val="28"/>
        </w:rPr>
      </w:pPr>
    </w:p>
    <w:p w14:paraId="3F6B26E7" w14:textId="45FD5FD4" w:rsidR="00E251D6" w:rsidRDefault="00E251D6">
      <w:pPr>
        <w:rPr>
          <w:rFonts w:ascii="Arial" w:hAnsi="Arial" w:cs="Arial"/>
          <w:b/>
          <w:bCs/>
          <w:sz w:val="28"/>
          <w:szCs w:val="28"/>
        </w:rPr>
      </w:pPr>
      <w:r>
        <w:rPr>
          <w:rFonts w:ascii="Arial" w:hAnsi="Arial" w:cs="Arial"/>
          <w:b/>
          <w:bCs/>
          <w:sz w:val="28"/>
          <w:szCs w:val="28"/>
        </w:rPr>
        <w:t>Introduction</w:t>
      </w:r>
      <w:r w:rsidR="006F0934">
        <w:rPr>
          <w:rFonts w:ascii="Arial" w:hAnsi="Arial" w:cs="Arial"/>
          <w:b/>
          <w:bCs/>
          <w:sz w:val="28"/>
          <w:szCs w:val="28"/>
        </w:rPr>
        <w:t>…………………………………………………………</w:t>
      </w:r>
      <w:r w:rsidR="00A715B9">
        <w:rPr>
          <w:rFonts w:ascii="Arial" w:hAnsi="Arial" w:cs="Arial"/>
          <w:b/>
          <w:bCs/>
          <w:sz w:val="28"/>
          <w:szCs w:val="28"/>
        </w:rPr>
        <w:t>….</w:t>
      </w:r>
      <w:r w:rsidR="008B35C3">
        <w:rPr>
          <w:rFonts w:ascii="Arial" w:hAnsi="Arial" w:cs="Arial"/>
          <w:b/>
          <w:bCs/>
          <w:sz w:val="28"/>
          <w:szCs w:val="28"/>
        </w:rPr>
        <w:t>3</w:t>
      </w:r>
    </w:p>
    <w:p w14:paraId="634D2A3F" w14:textId="6D3CA310" w:rsidR="00E251D6" w:rsidRDefault="00DA4CC2">
      <w:pPr>
        <w:rPr>
          <w:rFonts w:ascii="Arial" w:hAnsi="Arial" w:cs="Arial"/>
          <w:b/>
          <w:bCs/>
          <w:sz w:val="28"/>
          <w:szCs w:val="28"/>
        </w:rPr>
      </w:pPr>
      <w:r>
        <w:rPr>
          <w:rFonts w:ascii="Arial" w:hAnsi="Arial" w:cs="Arial"/>
          <w:b/>
          <w:bCs/>
          <w:sz w:val="28"/>
          <w:szCs w:val="28"/>
        </w:rPr>
        <w:t>100</w:t>
      </w:r>
      <w:r w:rsidR="00F80A97">
        <w:rPr>
          <w:rFonts w:ascii="Arial" w:hAnsi="Arial" w:cs="Arial"/>
          <w:b/>
          <w:bCs/>
          <w:sz w:val="28"/>
          <w:szCs w:val="28"/>
        </w:rPr>
        <w:t xml:space="preserve">,000 Genomes Project - </w:t>
      </w:r>
      <w:r w:rsidR="00E251D6">
        <w:rPr>
          <w:rFonts w:ascii="Arial" w:hAnsi="Arial" w:cs="Arial"/>
          <w:b/>
          <w:bCs/>
          <w:sz w:val="28"/>
          <w:szCs w:val="28"/>
        </w:rPr>
        <w:t>Impact on Wor</w:t>
      </w:r>
      <w:r w:rsidR="00A07FD5">
        <w:rPr>
          <w:rFonts w:ascii="Arial" w:hAnsi="Arial" w:cs="Arial"/>
          <w:b/>
          <w:bCs/>
          <w:sz w:val="28"/>
          <w:szCs w:val="28"/>
        </w:rPr>
        <w:t>kforce</w:t>
      </w:r>
      <w:r w:rsidR="006F0934">
        <w:rPr>
          <w:rFonts w:ascii="Arial" w:hAnsi="Arial" w:cs="Arial"/>
          <w:b/>
          <w:bCs/>
          <w:sz w:val="28"/>
          <w:szCs w:val="28"/>
        </w:rPr>
        <w:t>………………………………………………</w:t>
      </w:r>
      <w:r w:rsidR="00A715B9">
        <w:rPr>
          <w:rFonts w:ascii="Arial" w:hAnsi="Arial" w:cs="Arial"/>
          <w:b/>
          <w:bCs/>
          <w:sz w:val="28"/>
          <w:szCs w:val="28"/>
        </w:rPr>
        <w:t>…</w:t>
      </w:r>
      <w:r w:rsidR="00EA761B">
        <w:rPr>
          <w:rFonts w:ascii="Arial" w:hAnsi="Arial" w:cs="Arial"/>
          <w:b/>
          <w:bCs/>
          <w:sz w:val="28"/>
          <w:szCs w:val="28"/>
        </w:rPr>
        <w:t>…………….</w:t>
      </w:r>
      <w:r w:rsidR="00DD1DAC">
        <w:rPr>
          <w:rFonts w:ascii="Arial" w:hAnsi="Arial" w:cs="Arial"/>
          <w:b/>
          <w:bCs/>
          <w:sz w:val="28"/>
          <w:szCs w:val="28"/>
        </w:rPr>
        <w:t>4,5,6</w:t>
      </w:r>
    </w:p>
    <w:p w14:paraId="40BE92E1" w14:textId="75C487D4" w:rsidR="00A07FD5" w:rsidRDefault="00F80A97">
      <w:pPr>
        <w:rPr>
          <w:rFonts w:ascii="Arial" w:hAnsi="Arial" w:cs="Arial"/>
          <w:b/>
          <w:bCs/>
          <w:sz w:val="28"/>
          <w:szCs w:val="28"/>
        </w:rPr>
      </w:pPr>
      <w:r>
        <w:rPr>
          <w:rFonts w:ascii="Arial" w:hAnsi="Arial" w:cs="Arial"/>
          <w:b/>
          <w:bCs/>
          <w:sz w:val="28"/>
          <w:szCs w:val="28"/>
        </w:rPr>
        <w:t>100,000 genomes Project</w:t>
      </w:r>
      <w:r w:rsidR="00EA761B">
        <w:rPr>
          <w:rFonts w:ascii="Arial" w:hAnsi="Arial" w:cs="Arial"/>
          <w:b/>
          <w:bCs/>
          <w:sz w:val="28"/>
          <w:szCs w:val="28"/>
        </w:rPr>
        <w:t xml:space="preserve"> - </w:t>
      </w:r>
      <w:r w:rsidR="00A07FD5">
        <w:rPr>
          <w:rFonts w:ascii="Arial" w:hAnsi="Arial" w:cs="Arial"/>
          <w:b/>
          <w:bCs/>
          <w:sz w:val="28"/>
          <w:szCs w:val="28"/>
        </w:rPr>
        <w:t>Impact on Service Delivery</w:t>
      </w:r>
      <w:r w:rsidR="006F0934">
        <w:rPr>
          <w:rFonts w:ascii="Arial" w:hAnsi="Arial" w:cs="Arial"/>
          <w:b/>
          <w:bCs/>
          <w:sz w:val="28"/>
          <w:szCs w:val="28"/>
        </w:rPr>
        <w:t>……………………………………………</w:t>
      </w:r>
      <w:r w:rsidR="00EA761B">
        <w:rPr>
          <w:rFonts w:ascii="Arial" w:hAnsi="Arial" w:cs="Arial"/>
          <w:b/>
          <w:bCs/>
          <w:sz w:val="28"/>
          <w:szCs w:val="28"/>
        </w:rPr>
        <w:t>…………………….</w:t>
      </w:r>
      <w:r w:rsidR="00DD1DAC">
        <w:rPr>
          <w:rFonts w:ascii="Arial" w:hAnsi="Arial" w:cs="Arial"/>
          <w:b/>
          <w:bCs/>
          <w:sz w:val="28"/>
          <w:szCs w:val="28"/>
        </w:rPr>
        <w:t>6,7,8</w:t>
      </w:r>
    </w:p>
    <w:p w14:paraId="3882B9D0" w14:textId="0F9BBBD7" w:rsidR="00A07FD5" w:rsidRDefault="002D0AC4">
      <w:pPr>
        <w:rPr>
          <w:rFonts w:ascii="Arial" w:hAnsi="Arial" w:cs="Arial"/>
          <w:b/>
          <w:bCs/>
          <w:sz w:val="28"/>
          <w:szCs w:val="28"/>
        </w:rPr>
      </w:pPr>
      <w:r>
        <w:rPr>
          <w:rFonts w:ascii="Arial" w:hAnsi="Arial" w:cs="Arial"/>
          <w:b/>
          <w:bCs/>
          <w:sz w:val="28"/>
          <w:szCs w:val="28"/>
        </w:rPr>
        <w:t>Conclusion</w:t>
      </w:r>
      <w:r w:rsidR="006F0934">
        <w:rPr>
          <w:rFonts w:ascii="Arial" w:hAnsi="Arial" w:cs="Arial"/>
          <w:b/>
          <w:bCs/>
          <w:sz w:val="28"/>
          <w:szCs w:val="28"/>
        </w:rPr>
        <w:t>………………………………………………………………</w:t>
      </w:r>
      <w:r w:rsidR="00DD1DAC">
        <w:rPr>
          <w:rFonts w:ascii="Arial" w:hAnsi="Arial" w:cs="Arial"/>
          <w:b/>
          <w:bCs/>
          <w:sz w:val="28"/>
          <w:szCs w:val="28"/>
        </w:rPr>
        <w:t>8</w:t>
      </w:r>
    </w:p>
    <w:p w14:paraId="3E00C9A4" w14:textId="0A3D3F70" w:rsidR="002D0AC4" w:rsidRDefault="002D0AC4">
      <w:pPr>
        <w:rPr>
          <w:rFonts w:ascii="Arial" w:hAnsi="Arial" w:cs="Arial"/>
          <w:b/>
          <w:bCs/>
          <w:sz w:val="28"/>
          <w:szCs w:val="28"/>
        </w:rPr>
      </w:pPr>
      <w:r>
        <w:rPr>
          <w:rFonts w:ascii="Arial" w:hAnsi="Arial" w:cs="Arial"/>
          <w:b/>
          <w:bCs/>
          <w:sz w:val="28"/>
          <w:szCs w:val="28"/>
        </w:rPr>
        <w:t>Recommendation</w:t>
      </w:r>
      <w:r w:rsidR="006F0934">
        <w:rPr>
          <w:rFonts w:ascii="Arial" w:hAnsi="Arial" w:cs="Arial"/>
          <w:b/>
          <w:bCs/>
          <w:sz w:val="28"/>
          <w:szCs w:val="28"/>
        </w:rPr>
        <w:t>………………………………………………………</w:t>
      </w:r>
      <w:r w:rsidR="00DD1DAC">
        <w:rPr>
          <w:rFonts w:ascii="Arial" w:hAnsi="Arial" w:cs="Arial"/>
          <w:b/>
          <w:bCs/>
          <w:sz w:val="28"/>
          <w:szCs w:val="28"/>
        </w:rPr>
        <w:t>8,9</w:t>
      </w:r>
    </w:p>
    <w:p w14:paraId="5268BC77" w14:textId="1B2E5327" w:rsidR="002D0AC4" w:rsidRPr="00671B97" w:rsidRDefault="002D0AC4">
      <w:pPr>
        <w:rPr>
          <w:rFonts w:ascii="Arial" w:hAnsi="Arial" w:cs="Arial"/>
          <w:b/>
          <w:bCs/>
          <w:sz w:val="28"/>
          <w:szCs w:val="28"/>
        </w:rPr>
      </w:pPr>
      <w:r>
        <w:rPr>
          <w:rFonts w:ascii="Arial" w:hAnsi="Arial" w:cs="Arial"/>
          <w:b/>
          <w:bCs/>
          <w:sz w:val="28"/>
          <w:szCs w:val="28"/>
        </w:rPr>
        <w:t>References</w:t>
      </w:r>
      <w:r w:rsidR="006F0934">
        <w:rPr>
          <w:rFonts w:ascii="Arial" w:hAnsi="Arial" w:cs="Arial"/>
          <w:b/>
          <w:bCs/>
          <w:sz w:val="28"/>
          <w:szCs w:val="28"/>
        </w:rPr>
        <w:t>………………………………………………………………</w:t>
      </w:r>
      <w:r w:rsidR="00077C0A">
        <w:rPr>
          <w:rFonts w:ascii="Arial" w:hAnsi="Arial" w:cs="Arial"/>
          <w:b/>
          <w:bCs/>
          <w:sz w:val="28"/>
          <w:szCs w:val="28"/>
        </w:rPr>
        <w:t>9,10</w:t>
      </w:r>
    </w:p>
    <w:p w14:paraId="43EB6255" w14:textId="77777777" w:rsidR="00CD5C47" w:rsidRDefault="00CD5C47"/>
    <w:p w14:paraId="76FC0A5E" w14:textId="77777777" w:rsidR="00CD5C47" w:rsidRDefault="00CD5C47"/>
    <w:p w14:paraId="6F4CFCEC" w14:textId="77777777" w:rsidR="00CD5C47" w:rsidRDefault="00CD5C47"/>
    <w:p w14:paraId="67E6044F" w14:textId="77777777" w:rsidR="00CD5C47" w:rsidRDefault="00CD5C47"/>
    <w:p w14:paraId="7F7B8025" w14:textId="77777777" w:rsidR="00CD5C47" w:rsidRDefault="00CD5C47"/>
    <w:p w14:paraId="750D20EE" w14:textId="77777777" w:rsidR="00CD5C47" w:rsidRDefault="00CD5C47"/>
    <w:p w14:paraId="2AF5E4FD" w14:textId="77777777" w:rsidR="00CD5C47" w:rsidRDefault="00CD5C47"/>
    <w:p w14:paraId="64C2A000" w14:textId="77777777" w:rsidR="00CD5C47" w:rsidRDefault="00CD5C47"/>
    <w:p w14:paraId="05874D10" w14:textId="77777777" w:rsidR="00CD5C47" w:rsidRDefault="00CD5C47"/>
    <w:p w14:paraId="5CEE0094" w14:textId="77777777" w:rsidR="00CD5C47" w:rsidRDefault="00CD5C47"/>
    <w:p w14:paraId="5718F33B" w14:textId="77777777" w:rsidR="00CD5C47" w:rsidRDefault="00CD5C47"/>
    <w:p w14:paraId="44818F82" w14:textId="77777777" w:rsidR="00CD5C47" w:rsidRDefault="00CD5C47"/>
    <w:p w14:paraId="639047A8" w14:textId="77777777" w:rsidR="00CD5C47" w:rsidRDefault="00CD5C47"/>
    <w:p w14:paraId="49698918" w14:textId="77777777" w:rsidR="00CD5C47" w:rsidRDefault="00CD5C47"/>
    <w:p w14:paraId="2590800E" w14:textId="77777777" w:rsidR="00CD5C47" w:rsidRDefault="00CD5C47"/>
    <w:p w14:paraId="519EE0E0" w14:textId="77777777" w:rsidR="00CD5C47" w:rsidRDefault="00CD5C47"/>
    <w:p w14:paraId="7E4E29D4" w14:textId="77777777" w:rsidR="00671B97" w:rsidRDefault="00671B97">
      <w:pPr>
        <w:rPr>
          <w:rFonts w:ascii="Arial" w:hAnsi="Arial" w:cs="Arial"/>
          <w:b/>
          <w:bCs/>
          <w:sz w:val="28"/>
          <w:szCs w:val="28"/>
        </w:rPr>
      </w:pPr>
    </w:p>
    <w:p w14:paraId="15038610" w14:textId="77777777" w:rsidR="00671B97" w:rsidRDefault="00671B97">
      <w:pPr>
        <w:rPr>
          <w:rFonts w:ascii="Arial" w:hAnsi="Arial" w:cs="Arial"/>
          <w:b/>
          <w:bCs/>
          <w:sz w:val="28"/>
          <w:szCs w:val="28"/>
        </w:rPr>
      </w:pPr>
    </w:p>
    <w:p w14:paraId="3FABE2B0" w14:textId="77777777" w:rsidR="00671B97" w:rsidRDefault="00671B97">
      <w:pPr>
        <w:rPr>
          <w:rFonts w:ascii="Arial" w:hAnsi="Arial" w:cs="Arial"/>
          <w:b/>
          <w:bCs/>
          <w:sz w:val="28"/>
          <w:szCs w:val="28"/>
        </w:rPr>
      </w:pPr>
    </w:p>
    <w:p w14:paraId="5770CCA6" w14:textId="77777777" w:rsidR="00B06D62" w:rsidRDefault="00B06D62" w:rsidP="009336CE">
      <w:pPr>
        <w:spacing w:line="360" w:lineRule="auto"/>
        <w:rPr>
          <w:rFonts w:ascii="Arial" w:hAnsi="Arial" w:cs="Arial"/>
          <w:b/>
          <w:bCs/>
          <w:sz w:val="28"/>
          <w:szCs w:val="28"/>
        </w:rPr>
      </w:pPr>
    </w:p>
    <w:p w14:paraId="62C06E52" w14:textId="076F648B" w:rsidR="00CD5C47" w:rsidRPr="00121473" w:rsidRDefault="001C1483" w:rsidP="009336CE">
      <w:pPr>
        <w:spacing w:line="360" w:lineRule="auto"/>
        <w:rPr>
          <w:rFonts w:ascii="Arial" w:hAnsi="Arial" w:cs="Arial"/>
          <w:b/>
          <w:bCs/>
          <w:sz w:val="28"/>
          <w:szCs w:val="28"/>
          <w:u w:val="single"/>
        </w:rPr>
      </w:pPr>
      <w:r w:rsidRPr="00121473">
        <w:rPr>
          <w:rFonts w:ascii="Arial" w:hAnsi="Arial" w:cs="Arial"/>
          <w:b/>
          <w:bCs/>
          <w:sz w:val="28"/>
          <w:szCs w:val="28"/>
          <w:u w:val="single"/>
        </w:rPr>
        <w:lastRenderedPageBreak/>
        <w:t>Introduction</w:t>
      </w:r>
    </w:p>
    <w:p w14:paraId="5695B3A0" w14:textId="3A10E85F" w:rsidR="00CC4273" w:rsidRPr="00CC4273" w:rsidRDefault="00CC4273" w:rsidP="009336CE">
      <w:pPr>
        <w:spacing w:after="0" w:line="360" w:lineRule="auto"/>
        <w:rPr>
          <w:rFonts w:ascii="Arial" w:eastAsia="Times New Roman" w:hAnsi="Arial" w:cs="Arial"/>
          <w:lang w:eastAsia="en-GB"/>
        </w:rPr>
      </w:pPr>
      <w:r w:rsidRPr="00CC4273">
        <w:rPr>
          <w:rFonts w:ascii="Arial" w:eastAsia="Times New Roman" w:hAnsi="Arial" w:cs="Arial"/>
          <w:lang w:eastAsia="en-GB"/>
        </w:rPr>
        <w:t xml:space="preserve">The 100,000 Genomes Project is a historic endeavour in the UK that attempts to link genomic data with </w:t>
      </w:r>
      <w:r w:rsidR="00EA3C4B">
        <w:rPr>
          <w:rFonts w:ascii="Arial" w:eastAsia="Times New Roman" w:hAnsi="Arial" w:cs="Arial"/>
          <w:lang w:eastAsia="en-GB"/>
        </w:rPr>
        <w:t>medical</w:t>
      </w:r>
      <w:r w:rsidRPr="00CC4273">
        <w:rPr>
          <w:rFonts w:ascii="Arial" w:eastAsia="Times New Roman" w:hAnsi="Arial" w:cs="Arial"/>
          <w:lang w:eastAsia="en-GB"/>
        </w:rPr>
        <w:t xml:space="preserve"> records in order to incorporate whole-genome sequencing into standard medical care. The project, which was started in 2013, has revolutionised the understanding of cancer and rare diseases by diagnosing about 25% of participants with uncommon conditions that traditional testing would have overlooked</w:t>
      </w:r>
      <w:r w:rsidR="00A4256E">
        <w:rPr>
          <w:rFonts w:ascii="Arial" w:eastAsia="Times New Roman" w:hAnsi="Arial" w:cs="Arial"/>
          <w:lang w:eastAsia="en-GB"/>
        </w:rPr>
        <w:t xml:space="preserve"> as stated by</w:t>
      </w:r>
      <w:r w:rsidRPr="00CC4273">
        <w:rPr>
          <w:rFonts w:ascii="Arial" w:eastAsia="Times New Roman" w:hAnsi="Arial" w:cs="Arial"/>
          <w:lang w:eastAsia="en-GB"/>
        </w:rPr>
        <w:t xml:space="preserve"> (</w:t>
      </w:r>
      <w:r w:rsidR="00AA1AE7">
        <w:rPr>
          <w:rFonts w:ascii="Arial" w:eastAsia="Times New Roman" w:hAnsi="Arial" w:cs="Arial"/>
          <w:lang w:eastAsia="en-GB"/>
        </w:rPr>
        <w:t>Smedley</w:t>
      </w:r>
      <w:r w:rsidR="00D905E9">
        <w:rPr>
          <w:rFonts w:ascii="Arial" w:eastAsia="Times New Roman" w:hAnsi="Arial" w:cs="Arial"/>
          <w:lang w:eastAsia="en-GB"/>
        </w:rPr>
        <w:t>, D,</w:t>
      </w:r>
      <w:r w:rsidRPr="00CC4273">
        <w:rPr>
          <w:rFonts w:ascii="Arial" w:eastAsia="Times New Roman" w:hAnsi="Arial" w:cs="Arial"/>
          <w:lang w:eastAsia="en-GB"/>
        </w:rPr>
        <w:t xml:space="preserve"> et al</w:t>
      </w:r>
      <w:r w:rsidR="001F26C5" w:rsidRPr="003B53FA">
        <w:rPr>
          <w:rFonts w:ascii="Arial" w:eastAsia="Times New Roman" w:hAnsi="Arial" w:cs="Arial"/>
          <w:lang w:eastAsia="en-GB"/>
        </w:rPr>
        <w:t>,</w:t>
      </w:r>
      <w:r w:rsidRPr="00CC4273">
        <w:rPr>
          <w:rFonts w:ascii="Arial" w:eastAsia="Times New Roman" w:hAnsi="Arial" w:cs="Arial"/>
          <w:lang w:eastAsia="en-GB"/>
        </w:rPr>
        <w:t xml:space="preserve"> 2021). It serves as the cornerstone of the NHS Genomic Medicine Service, which is a significant step in integrating genomics into routine healthcare and influencing how health and social care are delivered in the UK going forward.</w:t>
      </w:r>
    </w:p>
    <w:p w14:paraId="3FACA198" w14:textId="77777777" w:rsidR="00FF043F" w:rsidRDefault="00FF043F" w:rsidP="009336CE">
      <w:pPr>
        <w:spacing w:after="0" w:line="360" w:lineRule="auto"/>
        <w:rPr>
          <w:rFonts w:ascii="Arial" w:eastAsia="Times New Roman" w:hAnsi="Arial" w:cs="Arial"/>
          <w:lang w:eastAsia="en-GB"/>
        </w:rPr>
      </w:pPr>
    </w:p>
    <w:p w14:paraId="0956228A" w14:textId="1B7702A1" w:rsidR="00020442" w:rsidRPr="00020442" w:rsidRDefault="00020442" w:rsidP="009336CE">
      <w:pPr>
        <w:spacing w:after="0" w:line="360" w:lineRule="auto"/>
        <w:rPr>
          <w:rFonts w:ascii="Arial" w:eastAsia="Times New Roman" w:hAnsi="Arial" w:cs="Arial"/>
          <w:lang w:eastAsia="en-GB"/>
        </w:rPr>
      </w:pPr>
      <w:r w:rsidRPr="00020442">
        <w:rPr>
          <w:rFonts w:ascii="Arial" w:eastAsia="Times New Roman" w:hAnsi="Arial" w:cs="Arial"/>
          <w:lang w:eastAsia="en-GB"/>
        </w:rPr>
        <w:t>This report will examine the workforce and service delivery, two important areas that were impacted by the 100,000 Genomes Project. The workforce section will look at how the NHS is changing roles, training requirements, and professional competencies as a result of genomics, emphasising the necessity of ongoing education and interdisciplinary cooperation. In order to enhance diagnosis, treatment, and prevention, the service delivery section will evaluate the ways in which genomic medicine is being integrated into medical procedures, laboratory systems, and patient services.</w:t>
      </w:r>
    </w:p>
    <w:p w14:paraId="1B94B480" w14:textId="444B4A32" w:rsidR="008F4CAF" w:rsidRPr="008F4CAF" w:rsidRDefault="008F4CAF" w:rsidP="009336CE">
      <w:pPr>
        <w:spacing w:after="0" w:line="360" w:lineRule="auto"/>
        <w:rPr>
          <w:rFonts w:ascii="Arial" w:eastAsia="Times New Roman" w:hAnsi="Arial" w:cs="Arial"/>
          <w:lang w:eastAsia="en-GB"/>
        </w:rPr>
      </w:pPr>
      <w:r w:rsidRPr="008F4CAF">
        <w:rPr>
          <w:rFonts w:ascii="Arial" w:eastAsia="Times New Roman" w:hAnsi="Arial" w:cs="Arial"/>
          <w:lang w:eastAsia="en-GB"/>
        </w:rPr>
        <w:t>To ensure the long-term integration of genomics into UK health and social care, the report will conclude with suggestions for improving service delivery models and strengthening workforce capacity.</w:t>
      </w:r>
    </w:p>
    <w:p w14:paraId="200A228D" w14:textId="77777777" w:rsidR="009336CE" w:rsidRDefault="009336CE" w:rsidP="009336CE">
      <w:pPr>
        <w:spacing w:after="0" w:line="360" w:lineRule="auto"/>
        <w:rPr>
          <w:rFonts w:ascii="Arial" w:eastAsia="Times New Roman" w:hAnsi="Arial" w:cs="Arial"/>
          <w:b/>
          <w:bCs/>
          <w:u w:val="single"/>
          <w:lang w:eastAsia="en-GB"/>
        </w:rPr>
      </w:pPr>
    </w:p>
    <w:p w14:paraId="3AA3893F" w14:textId="54C6CD1C" w:rsidR="00902194" w:rsidRDefault="00902194" w:rsidP="009336CE">
      <w:pPr>
        <w:spacing w:after="0" w:line="360" w:lineRule="auto"/>
        <w:rPr>
          <w:rFonts w:ascii="Arial" w:eastAsia="Times New Roman" w:hAnsi="Arial" w:cs="Arial"/>
          <w:b/>
          <w:bCs/>
          <w:u w:val="single"/>
          <w:lang w:eastAsia="en-GB"/>
        </w:rPr>
      </w:pPr>
      <w:r>
        <w:rPr>
          <w:noProof/>
        </w:rPr>
        <w:drawing>
          <wp:inline distT="0" distB="0" distL="0" distR="0" wp14:anchorId="69B79C16" wp14:editId="48C10C5F">
            <wp:extent cx="5044440" cy="2842260"/>
            <wp:effectExtent l="0" t="0" r="3810" b="0"/>
            <wp:docPr id="3" name="Picture 2" descr="Challenges in implementing genomic medicine: the 100,000 Genomes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llenges in implementing genomic medicine: the 100,000 Genomes Proj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58207" cy="2850017"/>
                    </a:xfrm>
                    <a:prstGeom prst="rect">
                      <a:avLst/>
                    </a:prstGeom>
                    <a:noFill/>
                    <a:ln>
                      <a:noFill/>
                    </a:ln>
                  </pic:spPr>
                </pic:pic>
              </a:graphicData>
            </a:graphic>
          </wp:inline>
        </w:drawing>
      </w:r>
    </w:p>
    <w:p w14:paraId="139AFB48" w14:textId="77777777" w:rsidR="00EB31E0" w:rsidRDefault="003D442C" w:rsidP="009336CE">
      <w:pPr>
        <w:spacing w:after="0" w:line="360" w:lineRule="auto"/>
        <w:rPr>
          <w:rFonts w:ascii="Arial" w:eastAsia="Times New Roman" w:hAnsi="Arial" w:cs="Arial"/>
          <w:b/>
          <w:bCs/>
          <w:u w:val="single"/>
          <w:lang w:eastAsia="en-GB"/>
        </w:rPr>
      </w:pPr>
      <w:hyperlink r:id="rId7" w:history="1">
        <w:r>
          <w:rPr>
            <w:rStyle w:val="Hyperlink"/>
          </w:rPr>
          <w:t>Challenges in implementing genomic medicine: the 100,000 Genomes Project</w:t>
        </w:r>
      </w:hyperlink>
    </w:p>
    <w:p w14:paraId="345F81B3" w14:textId="77777777" w:rsidR="00B06D62" w:rsidRDefault="00B06D62" w:rsidP="009336CE">
      <w:pPr>
        <w:spacing w:after="0" w:line="360" w:lineRule="auto"/>
        <w:rPr>
          <w:rFonts w:ascii="Arial" w:eastAsia="Times New Roman" w:hAnsi="Arial" w:cs="Arial"/>
          <w:b/>
          <w:bCs/>
          <w:u w:val="single"/>
          <w:lang w:eastAsia="en-GB"/>
        </w:rPr>
      </w:pPr>
    </w:p>
    <w:p w14:paraId="3CF9D414" w14:textId="77777777" w:rsidR="00B06D62" w:rsidRDefault="00B06D62" w:rsidP="009336CE">
      <w:pPr>
        <w:spacing w:after="0" w:line="360" w:lineRule="auto"/>
        <w:rPr>
          <w:rFonts w:ascii="Arial" w:eastAsia="Times New Roman" w:hAnsi="Arial" w:cs="Arial"/>
          <w:b/>
          <w:bCs/>
          <w:u w:val="single"/>
          <w:lang w:eastAsia="en-GB"/>
        </w:rPr>
      </w:pPr>
    </w:p>
    <w:p w14:paraId="5B15B349" w14:textId="4EFF8E10" w:rsidR="00333440" w:rsidRPr="00121473" w:rsidRDefault="00584EFE" w:rsidP="009336CE">
      <w:pPr>
        <w:spacing w:after="0" w:line="360" w:lineRule="auto"/>
        <w:rPr>
          <w:rFonts w:ascii="Arial" w:eastAsia="Times New Roman" w:hAnsi="Arial" w:cs="Arial"/>
          <w:b/>
          <w:bCs/>
          <w:u w:val="single"/>
          <w:lang w:eastAsia="en-GB"/>
        </w:rPr>
      </w:pPr>
      <w:r>
        <w:rPr>
          <w:rFonts w:ascii="Arial" w:eastAsia="Times New Roman" w:hAnsi="Arial" w:cs="Arial"/>
          <w:b/>
          <w:bCs/>
          <w:u w:val="single"/>
          <w:lang w:eastAsia="en-GB"/>
        </w:rPr>
        <w:lastRenderedPageBreak/>
        <w:t xml:space="preserve">100,000 Genome Project - </w:t>
      </w:r>
      <w:r w:rsidR="00285711" w:rsidRPr="00121473">
        <w:rPr>
          <w:rFonts w:ascii="Arial" w:eastAsia="Times New Roman" w:hAnsi="Arial" w:cs="Arial"/>
          <w:b/>
          <w:bCs/>
          <w:u w:val="single"/>
          <w:lang w:eastAsia="en-GB"/>
        </w:rPr>
        <w:t>Impact on Workforce</w:t>
      </w:r>
    </w:p>
    <w:p w14:paraId="0205E082" w14:textId="77777777" w:rsidR="009336CE" w:rsidRDefault="009336CE" w:rsidP="009336CE">
      <w:pPr>
        <w:spacing w:after="0" w:line="360" w:lineRule="auto"/>
        <w:rPr>
          <w:rFonts w:ascii="Arial" w:eastAsia="Times New Roman" w:hAnsi="Arial" w:cs="Arial"/>
          <w:lang w:eastAsia="en-GB"/>
        </w:rPr>
      </w:pPr>
    </w:p>
    <w:p w14:paraId="6A4D404D" w14:textId="3FDC506B" w:rsidR="007C4454" w:rsidRDefault="007C4454" w:rsidP="009336CE">
      <w:pPr>
        <w:spacing w:after="0" w:line="360" w:lineRule="auto"/>
        <w:rPr>
          <w:rFonts w:ascii="Arial" w:eastAsia="Times New Roman" w:hAnsi="Arial" w:cs="Arial"/>
          <w:lang w:eastAsia="en-GB"/>
        </w:rPr>
      </w:pPr>
      <w:r w:rsidRPr="007C4454">
        <w:rPr>
          <w:rFonts w:ascii="Arial" w:eastAsia="Times New Roman" w:hAnsi="Arial" w:cs="Arial"/>
          <w:lang w:eastAsia="en-GB"/>
        </w:rPr>
        <w:t xml:space="preserve">The NHS Genomic Medicine Service (GMS) was expedited by the 100,000 Genomes Project, which established an operational and demonstrative platform that advanced genomics from research to routine care and proved the clinical utility of whole-genome sequencing (WGS). Rapid workforce growth and new skill sets in medical genetics, pathology/laboratory sciences, information technology, genetic counselling, pharmacy, and primary care interfaces have been necessary for this shift </w:t>
      </w:r>
      <w:r w:rsidR="00E50640">
        <w:rPr>
          <w:rFonts w:ascii="Arial" w:eastAsia="Times New Roman" w:hAnsi="Arial" w:cs="Arial"/>
          <w:lang w:eastAsia="en-GB"/>
        </w:rPr>
        <w:t>as outlined by</w:t>
      </w:r>
      <w:r w:rsidRPr="007C4454">
        <w:rPr>
          <w:rFonts w:ascii="Arial" w:eastAsia="Times New Roman" w:hAnsi="Arial" w:cs="Arial"/>
          <w:lang w:eastAsia="en-GB"/>
        </w:rPr>
        <w:t xml:space="preserve"> </w:t>
      </w:r>
      <w:r>
        <w:rPr>
          <w:rFonts w:ascii="Arial" w:eastAsia="Times New Roman" w:hAnsi="Arial" w:cs="Arial"/>
          <w:lang w:eastAsia="en-GB"/>
        </w:rPr>
        <w:t>(</w:t>
      </w:r>
      <w:r w:rsidRPr="007C4454">
        <w:rPr>
          <w:rFonts w:ascii="Arial" w:eastAsia="Times New Roman" w:hAnsi="Arial" w:cs="Arial"/>
          <w:lang w:eastAsia="en-GB"/>
        </w:rPr>
        <w:t>Genomics England</w:t>
      </w:r>
      <w:r>
        <w:rPr>
          <w:rFonts w:ascii="Arial" w:eastAsia="Times New Roman" w:hAnsi="Arial" w:cs="Arial"/>
          <w:lang w:eastAsia="en-GB"/>
        </w:rPr>
        <w:t>, 2022)</w:t>
      </w:r>
      <w:r w:rsidRPr="007C4454">
        <w:rPr>
          <w:rFonts w:ascii="Arial" w:eastAsia="Times New Roman" w:hAnsi="Arial" w:cs="Arial"/>
          <w:lang w:eastAsia="en-GB"/>
        </w:rPr>
        <w:t>, the Project served as the foundation for the GMS and sparked testing volumes and service goals.</w:t>
      </w:r>
    </w:p>
    <w:p w14:paraId="3F9E316D" w14:textId="77777777" w:rsidR="00F906ED" w:rsidRDefault="00F906ED" w:rsidP="009336CE">
      <w:pPr>
        <w:spacing w:after="0" w:line="360" w:lineRule="auto"/>
        <w:rPr>
          <w:rFonts w:ascii="Arial" w:eastAsia="Times New Roman" w:hAnsi="Arial" w:cs="Arial"/>
          <w:lang w:eastAsia="en-GB"/>
        </w:rPr>
      </w:pPr>
    </w:p>
    <w:p w14:paraId="02A95B3E" w14:textId="77777777" w:rsidR="00EB31E0" w:rsidRDefault="00592DEE" w:rsidP="009336CE">
      <w:pPr>
        <w:spacing w:after="0" w:line="360" w:lineRule="auto"/>
        <w:rPr>
          <w:rFonts w:ascii="Arial" w:eastAsia="Times New Roman" w:hAnsi="Arial" w:cs="Arial"/>
          <w:lang w:eastAsia="en-GB"/>
        </w:rPr>
      </w:pPr>
      <w:r w:rsidRPr="00592DEE">
        <w:rPr>
          <w:rFonts w:ascii="Arial" w:eastAsia="Times New Roman" w:hAnsi="Arial" w:cs="Arial"/>
          <w:lang w:eastAsia="en-GB"/>
        </w:rPr>
        <w:t>The workforce has seen real benefits: new diagnostic tools and multidisciplinary models (genomic MDTs, molecular tumour boards) have been made available to clinicians, improving diagnostic yield and guiding treatment decisions. For certain specialists, this has increased professional capability and job satisfaction. Structured workforce planning was also prompted by the project; genomics education, defined competencies, and role development (including genomic chemists and medical scientists) are now prioritised in NHS and HEE frameworks.</w:t>
      </w:r>
    </w:p>
    <w:p w14:paraId="389259EF" w14:textId="77777777" w:rsidR="00EB31E0" w:rsidRDefault="00EB31E0" w:rsidP="009336CE">
      <w:pPr>
        <w:spacing w:after="0" w:line="360" w:lineRule="auto"/>
        <w:rPr>
          <w:rFonts w:ascii="Arial" w:eastAsia="Times New Roman" w:hAnsi="Arial" w:cs="Arial"/>
          <w:lang w:eastAsia="en-GB"/>
        </w:rPr>
      </w:pPr>
    </w:p>
    <w:p w14:paraId="70AD2E42" w14:textId="361E0429" w:rsidR="00781708" w:rsidRPr="00023567" w:rsidRDefault="0017412B" w:rsidP="009336CE">
      <w:pPr>
        <w:spacing w:after="0" w:line="360" w:lineRule="auto"/>
        <w:rPr>
          <w:rFonts w:ascii="Arial" w:eastAsia="Times New Roman" w:hAnsi="Arial" w:cs="Arial"/>
          <w:lang w:eastAsia="en-GB"/>
        </w:rPr>
      </w:pPr>
      <w:r w:rsidRPr="00023567">
        <w:rPr>
          <w:rFonts w:ascii="Arial" w:eastAsia="Times New Roman" w:hAnsi="Arial" w:cs="Arial"/>
          <w:lang w:eastAsia="en-GB"/>
        </w:rPr>
        <w:t>(NHS England,</w:t>
      </w:r>
      <w:r w:rsidR="00517363" w:rsidRPr="00023567">
        <w:rPr>
          <w:rFonts w:ascii="Arial" w:eastAsia="Times New Roman" w:hAnsi="Arial" w:cs="Arial"/>
          <w:lang w:eastAsia="en-GB"/>
        </w:rPr>
        <w:t xml:space="preserve"> 20</w:t>
      </w:r>
      <w:r w:rsidR="00695995" w:rsidRPr="00023567">
        <w:rPr>
          <w:rFonts w:ascii="Arial" w:eastAsia="Times New Roman" w:hAnsi="Arial" w:cs="Arial"/>
          <w:lang w:eastAsia="en-GB"/>
        </w:rPr>
        <w:t>22</w:t>
      </w:r>
      <w:r w:rsidR="00C91833" w:rsidRPr="00023567">
        <w:rPr>
          <w:rFonts w:ascii="Arial" w:eastAsia="Times New Roman" w:hAnsi="Arial" w:cs="Arial"/>
          <w:lang w:eastAsia="en-GB"/>
        </w:rPr>
        <w:t>) states</w:t>
      </w:r>
      <w:r w:rsidRPr="00023567">
        <w:rPr>
          <w:rFonts w:ascii="Arial" w:eastAsia="Times New Roman" w:hAnsi="Arial" w:cs="Arial"/>
          <w:lang w:eastAsia="en-GB"/>
        </w:rPr>
        <w:t xml:space="preserve"> t</w:t>
      </w:r>
      <w:r w:rsidR="00781708" w:rsidRPr="00781708">
        <w:rPr>
          <w:rFonts w:ascii="Arial" w:eastAsia="Times New Roman" w:hAnsi="Arial" w:cs="Arial"/>
          <w:lang w:eastAsia="en-GB"/>
        </w:rPr>
        <w:t xml:space="preserve">hese improvements do, however, highlight important workforce issues. First, there are severe capacity limitations. The demand on medical genetics teams, scientists, and computer scientists is increased when WGS is scaled into routine pathways, recruitment and retention issues are made worse by NHS staffing shortages and burnout. </w:t>
      </w:r>
    </w:p>
    <w:p w14:paraId="1421B8B4" w14:textId="77777777" w:rsidR="00104094" w:rsidRDefault="00104094" w:rsidP="009336CE">
      <w:pPr>
        <w:spacing w:after="0" w:line="360" w:lineRule="auto"/>
        <w:rPr>
          <w:rFonts w:ascii="Arial" w:eastAsia="Times New Roman" w:hAnsi="Arial" w:cs="Arial"/>
          <w:lang w:eastAsia="en-GB"/>
        </w:rPr>
      </w:pPr>
    </w:p>
    <w:p w14:paraId="639399DE" w14:textId="34D61649" w:rsidR="002B58E7" w:rsidRPr="002B58E7" w:rsidRDefault="002B58E7" w:rsidP="009336CE">
      <w:pPr>
        <w:spacing w:after="0" w:line="360" w:lineRule="auto"/>
        <w:rPr>
          <w:rFonts w:ascii="Arial" w:eastAsia="Times New Roman" w:hAnsi="Arial" w:cs="Arial"/>
          <w:lang w:eastAsia="en-GB"/>
        </w:rPr>
      </w:pPr>
      <w:r w:rsidRPr="002B58E7">
        <w:rPr>
          <w:rFonts w:ascii="Arial" w:eastAsia="Times New Roman" w:hAnsi="Arial" w:cs="Arial"/>
          <w:lang w:eastAsia="en-GB"/>
        </w:rPr>
        <w:t>There is a genuine and cross-professional skills gap, to start. In order to properly order tests, interpret results, and convey implications, many non-genetics medical professionals, such as paediatricians, oncologists, and pharmacists, need specialised training. Even though Topol/HEE and Genome UK provide training strategies, it is still slow and inconsistent across regions to incorporate scalable, effective education into crowded CPD portfolios. This results in disparities in availability and jeopardises inconsistent patient access</w:t>
      </w:r>
      <w:r w:rsidRPr="00023567">
        <w:rPr>
          <w:rFonts w:ascii="Arial" w:eastAsia="Times New Roman" w:hAnsi="Arial" w:cs="Arial"/>
          <w:lang w:eastAsia="en-GB"/>
        </w:rPr>
        <w:t xml:space="preserve"> </w:t>
      </w:r>
      <w:r w:rsidR="00FA0BEF">
        <w:rPr>
          <w:rFonts w:ascii="Arial" w:eastAsia="Times New Roman" w:hAnsi="Arial" w:cs="Arial"/>
          <w:lang w:eastAsia="en-GB"/>
        </w:rPr>
        <w:t>as outlined by</w:t>
      </w:r>
      <w:r w:rsidR="00D46981" w:rsidRPr="00023567">
        <w:rPr>
          <w:rFonts w:ascii="Arial" w:eastAsia="Times New Roman" w:hAnsi="Arial" w:cs="Arial"/>
          <w:lang w:eastAsia="en-GB"/>
        </w:rPr>
        <w:t xml:space="preserve"> (Topal, 2019)</w:t>
      </w:r>
      <w:r w:rsidR="00FA0BEF">
        <w:rPr>
          <w:rFonts w:ascii="Arial" w:eastAsia="Times New Roman" w:hAnsi="Arial" w:cs="Arial"/>
          <w:lang w:eastAsia="en-GB"/>
        </w:rPr>
        <w:t>.</w:t>
      </w:r>
      <w:r w:rsidRPr="00023567">
        <w:rPr>
          <w:rFonts w:ascii="Arial" w:eastAsia="Times New Roman" w:hAnsi="Arial" w:cs="Arial"/>
          <w:lang w:eastAsia="en-GB"/>
        </w:rPr>
        <w:t xml:space="preserve"> </w:t>
      </w:r>
    </w:p>
    <w:p w14:paraId="40956944" w14:textId="77777777" w:rsidR="0096476D" w:rsidRDefault="0096476D" w:rsidP="009336CE">
      <w:pPr>
        <w:spacing w:after="0" w:line="360" w:lineRule="auto"/>
        <w:rPr>
          <w:rFonts w:ascii="Arial" w:eastAsia="Times New Roman" w:hAnsi="Arial" w:cs="Arial"/>
          <w:lang w:eastAsia="en-GB"/>
        </w:rPr>
      </w:pPr>
    </w:p>
    <w:p w14:paraId="134F6C8A" w14:textId="54223D45" w:rsidR="00121019" w:rsidRDefault="00121019" w:rsidP="009336CE">
      <w:pPr>
        <w:spacing w:after="0" w:line="360" w:lineRule="auto"/>
        <w:rPr>
          <w:rFonts w:ascii="Arial" w:eastAsia="Times New Roman" w:hAnsi="Arial" w:cs="Arial"/>
          <w:lang w:eastAsia="en-GB"/>
        </w:rPr>
      </w:pPr>
      <w:r w:rsidRPr="00121019">
        <w:rPr>
          <w:rFonts w:ascii="Arial" w:eastAsia="Times New Roman" w:hAnsi="Arial" w:cs="Arial"/>
          <w:lang w:eastAsia="en-GB"/>
        </w:rPr>
        <w:t xml:space="preserve">In order to draw talent, new positions (such as computer scientists, genomic counsellors, and variant curators) need attractive salaries and long-term career paths. When funding cycles ended, the project's short-term positions and secondments ran the risk of fragmenting; therefore, sustainable NHS workforce planning must transform project roles </w:t>
      </w:r>
      <w:r w:rsidRPr="00121019">
        <w:rPr>
          <w:rFonts w:ascii="Arial" w:eastAsia="Times New Roman" w:hAnsi="Arial" w:cs="Arial"/>
          <w:lang w:eastAsia="en-GB"/>
        </w:rPr>
        <w:lastRenderedPageBreak/>
        <w:t>into permanent positions with accreditation pathways. Although there is still work to be done, Genomics England's own report highlights the necessity of consistent funding</w:t>
      </w:r>
      <w:r w:rsidR="00A37031">
        <w:rPr>
          <w:rFonts w:ascii="Arial" w:eastAsia="Times New Roman" w:hAnsi="Arial" w:cs="Arial"/>
          <w:lang w:eastAsia="en-GB"/>
        </w:rPr>
        <w:t xml:space="preserve"> as indicated</w:t>
      </w:r>
      <w:r w:rsidR="00C067E0">
        <w:rPr>
          <w:rFonts w:ascii="Arial" w:eastAsia="Times New Roman" w:hAnsi="Arial" w:cs="Arial"/>
          <w:lang w:eastAsia="en-GB"/>
        </w:rPr>
        <w:t xml:space="preserve"> by</w:t>
      </w:r>
      <w:r w:rsidR="009E5CD4">
        <w:rPr>
          <w:rFonts w:ascii="Arial" w:eastAsia="Times New Roman" w:hAnsi="Arial" w:cs="Arial"/>
          <w:lang w:eastAsia="en-GB"/>
        </w:rPr>
        <w:t xml:space="preserve"> (</w:t>
      </w:r>
      <w:r w:rsidR="00EF2778">
        <w:rPr>
          <w:rFonts w:ascii="Arial" w:eastAsia="Times New Roman" w:hAnsi="Arial" w:cs="Arial"/>
          <w:lang w:eastAsia="en-GB"/>
        </w:rPr>
        <w:t>Genomics England, 2022)</w:t>
      </w:r>
      <w:r w:rsidR="00C067E0">
        <w:rPr>
          <w:rFonts w:ascii="Arial" w:eastAsia="Times New Roman" w:hAnsi="Arial" w:cs="Arial"/>
          <w:lang w:eastAsia="en-GB"/>
        </w:rPr>
        <w:t>.</w:t>
      </w:r>
    </w:p>
    <w:p w14:paraId="38F3379E" w14:textId="77777777" w:rsidR="0096476D" w:rsidRDefault="0096476D" w:rsidP="009336CE">
      <w:pPr>
        <w:spacing w:after="0" w:line="360" w:lineRule="auto"/>
        <w:rPr>
          <w:rFonts w:ascii="Arial" w:eastAsia="Times New Roman" w:hAnsi="Arial" w:cs="Arial"/>
          <w:lang w:eastAsia="en-GB"/>
        </w:rPr>
      </w:pPr>
    </w:p>
    <w:p w14:paraId="41347B18" w14:textId="3EF43071" w:rsidR="009E5CD4" w:rsidRPr="00C5271F" w:rsidRDefault="009E5CD4" w:rsidP="009336CE">
      <w:pPr>
        <w:spacing w:after="0" w:line="360" w:lineRule="auto"/>
        <w:rPr>
          <w:rFonts w:ascii="Arial" w:eastAsia="Times New Roman" w:hAnsi="Arial" w:cs="Arial"/>
          <w:lang w:eastAsia="en-GB"/>
        </w:rPr>
      </w:pPr>
      <w:r w:rsidRPr="009E5CD4">
        <w:rPr>
          <w:rFonts w:ascii="Arial" w:eastAsia="Times New Roman" w:hAnsi="Arial" w:cs="Arial"/>
          <w:lang w:eastAsia="en-GB"/>
        </w:rPr>
        <w:t>Operational integration affects the workforce, routine data management, revision, and oversight add to the administrative burden on laboratory services and medical teams. Doctor time per patient is increased when digital workflows are not streamlined and genomic reporting is not integrated into electronic health records. This is a significant hidden cost. In an effort to reduce burden, NHS materials highlight digital and pathway integration as a top priority</w:t>
      </w:r>
      <w:r w:rsidR="00987462">
        <w:rPr>
          <w:rFonts w:ascii="Arial" w:eastAsia="Times New Roman" w:hAnsi="Arial" w:cs="Arial"/>
          <w:lang w:eastAsia="en-GB"/>
        </w:rPr>
        <w:t xml:space="preserve"> according to</w:t>
      </w:r>
      <w:r w:rsidR="00ED60EA" w:rsidRPr="00C5271F">
        <w:rPr>
          <w:rFonts w:ascii="Arial" w:eastAsia="Times New Roman" w:hAnsi="Arial" w:cs="Arial"/>
          <w:lang w:eastAsia="en-GB"/>
        </w:rPr>
        <w:t xml:space="preserve"> </w:t>
      </w:r>
      <w:r w:rsidR="003A7D5E" w:rsidRPr="00C5271F">
        <w:rPr>
          <w:rFonts w:ascii="Arial" w:eastAsia="Times New Roman" w:hAnsi="Arial" w:cs="Arial"/>
          <w:lang w:eastAsia="en-GB"/>
        </w:rPr>
        <w:t>(NHS Englan</w:t>
      </w:r>
      <w:r w:rsidR="00ED60EA" w:rsidRPr="00C5271F">
        <w:rPr>
          <w:rFonts w:ascii="Arial" w:eastAsia="Times New Roman" w:hAnsi="Arial" w:cs="Arial"/>
          <w:lang w:eastAsia="en-GB"/>
        </w:rPr>
        <w:t>d, 2022).</w:t>
      </w:r>
    </w:p>
    <w:p w14:paraId="4377F5C2" w14:textId="77777777" w:rsidR="0036160B" w:rsidRDefault="0036160B" w:rsidP="009336CE">
      <w:pPr>
        <w:spacing w:after="0" w:line="360" w:lineRule="auto"/>
        <w:rPr>
          <w:rFonts w:ascii="Arial" w:eastAsia="Times New Roman" w:hAnsi="Arial" w:cs="Arial"/>
          <w:lang w:eastAsia="en-GB"/>
        </w:rPr>
      </w:pPr>
    </w:p>
    <w:p w14:paraId="3096297D" w14:textId="46BFB462" w:rsidR="00C5271F" w:rsidRDefault="00C5271F" w:rsidP="009336CE">
      <w:pPr>
        <w:spacing w:after="0" w:line="360" w:lineRule="auto"/>
        <w:rPr>
          <w:rFonts w:ascii="Arial" w:eastAsia="Times New Roman" w:hAnsi="Arial" w:cs="Arial"/>
          <w:lang w:eastAsia="en-GB"/>
        </w:rPr>
      </w:pPr>
      <w:r w:rsidRPr="00C5271F">
        <w:rPr>
          <w:rFonts w:ascii="Arial" w:eastAsia="Times New Roman" w:hAnsi="Arial" w:cs="Arial"/>
          <w:lang w:eastAsia="en-GB"/>
        </w:rPr>
        <w:t>There are also concerns about equity and morale. Geographic differences in workforce capability will increase if genomics expertise is concentrated in specialised centres without sufficient outreach. Furthermore, without clear professional development or workload relief, employee stress from increased responsibilities runs the risk of resignations, undermining the very service the project was meant to support. Workforce strain and the need for more precise role definitions and support were noted by independent qualitative research on the early GMS rollout</w:t>
      </w:r>
      <w:r w:rsidR="006D0119">
        <w:rPr>
          <w:rFonts w:ascii="Arial" w:eastAsia="Times New Roman" w:hAnsi="Arial" w:cs="Arial"/>
          <w:lang w:eastAsia="en-GB"/>
        </w:rPr>
        <w:t xml:space="preserve"> as</w:t>
      </w:r>
      <w:r w:rsidRPr="00C5271F">
        <w:rPr>
          <w:rFonts w:ascii="Arial" w:eastAsia="Times New Roman" w:hAnsi="Arial" w:cs="Arial"/>
          <w:lang w:eastAsia="en-GB"/>
        </w:rPr>
        <w:t xml:space="preserve"> state</w:t>
      </w:r>
      <w:r w:rsidR="006D0119">
        <w:rPr>
          <w:rFonts w:ascii="Arial" w:eastAsia="Times New Roman" w:hAnsi="Arial" w:cs="Arial"/>
          <w:lang w:eastAsia="en-GB"/>
        </w:rPr>
        <w:t>d by</w:t>
      </w:r>
      <w:r w:rsidRPr="00C5271F">
        <w:rPr>
          <w:rFonts w:ascii="Arial" w:eastAsia="Times New Roman" w:hAnsi="Arial" w:cs="Arial"/>
          <w:lang w:eastAsia="en-GB"/>
        </w:rPr>
        <w:t xml:space="preserve"> (Friedrich, et al, 2024).</w:t>
      </w:r>
    </w:p>
    <w:p w14:paraId="06215177" w14:textId="77777777" w:rsidR="0036160B" w:rsidRDefault="0036160B" w:rsidP="009336CE">
      <w:pPr>
        <w:spacing w:after="0" w:line="360" w:lineRule="auto"/>
        <w:rPr>
          <w:rFonts w:ascii="Arial" w:eastAsia="Times New Roman" w:hAnsi="Arial" w:cs="Arial"/>
          <w:lang w:eastAsia="en-GB"/>
        </w:rPr>
      </w:pPr>
    </w:p>
    <w:p w14:paraId="6492E082" w14:textId="6C1BEB5D" w:rsidR="00657509" w:rsidRDefault="00657509" w:rsidP="009336CE">
      <w:pPr>
        <w:spacing w:after="0" w:line="360" w:lineRule="auto"/>
        <w:rPr>
          <w:rFonts w:ascii="Arial" w:eastAsia="Times New Roman" w:hAnsi="Arial" w:cs="Arial"/>
          <w:lang w:eastAsia="en-GB"/>
        </w:rPr>
      </w:pPr>
      <w:r w:rsidRPr="00657509">
        <w:rPr>
          <w:rFonts w:ascii="Arial" w:eastAsia="Times New Roman" w:hAnsi="Arial" w:cs="Arial"/>
          <w:lang w:eastAsia="en-GB"/>
        </w:rPr>
        <w:t>Emerging policy and practical responses include the NHS strategic documents, the Genome UK implementation plan, and the HEE/Topol recommendations, which emphasise the importance of funded training pipelines, new credentialing, clinical-bioinformatics capacity investment, and coordinated workforce planning. However, plans need to be accompanied by protected training time and realistic funding envelopes. If not, the NHS runs the risk of falling short of its genomic promises</w:t>
      </w:r>
      <w:r w:rsidR="00C43D4C" w:rsidRPr="00660564">
        <w:rPr>
          <w:rFonts w:ascii="Arial" w:eastAsia="Times New Roman" w:hAnsi="Arial" w:cs="Arial"/>
          <w:lang w:eastAsia="en-GB"/>
        </w:rPr>
        <w:t xml:space="preserve"> according t</w:t>
      </w:r>
      <w:r w:rsidR="00D4571A" w:rsidRPr="00660564">
        <w:rPr>
          <w:rFonts w:ascii="Arial" w:eastAsia="Times New Roman" w:hAnsi="Arial" w:cs="Arial"/>
          <w:lang w:eastAsia="en-GB"/>
        </w:rPr>
        <w:t>o (Department of Health and Social Care</w:t>
      </w:r>
      <w:r w:rsidR="0003454C" w:rsidRPr="00660564">
        <w:rPr>
          <w:rFonts w:ascii="Arial" w:eastAsia="Times New Roman" w:hAnsi="Arial" w:cs="Arial"/>
          <w:lang w:eastAsia="en-GB"/>
        </w:rPr>
        <w:t>, 2022).</w:t>
      </w:r>
    </w:p>
    <w:p w14:paraId="789B2F90" w14:textId="5B38C034" w:rsidR="0096476D" w:rsidRDefault="005153BB" w:rsidP="009336CE">
      <w:pPr>
        <w:spacing w:line="360" w:lineRule="auto"/>
        <w:rPr>
          <w:rFonts w:ascii="Arial" w:eastAsia="Times New Roman" w:hAnsi="Arial" w:cs="Arial"/>
          <w:lang w:eastAsia="en-GB"/>
        </w:rPr>
      </w:pPr>
      <w:r w:rsidRPr="005153BB">
        <w:rPr>
          <w:rFonts w:ascii="Arial" w:eastAsia="Times New Roman" w:hAnsi="Arial" w:cs="Arial"/>
          <w:lang w:eastAsia="en-GB"/>
        </w:rPr>
        <w:t>The 100,000 Genomes Project's extensive roll-out has demonstrated that integrating genomics into regular workforce planning, not as a side project activity, but as a fundamental NHS capability, is essential to providing genomic medicine in a sustainable manner. Protected training time, nationally recognised competency frameworks for new roles (genomic pharmacists, clinical bioinformaticians, and genomic counsellors), and funded career pathways to retain qualified personnel are examples of practical requirements. Investing in the clinical workforce's digital literacy and informatics abilities is equally crucial to ensuring that genomic reports can be interpreted and used at the point of care. Genomics runs the risk of developing into a specialised division that exacerbates regional disparities and referral delays in the absence of these system-level workforce initiatives.</w:t>
      </w:r>
      <w:r w:rsidR="004A2ADC">
        <w:rPr>
          <w:rFonts w:ascii="Arial" w:eastAsia="Times New Roman" w:hAnsi="Arial" w:cs="Arial"/>
          <w:lang w:eastAsia="en-GB"/>
        </w:rPr>
        <w:t xml:space="preserve"> </w:t>
      </w:r>
    </w:p>
    <w:p w14:paraId="64A61A61" w14:textId="533A249B" w:rsidR="00B8026F" w:rsidRDefault="004A2ADC" w:rsidP="009336CE">
      <w:pPr>
        <w:spacing w:line="360" w:lineRule="auto"/>
        <w:rPr>
          <w:rFonts w:ascii="Arial" w:eastAsia="Times New Roman" w:hAnsi="Arial" w:cs="Arial"/>
          <w:lang w:eastAsia="en-GB"/>
        </w:rPr>
      </w:pPr>
      <w:r>
        <w:rPr>
          <w:rFonts w:ascii="Arial" w:eastAsia="Times New Roman" w:hAnsi="Arial" w:cs="Arial"/>
          <w:lang w:eastAsia="en-GB"/>
        </w:rPr>
        <w:lastRenderedPageBreak/>
        <w:t>Acc</w:t>
      </w:r>
      <w:r w:rsidR="004C31AE">
        <w:rPr>
          <w:rFonts w:ascii="Arial" w:eastAsia="Times New Roman" w:hAnsi="Arial" w:cs="Arial"/>
          <w:lang w:eastAsia="en-GB"/>
        </w:rPr>
        <w:t>ording to (</w:t>
      </w:r>
      <w:r w:rsidR="00C97808">
        <w:rPr>
          <w:rFonts w:ascii="Arial" w:eastAsia="Times New Roman" w:hAnsi="Arial" w:cs="Arial"/>
          <w:lang w:eastAsia="en-GB"/>
        </w:rPr>
        <w:t xml:space="preserve">NHS England, 2024), </w:t>
      </w:r>
      <w:r w:rsidR="004C31AE">
        <w:rPr>
          <w:rFonts w:ascii="Arial" w:eastAsia="Times New Roman" w:hAnsi="Arial" w:cs="Arial"/>
          <w:lang w:eastAsia="en-GB"/>
        </w:rPr>
        <w:t>i</w:t>
      </w:r>
      <w:r w:rsidRPr="004A2ADC">
        <w:rPr>
          <w:rFonts w:ascii="Arial" w:eastAsia="Times New Roman" w:hAnsi="Arial" w:cs="Arial"/>
          <w:lang w:eastAsia="en-GB"/>
        </w:rPr>
        <w:t>n order to convert the 100</w:t>
      </w:r>
      <w:r w:rsidR="00702E53">
        <w:rPr>
          <w:rFonts w:ascii="Arial" w:eastAsia="Times New Roman" w:hAnsi="Arial" w:cs="Arial"/>
          <w:lang w:eastAsia="en-GB"/>
        </w:rPr>
        <w:t xml:space="preserve">,000 </w:t>
      </w:r>
      <w:r w:rsidRPr="004A2ADC">
        <w:rPr>
          <w:rFonts w:ascii="Arial" w:eastAsia="Times New Roman" w:hAnsi="Arial" w:cs="Arial"/>
          <w:lang w:eastAsia="en-GB"/>
        </w:rPr>
        <w:t>G</w:t>
      </w:r>
      <w:r w:rsidR="00702E53">
        <w:rPr>
          <w:rFonts w:ascii="Arial" w:eastAsia="Times New Roman" w:hAnsi="Arial" w:cs="Arial"/>
          <w:lang w:eastAsia="en-GB"/>
        </w:rPr>
        <w:t xml:space="preserve">enomes </w:t>
      </w:r>
      <w:r w:rsidRPr="004A2ADC">
        <w:rPr>
          <w:rFonts w:ascii="Arial" w:eastAsia="Times New Roman" w:hAnsi="Arial" w:cs="Arial"/>
          <w:lang w:eastAsia="en-GB"/>
        </w:rPr>
        <w:t>P</w:t>
      </w:r>
      <w:r w:rsidR="00702E53">
        <w:rPr>
          <w:rFonts w:ascii="Arial" w:eastAsia="Times New Roman" w:hAnsi="Arial" w:cs="Arial"/>
          <w:lang w:eastAsia="en-GB"/>
        </w:rPr>
        <w:t>roject</w:t>
      </w:r>
      <w:r w:rsidRPr="004A2ADC">
        <w:rPr>
          <w:rFonts w:ascii="Arial" w:eastAsia="Times New Roman" w:hAnsi="Arial" w:cs="Arial"/>
          <w:lang w:eastAsia="en-GB"/>
        </w:rPr>
        <w:t>'s technical success into long-term clinical benefit, the NHS Long Term Workforce Plan acknowledges these priorities and calls for strategic workforce modelling, education, and pipeline development to match staffing with service ambitions.</w:t>
      </w:r>
    </w:p>
    <w:p w14:paraId="3F2A9F6F" w14:textId="26BE1130" w:rsidR="00573DDD" w:rsidRDefault="00604DDC" w:rsidP="009336CE">
      <w:pPr>
        <w:spacing w:line="360" w:lineRule="auto"/>
        <w:rPr>
          <w:rFonts w:ascii="Arial" w:eastAsia="Times New Roman" w:hAnsi="Arial" w:cs="Arial"/>
          <w:lang w:eastAsia="en-GB"/>
        </w:rPr>
      </w:pPr>
      <w:r>
        <w:rPr>
          <w:rFonts w:ascii="Arial" w:eastAsia="Times New Roman" w:hAnsi="Arial" w:cs="Arial"/>
          <w:lang w:eastAsia="en-GB"/>
        </w:rPr>
        <w:t>T</w:t>
      </w:r>
      <w:r w:rsidR="00573DDD" w:rsidRPr="00573DDD">
        <w:rPr>
          <w:rFonts w:ascii="Arial" w:eastAsia="Times New Roman" w:hAnsi="Arial" w:cs="Arial"/>
          <w:lang w:eastAsia="en-GB"/>
        </w:rPr>
        <w:t>he 100,000 Genomes Project has created momentum and capability, revolutionising genomic medicine in the United Kingdom. However, its workforce legacy has two sides while it created new roles and professional opportunities, it also revealed critical skill gaps, capacity limits, and sustainability risks. In order to fully realise the potential of genomics, UK policy should prioritise the conversion of temporary positions into permanent positions, fund national training and credentialing at scale, invest in bioinformatics and digital integration, and keep an eye on regional workforce equity. These actions are already suggested by national strategies and the NHS, but they require decisive funding and execution.</w:t>
      </w:r>
    </w:p>
    <w:p w14:paraId="758161C5" w14:textId="77777777" w:rsidR="004C5950" w:rsidRDefault="004C5950" w:rsidP="009336CE">
      <w:pPr>
        <w:spacing w:after="0" w:line="360" w:lineRule="auto"/>
        <w:rPr>
          <w:rFonts w:ascii="Arial" w:eastAsia="Times New Roman" w:hAnsi="Arial" w:cs="Arial"/>
          <w:lang w:eastAsia="en-GB"/>
        </w:rPr>
      </w:pPr>
    </w:p>
    <w:p w14:paraId="6B961F0A" w14:textId="1A40631E" w:rsidR="004C5950" w:rsidRDefault="00CD6783" w:rsidP="009336CE">
      <w:pPr>
        <w:spacing w:after="0" w:line="360" w:lineRule="auto"/>
        <w:rPr>
          <w:rFonts w:ascii="Arial" w:eastAsia="Times New Roman" w:hAnsi="Arial" w:cs="Arial"/>
          <w:b/>
          <w:bCs/>
          <w:u w:val="single"/>
          <w:lang w:eastAsia="en-GB"/>
        </w:rPr>
      </w:pPr>
      <w:r>
        <w:rPr>
          <w:rFonts w:ascii="Arial" w:eastAsia="Times New Roman" w:hAnsi="Arial" w:cs="Arial"/>
          <w:b/>
          <w:bCs/>
          <w:u w:val="single"/>
          <w:lang w:eastAsia="en-GB"/>
        </w:rPr>
        <w:t xml:space="preserve">100,000 </w:t>
      </w:r>
      <w:r w:rsidR="00EB3350">
        <w:rPr>
          <w:rFonts w:ascii="Arial" w:eastAsia="Times New Roman" w:hAnsi="Arial" w:cs="Arial"/>
          <w:b/>
          <w:bCs/>
          <w:u w:val="single"/>
          <w:lang w:eastAsia="en-GB"/>
        </w:rPr>
        <w:t>Genome Project</w:t>
      </w:r>
      <w:r w:rsidR="008F03E7">
        <w:rPr>
          <w:rFonts w:ascii="Arial" w:eastAsia="Times New Roman" w:hAnsi="Arial" w:cs="Arial"/>
          <w:b/>
          <w:bCs/>
          <w:u w:val="single"/>
          <w:lang w:eastAsia="en-GB"/>
        </w:rPr>
        <w:t xml:space="preserve"> - </w:t>
      </w:r>
      <w:r w:rsidR="00C61742" w:rsidRPr="00121473">
        <w:rPr>
          <w:rFonts w:ascii="Arial" w:eastAsia="Times New Roman" w:hAnsi="Arial" w:cs="Arial"/>
          <w:b/>
          <w:bCs/>
          <w:u w:val="single"/>
          <w:lang w:eastAsia="en-GB"/>
        </w:rPr>
        <w:t>Impact on Service Delivery</w:t>
      </w:r>
    </w:p>
    <w:p w14:paraId="1612A5C2" w14:textId="77777777" w:rsidR="00263CBE" w:rsidRDefault="00263CBE" w:rsidP="009336CE">
      <w:pPr>
        <w:spacing w:after="0" w:line="360" w:lineRule="auto"/>
        <w:rPr>
          <w:rFonts w:ascii="Arial" w:eastAsia="Times New Roman" w:hAnsi="Arial" w:cs="Arial"/>
          <w:b/>
          <w:bCs/>
          <w:u w:val="single"/>
          <w:lang w:eastAsia="en-GB"/>
        </w:rPr>
      </w:pPr>
    </w:p>
    <w:p w14:paraId="4FE10AA0" w14:textId="20234864" w:rsidR="00263CBE" w:rsidRPr="00520032" w:rsidRDefault="00263CBE" w:rsidP="009336CE">
      <w:pPr>
        <w:spacing w:after="0" w:line="360" w:lineRule="auto"/>
        <w:rPr>
          <w:rFonts w:ascii="Arial" w:eastAsia="Times New Roman" w:hAnsi="Arial" w:cs="Arial"/>
          <w:lang w:eastAsia="en-GB"/>
        </w:rPr>
      </w:pPr>
      <w:r w:rsidRPr="00263CBE">
        <w:rPr>
          <w:rFonts w:ascii="Arial" w:eastAsia="Times New Roman" w:hAnsi="Arial" w:cs="Arial"/>
          <w:lang w:eastAsia="en-GB"/>
        </w:rPr>
        <w:t xml:space="preserve">The NHS underwent a radical transformation when the 100,000 Genomes Project proved that large-scale whole-genome sequencing could be provided nationally and produce results that could be used in medical settings. The NHS Genomic Medicine Service was established more quickly as a result of that demonstration, which also supports the national goals outlined in Genome UK. However, converting pilot success into regular, fair service delivery has proven difficult because operational, governance, and capacity realities clash with early </w:t>
      </w:r>
      <w:r w:rsidR="004C4C4C" w:rsidRPr="00520032">
        <w:rPr>
          <w:rFonts w:ascii="Arial" w:eastAsia="Times New Roman" w:hAnsi="Arial" w:cs="Arial"/>
          <w:lang w:eastAsia="en-GB"/>
        </w:rPr>
        <w:t>promise</w:t>
      </w:r>
      <w:r w:rsidR="00136E34">
        <w:rPr>
          <w:rFonts w:ascii="Arial" w:eastAsia="Times New Roman" w:hAnsi="Arial" w:cs="Arial"/>
          <w:lang w:eastAsia="en-GB"/>
        </w:rPr>
        <w:t xml:space="preserve"> as outlined </w:t>
      </w:r>
      <w:r w:rsidR="00213464">
        <w:rPr>
          <w:rFonts w:ascii="Arial" w:eastAsia="Times New Roman" w:hAnsi="Arial" w:cs="Arial"/>
          <w:lang w:eastAsia="en-GB"/>
        </w:rPr>
        <w:t xml:space="preserve">by </w:t>
      </w:r>
      <w:r w:rsidR="00213464" w:rsidRPr="00520032">
        <w:rPr>
          <w:rFonts w:ascii="Arial" w:eastAsia="Times New Roman" w:hAnsi="Arial" w:cs="Arial"/>
          <w:lang w:eastAsia="en-GB"/>
        </w:rPr>
        <w:t>(</w:t>
      </w:r>
      <w:r w:rsidR="00191148" w:rsidRPr="00520032">
        <w:rPr>
          <w:rFonts w:ascii="Arial" w:eastAsia="Times New Roman" w:hAnsi="Arial" w:cs="Arial"/>
          <w:lang w:eastAsia="en-GB"/>
        </w:rPr>
        <w:t xml:space="preserve">Genomes </w:t>
      </w:r>
      <w:r w:rsidR="004C4C4C" w:rsidRPr="00520032">
        <w:rPr>
          <w:rFonts w:ascii="Arial" w:eastAsia="Times New Roman" w:hAnsi="Arial" w:cs="Arial"/>
          <w:lang w:eastAsia="en-GB"/>
        </w:rPr>
        <w:t>England</w:t>
      </w:r>
      <w:r w:rsidR="00191148" w:rsidRPr="00520032">
        <w:rPr>
          <w:rFonts w:ascii="Arial" w:eastAsia="Times New Roman" w:hAnsi="Arial" w:cs="Arial"/>
          <w:lang w:eastAsia="en-GB"/>
        </w:rPr>
        <w:t>, 202</w:t>
      </w:r>
      <w:r w:rsidR="004C4C4C" w:rsidRPr="00520032">
        <w:rPr>
          <w:rFonts w:ascii="Arial" w:eastAsia="Times New Roman" w:hAnsi="Arial" w:cs="Arial"/>
          <w:lang w:eastAsia="en-GB"/>
        </w:rPr>
        <w:t>2</w:t>
      </w:r>
      <w:r w:rsidR="00191148" w:rsidRPr="00520032">
        <w:rPr>
          <w:rFonts w:ascii="Arial" w:eastAsia="Times New Roman" w:hAnsi="Arial" w:cs="Arial"/>
          <w:lang w:eastAsia="en-GB"/>
        </w:rPr>
        <w:t>)</w:t>
      </w:r>
      <w:r w:rsidR="004C4C4C" w:rsidRPr="00520032">
        <w:rPr>
          <w:rFonts w:ascii="Arial" w:eastAsia="Times New Roman" w:hAnsi="Arial" w:cs="Arial"/>
          <w:lang w:eastAsia="en-GB"/>
        </w:rPr>
        <w:t>.</w:t>
      </w:r>
    </w:p>
    <w:p w14:paraId="38033958" w14:textId="77777777" w:rsidR="00F02F76" w:rsidRDefault="00F02F76" w:rsidP="009336CE">
      <w:pPr>
        <w:spacing w:after="0" w:line="360" w:lineRule="auto"/>
        <w:rPr>
          <w:rFonts w:ascii="Arial" w:eastAsia="Times New Roman" w:hAnsi="Arial" w:cs="Arial"/>
          <w:lang w:eastAsia="en-GB"/>
        </w:rPr>
      </w:pPr>
    </w:p>
    <w:p w14:paraId="1386E21F" w14:textId="7E98690E" w:rsidR="00CD3CE9" w:rsidRPr="00520032" w:rsidRDefault="00CD3CE9" w:rsidP="009336CE">
      <w:pPr>
        <w:spacing w:after="0" w:line="360" w:lineRule="auto"/>
        <w:rPr>
          <w:rFonts w:ascii="Arial" w:eastAsia="Times New Roman" w:hAnsi="Arial" w:cs="Arial"/>
          <w:lang w:eastAsia="en-GB"/>
        </w:rPr>
      </w:pPr>
      <w:r w:rsidRPr="00CD3CE9">
        <w:rPr>
          <w:rFonts w:ascii="Arial" w:eastAsia="Times New Roman" w:hAnsi="Arial" w:cs="Arial"/>
          <w:lang w:eastAsia="en-GB"/>
        </w:rPr>
        <w:t xml:space="preserve">The development of more direct treatment options for patients with cancer and rare diseases, as well as increased diagnostic yield, have been key service-level benefits. In cases where traditional testing failed, the pilot demonstrated a definite increase in diagnosis, allowing for earlier and more focused treatment for certain patients and guiding follow-up procedures within regional genomic services. This medical tool is a powerful tool for redesigning MDT workflows (such as molecular tumour boards and rare disease MDTs) and integrating genomics into care </w:t>
      </w:r>
      <w:r w:rsidR="004D6082" w:rsidRPr="00CD3CE9">
        <w:rPr>
          <w:rFonts w:ascii="Arial" w:eastAsia="Times New Roman" w:hAnsi="Arial" w:cs="Arial"/>
          <w:lang w:eastAsia="en-GB"/>
        </w:rPr>
        <w:t>pathways</w:t>
      </w:r>
      <w:r w:rsidR="004D6082">
        <w:rPr>
          <w:rFonts w:ascii="Arial" w:eastAsia="Times New Roman" w:hAnsi="Arial" w:cs="Arial"/>
          <w:lang w:eastAsia="en-GB"/>
        </w:rPr>
        <w:t xml:space="preserve"> </w:t>
      </w:r>
      <w:r w:rsidR="00213464">
        <w:rPr>
          <w:rFonts w:ascii="Arial" w:eastAsia="Times New Roman" w:hAnsi="Arial" w:cs="Arial"/>
          <w:lang w:eastAsia="en-GB"/>
        </w:rPr>
        <w:t xml:space="preserve">as reported by </w:t>
      </w:r>
      <w:r w:rsidR="004D6082" w:rsidRPr="00520032">
        <w:rPr>
          <w:rFonts w:ascii="Arial" w:eastAsia="Times New Roman" w:hAnsi="Arial" w:cs="Arial"/>
          <w:lang w:eastAsia="en-GB"/>
        </w:rPr>
        <w:t>(</w:t>
      </w:r>
      <w:r w:rsidR="002C1277">
        <w:rPr>
          <w:rFonts w:ascii="Arial" w:eastAsia="Times New Roman" w:hAnsi="Arial" w:cs="Arial"/>
          <w:lang w:eastAsia="en-GB"/>
        </w:rPr>
        <w:t>N</w:t>
      </w:r>
      <w:r w:rsidR="00AF41BF" w:rsidRPr="00520032">
        <w:rPr>
          <w:rFonts w:ascii="Arial" w:eastAsia="Times New Roman" w:hAnsi="Arial" w:cs="Arial"/>
          <w:lang w:eastAsia="en-GB"/>
        </w:rPr>
        <w:t xml:space="preserve">ew </w:t>
      </w:r>
      <w:r w:rsidR="000B11F5" w:rsidRPr="00520032">
        <w:rPr>
          <w:rFonts w:ascii="Arial" w:eastAsia="Times New Roman" w:hAnsi="Arial" w:cs="Arial"/>
          <w:lang w:eastAsia="en-GB"/>
        </w:rPr>
        <w:t>England</w:t>
      </w:r>
      <w:r w:rsidR="002C1277">
        <w:rPr>
          <w:rFonts w:ascii="Arial" w:eastAsia="Times New Roman" w:hAnsi="Arial" w:cs="Arial"/>
          <w:lang w:eastAsia="en-GB"/>
        </w:rPr>
        <w:t xml:space="preserve"> Jo</w:t>
      </w:r>
      <w:r w:rsidR="00CF0273">
        <w:rPr>
          <w:rFonts w:ascii="Arial" w:eastAsia="Times New Roman" w:hAnsi="Arial" w:cs="Arial"/>
          <w:lang w:eastAsia="en-GB"/>
        </w:rPr>
        <w:t>u</w:t>
      </w:r>
      <w:r w:rsidR="002C1277">
        <w:rPr>
          <w:rFonts w:ascii="Arial" w:eastAsia="Times New Roman" w:hAnsi="Arial" w:cs="Arial"/>
          <w:lang w:eastAsia="en-GB"/>
        </w:rPr>
        <w:t>rnal of Medicine</w:t>
      </w:r>
      <w:r w:rsidR="006632BB" w:rsidRPr="00520032">
        <w:rPr>
          <w:rFonts w:ascii="Arial" w:eastAsia="Times New Roman" w:hAnsi="Arial" w:cs="Arial"/>
          <w:lang w:eastAsia="en-GB"/>
        </w:rPr>
        <w:t>, 2021)</w:t>
      </w:r>
      <w:r w:rsidR="006550FC">
        <w:rPr>
          <w:rFonts w:ascii="Arial" w:eastAsia="Times New Roman" w:hAnsi="Arial" w:cs="Arial"/>
          <w:lang w:eastAsia="en-GB"/>
        </w:rPr>
        <w:t>.</w:t>
      </w:r>
    </w:p>
    <w:p w14:paraId="6BE013F5" w14:textId="77777777" w:rsidR="0096476D" w:rsidRDefault="0096476D" w:rsidP="009336CE">
      <w:pPr>
        <w:spacing w:after="0" w:line="360" w:lineRule="auto"/>
        <w:rPr>
          <w:rFonts w:ascii="Arial" w:eastAsia="Times New Roman" w:hAnsi="Arial" w:cs="Arial"/>
          <w:lang w:eastAsia="en-GB"/>
        </w:rPr>
      </w:pPr>
    </w:p>
    <w:p w14:paraId="0DAAC3B3" w14:textId="747C9EAC" w:rsidR="00C67831" w:rsidRDefault="00C67831" w:rsidP="009336CE">
      <w:pPr>
        <w:spacing w:after="0" w:line="360" w:lineRule="auto"/>
        <w:rPr>
          <w:rFonts w:ascii="Arial" w:eastAsia="Times New Roman" w:hAnsi="Arial" w:cs="Arial"/>
          <w:lang w:eastAsia="en-GB"/>
        </w:rPr>
      </w:pPr>
      <w:r w:rsidRPr="00C67831">
        <w:rPr>
          <w:rFonts w:ascii="Arial" w:eastAsia="Times New Roman" w:hAnsi="Arial" w:cs="Arial"/>
          <w:lang w:eastAsia="en-GB"/>
        </w:rPr>
        <w:t xml:space="preserve">Nevertheless, a number of issues with service delivery are apparent. First, supply-side limitations: large amounts of complex data are produced by routine WGS, necessitating fast medical interpretation, reliable biological information pipelines, and laboratory speed. Therefore, the NHS must function as a comprehensive end-to-end service, including </w:t>
      </w:r>
      <w:r w:rsidRPr="00C67831">
        <w:rPr>
          <w:rFonts w:ascii="Arial" w:eastAsia="Times New Roman" w:hAnsi="Arial" w:cs="Arial"/>
          <w:lang w:eastAsia="en-GB"/>
        </w:rPr>
        <w:lastRenderedPageBreak/>
        <w:t>ordering, sequencing, analysis, reporting, and downstream patient management. However, any obstacle at any stage slows down turnaround times and makes medical decision</w:t>
      </w:r>
      <w:r w:rsidR="00856DCA">
        <w:rPr>
          <w:rFonts w:ascii="Arial" w:eastAsia="Times New Roman" w:hAnsi="Arial" w:cs="Arial"/>
          <w:lang w:eastAsia="en-GB"/>
        </w:rPr>
        <w:t xml:space="preserve"> </w:t>
      </w:r>
      <w:r w:rsidRPr="00C67831">
        <w:rPr>
          <w:rFonts w:ascii="Arial" w:eastAsia="Times New Roman" w:hAnsi="Arial" w:cs="Arial"/>
          <w:lang w:eastAsia="en-GB"/>
        </w:rPr>
        <w:t>making more difficult. Genome UK places a strong emphasis on interoperability and informatics because ineffective data flows result in slower, more expensive care</w:t>
      </w:r>
      <w:r w:rsidR="005F7B2A">
        <w:rPr>
          <w:rFonts w:ascii="Arial" w:eastAsia="Times New Roman" w:hAnsi="Arial" w:cs="Arial"/>
          <w:lang w:eastAsia="en-GB"/>
        </w:rPr>
        <w:t xml:space="preserve"> according to</w:t>
      </w:r>
      <w:r w:rsidR="00DC2709" w:rsidRPr="00520032">
        <w:rPr>
          <w:rFonts w:ascii="Arial" w:eastAsia="Times New Roman" w:hAnsi="Arial" w:cs="Arial"/>
          <w:lang w:eastAsia="en-GB"/>
        </w:rPr>
        <w:t xml:space="preserve"> (</w:t>
      </w:r>
      <w:r w:rsidR="008B451F">
        <w:rPr>
          <w:rFonts w:ascii="Arial" w:eastAsia="Times New Roman" w:hAnsi="Arial" w:cs="Arial"/>
          <w:lang w:eastAsia="en-GB"/>
        </w:rPr>
        <w:t>NHS England</w:t>
      </w:r>
      <w:r w:rsidR="00387059" w:rsidRPr="00520032">
        <w:rPr>
          <w:rFonts w:ascii="Arial" w:eastAsia="Times New Roman" w:hAnsi="Arial" w:cs="Arial"/>
          <w:lang w:eastAsia="en-GB"/>
        </w:rPr>
        <w:t xml:space="preserve">, </w:t>
      </w:r>
      <w:r w:rsidR="001B2F01" w:rsidRPr="00520032">
        <w:rPr>
          <w:rFonts w:ascii="Arial" w:eastAsia="Times New Roman" w:hAnsi="Arial" w:cs="Arial"/>
          <w:lang w:eastAsia="en-GB"/>
        </w:rPr>
        <w:t>2022)</w:t>
      </w:r>
      <w:r w:rsidR="00520032" w:rsidRPr="00520032">
        <w:rPr>
          <w:rFonts w:ascii="Arial" w:eastAsia="Times New Roman" w:hAnsi="Arial" w:cs="Arial"/>
          <w:lang w:eastAsia="en-GB"/>
        </w:rPr>
        <w:t>.</w:t>
      </w:r>
    </w:p>
    <w:p w14:paraId="2A63F317" w14:textId="77777777" w:rsidR="0096476D" w:rsidRDefault="0096476D" w:rsidP="009336CE">
      <w:pPr>
        <w:spacing w:after="0" w:line="360" w:lineRule="auto"/>
        <w:rPr>
          <w:rFonts w:ascii="Arial" w:eastAsia="Times New Roman" w:hAnsi="Arial" w:cs="Arial"/>
          <w:lang w:eastAsia="en-GB"/>
        </w:rPr>
      </w:pPr>
    </w:p>
    <w:p w14:paraId="6B25266F" w14:textId="0E6A985D" w:rsidR="00D13B80" w:rsidRPr="00D13B80" w:rsidRDefault="00D13B80" w:rsidP="009336CE">
      <w:pPr>
        <w:spacing w:after="0" w:line="360" w:lineRule="auto"/>
        <w:rPr>
          <w:rFonts w:ascii="Arial" w:eastAsia="Times New Roman" w:hAnsi="Arial" w:cs="Arial"/>
          <w:lang w:eastAsia="en-GB"/>
        </w:rPr>
      </w:pPr>
      <w:r w:rsidRPr="00D13B80">
        <w:rPr>
          <w:rFonts w:ascii="Arial" w:eastAsia="Times New Roman" w:hAnsi="Arial" w:cs="Arial"/>
          <w:lang w:eastAsia="en-GB"/>
        </w:rPr>
        <w:t>Inequality is at risk due to variations in local implementation. The 100</w:t>
      </w:r>
      <w:r w:rsidR="005F7B2A">
        <w:rPr>
          <w:rFonts w:ascii="Arial" w:eastAsia="Times New Roman" w:hAnsi="Arial" w:cs="Arial"/>
          <w:lang w:eastAsia="en-GB"/>
        </w:rPr>
        <w:t xml:space="preserve">,000 </w:t>
      </w:r>
      <w:r w:rsidRPr="00D13B80">
        <w:rPr>
          <w:rFonts w:ascii="Arial" w:eastAsia="Times New Roman" w:hAnsi="Arial" w:cs="Arial"/>
          <w:lang w:eastAsia="en-GB"/>
        </w:rPr>
        <w:t>G</w:t>
      </w:r>
      <w:r w:rsidR="005F7B2A">
        <w:rPr>
          <w:rFonts w:ascii="Arial" w:eastAsia="Times New Roman" w:hAnsi="Arial" w:cs="Arial"/>
          <w:lang w:eastAsia="en-GB"/>
        </w:rPr>
        <w:t xml:space="preserve">enome </w:t>
      </w:r>
      <w:r w:rsidRPr="00D13B80">
        <w:rPr>
          <w:rFonts w:ascii="Arial" w:eastAsia="Times New Roman" w:hAnsi="Arial" w:cs="Arial"/>
          <w:lang w:eastAsia="en-GB"/>
        </w:rPr>
        <w:t>P</w:t>
      </w:r>
      <w:r w:rsidR="005F7B2A">
        <w:rPr>
          <w:rFonts w:ascii="Arial" w:eastAsia="Times New Roman" w:hAnsi="Arial" w:cs="Arial"/>
          <w:lang w:eastAsia="en-GB"/>
        </w:rPr>
        <w:t>roject</w:t>
      </w:r>
      <w:r w:rsidRPr="00D13B80">
        <w:rPr>
          <w:rFonts w:ascii="Arial" w:eastAsia="Times New Roman" w:hAnsi="Arial" w:cs="Arial"/>
          <w:lang w:eastAsia="en-GB"/>
        </w:rPr>
        <w:t xml:space="preserve"> established centre-based expertise, scaling means either centralisation (with referral pathways) or rapid upskilling of external services. Both strategies have drawbacks, decentralisation runs the risk of inconsistent quality and interpretation, while centralisation concentrates expertise but may cause access delays for distant populations. Geographical differences in preparedness are highlighted in reports on the early GMS roll-out, as is the necessity of networked hubs, standardised pathways, and quality assurance to guarantee a consistent patient experience</w:t>
      </w:r>
      <w:r w:rsidR="005116FD">
        <w:rPr>
          <w:rFonts w:ascii="Arial" w:eastAsia="Times New Roman" w:hAnsi="Arial" w:cs="Arial"/>
          <w:lang w:eastAsia="en-GB"/>
        </w:rPr>
        <w:t xml:space="preserve"> according to</w:t>
      </w:r>
      <w:r w:rsidR="00030076">
        <w:rPr>
          <w:rFonts w:ascii="Arial" w:eastAsia="Times New Roman" w:hAnsi="Arial" w:cs="Arial"/>
          <w:lang w:eastAsia="en-GB"/>
        </w:rPr>
        <w:t xml:space="preserve"> </w:t>
      </w:r>
      <w:r w:rsidR="00810DA2">
        <w:rPr>
          <w:rFonts w:ascii="Arial" w:eastAsia="Times New Roman" w:hAnsi="Arial" w:cs="Arial"/>
          <w:lang w:eastAsia="en-GB"/>
        </w:rPr>
        <w:t>(</w:t>
      </w:r>
      <w:r w:rsidR="00890480">
        <w:rPr>
          <w:rFonts w:ascii="Arial" w:eastAsia="Times New Roman" w:hAnsi="Arial" w:cs="Arial"/>
          <w:lang w:eastAsia="en-GB"/>
        </w:rPr>
        <w:t>G</w:t>
      </w:r>
      <w:r w:rsidR="00B83739">
        <w:rPr>
          <w:rFonts w:ascii="Arial" w:eastAsia="Times New Roman" w:hAnsi="Arial" w:cs="Arial"/>
          <w:lang w:eastAsia="en-GB"/>
        </w:rPr>
        <w:t>ov.UK</w:t>
      </w:r>
      <w:r w:rsidR="00812D3E">
        <w:rPr>
          <w:rFonts w:ascii="Arial" w:eastAsia="Times New Roman" w:hAnsi="Arial" w:cs="Arial"/>
          <w:lang w:eastAsia="en-GB"/>
        </w:rPr>
        <w:t>, 2022).</w:t>
      </w:r>
    </w:p>
    <w:p w14:paraId="33692853" w14:textId="77777777" w:rsidR="006E4F52" w:rsidRDefault="006E4F52" w:rsidP="009336CE">
      <w:pPr>
        <w:spacing w:after="0" w:line="360" w:lineRule="auto"/>
        <w:rPr>
          <w:rFonts w:ascii="Arial" w:eastAsia="Times New Roman" w:hAnsi="Arial" w:cs="Arial"/>
          <w:lang w:eastAsia="en-GB"/>
        </w:rPr>
      </w:pPr>
    </w:p>
    <w:p w14:paraId="136ACD69" w14:textId="7F888527" w:rsidR="003E76FD" w:rsidRDefault="003E76FD" w:rsidP="009336CE">
      <w:pPr>
        <w:spacing w:after="0" w:line="360" w:lineRule="auto"/>
        <w:rPr>
          <w:rFonts w:ascii="Arial" w:eastAsia="Times New Roman" w:hAnsi="Arial" w:cs="Arial"/>
          <w:lang w:eastAsia="en-GB"/>
        </w:rPr>
      </w:pPr>
      <w:r w:rsidRPr="003E76FD">
        <w:rPr>
          <w:rFonts w:ascii="Arial" w:eastAsia="Times New Roman" w:hAnsi="Arial" w:cs="Arial"/>
          <w:lang w:eastAsia="en-GB"/>
        </w:rPr>
        <w:t>Hidden costs arise from workforce interactions and service redesign. Referral criteria, consent procedures, sample logistics, reporting formats, and follow-up clinics must all be redesigned in order to incorporate genomics. During the transition period, these changes increase administrative and clinical workloads. If digital systems don't reduce manual tasks (e.g., automated variant triage, integrated ordering, and EHR-embedded reports), clinician time per patient will increase and may discourage referrals. Therefore, investments in informatics to streamline delivery are heavily emphasised in Genome UK and NHS strategy documents</w:t>
      </w:r>
      <w:r w:rsidR="009E293A">
        <w:rPr>
          <w:rFonts w:ascii="Arial" w:eastAsia="Times New Roman" w:hAnsi="Arial" w:cs="Arial"/>
          <w:lang w:eastAsia="en-GB"/>
        </w:rPr>
        <w:t xml:space="preserve"> </w:t>
      </w:r>
      <w:r w:rsidR="0071276A">
        <w:rPr>
          <w:rFonts w:ascii="Arial" w:eastAsia="Times New Roman" w:hAnsi="Arial" w:cs="Arial"/>
          <w:lang w:eastAsia="en-GB"/>
        </w:rPr>
        <w:t xml:space="preserve">outlined by </w:t>
      </w:r>
      <w:r w:rsidR="00260608">
        <w:rPr>
          <w:rFonts w:ascii="Arial" w:eastAsia="Times New Roman" w:hAnsi="Arial" w:cs="Arial"/>
          <w:lang w:eastAsia="en-GB"/>
        </w:rPr>
        <w:t>(G</w:t>
      </w:r>
      <w:r w:rsidR="00E270CD">
        <w:rPr>
          <w:rFonts w:ascii="Arial" w:eastAsia="Times New Roman" w:hAnsi="Arial" w:cs="Arial"/>
          <w:lang w:eastAsia="en-GB"/>
        </w:rPr>
        <w:t>enomes England</w:t>
      </w:r>
      <w:r w:rsidR="00260608">
        <w:rPr>
          <w:rFonts w:ascii="Arial" w:eastAsia="Times New Roman" w:hAnsi="Arial" w:cs="Arial"/>
          <w:lang w:eastAsia="en-GB"/>
        </w:rPr>
        <w:t>, 2021</w:t>
      </w:r>
      <w:r w:rsidR="009E293A">
        <w:rPr>
          <w:rFonts w:ascii="Arial" w:eastAsia="Times New Roman" w:hAnsi="Arial" w:cs="Arial"/>
          <w:lang w:eastAsia="en-GB"/>
        </w:rPr>
        <w:t>).</w:t>
      </w:r>
    </w:p>
    <w:p w14:paraId="4F014A34" w14:textId="77777777" w:rsidR="006E4F52" w:rsidRDefault="006E4F52" w:rsidP="009336CE">
      <w:pPr>
        <w:spacing w:after="0" w:line="360" w:lineRule="auto"/>
        <w:rPr>
          <w:rFonts w:ascii="Arial" w:eastAsia="Times New Roman" w:hAnsi="Arial" w:cs="Arial"/>
          <w:lang w:eastAsia="en-GB"/>
        </w:rPr>
      </w:pPr>
    </w:p>
    <w:p w14:paraId="35AE6262" w14:textId="3D17A427" w:rsidR="00CD74B0" w:rsidRDefault="00F574AF" w:rsidP="009336CE">
      <w:pPr>
        <w:spacing w:after="0" w:line="360" w:lineRule="auto"/>
        <w:rPr>
          <w:rFonts w:ascii="Arial" w:eastAsia="Times New Roman" w:hAnsi="Arial" w:cs="Arial"/>
          <w:lang w:eastAsia="en-GB"/>
        </w:rPr>
      </w:pPr>
      <w:r>
        <w:rPr>
          <w:rFonts w:ascii="Arial" w:eastAsia="Times New Roman" w:hAnsi="Arial" w:cs="Arial"/>
          <w:lang w:eastAsia="en-GB"/>
        </w:rPr>
        <w:t>T</w:t>
      </w:r>
      <w:r w:rsidR="00CD74B0" w:rsidRPr="00CD74B0">
        <w:rPr>
          <w:rFonts w:ascii="Arial" w:eastAsia="Times New Roman" w:hAnsi="Arial" w:cs="Arial"/>
          <w:lang w:eastAsia="en-GB"/>
        </w:rPr>
        <w:t>here is still a gap between evidence and practice. Strong health-economic modelling and prospective assessment of WGS across larger patient populations are still developing, even though pilot data supports clinical value for particular indications. Service leaders must prioritise indications where WGS alters management and yields quantifiable benefits while striking a balance between investment in sequencing capacity and demonstrated impact on outcomes and system costs. Metrics are laid out by Genome UK, but local delivery and monitoring are necessary for success</w:t>
      </w:r>
      <w:r>
        <w:rPr>
          <w:rFonts w:ascii="Arial" w:eastAsia="Times New Roman" w:hAnsi="Arial" w:cs="Arial"/>
          <w:lang w:eastAsia="en-GB"/>
        </w:rPr>
        <w:t xml:space="preserve"> stated by</w:t>
      </w:r>
      <w:r w:rsidR="00B83739">
        <w:rPr>
          <w:rFonts w:ascii="Arial" w:eastAsia="Times New Roman" w:hAnsi="Arial" w:cs="Arial"/>
          <w:lang w:eastAsia="en-GB"/>
        </w:rPr>
        <w:t xml:space="preserve"> (Gov.UK, 2021).</w:t>
      </w:r>
    </w:p>
    <w:p w14:paraId="3890B4B6" w14:textId="77777777" w:rsidR="0096476D" w:rsidRDefault="0096476D" w:rsidP="009336CE">
      <w:pPr>
        <w:spacing w:line="360" w:lineRule="auto"/>
        <w:rPr>
          <w:rFonts w:ascii="Arial" w:eastAsia="Times New Roman" w:hAnsi="Arial" w:cs="Arial"/>
          <w:lang w:eastAsia="en-GB"/>
        </w:rPr>
      </w:pPr>
    </w:p>
    <w:p w14:paraId="41B3E46E" w14:textId="2A297F3E" w:rsidR="00D32D16" w:rsidRDefault="00F269EC" w:rsidP="0096476D">
      <w:pPr>
        <w:spacing w:line="360" w:lineRule="auto"/>
        <w:rPr>
          <w:rFonts w:ascii="Arial" w:eastAsia="Times New Roman" w:hAnsi="Arial" w:cs="Arial"/>
          <w:lang w:eastAsia="en-GB"/>
        </w:rPr>
      </w:pPr>
      <w:r w:rsidRPr="00F269EC">
        <w:rPr>
          <w:rFonts w:ascii="Arial" w:eastAsia="Times New Roman" w:hAnsi="Arial" w:cs="Arial"/>
          <w:lang w:eastAsia="en-GB"/>
        </w:rPr>
        <w:t xml:space="preserve">The 100,000 Genomes Project's contribution to integrated service innovation throughout the NHS should also be </w:t>
      </w:r>
      <w:r w:rsidRPr="00CF2B11">
        <w:rPr>
          <w:rFonts w:ascii="Arial" w:eastAsia="Times New Roman" w:hAnsi="Arial" w:cs="Arial"/>
          <w:lang w:eastAsia="en-GB"/>
        </w:rPr>
        <w:t>considered</w:t>
      </w:r>
      <w:r w:rsidRPr="00F269EC">
        <w:rPr>
          <w:rFonts w:ascii="Arial" w:eastAsia="Times New Roman" w:hAnsi="Arial" w:cs="Arial"/>
          <w:lang w:eastAsia="en-GB"/>
        </w:rPr>
        <w:t xml:space="preserve"> when assessing it. The project has forced the NHS to reconsider the management, sharing, and application of genomic data in clinical workflows, in addition to enhancing diagnosis. A significant operational step, for instance, was the </w:t>
      </w:r>
      <w:r w:rsidRPr="00F269EC">
        <w:rPr>
          <w:rFonts w:ascii="Arial" w:eastAsia="Times New Roman" w:hAnsi="Arial" w:cs="Arial"/>
          <w:lang w:eastAsia="en-GB"/>
        </w:rPr>
        <w:lastRenderedPageBreak/>
        <w:t xml:space="preserve">launch of the National Genomic Informatics </w:t>
      </w:r>
      <w:r w:rsidRPr="00CF2B11">
        <w:rPr>
          <w:rFonts w:ascii="Arial" w:eastAsia="Times New Roman" w:hAnsi="Arial" w:cs="Arial"/>
          <w:lang w:eastAsia="en-GB"/>
        </w:rPr>
        <w:t>System,</w:t>
      </w:r>
      <w:r w:rsidRPr="00F269EC">
        <w:rPr>
          <w:rFonts w:ascii="Arial" w:eastAsia="Times New Roman" w:hAnsi="Arial" w:cs="Arial"/>
          <w:lang w:eastAsia="en-GB"/>
        </w:rPr>
        <w:t xml:space="preserve"> which gives labs and physicians access to sequencing results via a single digital platform. National data consistency, clinical decision-making, and turnaround times are all being improved by this integration. To support the responsible use of large-scale genomic data, however, continued investment in cybersecurity, interoperability, and data governance is necessary for successful service delivery.</w:t>
      </w:r>
      <w:r w:rsidR="00592D56" w:rsidRPr="00CF2B11">
        <w:rPr>
          <w:rFonts w:ascii="Arial" w:eastAsia="Times New Roman" w:hAnsi="Arial" w:cs="Arial"/>
          <w:lang w:eastAsia="en-GB"/>
        </w:rPr>
        <w:t xml:space="preserve"> </w:t>
      </w:r>
      <w:r w:rsidR="00592D56" w:rsidRPr="00CF2B11">
        <w:rPr>
          <w:rFonts w:ascii="Arial" w:eastAsia="Times New Roman" w:hAnsi="Arial" w:cs="Arial"/>
          <w:lang w:eastAsia="en-GB"/>
        </w:rPr>
        <w:t>The lessons learnt from the 100,000 Genomes Project underscore the importance of striking a balance between innovation, operational resilience, and patient trust in genomic services as the NHS undergoes ongoing transformation</w:t>
      </w:r>
      <w:r w:rsidR="008B53DC">
        <w:rPr>
          <w:rFonts w:ascii="Arial" w:eastAsia="Times New Roman" w:hAnsi="Arial" w:cs="Arial"/>
          <w:lang w:eastAsia="en-GB"/>
        </w:rPr>
        <w:t xml:space="preserve"> according to</w:t>
      </w:r>
      <w:r w:rsidR="00CF2B11" w:rsidRPr="00CF2B11">
        <w:rPr>
          <w:rFonts w:ascii="Arial" w:eastAsia="Times New Roman" w:hAnsi="Arial" w:cs="Arial"/>
          <w:lang w:eastAsia="en-GB"/>
        </w:rPr>
        <w:t xml:space="preserve"> (NHS England, 202</w:t>
      </w:r>
      <w:r w:rsidR="007628DA">
        <w:rPr>
          <w:rFonts w:ascii="Arial" w:eastAsia="Times New Roman" w:hAnsi="Arial" w:cs="Arial"/>
          <w:lang w:eastAsia="en-GB"/>
        </w:rPr>
        <w:t>5</w:t>
      </w:r>
      <w:r w:rsidR="00CF2B11" w:rsidRPr="00CF2B11">
        <w:rPr>
          <w:rFonts w:ascii="Arial" w:eastAsia="Times New Roman" w:hAnsi="Arial" w:cs="Arial"/>
          <w:lang w:eastAsia="en-GB"/>
        </w:rPr>
        <w:t>)</w:t>
      </w:r>
      <w:r w:rsidR="00CF2B11">
        <w:rPr>
          <w:rFonts w:ascii="Arial" w:eastAsia="Times New Roman" w:hAnsi="Arial" w:cs="Arial"/>
          <w:lang w:eastAsia="en-GB"/>
        </w:rPr>
        <w:t>.</w:t>
      </w:r>
    </w:p>
    <w:p w14:paraId="13DE0B89" w14:textId="319D72BD" w:rsidR="00191DA3" w:rsidRPr="0096476D" w:rsidRDefault="00592D56" w:rsidP="0096476D">
      <w:pPr>
        <w:spacing w:line="360" w:lineRule="auto"/>
        <w:rPr>
          <w:rFonts w:ascii="Arial" w:eastAsia="Times New Roman" w:hAnsi="Arial" w:cs="Arial"/>
          <w:lang w:eastAsia="en-GB"/>
        </w:rPr>
      </w:pPr>
      <w:r>
        <w:rPr>
          <w:rFonts w:ascii="Times New Roman" w:eastAsia="Times New Roman" w:hAnsi="Times New Roman" w:cs="Times New Roman"/>
          <w:sz w:val="24"/>
          <w:szCs w:val="24"/>
          <w:lang w:eastAsia="en-GB"/>
        </w:rPr>
        <w:t xml:space="preserve"> </w:t>
      </w:r>
      <w:r w:rsidR="00114282" w:rsidRPr="00114282">
        <w:rPr>
          <w:rFonts w:ascii="Arial" w:eastAsia="Times New Roman" w:hAnsi="Arial" w:cs="Arial"/>
          <w:b/>
          <w:bCs/>
          <w:u w:val="single"/>
          <w:lang w:eastAsia="en-GB"/>
        </w:rPr>
        <w:t>Conclusion</w:t>
      </w:r>
    </w:p>
    <w:p w14:paraId="31DB447D" w14:textId="77777777" w:rsidR="00AD1EC3" w:rsidRDefault="00192269" w:rsidP="009336CE">
      <w:pPr>
        <w:spacing w:after="0" w:line="360" w:lineRule="auto"/>
        <w:rPr>
          <w:rFonts w:ascii="Arial" w:eastAsia="Times New Roman" w:hAnsi="Arial" w:cs="Arial"/>
          <w:lang w:eastAsia="en-GB"/>
        </w:rPr>
      </w:pPr>
      <w:r w:rsidRPr="00192269">
        <w:rPr>
          <w:rFonts w:ascii="Arial" w:eastAsia="Times New Roman" w:hAnsi="Arial" w:cs="Arial"/>
          <w:lang w:eastAsia="en-GB"/>
        </w:rPr>
        <w:t xml:space="preserve">The 100,000 Genomes Project has played a crucial role in revolutionising NHS service delivery by proving that routine clinical care can effectively incorporate whole-genome sequencing (WGS). In addition to creating new clinical pathways and multidisciplinary models, its application has increased diagnostic accuracy, especially for rare diseases and cancers. The project did, however, also highlight issues with workforce capacity, data infrastructure, and regionally equitable access. </w:t>
      </w:r>
    </w:p>
    <w:p w14:paraId="6FD4303C" w14:textId="6D74B89D" w:rsidR="00192269" w:rsidRDefault="00192269" w:rsidP="009336CE">
      <w:pPr>
        <w:spacing w:after="0" w:line="360" w:lineRule="auto"/>
        <w:rPr>
          <w:rFonts w:ascii="Arial" w:eastAsia="Times New Roman" w:hAnsi="Arial" w:cs="Arial"/>
          <w:lang w:eastAsia="en-GB"/>
        </w:rPr>
      </w:pPr>
      <w:r w:rsidRPr="00192269">
        <w:rPr>
          <w:rFonts w:ascii="Arial" w:eastAsia="Times New Roman" w:hAnsi="Arial" w:cs="Arial"/>
          <w:lang w:eastAsia="en-GB"/>
        </w:rPr>
        <w:t>These results demonstrate that even though genomics has significant clinical and operational advantages, long-term success depends on consistent investment in digital systems, workforce development, and management.</w:t>
      </w:r>
    </w:p>
    <w:p w14:paraId="50287101" w14:textId="77777777" w:rsidR="00222C75" w:rsidRPr="00222C75" w:rsidRDefault="00222C75" w:rsidP="009336CE">
      <w:pPr>
        <w:spacing w:after="0" w:line="360" w:lineRule="auto"/>
        <w:rPr>
          <w:rFonts w:ascii="Arial" w:eastAsia="Times New Roman" w:hAnsi="Arial" w:cs="Arial"/>
          <w:lang w:eastAsia="en-GB"/>
        </w:rPr>
      </w:pPr>
      <w:r w:rsidRPr="00222C75">
        <w:rPr>
          <w:rFonts w:ascii="Arial" w:eastAsia="Times New Roman" w:hAnsi="Arial" w:cs="Arial"/>
          <w:lang w:eastAsia="en-GB"/>
        </w:rPr>
        <w:t>Since it serves as the model for the NHS Genomic Medicine Service, which connects research and healthcare to provide more individualised, predictive, and preventive care, using the 100,000 Genomes Project is still crucial. It serves as an example of how, when successfully incorporated into the NHS, genomic innovation can improve patient outcomes and system efficiency.</w:t>
      </w:r>
    </w:p>
    <w:p w14:paraId="6118D30D" w14:textId="77777777" w:rsidR="00D32D16" w:rsidRDefault="00D32D16" w:rsidP="009336CE">
      <w:pPr>
        <w:spacing w:after="0" w:line="360" w:lineRule="auto"/>
        <w:rPr>
          <w:rFonts w:ascii="Arial" w:eastAsia="Times New Roman" w:hAnsi="Arial" w:cs="Arial"/>
          <w:lang w:eastAsia="en-GB"/>
        </w:rPr>
      </w:pPr>
    </w:p>
    <w:p w14:paraId="6F3B653F" w14:textId="111B5858" w:rsidR="00DD6348" w:rsidRDefault="00DD6348" w:rsidP="009336CE">
      <w:pPr>
        <w:spacing w:after="0" w:line="360" w:lineRule="auto"/>
        <w:rPr>
          <w:rFonts w:ascii="Arial" w:eastAsia="Times New Roman" w:hAnsi="Arial" w:cs="Arial"/>
          <w:lang w:eastAsia="en-GB"/>
        </w:rPr>
      </w:pPr>
      <w:r w:rsidRPr="00C7489D">
        <w:rPr>
          <w:rFonts w:ascii="Arial" w:eastAsia="Times New Roman" w:hAnsi="Arial" w:cs="Arial"/>
          <w:b/>
          <w:bCs/>
          <w:sz w:val="24"/>
          <w:szCs w:val="24"/>
          <w:u w:val="single"/>
          <w:lang w:eastAsia="en-GB"/>
        </w:rPr>
        <w:t>Recommendations</w:t>
      </w:r>
      <w:r w:rsidRPr="00A71B44">
        <w:rPr>
          <w:rFonts w:ascii="Arial" w:eastAsia="Times New Roman" w:hAnsi="Arial" w:cs="Arial"/>
          <w:lang w:eastAsia="en-GB"/>
        </w:rPr>
        <w:t xml:space="preserve"> </w:t>
      </w:r>
    </w:p>
    <w:p w14:paraId="44FE2C34" w14:textId="77777777" w:rsidR="00DF73B1" w:rsidRDefault="00DF73B1" w:rsidP="009336CE">
      <w:pPr>
        <w:spacing w:after="0" w:line="360" w:lineRule="auto"/>
        <w:rPr>
          <w:rFonts w:ascii="Arial" w:eastAsia="Times New Roman" w:hAnsi="Arial" w:cs="Arial"/>
          <w:lang w:eastAsia="en-GB"/>
        </w:rPr>
      </w:pPr>
    </w:p>
    <w:p w14:paraId="49FF97F0" w14:textId="77777777" w:rsidR="00AD1EC3" w:rsidRDefault="00DD6348" w:rsidP="009336CE">
      <w:pPr>
        <w:spacing w:after="0" w:line="360" w:lineRule="auto"/>
        <w:rPr>
          <w:rFonts w:ascii="Arial" w:eastAsia="Times New Roman" w:hAnsi="Arial" w:cs="Arial"/>
          <w:lang w:eastAsia="en-GB"/>
        </w:rPr>
      </w:pPr>
      <w:r w:rsidRPr="00A71B44">
        <w:rPr>
          <w:rFonts w:ascii="Arial" w:eastAsia="Times New Roman" w:hAnsi="Arial" w:cs="Arial"/>
          <w:lang w:eastAsia="en-GB"/>
        </w:rPr>
        <w:t>The</w:t>
      </w:r>
      <w:r w:rsidR="00A71B44" w:rsidRPr="00A71B44">
        <w:rPr>
          <w:rFonts w:ascii="Arial" w:eastAsia="Times New Roman" w:hAnsi="Arial" w:cs="Arial"/>
          <w:lang w:eastAsia="en-GB"/>
        </w:rPr>
        <w:t xml:space="preserve"> NHS must prioritise a coordinated, </w:t>
      </w:r>
      <w:r w:rsidR="005444CF" w:rsidRPr="00A71B44">
        <w:rPr>
          <w:rFonts w:ascii="Arial" w:eastAsia="Times New Roman" w:hAnsi="Arial" w:cs="Arial"/>
          <w:lang w:eastAsia="en-GB"/>
        </w:rPr>
        <w:t>long</w:t>
      </w:r>
      <w:r w:rsidR="005444CF" w:rsidRPr="005C11CF">
        <w:rPr>
          <w:rFonts w:ascii="Arial" w:eastAsia="Times New Roman" w:hAnsi="Arial" w:cs="Arial"/>
          <w:lang w:eastAsia="en-GB"/>
        </w:rPr>
        <w:t>-term</w:t>
      </w:r>
      <w:r w:rsidR="00A71B44" w:rsidRPr="00A71B44">
        <w:rPr>
          <w:rFonts w:ascii="Arial" w:eastAsia="Times New Roman" w:hAnsi="Arial" w:cs="Arial"/>
          <w:lang w:eastAsia="en-GB"/>
        </w:rPr>
        <w:t xml:space="preserve"> strategy for incorporating genomics into </w:t>
      </w:r>
      <w:r>
        <w:rPr>
          <w:rFonts w:ascii="Arial" w:eastAsia="Times New Roman" w:hAnsi="Arial" w:cs="Arial"/>
          <w:lang w:eastAsia="en-GB"/>
        </w:rPr>
        <w:t>r</w:t>
      </w:r>
      <w:r w:rsidR="00A71B44" w:rsidRPr="00A71B44">
        <w:rPr>
          <w:rFonts w:ascii="Arial" w:eastAsia="Times New Roman" w:hAnsi="Arial" w:cs="Arial"/>
          <w:lang w:eastAsia="en-GB"/>
        </w:rPr>
        <w:t xml:space="preserve">outine care in order to maintain and increase the benefits of the 100,000 Genomes Project. First and foremost, it is crucial to invest in workforce development, making sure that all clinical staff members, not just genetic specialists, get ongoing instruction in genomic literacy and interpretation. </w:t>
      </w:r>
    </w:p>
    <w:p w14:paraId="3AFF5BD2" w14:textId="717253A3" w:rsidR="00AD1EC3" w:rsidRDefault="00A71B44" w:rsidP="009336CE">
      <w:pPr>
        <w:spacing w:after="0" w:line="360" w:lineRule="auto"/>
        <w:rPr>
          <w:rFonts w:ascii="Arial" w:eastAsia="Times New Roman" w:hAnsi="Arial" w:cs="Arial"/>
          <w:lang w:eastAsia="en-GB"/>
        </w:rPr>
      </w:pPr>
      <w:r w:rsidRPr="00A71B44">
        <w:rPr>
          <w:rFonts w:ascii="Arial" w:eastAsia="Times New Roman" w:hAnsi="Arial" w:cs="Arial"/>
          <w:lang w:eastAsia="en-GB"/>
        </w:rPr>
        <w:t xml:space="preserve">Second, in order to facilitate secure data sharing, quick medical reporting, and effective sequencing, digital and data infrastructure needs to be reinforced. </w:t>
      </w:r>
    </w:p>
    <w:p w14:paraId="08DE17D7" w14:textId="4B4541EF" w:rsidR="00AD1EC3" w:rsidRDefault="00A71B44" w:rsidP="009336CE">
      <w:pPr>
        <w:spacing w:after="0" w:line="360" w:lineRule="auto"/>
        <w:rPr>
          <w:rFonts w:ascii="Arial" w:eastAsia="Times New Roman" w:hAnsi="Arial" w:cs="Arial"/>
          <w:lang w:eastAsia="en-GB"/>
        </w:rPr>
      </w:pPr>
      <w:r w:rsidRPr="00A71B44">
        <w:rPr>
          <w:rFonts w:ascii="Arial" w:eastAsia="Times New Roman" w:hAnsi="Arial" w:cs="Arial"/>
          <w:lang w:eastAsia="en-GB"/>
        </w:rPr>
        <w:t xml:space="preserve">Third, to lessen disparities in turnaround times and access, service delivery should embrace standardised national pathways backed by regional genomic hubs. </w:t>
      </w:r>
    </w:p>
    <w:p w14:paraId="43CFBC46" w14:textId="5A97B3EB" w:rsidR="005C11CF" w:rsidRPr="00DD6348" w:rsidRDefault="00A71B44" w:rsidP="009336CE">
      <w:pPr>
        <w:spacing w:after="0" w:line="360" w:lineRule="auto"/>
        <w:rPr>
          <w:rFonts w:ascii="Arial" w:eastAsia="Times New Roman" w:hAnsi="Arial" w:cs="Arial"/>
          <w:b/>
          <w:bCs/>
          <w:sz w:val="24"/>
          <w:szCs w:val="24"/>
          <w:u w:val="single"/>
          <w:lang w:eastAsia="en-GB"/>
        </w:rPr>
      </w:pPr>
      <w:r w:rsidRPr="00A71B44">
        <w:rPr>
          <w:rFonts w:ascii="Arial" w:eastAsia="Times New Roman" w:hAnsi="Arial" w:cs="Arial"/>
          <w:lang w:eastAsia="en-GB"/>
        </w:rPr>
        <w:lastRenderedPageBreak/>
        <w:t xml:space="preserve">Fourth, in order to integrate genomics into clinical services in a sustainable manner as opposed to as </w:t>
      </w:r>
      <w:r w:rsidR="005C11CF" w:rsidRPr="005C11CF">
        <w:rPr>
          <w:rFonts w:ascii="Arial" w:eastAsia="Times New Roman" w:hAnsi="Arial" w:cs="Arial"/>
          <w:lang w:eastAsia="en-GB"/>
        </w:rPr>
        <w:t>project-based</w:t>
      </w:r>
      <w:r w:rsidRPr="00A71B44">
        <w:rPr>
          <w:rFonts w:ascii="Arial" w:eastAsia="Times New Roman" w:hAnsi="Arial" w:cs="Arial"/>
          <w:lang w:eastAsia="en-GB"/>
        </w:rPr>
        <w:t xml:space="preserve"> endeavours, stable funding sources are needed. Lastly, in order to foster trust, openness, and informed consent, active patient and public engagement should continue to be crucial.</w:t>
      </w:r>
      <w:r w:rsidR="00AB24AC" w:rsidRPr="005C11CF">
        <w:rPr>
          <w:rFonts w:ascii="Arial" w:eastAsia="Times New Roman" w:hAnsi="Arial" w:cs="Arial"/>
          <w:lang w:eastAsia="en-GB"/>
        </w:rPr>
        <w:t xml:space="preserve"> </w:t>
      </w:r>
      <w:r w:rsidR="005C11CF" w:rsidRPr="005C11CF">
        <w:rPr>
          <w:rFonts w:ascii="Arial" w:eastAsia="Times New Roman" w:hAnsi="Arial" w:cs="Arial"/>
          <w:lang w:eastAsia="en-GB"/>
        </w:rPr>
        <w:t>All of these suggestions work together to create a data-driven, resilient, and equitable genomic healthcare system that fulfils the 100,000 Genomes Project's potential.</w:t>
      </w:r>
    </w:p>
    <w:p w14:paraId="7A545949" w14:textId="77777777" w:rsidR="00727B38" w:rsidRDefault="00727B38" w:rsidP="009336CE">
      <w:pPr>
        <w:spacing w:line="360" w:lineRule="auto"/>
        <w:rPr>
          <w:rFonts w:ascii="Arial" w:eastAsia="Times New Roman" w:hAnsi="Arial" w:cs="Arial"/>
          <w:b/>
          <w:bCs/>
          <w:sz w:val="24"/>
          <w:szCs w:val="24"/>
          <w:u w:val="single"/>
          <w:lang w:eastAsia="en-GB"/>
        </w:rPr>
      </w:pPr>
    </w:p>
    <w:p w14:paraId="592BB938" w14:textId="7A391129" w:rsidR="00E34F67" w:rsidRDefault="0069572E" w:rsidP="009336CE">
      <w:pPr>
        <w:spacing w:line="360" w:lineRule="auto"/>
        <w:rPr>
          <w:rFonts w:ascii="Arial" w:eastAsia="Times New Roman" w:hAnsi="Arial" w:cs="Arial"/>
          <w:b/>
          <w:bCs/>
          <w:sz w:val="24"/>
          <w:szCs w:val="24"/>
          <w:u w:val="single"/>
          <w:lang w:eastAsia="en-GB"/>
        </w:rPr>
      </w:pPr>
      <w:r w:rsidRPr="0069572E">
        <w:rPr>
          <w:rFonts w:ascii="Arial" w:eastAsia="Times New Roman" w:hAnsi="Arial" w:cs="Arial"/>
          <w:b/>
          <w:bCs/>
          <w:sz w:val="24"/>
          <w:szCs w:val="24"/>
          <w:u w:val="single"/>
          <w:lang w:eastAsia="en-GB"/>
        </w:rPr>
        <w:t>References</w:t>
      </w:r>
    </w:p>
    <w:p w14:paraId="57DF34BD"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Department of Health and Social Care (2022) </w:t>
      </w:r>
      <w:r>
        <w:rPr>
          <w:rFonts w:ascii="avenir-regular-class" w:hAnsi="avenir-regular-class"/>
          <w:i/>
          <w:iCs/>
          <w:color w:val="333333"/>
          <w:sz w:val="23"/>
          <w:szCs w:val="23"/>
          <w:shd w:val="clear" w:color="auto" w:fill="FBFBFB"/>
        </w:rPr>
        <w:t>Genome UK: 2022 -2025 implementation plan for England</w:t>
      </w:r>
      <w:r>
        <w:rPr>
          <w:rFonts w:ascii="avenir-regular-class" w:hAnsi="avenir-regular-class"/>
          <w:color w:val="333333"/>
          <w:sz w:val="23"/>
          <w:szCs w:val="23"/>
          <w:shd w:val="clear" w:color="auto" w:fill="FBFBFB"/>
        </w:rPr>
        <w:t>. Available at: www.gov.uk/government/publications/genome-uk-2022-to-2025-implementation-plan-for-england/genome-uk-2022-to-2025-implementation-plan-for-england (Accessed: 11 October 2025).</w:t>
      </w:r>
    </w:p>
    <w:p w14:paraId="28F724E2"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Department of Health and Social Care (2022) </w:t>
      </w:r>
      <w:r>
        <w:rPr>
          <w:rFonts w:ascii="avenir-regular-class" w:hAnsi="avenir-regular-class"/>
          <w:i/>
          <w:iCs/>
          <w:color w:val="333333"/>
          <w:sz w:val="23"/>
          <w:szCs w:val="23"/>
          <w:shd w:val="clear" w:color="auto" w:fill="FBFBFB"/>
        </w:rPr>
        <w:t>Genome UK: 2022 -2025 implementation plan for England</w:t>
      </w:r>
      <w:r>
        <w:rPr>
          <w:rFonts w:ascii="avenir-regular-class" w:hAnsi="avenir-regular-class"/>
          <w:color w:val="333333"/>
          <w:sz w:val="23"/>
          <w:szCs w:val="23"/>
          <w:shd w:val="clear" w:color="auto" w:fill="FBFBFB"/>
        </w:rPr>
        <w:t>. Available at: www.gov.uk/government/publications/genome-uk-2022-to-2025-implementation-plan-for-england/genome-uk-2022-to-2025-implementation-plan-for-england (Accessed: 11 October 2025).</w:t>
      </w:r>
    </w:p>
    <w:p w14:paraId="2C4EACFF"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Friedrich, B. et al. (2024) 'A very big challenge, a qualitative study to explore the early barriers and enablers to implementing a national genomic medicine service in England', </w:t>
      </w:r>
      <w:r>
        <w:rPr>
          <w:rFonts w:ascii="avenir-regular-class" w:hAnsi="avenir-regular-class"/>
          <w:i/>
          <w:iCs/>
          <w:color w:val="333333"/>
          <w:sz w:val="23"/>
          <w:szCs w:val="23"/>
          <w:shd w:val="clear" w:color="auto" w:fill="FBFBFB"/>
        </w:rPr>
        <w:t>Frontiers in Genetics</w:t>
      </w:r>
      <w:r>
        <w:rPr>
          <w:rFonts w:ascii="avenir-regular-class" w:hAnsi="avenir-regular-class"/>
          <w:color w:val="333333"/>
          <w:sz w:val="23"/>
          <w:szCs w:val="23"/>
          <w:shd w:val="clear" w:color="auto" w:fill="FBFBFB"/>
        </w:rPr>
        <w:t>, 4 (14), Page range.</w:t>
      </w:r>
    </w:p>
    <w:p w14:paraId="614F83A2" w14:textId="77777777" w:rsidR="00727B38" w:rsidRDefault="00727B38" w:rsidP="009336CE">
      <w:pPr>
        <w:spacing w:line="360" w:lineRule="auto"/>
        <w:rPr>
          <w:rFonts w:ascii="avenir-regular-class" w:hAnsi="avenir-regular-class"/>
          <w:color w:val="333333"/>
          <w:sz w:val="23"/>
          <w:szCs w:val="23"/>
          <w:shd w:val="clear" w:color="auto" w:fill="FBFBFB"/>
        </w:rPr>
      </w:pPr>
      <w:bookmarkStart w:id="0" w:name="_Hlk212298623"/>
      <w:r>
        <w:rPr>
          <w:rFonts w:ascii="avenir-regular-class" w:hAnsi="avenir-regular-class"/>
          <w:i/>
          <w:iCs/>
          <w:color w:val="333333"/>
          <w:sz w:val="23"/>
          <w:szCs w:val="23"/>
          <w:shd w:val="clear" w:color="auto" w:fill="FBFBFB"/>
        </w:rPr>
        <w:t>Genomics England, Annual Report</w:t>
      </w:r>
      <w:r>
        <w:rPr>
          <w:rFonts w:ascii="avenir-regular-class" w:hAnsi="avenir-regular-class"/>
          <w:color w:val="333333"/>
          <w:sz w:val="23"/>
          <w:szCs w:val="23"/>
          <w:shd w:val="clear" w:color="auto" w:fill="FBFBFB"/>
        </w:rPr>
        <w:t> (2022) Available at: www.genomicsengland.co.uk/assets/documents/genomic</w:t>
      </w:r>
      <w:r>
        <w:rPr>
          <w:rFonts w:ascii="avenir-regular-class" w:hAnsi="avenir-regular-class"/>
          <w:color w:val="333333"/>
          <w:sz w:val="23"/>
          <w:szCs w:val="23"/>
          <w:shd w:val="clear" w:color="auto" w:fill="FBFBFB"/>
        </w:rPr>
        <w:t>s</w:t>
      </w:r>
      <w:r>
        <w:rPr>
          <w:rFonts w:ascii="avenir-regular-class" w:hAnsi="avenir-regular-class"/>
          <w:color w:val="333333"/>
          <w:sz w:val="23"/>
          <w:szCs w:val="23"/>
          <w:shd w:val="clear" w:color="auto" w:fill="FBFBFB"/>
        </w:rPr>
        <w:t>england (Accessed: 10 October 2025).</w:t>
      </w:r>
    </w:p>
    <w:bookmarkEnd w:id="0"/>
    <w:p w14:paraId="4279C541"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Genomics England, Annual Report</w:t>
      </w:r>
      <w:r>
        <w:rPr>
          <w:rFonts w:ascii="avenir-regular-class" w:hAnsi="avenir-regular-class"/>
          <w:color w:val="333333"/>
          <w:sz w:val="23"/>
          <w:szCs w:val="23"/>
          <w:shd w:val="clear" w:color="auto" w:fill="FBFBFB"/>
        </w:rPr>
        <w:t> (2022) Available at: www.genomicsengland.co.uk/assets/documents/genomicsengland (Accessed: 10 October 2025).</w:t>
      </w:r>
    </w:p>
    <w:p w14:paraId="54911B90"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Genomics England, Annual Report</w:t>
      </w:r>
      <w:r>
        <w:rPr>
          <w:rFonts w:ascii="avenir-regular-class" w:hAnsi="avenir-regular-class"/>
          <w:color w:val="333333"/>
          <w:sz w:val="23"/>
          <w:szCs w:val="23"/>
          <w:shd w:val="clear" w:color="auto" w:fill="FBFBFB"/>
        </w:rPr>
        <w:t> (2022) Available at: www.genomicsengland.co.uk/assets/documents/genomicsengland (Accessed: 10 October 2025).</w:t>
      </w:r>
    </w:p>
    <w:p w14:paraId="5DDB520E"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Genomics England, Annual Report</w:t>
      </w:r>
      <w:r>
        <w:rPr>
          <w:rFonts w:ascii="avenir-regular-class" w:hAnsi="avenir-regular-class"/>
          <w:color w:val="333333"/>
          <w:sz w:val="23"/>
          <w:szCs w:val="23"/>
          <w:shd w:val="clear" w:color="auto" w:fill="FBFBFB"/>
        </w:rPr>
        <w:t> (2022) Available at: www.genomicsengland.co.uk/assets/documents/genomicsengland (Accessed: 10 October 2025).</w:t>
      </w:r>
    </w:p>
    <w:p w14:paraId="41E7CEC2" w14:textId="77777777" w:rsidR="00727B38" w:rsidRDefault="00727B38" w:rsidP="009336CE">
      <w:pPr>
        <w:spacing w:line="360" w:lineRule="auto"/>
        <w:rPr>
          <w:rFonts w:ascii="avenir-regular-class" w:hAnsi="avenir-regular-class"/>
          <w:color w:val="333333"/>
          <w:sz w:val="23"/>
          <w:szCs w:val="23"/>
          <w:shd w:val="clear" w:color="auto" w:fill="FBFBFB"/>
        </w:rPr>
      </w:pPr>
      <w:bookmarkStart w:id="1" w:name="_Hlk212298680"/>
      <w:r>
        <w:rPr>
          <w:rFonts w:ascii="avenir-regular-class" w:hAnsi="avenir-regular-class"/>
          <w:color w:val="333333"/>
          <w:sz w:val="23"/>
          <w:szCs w:val="23"/>
          <w:shd w:val="clear" w:color="auto" w:fill="FBFBFB"/>
        </w:rPr>
        <w:lastRenderedPageBreak/>
        <w:t>NHS England (2022) </w:t>
      </w:r>
      <w:r>
        <w:rPr>
          <w:rFonts w:ascii="avenir-regular-class" w:hAnsi="avenir-regular-class"/>
          <w:i/>
          <w:iCs/>
          <w:color w:val="333333"/>
          <w:sz w:val="23"/>
          <w:szCs w:val="23"/>
          <w:shd w:val="clear" w:color="auto" w:fill="FBFBFB"/>
        </w:rPr>
        <w:t xml:space="preserve">Accelerating genomic medicine in the NHS. (a strategy for embedding genomics in the NHS over the next </w:t>
      </w:r>
      <w:r>
        <w:rPr>
          <w:rFonts w:ascii="avenir-regular-class" w:hAnsi="avenir-regular-class"/>
          <w:i/>
          <w:iCs/>
          <w:color w:val="333333"/>
          <w:sz w:val="23"/>
          <w:szCs w:val="23"/>
          <w:shd w:val="clear" w:color="auto" w:fill="FBFBFB"/>
        </w:rPr>
        <w:t>five</w:t>
      </w:r>
      <w:r>
        <w:rPr>
          <w:rFonts w:ascii="avenir-regular-class" w:hAnsi="avenir-regular-class"/>
          <w:i/>
          <w:iCs/>
          <w:color w:val="333333"/>
          <w:sz w:val="23"/>
          <w:szCs w:val="23"/>
          <w:shd w:val="clear" w:color="auto" w:fill="FBFBFB"/>
        </w:rPr>
        <w:t xml:space="preserve"> years</w:t>
      </w:r>
      <w:r>
        <w:rPr>
          <w:rFonts w:ascii="avenir-regular-class" w:hAnsi="avenir-regular-class"/>
          <w:color w:val="333333"/>
          <w:sz w:val="23"/>
          <w:szCs w:val="23"/>
          <w:shd w:val="clear" w:color="auto" w:fill="FBFBFB"/>
        </w:rPr>
        <w:t xml:space="preserve">. Available at: </w:t>
      </w:r>
      <w:r>
        <w:rPr>
          <w:rFonts w:ascii="avenir-regular-class" w:hAnsi="avenir-regular-class"/>
          <w:color w:val="333333"/>
          <w:sz w:val="23"/>
          <w:szCs w:val="23"/>
          <w:shd w:val="clear" w:color="auto" w:fill="FBFBFB"/>
        </w:rPr>
        <w:t>www.england.nhs/genomics/genomics-research/100000-genomes-project (</w:t>
      </w:r>
      <w:r>
        <w:rPr>
          <w:rFonts w:ascii="avenir-regular-class" w:hAnsi="avenir-regular-class"/>
          <w:color w:val="333333"/>
          <w:sz w:val="23"/>
          <w:szCs w:val="23"/>
          <w:shd w:val="clear" w:color="auto" w:fill="FBFBFB"/>
        </w:rPr>
        <w:t>Accessed: 10 October 2025).</w:t>
      </w:r>
    </w:p>
    <w:bookmarkEnd w:id="1"/>
    <w:p w14:paraId="74F3C2FD"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(2022) </w:t>
      </w:r>
      <w:r>
        <w:rPr>
          <w:rFonts w:ascii="avenir-regular-class" w:hAnsi="avenir-regular-class"/>
          <w:i/>
          <w:iCs/>
          <w:color w:val="333333"/>
          <w:sz w:val="23"/>
          <w:szCs w:val="23"/>
          <w:shd w:val="clear" w:color="auto" w:fill="FBFBFB"/>
        </w:rPr>
        <w:t>Accelerating genomic medicine in the NHS. (a strategy for embedding genomics in the NHS over the next five years</w:t>
      </w:r>
      <w:r>
        <w:rPr>
          <w:rFonts w:ascii="avenir-regular-class" w:hAnsi="avenir-regular-class"/>
          <w:color w:val="333333"/>
          <w:sz w:val="23"/>
          <w:szCs w:val="23"/>
          <w:shd w:val="clear" w:color="auto" w:fill="FBFBFB"/>
        </w:rPr>
        <w:t>. Available at: www.england.nhs/genomics/genomics-research/100000-genomes-project (Accessed: 10 October 2025).</w:t>
      </w:r>
    </w:p>
    <w:p w14:paraId="468C4DEF"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(2022) </w:t>
      </w:r>
      <w:r>
        <w:rPr>
          <w:rFonts w:ascii="avenir-regular-class" w:hAnsi="avenir-regular-class"/>
          <w:i/>
          <w:iCs/>
          <w:color w:val="333333"/>
          <w:sz w:val="23"/>
          <w:szCs w:val="23"/>
          <w:shd w:val="clear" w:color="auto" w:fill="FBFBFB"/>
        </w:rPr>
        <w:t>Accelerating genomic medicine in the NHS. (a strategy for embedding genomics in the NHS over the next five years</w:t>
      </w:r>
      <w:r>
        <w:rPr>
          <w:rFonts w:ascii="avenir-regular-class" w:hAnsi="avenir-regular-class"/>
          <w:color w:val="333333"/>
          <w:sz w:val="23"/>
          <w:szCs w:val="23"/>
          <w:shd w:val="clear" w:color="auto" w:fill="FBFBFB"/>
        </w:rPr>
        <w:t>. Available at: www.england.nhs/genomics/genomics-research/100000-genomes-project (Accessed: 10 October 2025).</w:t>
      </w:r>
    </w:p>
    <w:p w14:paraId="0F96A491" w14:textId="77777777" w:rsidR="00727B38" w:rsidRDefault="00727B38" w:rsidP="005C11CF">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NHS </w:t>
      </w:r>
      <w:r>
        <w:rPr>
          <w:rFonts w:ascii="avenir-regular-class" w:hAnsi="avenir-regular-class"/>
          <w:color w:val="333333"/>
          <w:sz w:val="23"/>
          <w:szCs w:val="23"/>
          <w:shd w:val="clear" w:color="auto" w:fill="FBFBFB"/>
        </w:rPr>
        <w:t>England (</w:t>
      </w:r>
      <w:r>
        <w:rPr>
          <w:rFonts w:ascii="avenir-regular-class" w:hAnsi="avenir-regular-class"/>
          <w:color w:val="333333"/>
          <w:sz w:val="23"/>
          <w:szCs w:val="23"/>
          <w:shd w:val="clear" w:color="auto" w:fill="FBFBFB"/>
        </w:rPr>
        <w:t>2024) NHS Long term Workforce Plan. Available at: www.england.nhs.uk/long-read/nhs-long-term-workforce-plan-2 (Accessed: 14 October 2025).</w:t>
      </w:r>
    </w:p>
    <w:p w14:paraId="213400E1"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England (2025) </w:t>
      </w:r>
      <w:r>
        <w:rPr>
          <w:rFonts w:ascii="avenir-regular-class" w:hAnsi="avenir-regular-class"/>
          <w:i/>
          <w:iCs/>
          <w:color w:val="333333"/>
          <w:sz w:val="23"/>
          <w:szCs w:val="23"/>
          <w:shd w:val="clear" w:color="auto" w:fill="FBFBFB"/>
        </w:rPr>
        <w:t>The NHS Genomic Medicine Service: achievement in 2024</w:t>
      </w:r>
      <w:r>
        <w:rPr>
          <w:rFonts w:ascii="avenir-regular-class" w:hAnsi="avenir-regular-class"/>
          <w:color w:val="333333"/>
          <w:sz w:val="23"/>
          <w:szCs w:val="23"/>
          <w:shd w:val="clear" w:color="auto" w:fill="FBFBFB"/>
        </w:rPr>
        <w:t>. Available at: /www.england.nhs.uk/long-read/the-nhs-genomic-medicine-service-achievements-in-2024 (Accessed: 17 October 2025).</w:t>
      </w:r>
    </w:p>
    <w:p w14:paraId="63128609" w14:textId="77777777" w:rsidR="00727B38" w:rsidRDefault="00727B38" w:rsidP="009336CE">
      <w:pPr>
        <w:spacing w:line="360" w:lineRule="auto"/>
        <w:rPr>
          <w:rFonts w:ascii="avenir-regular-class" w:hAnsi="avenir-regular-class"/>
          <w:color w:val="333333"/>
          <w:sz w:val="23"/>
          <w:szCs w:val="23"/>
          <w:shd w:val="clear" w:color="auto" w:fill="FBFBFB"/>
        </w:rPr>
      </w:pPr>
      <w:bookmarkStart w:id="2" w:name="_Hlk212308337"/>
      <w:r>
        <w:rPr>
          <w:rFonts w:ascii="avenir-regular-class" w:hAnsi="avenir-regular-class"/>
          <w:color w:val="333333"/>
          <w:sz w:val="23"/>
          <w:szCs w:val="23"/>
          <w:shd w:val="clear" w:color="auto" w:fill="FBFBFB"/>
        </w:rPr>
        <w:t>Smedley, D. et al, (2021) '100,000 Genomes Pilot on Rare - Disease Diagnoses in Healthcare - Preliminary Report', </w:t>
      </w:r>
      <w:r>
        <w:rPr>
          <w:rFonts w:ascii="avenir-regular-class" w:hAnsi="avenir-regular-class"/>
          <w:i/>
          <w:iCs/>
          <w:color w:val="333333"/>
          <w:sz w:val="23"/>
          <w:szCs w:val="23"/>
          <w:shd w:val="clear" w:color="auto" w:fill="FBFBFB"/>
        </w:rPr>
        <w:t>The New England Journal of Medicine</w:t>
      </w:r>
      <w:r>
        <w:rPr>
          <w:rFonts w:ascii="avenir-regular-class" w:hAnsi="avenir-regular-class"/>
          <w:color w:val="333333"/>
          <w:sz w:val="23"/>
          <w:szCs w:val="23"/>
          <w:shd w:val="clear" w:color="auto" w:fill="FBFBFB"/>
        </w:rPr>
        <w:t>, 385 (20), 1868-1880.</w:t>
      </w:r>
    </w:p>
    <w:bookmarkEnd w:id="2"/>
    <w:p w14:paraId="58AD005A"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Smedley</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D.</w:t>
      </w:r>
      <w:r>
        <w:rPr>
          <w:rFonts w:ascii="avenir-regular-class" w:hAnsi="avenir-regular-class"/>
          <w:color w:val="333333"/>
          <w:sz w:val="23"/>
          <w:szCs w:val="23"/>
          <w:shd w:val="clear" w:color="auto" w:fill="FBFBFB"/>
        </w:rPr>
        <w:t xml:space="preserve"> et al, (2021) '100,000 Genomes Pilot on Rare - Disease Diagnoses in Healthcare - Preliminary Report', </w:t>
      </w:r>
      <w:r>
        <w:rPr>
          <w:rFonts w:ascii="avenir-regular-class" w:hAnsi="avenir-regular-class"/>
          <w:i/>
          <w:iCs/>
          <w:color w:val="333333"/>
          <w:sz w:val="23"/>
          <w:szCs w:val="23"/>
          <w:shd w:val="clear" w:color="auto" w:fill="FBFBFB"/>
        </w:rPr>
        <w:t>The New England Journal of Medicine</w:t>
      </w:r>
      <w:r>
        <w:rPr>
          <w:rFonts w:ascii="avenir-regular-class" w:hAnsi="avenir-regular-class"/>
          <w:color w:val="333333"/>
          <w:sz w:val="23"/>
          <w:szCs w:val="23"/>
          <w:shd w:val="clear" w:color="auto" w:fill="FBFBFB"/>
        </w:rPr>
        <w:t>, 385 (20), 1868-1880.</w:t>
      </w:r>
    </w:p>
    <w:p w14:paraId="7FF36AE9"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Snape, K. et al. (2019) 'The new genomic medicine service and implications for patients', </w:t>
      </w:r>
      <w:r>
        <w:rPr>
          <w:rFonts w:ascii="avenir-regular-class" w:hAnsi="avenir-regular-class"/>
          <w:i/>
          <w:iCs/>
          <w:color w:val="333333"/>
          <w:sz w:val="23"/>
          <w:szCs w:val="23"/>
          <w:shd w:val="clear" w:color="auto" w:fill="FBFBFB"/>
        </w:rPr>
        <w:t>National library of medicine</w:t>
      </w:r>
      <w:r>
        <w:rPr>
          <w:rFonts w:ascii="avenir-regular-class" w:hAnsi="avenir-regular-class"/>
          <w:color w:val="333333"/>
          <w:sz w:val="23"/>
          <w:szCs w:val="23"/>
          <w:shd w:val="clear" w:color="auto" w:fill="FBFBFB"/>
        </w:rPr>
        <w:t>, 19 (4), 273-277.</w:t>
      </w:r>
    </w:p>
    <w:p w14:paraId="38597444" w14:textId="77777777" w:rsidR="00727B38" w:rsidRDefault="00727B38" w:rsidP="009336CE">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Topal, E. (2019) </w:t>
      </w:r>
      <w:r>
        <w:rPr>
          <w:rFonts w:ascii="avenir-regular-class" w:hAnsi="avenir-regular-class"/>
          <w:i/>
          <w:iCs/>
          <w:color w:val="333333"/>
          <w:sz w:val="23"/>
          <w:szCs w:val="23"/>
          <w:shd w:val="clear" w:color="auto" w:fill="FBFBFB"/>
        </w:rPr>
        <w:t>Preparing the healthcare workforce to deliver the digital future</w:t>
      </w:r>
      <w:r>
        <w:rPr>
          <w:rFonts w:ascii="avenir-regular-class" w:hAnsi="avenir-regular-class"/>
          <w:color w:val="333333"/>
          <w:sz w:val="23"/>
          <w:szCs w:val="23"/>
          <w:shd w:val="clear" w:color="auto" w:fill="FBFBFB"/>
        </w:rPr>
        <w:t>. Available at: www.topal.hec.nhs.uk (Accessed: 11 October 2025).</w:t>
      </w:r>
    </w:p>
    <w:p w14:paraId="706022BA" w14:textId="77777777" w:rsidR="008C2FE3" w:rsidRPr="00023567" w:rsidRDefault="008C2FE3" w:rsidP="00023567">
      <w:pPr>
        <w:spacing w:after="0" w:line="360" w:lineRule="auto"/>
        <w:rPr>
          <w:rFonts w:ascii="Arial" w:eastAsia="Times New Roman" w:hAnsi="Arial" w:cs="Arial"/>
          <w:lang w:eastAsia="en-GB"/>
        </w:rPr>
      </w:pPr>
    </w:p>
    <w:p w14:paraId="2AEF5FBF" w14:textId="77777777" w:rsidR="00C91833" w:rsidRPr="00781708" w:rsidRDefault="00C91833" w:rsidP="00023567">
      <w:pPr>
        <w:spacing w:after="0" w:line="360" w:lineRule="auto"/>
        <w:rPr>
          <w:rFonts w:ascii="Arial" w:eastAsia="Times New Roman" w:hAnsi="Arial" w:cs="Arial"/>
          <w:lang w:eastAsia="en-GB"/>
        </w:rPr>
      </w:pPr>
    </w:p>
    <w:p w14:paraId="1B3DFC5A" w14:textId="77777777" w:rsidR="007C4454" w:rsidRPr="007C4454" w:rsidRDefault="007C4454" w:rsidP="00023567">
      <w:pPr>
        <w:spacing w:after="0" w:line="360" w:lineRule="auto"/>
        <w:rPr>
          <w:rFonts w:ascii="Arial" w:eastAsia="Times New Roman" w:hAnsi="Arial" w:cs="Arial"/>
          <w:lang w:eastAsia="en-GB"/>
        </w:rPr>
      </w:pPr>
    </w:p>
    <w:p w14:paraId="5B5C672B" w14:textId="7A70951C" w:rsidR="009C135C" w:rsidRPr="009C135C" w:rsidRDefault="009C135C" w:rsidP="00023567">
      <w:pPr>
        <w:spacing w:after="0" w:line="360" w:lineRule="auto"/>
        <w:rPr>
          <w:rFonts w:ascii="Arial" w:eastAsia="Times New Roman" w:hAnsi="Arial" w:cs="Arial"/>
          <w:b/>
          <w:bCs/>
          <w:lang w:eastAsia="en-GB"/>
        </w:rPr>
      </w:pPr>
      <w:r w:rsidRPr="009C135C">
        <w:rPr>
          <w:rFonts w:ascii="Arial" w:eastAsia="Times New Roman" w:hAnsi="Arial" w:cs="Arial"/>
          <w:b/>
          <w:bCs/>
          <w:lang w:eastAsia="en-GB"/>
        </w:rPr>
        <w:lastRenderedPageBreak/>
        <w:br/>
      </w:r>
      <w:r w:rsidRPr="009C135C">
        <w:rPr>
          <w:rFonts w:ascii="Arial" w:eastAsia="Times New Roman" w:hAnsi="Arial" w:cs="Arial"/>
          <w:b/>
          <w:bCs/>
          <w:lang w:eastAsia="en-GB"/>
        </w:rPr>
        <w:br/>
      </w:r>
      <w:r w:rsidR="00FE3EEE" w:rsidRPr="00023567">
        <w:rPr>
          <w:rFonts w:ascii="Arial" w:eastAsia="Times New Roman" w:hAnsi="Arial" w:cs="Arial"/>
          <w:b/>
          <w:bCs/>
          <w:lang w:eastAsia="en-GB"/>
        </w:rPr>
        <w:t xml:space="preserve"> </w:t>
      </w:r>
    </w:p>
    <w:p w14:paraId="73A800E2" w14:textId="77777777" w:rsidR="009C135C" w:rsidRPr="00023567" w:rsidRDefault="009C135C" w:rsidP="00023567">
      <w:pPr>
        <w:spacing w:line="360" w:lineRule="auto"/>
        <w:rPr>
          <w:rFonts w:ascii="Arial" w:hAnsi="Arial" w:cs="Arial"/>
          <w:b/>
          <w:bCs/>
        </w:rPr>
      </w:pPr>
    </w:p>
    <w:sectPr w:rsidR="009C135C" w:rsidRPr="000235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B9A8C" w14:textId="77777777" w:rsidR="009B06BA" w:rsidRDefault="009B06BA" w:rsidP="000218F4">
      <w:pPr>
        <w:spacing w:after="0" w:line="240" w:lineRule="auto"/>
      </w:pPr>
      <w:r>
        <w:separator/>
      </w:r>
    </w:p>
  </w:endnote>
  <w:endnote w:type="continuationSeparator" w:id="0">
    <w:p w14:paraId="528AC370" w14:textId="77777777" w:rsidR="009B06BA" w:rsidRDefault="009B06BA" w:rsidP="00021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414897"/>
      <w:docPartObj>
        <w:docPartGallery w:val="Page Numbers (Bottom of Page)"/>
        <w:docPartUnique/>
      </w:docPartObj>
    </w:sdtPr>
    <w:sdtContent>
      <w:p w14:paraId="678CE2A4" w14:textId="75AB3669" w:rsidR="000218F4" w:rsidRDefault="000218F4">
        <w:pPr>
          <w:pStyle w:val="Footer"/>
          <w:jc w:val="center"/>
        </w:pPr>
        <w:r>
          <w:fldChar w:fldCharType="begin"/>
        </w:r>
        <w:r>
          <w:instrText>PAGE   \* MERGEFORMAT</w:instrText>
        </w:r>
        <w:r>
          <w:fldChar w:fldCharType="separate"/>
        </w:r>
        <w:r>
          <w:t>2</w:t>
        </w:r>
        <w:r>
          <w:fldChar w:fldCharType="end"/>
        </w:r>
      </w:p>
    </w:sdtContent>
  </w:sdt>
  <w:p w14:paraId="0DAD8404" w14:textId="77777777" w:rsidR="000218F4" w:rsidRDefault="00021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9A416" w14:textId="77777777" w:rsidR="009B06BA" w:rsidRDefault="009B06BA" w:rsidP="000218F4">
      <w:pPr>
        <w:spacing w:after="0" w:line="240" w:lineRule="auto"/>
      </w:pPr>
      <w:r>
        <w:separator/>
      </w:r>
    </w:p>
  </w:footnote>
  <w:footnote w:type="continuationSeparator" w:id="0">
    <w:p w14:paraId="2BC1E163" w14:textId="77777777" w:rsidR="009B06BA" w:rsidRDefault="009B06BA" w:rsidP="000218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F0C"/>
    <w:rsid w:val="00003F8B"/>
    <w:rsid w:val="00020442"/>
    <w:rsid w:val="000218F4"/>
    <w:rsid w:val="00023567"/>
    <w:rsid w:val="00030076"/>
    <w:rsid w:val="0003454C"/>
    <w:rsid w:val="00051791"/>
    <w:rsid w:val="00057517"/>
    <w:rsid w:val="00075461"/>
    <w:rsid w:val="00077C0A"/>
    <w:rsid w:val="00086D5E"/>
    <w:rsid w:val="000B11F5"/>
    <w:rsid w:val="000C27B5"/>
    <w:rsid w:val="000D5E6F"/>
    <w:rsid w:val="000E4C2B"/>
    <w:rsid w:val="00101284"/>
    <w:rsid w:val="00101555"/>
    <w:rsid w:val="00102BB1"/>
    <w:rsid w:val="00104094"/>
    <w:rsid w:val="00114282"/>
    <w:rsid w:val="00121019"/>
    <w:rsid w:val="00121473"/>
    <w:rsid w:val="00136C12"/>
    <w:rsid w:val="00136E34"/>
    <w:rsid w:val="00162768"/>
    <w:rsid w:val="0016538D"/>
    <w:rsid w:val="0017412B"/>
    <w:rsid w:val="00174778"/>
    <w:rsid w:val="00180005"/>
    <w:rsid w:val="00180F6D"/>
    <w:rsid w:val="00191148"/>
    <w:rsid w:val="00191DA3"/>
    <w:rsid w:val="00192269"/>
    <w:rsid w:val="001B2F01"/>
    <w:rsid w:val="001C1483"/>
    <w:rsid w:val="001F1109"/>
    <w:rsid w:val="001F26C5"/>
    <w:rsid w:val="00213464"/>
    <w:rsid w:val="00217BD9"/>
    <w:rsid w:val="00222C75"/>
    <w:rsid w:val="0022693F"/>
    <w:rsid w:val="00251F69"/>
    <w:rsid w:val="00260608"/>
    <w:rsid w:val="00260968"/>
    <w:rsid w:val="00263CBE"/>
    <w:rsid w:val="00265BD8"/>
    <w:rsid w:val="00270A3D"/>
    <w:rsid w:val="00285711"/>
    <w:rsid w:val="00295B95"/>
    <w:rsid w:val="002B58E7"/>
    <w:rsid w:val="002B718B"/>
    <w:rsid w:val="002C1277"/>
    <w:rsid w:val="002C694E"/>
    <w:rsid w:val="002C71B7"/>
    <w:rsid w:val="002D0AC4"/>
    <w:rsid w:val="002D5E39"/>
    <w:rsid w:val="00322E20"/>
    <w:rsid w:val="00333440"/>
    <w:rsid w:val="00334450"/>
    <w:rsid w:val="0036160B"/>
    <w:rsid w:val="003759B8"/>
    <w:rsid w:val="00382E3B"/>
    <w:rsid w:val="00387059"/>
    <w:rsid w:val="003A7D5E"/>
    <w:rsid w:val="003B0CE4"/>
    <w:rsid w:val="003B53FA"/>
    <w:rsid w:val="003B5C7C"/>
    <w:rsid w:val="003D442C"/>
    <w:rsid w:val="003E2B5C"/>
    <w:rsid w:val="003E76FD"/>
    <w:rsid w:val="004333D9"/>
    <w:rsid w:val="004A2ADC"/>
    <w:rsid w:val="004C31AE"/>
    <w:rsid w:val="004C4C4C"/>
    <w:rsid w:val="004C5950"/>
    <w:rsid w:val="004D416D"/>
    <w:rsid w:val="004D6082"/>
    <w:rsid w:val="004E7F92"/>
    <w:rsid w:val="004F09CA"/>
    <w:rsid w:val="005116FD"/>
    <w:rsid w:val="005153BB"/>
    <w:rsid w:val="00515ED9"/>
    <w:rsid w:val="00517363"/>
    <w:rsid w:val="00520032"/>
    <w:rsid w:val="005363E4"/>
    <w:rsid w:val="005444CF"/>
    <w:rsid w:val="00553654"/>
    <w:rsid w:val="005566A3"/>
    <w:rsid w:val="00556BC2"/>
    <w:rsid w:val="00573DDD"/>
    <w:rsid w:val="00584EFE"/>
    <w:rsid w:val="00592D56"/>
    <w:rsid w:val="00592DEE"/>
    <w:rsid w:val="00594727"/>
    <w:rsid w:val="005A41E4"/>
    <w:rsid w:val="005C11CF"/>
    <w:rsid w:val="005F3379"/>
    <w:rsid w:val="005F7B2A"/>
    <w:rsid w:val="00604DDC"/>
    <w:rsid w:val="00616956"/>
    <w:rsid w:val="006550FC"/>
    <w:rsid w:val="00657509"/>
    <w:rsid w:val="00657BC0"/>
    <w:rsid w:val="00660564"/>
    <w:rsid w:val="006632BB"/>
    <w:rsid w:val="00671B97"/>
    <w:rsid w:val="00686133"/>
    <w:rsid w:val="00692A24"/>
    <w:rsid w:val="0069572E"/>
    <w:rsid w:val="00695995"/>
    <w:rsid w:val="006D0119"/>
    <w:rsid w:val="006D752A"/>
    <w:rsid w:val="006E4390"/>
    <w:rsid w:val="006E4F52"/>
    <w:rsid w:val="006F0934"/>
    <w:rsid w:val="006F11E8"/>
    <w:rsid w:val="007017E7"/>
    <w:rsid w:val="00702E53"/>
    <w:rsid w:val="0071276A"/>
    <w:rsid w:val="00727B38"/>
    <w:rsid w:val="00753B32"/>
    <w:rsid w:val="007628DA"/>
    <w:rsid w:val="00777090"/>
    <w:rsid w:val="00781708"/>
    <w:rsid w:val="007C168C"/>
    <w:rsid w:val="007C4454"/>
    <w:rsid w:val="007C603D"/>
    <w:rsid w:val="00810DA2"/>
    <w:rsid w:val="00812D3E"/>
    <w:rsid w:val="00820FB5"/>
    <w:rsid w:val="00826CC9"/>
    <w:rsid w:val="0085514B"/>
    <w:rsid w:val="00856DCA"/>
    <w:rsid w:val="00867C5F"/>
    <w:rsid w:val="008870A8"/>
    <w:rsid w:val="00890480"/>
    <w:rsid w:val="00895A03"/>
    <w:rsid w:val="008B0CFC"/>
    <w:rsid w:val="008B35C3"/>
    <w:rsid w:val="008B451F"/>
    <w:rsid w:val="008B53DC"/>
    <w:rsid w:val="008C2FE3"/>
    <w:rsid w:val="008C6728"/>
    <w:rsid w:val="008E5059"/>
    <w:rsid w:val="008F03E7"/>
    <w:rsid w:val="008F4CAF"/>
    <w:rsid w:val="00902194"/>
    <w:rsid w:val="009336CE"/>
    <w:rsid w:val="00935F0C"/>
    <w:rsid w:val="00955DD7"/>
    <w:rsid w:val="00963B0F"/>
    <w:rsid w:val="0096476D"/>
    <w:rsid w:val="009756F8"/>
    <w:rsid w:val="00984E5C"/>
    <w:rsid w:val="00987462"/>
    <w:rsid w:val="009A0FAA"/>
    <w:rsid w:val="009B06BA"/>
    <w:rsid w:val="009C0245"/>
    <w:rsid w:val="009C135C"/>
    <w:rsid w:val="009C45F7"/>
    <w:rsid w:val="009E293A"/>
    <w:rsid w:val="009E3FF6"/>
    <w:rsid w:val="009E5CD4"/>
    <w:rsid w:val="009F1D45"/>
    <w:rsid w:val="009F60C4"/>
    <w:rsid w:val="00A07FD5"/>
    <w:rsid w:val="00A23B63"/>
    <w:rsid w:val="00A3329C"/>
    <w:rsid w:val="00A37031"/>
    <w:rsid w:val="00A4256E"/>
    <w:rsid w:val="00A715B9"/>
    <w:rsid w:val="00A71B44"/>
    <w:rsid w:val="00A72ED5"/>
    <w:rsid w:val="00AA1AE7"/>
    <w:rsid w:val="00AB24AC"/>
    <w:rsid w:val="00AC65A1"/>
    <w:rsid w:val="00AD1EC3"/>
    <w:rsid w:val="00AF41BF"/>
    <w:rsid w:val="00B06D62"/>
    <w:rsid w:val="00B15D37"/>
    <w:rsid w:val="00B271FB"/>
    <w:rsid w:val="00B514C3"/>
    <w:rsid w:val="00B57A37"/>
    <w:rsid w:val="00B60BF6"/>
    <w:rsid w:val="00B67074"/>
    <w:rsid w:val="00B8026F"/>
    <w:rsid w:val="00B80327"/>
    <w:rsid w:val="00B83739"/>
    <w:rsid w:val="00BA73D9"/>
    <w:rsid w:val="00BB75C6"/>
    <w:rsid w:val="00BD459D"/>
    <w:rsid w:val="00BE0DDB"/>
    <w:rsid w:val="00BF1357"/>
    <w:rsid w:val="00BF7C88"/>
    <w:rsid w:val="00C06628"/>
    <w:rsid w:val="00C067E0"/>
    <w:rsid w:val="00C34929"/>
    <w:rsid w:val="00C35855"/>
    <w:rsid w:val="00C43D4C"/>
    <w:rsid w:val="00C460B7"/>
    <w:rsid w:val="00C5271F"/>
    <w:rsid w:val="00C61742"/>
    <w:rsid w:val="00C67831"/>
    <w:rsid w:val="00C73E19"/>
    <w:rsid w:val="00C7489D"/>
    <w:rsid w:val="00C91833"/>
    <w:rsid w:val="00C97808"/>
    <w:rsid w:val="00CB35EC"/>
    <w:rsid w:val="00CC4273"/>
    <w:rsid w:val="00CD3CE9"/>
    <w:rsid w:val="00CD5C47"/>
    <w:rsid w:val="00CD6783"/>
    <w:rsid w:val="00CD74B0"/>
    <w:rsid w:val="00CF0273"/>
    <w:rsid w:val="00CF2B11"/>
    <w:rsid w:val="00D05BB0"/>
    <w:rsid w:val="00D124DF"/>
    <w:rsid w:val="00D13B80"/>
    <w:rsid w:val="00D1617D"/>
    <w:rsid w:val="00D25F0A"/>
    <w:rsid w:val="00D32D16"/>
    <w:rsid w:val="00D4571A"/>
    <w:rsid w:val="00D46981"/>
    <w:rsid w:val="00D747FF"/>
    <w:rsid w:val="00D82F0C"/>
    <w:rsid w:val="00D905E9"/>
    <w:rsid w:val="00DA4CC2"/>
    <w:rsid w:val="00DC2709"/>
    <w:rsid w:val="00DD1DAC"/>
    <w:rsid w:val="00DD6348"/>
    <w:rsid w:val="00DD6671"/>
    <w:rsid w:val="00DE6B5E"/>
    <w:rsid w:val="00DF73B1"/>
    <w:rsid w:val="00E251D6"/>
    <w:rsid w:val="00E270CD"/>
    <w:rsid w:val="00E3404D"/>
    <w:rsid w:val="00E34F67"/>
    <w:rsid w:val="00E3652E"/>
    <w:rsid w:val="00E50640"/>
    <w:rsid w:val="00E945EF"/>
    <w:rsid w:val="00E97470"/>
    <w:rsid w:val="00EA3C4B"/>
    <w:rsid w:val="00EA761B"/>
    <w:rsid w:val="00EB31E0"/>
    <w:rsid w:val="00EB3350"/>
    <w:rsid w:val="00ED60EA"/>
    <w:rsid w:val="00EF2778"/>
    <w:rsid w:val="00F02F76"/>
    <w:rsid w:val="00F20893"/>
    <w:rsid w:val="00F269EC"/>
    <w:rsid w:val="00F52647"/>
    <w:rsid w:val="00F570B3"/>
    <w:rsid w:val="00F574AF"/>
    <w:rsid w:val="00F71662"/>
    <w:rsid w:val="00F80A97"/>
    <w:rsid w:val="00F906ED"/>
    <w:rsid w:val="00F935D5"/>
    <w:rsid w:val="00FA0BEF"/>
    <w:rsid w:val="00FA5DA6"/>
    <w:rsid w:val="00FB1C58"/>
    <w:rsid w:val="00FC29EB"/>
    <w:rsid w:val="00FC726C"/>
    <w:rsid w:val="00FE3EEE"/>
    <w:rsid w:val="00FF0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46DCC"/>
  <w15:chartTrackingRefBased/>
  <w15:docId w15:val="{EBE9DB29-0835-4BFD-B84F-814027384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F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2F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2F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F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F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F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F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F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F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F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2F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2F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F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F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F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F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F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F0C"/>
    <w:rPr>
      <w:rFonts w:eastAsiaTheme="majorEastAsia" w:cstheme="majorBidi"/>
      <w:color w:val="272727" w:themeColor="text1" w:themeTint="D8"/>
    </w:rPr>
  </w:style>
  <w:style w:type="paragraph" w:styleId="Title">
    <w:name w:val="Title"/>
    <w:basedOn w:val="Normal"/>
    <w:next w:val="Normal"/>
    <w:link w:val="TitleChar"/>
    <w:uiPriority w:val="10"/>
    <w:qFormat/>
    <w:rsid w:val="00D82F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F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F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F0C"/>
    <w:pPr>
      <w:spacing w:before="160"/>
      <w:jc w:val="center"/>
    </w:pPr>
    <w:rPr>
      <w:i/>
      <w:iCs/>
      <w:color w:val="404040" w:themeColor="text1" w:themeTint="BF"/>
    </w:rPr>
  </w:style>
  <w:style w:type="character" w:customStyle="1" w:styleId="QuoteChar">
    <w:name w:val="Quote Char"/>
    <w:basedOn w:val="DefaultParagraphFont"/>
    <w:link w:val="Quote"/>
    <w:uiPriority w:val="29"/>
    <w:rsid w:val="00D82F0C"/>
    <w:rPr>
      <w:i/>
      <w:iCs/>
      <w:color w:val="404040" w:themeColor="text1" w:themeTint="BF"/>
    </w:rPr>
  </w:style>
  <w:style w:type="paragraph" w:styleId="ListParagraph">
    <w:name w:val="List Paragraph"/>
    <w:basedOn w:val="Normal"/>
    <w:uiPriority w:val="34"/>
    <w:qFormat/>
    <w:rsid w:val="00D82F0C"/>
    <w:pPr>
      <w:ind w:left="720"/>
      <w:contextualSpacing/>
    </w:pPr>
  </w:style>
  <w:style w:type="character" w:styleId="IntenseEmphasis">
    <w:name w:val="Intense Emphasis"/>
    <w:basedOn w:val="DefaultParagraphFont"/>
    <w:uiPriority w:val="21"/>
    <w:qFormat/>
    <w:rsid w:val="00D82F0C"/>
    <w:rPr>
      <w:i/>
      <w:iCs/>
      <w:color w:val="0F4761" w:themeColor="accent1" w:themeShade="BF"/>
    </w:rPr>
  </w:style>
  <w:style w:type="paragraph" w:styleId="IntenseQuote">
    <w:name w:val="Intense Quote"/>
    <w:basedOn w:val="Normal"/>
    <w:next w:val="Normal"/>
    <w:link w:val="IntenseQuoteChar"/>
    <w:uiPriority w:val="30"/>
    <w:qFormat/>
    <w:rsid w:val="00D82F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F0C"/>
    <w:rPr>
      <w:i/>
      <w:iCs/>
      <w:color w:val="0F4761" w:themeColor="accent1" w:themeShade="BF"/>
    </w:rPr>
  </w:style>
  <w:style w:type="character" w:styleId="IntenseReference">
    <w:name w:val="Intense Reference"/>
    <w:basedOn w:val="DefaultParagraphFont"/>
    <w:uiPriority w:val="32"/>
    <w:qFormat/>
    <w:rsid w:val="00D82F0C"/>
    <w:rPr>
      <w:b/>
      <w:bCs/>
      <w:smallCaps/>
      <w:color w:val="0F4761" w:themeColor="accent1" w:themeShade="BF"/>
      <w:spacing w:val="5"/>
    </w:rPr>
  </w:style>
  <w:style w:type="paragraph" w:styleId="Header">
    <w:name w:val="header"/>
    <w:basedOn w:val="Normal"/>
    <w:link w:val="HeaderChar"/>
    <w:uiPriority w:val="99"/>
    <w:unhideWhenUsed/>
    <w:rsid w:val="00021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8F4"/>
  </w:style>
  <w:style w:type="paragraph" w:styleId="Footer">
    <w:name w:val="footer"/>
    <w:basedOn w:val="Normal"/>
    <w:link w:val="FooterChar"/>
    <w:uiPriority w:val="99"/>
    <w:unhideWhenUsed/>
    <w:rsid w:val="00021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8F4"/>
  </w:style>
  <w:style w:type="character" w:styleId="Hyperlink">
    <w:name w:val="Hyperlink"/>
    <w:basedOn w:val="DefaultParagraphFont"/>
    <w:uiPriority w:val="99"/>
    <w:semiHidden/>
    <w:unhideWhenUsed/>
    <w:rsid w:val="003D44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oaepublish.com/articles/jtgg.2018.1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19725</TotalTime>
  <Pages>11</Pages>
  <Words>2802</Words>
  <Characters>15977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Afiya Barakat</dc:creator>
  <cp:keywords/>
  <dc:description/>
  <cp:lastModifiedBy>Afiya Barakat</cp:lastModifiedBy>
  <cp:revision>254</cp:revision>
  <dcterms:created xsi:type="dcterms:W3CDTF">2025-10-06T08:51:00Z</dcterms:created>
  <dcterms:modified xsi:type="dcterms:W3CDTF">2025-10-26T10:58:00Z</dcterms:modified>
</cp:coreProperties>
</file>