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DF51EA" w14:textId="42EF0D3D" w:rsidR="00052286" w:rsidRPr="00652A8D" w:rsidRDefault="009821F2" w:rsidP="00052286">
      <w:pPr>
        <w:spacing w:line="360" w:lineRule="auto"/>
        <w:jc w:val="center"/>
        <w:rPr>
          <w:rFonts w:ascii="Arial" w:hAnsi="Arial" w:cs="Arial"/>
          <w:sz w:val="56"/>
          <w:szCs w:val="56"/>
        </w:rPr>
      </w:pPr>
      <w:r w:rsidRPr="00652A8D">
        <w:rPr>
          <w:rFonts w:ascii="Arial" w:hAnsi="Arial" w:cs="Arial"/>
          <w:sz w:val="56"/>
          <w:szCs w:val="56"/>
        </w:rPr>
        <w:t>Psychology In Health and Social Care</w:t>
      </w:r>
    </w:p>
    <w:p w14:paraId="1C185129" w14:textId="77777777" w:rsidR="00A32FAC" w:rsidRPr="00652A8D" w:rsidRDefault="00A32FAC" w:rsidP="00052286">
      <w:pPr>
        <w:spacing w:line="360" w:lineRule="auto"/>
        <w:jc w:val="center"/>
        <w:rPr>
          <w:rFonts w:ascii="Arial" w:hAnsi="Arial" w:cs="Arial"/>
          <w:sz w:val="56"/>
          <w:szCs w:val="56"/>
        </w:rPr>
      </w:pPr>
    </w:p>
    <w:p w14:paraId="2E97A2CE" w14:textId="6275E5C6" w:rsidR="00A32FAC" w:rsidRPr="00652A8D" w:rsidRDefault="00A32FAC" w:rsidP="00052286">
      <w:pPr>
        <w:spacing w:line="360" w:lineRule="auto"/>
        <w:jc w:val="center"/>
        <w:rPr>
          <w:rFonts w:ascii="Arial" w:hAnsi="Arial" w:cs="Arial"/>
          <w:sz w:val="56"/>
          <w:szCs w:val="56"/>
        </w:rPr>
      </w:pPr>
      <w:proofErr w:type="spellStart"/>
      <w:r w:rsidRPr="00652A8D">
        <w:rPr>
          <w:rFonts w:ascii="Arial" w:hAnsi="Arial" w:cs="Arial"/>
          <w:sz w:val="56"/>
          <w:szCs w:val="56"/>
        </w:rPr>
        <w:t>Shellymae</w:t>
      </w:r>
      <w:proofErr w:type="spellEnd"/>
      <w:r w:rsidRPr="00652A8D">
        <w:rPr>
          <w:rFonts w:ascii="Arial" w:hAnsi="Arial" w:cs="Arial"/>
          <w:sz w:val="56"/>
          <w:szCs w:val="56"/>
        </w:rPr>
        <w:t xml:space="preserve"> </w:t>
      </w:r>
      <w:proofErr w:type="spellStart"/>
      <w:r w:rsidRPr="00652A8D">
        <w:rPr>
          <w:rFonts w:ascii="Arial" w:hAnsi="Arial" w:cs="Arial"/>
          <w:sz w:val="56"/>
          <w:szCs w:val="56"/>
        </w:rPr>
        <w:t>Mulcare</w:t>
      </w:r>
      <w:proofErr w:type="spellEnd"/>
    </w:p>
    <w:p w14:paraId="3F408580" w14:textId="77777777" w:rsidR="002A76ED" w:rsidRPr="00652A8D" w:rsidRDefault="002A76ED" w:rsidP="00052286">
      <w:pPr>
        <w:spacing w:line="360" w:lineRule="auto"/>
        <w:jc w:val="center"/>
        <w:rPr>
          <w:rFonts w:ascii="Arial" w:hAnsi="Arial" w:cs="Arial"/>
          <w:sz w:val="56"/>
          <w:szCs w:val="56"/>
        </w:rPr>
      </w:pPr>
    </w:p>
    <w:p w14:paraId="3B61EBD3" w14:textId="56A62933" w:rsidR="002A76ED" w:rsidRPr="00652A8D" w:rsidRDefault="002A76ED" w:rsidP="00052286">
      <w:pPr>
        <w:spacing w:line="360" w:lineRule="auto"/>
        <w:jc w:val="center"/>
        <w:rPr>
          <w:rFonts w:ascii="Arial" w:hAnsi="Arial" w:cs="Arial"/>
          <w:sz w:val="56"/>
          <w:szCs w:val="56"/>
        </w:rPr>
      </w:pPr>
      <w:r w:rsidRPr="00652A8D">
        <w:rPr>
          <w:rFonts w:ascii="Arial" w:hAnsi="Arial" w:cs="Arial"/>
          <w:sz w:val="56"/>
          <w:szCs w:val="56"/>
        </w:rPr>
        <w:t>2434948</w:t>
      </w:r>
    </w:p>
    <w:p w14:paraId="4B827636" w14:textId="77777777" w:rsidR="002A76ED" w:rsidRPr="00652A8D" w:rsidRDefault="002A76ED" w:rsidP="00052286">
      <w:pPr>
        <w:spacing w:line="360" w:lineRule="auto"/>
        <w:jc w:val="center"/>
        <w:rPr>
          <w:rFonts w:ascii="Arial" w:hAnsi="Arial" w:cs="Arial"/>
          <w:sz w:val="56"/>
          <w:szCs w:val="56"/>
        </w:rPr>
      </w:pPr>
    </w:p>
    <w:p w14:paraId="3387FC1B" w14:textId="4E83FBCE" w:rsidR="002A76ED" w:rsidRPr="00652A8D" w:rsidRDefault="002A76ED" w:rsidP="00052286">
      <w:pPr>
        <w:spacing w:line="360" w:lineRule="auto"/>
        <w:jc w:val="center"/>
        <w:rPr>
          <w:rFonts w:ascii="Arial" w:hAnsi="Arial" w:cs="Arial"/>
          <w:sz w:val="56"/>
          <w:szCs w:val="56"/>
        </w:rPr>
      </w:pPr>
      <w:r w:rsidRPr="00652A8D">
        <w:rPr>
          <w:rFonts w:ascii="Arial" w:hAnsi="Arial" w:cs="Arial"/>
          <w:sz w:val="56"/>
          <w:szCs w:val="56"/>
        </w:rPr>
        <w:t>LCHS-4010</w:t>
      </w:r>
    </w:p>
    <w:p w14:paraId="507E9E15" w14:textId="77777777" w:rsidR="002A76ED" w:rsidRPr="00652A8D" w:rsidRDefault="002A76ED" w:rsidP="00052286">
      <w:pPr>
        <w:spacing w:line="360" w:lineRule="auto"/>
        <w:jc w:val="center"/>
        <w:rPr>
          <w:rFonts w:ascii="Arial" w:hAnsi="Arial" w:cs="Arial"/>
          <w:sz w:val="56"/>
          <w:szCs w:val="56"/>
        </w:rPr>
      </w:pPr>
    </w:p>
    <w:p w14:paraId="603D19BD" w14:textId="28DC9642" w:rsidR="002A76ED" w:rsidRPr="00652A8D" w:rsidRDefault="002A76ED" w:rsidP="00052286">
      <w:pPr>
        <w:spacing w:line="360" w:lineRule="auto"/>
        <w:jc w:val="center"/>
        <w:rPr>
          <w:rFonts w:ascii="Arial" w:hAnsi="Arial" w:cs="Arial"/>
          <w:sz w:val="56"/>
          <w:szCs w:val="56"/>
        </w:rPr>
      </w:pPr>
      <w:r w:rsidRPr="00652A8D">
        <w:rPr>
          <w:rFonts w:ascii="Arial" w:hAnsi="Arial" w:cs="Arial"/>
          <w:sz w:val="56"/>
          <w:szCs w:val="56"/>
        </w:rPr>
        <w:t xml:space="preserve">Alice Clayton </w:t>
      </w:r>
    </w:p>
    <w:p w14:paraId="27704C05" w14:textId="77777777" w:rsidR="002A76ED" w:rsidRPr="00652A8D" w:rsidRDefault="002A76ED" w:rsidP="00052286">
      <w:pPr>
        <w:spacing w:line="360" w:lineRule="auto"/>
        <w:jc w:val="center"/>
        <w:rPr>
          <w:rFonts w:ascii="Arial" w:hAnsi="Arial" w:cs="Arial"/>
          <w:sz w:val="56"/>
          <w:szCs w:val="56"/>
        </w:rPr>
      </w:pPr>
    </w:p>
    <w:p w14:paraId="054294A8" w14:textId="3D86E4F6" w:rsidR="002A76ED" w:rsidRPr="00652A8D" w:rsidRDefault="003F3357" w:rsidP="00052286">
      <w:pPr>
        <w:spacing w:line="360" w:lineRule="auto"/>
        <w:jc w:val="center"/>
        <w:rPr>
          <w:rFonts w:ascii="Arial" w:hAnsi="Arial" w:cs="Arial"/>
          <w:sz w:val="56"/>
          <w:szCs w:val="56"/>
        </w:rPr>
      </w:pPr>
      <w:r w:rsidRPr="00652A8D">
        <w:rPr>
          <w:rFonts w:ascii="Arial" w:hAnsi="Arial" w:cs="Arial"/>
          <w:sz w:val="56"/>
          <w:szCs w:val="56"/>
        </w:rPr>
        <w:t>24.03.2026</w:t>
      </w:r>
    </w:p>
    <w:p w14:paraId="38F014AA" w14:textId="1A333934" w:rsidR="004A118B" w:rsidRPr="001F7A7D" w:rsidRDefault="00052286" w:rsidP="00BF540D">
      <w:pPr>
        <w:rPr>
          <w:rFonts w:ascii="Arial" w:hAnsi="Arial" w:cs="Arial"/>
        </w:rPr>
      </w:pPr>
      <w:r>
        <w:rPr>
          <w:rFonts w:ascii="Arial" w:hAnsi="Arial" w:cs="Arial"/>
        </w:rPr>
        <w:br w:type="page"/>
      </w:r>
      <w:r w:rsidR="004A118B" w:rsidRPr="001F7A7D">
        <w:rPr>
          <w:rFonts w:ascii="Arial" w:hAnsi="Arial" w:cs="Arial"/>
        </w:rPr>
        <w:lastRenderedPageBreak/>
        <w:t xml:space="preserve">Part A: Annotated Bibliography </w:t>
      </w:r>
    </w:p>
    <w:p w14:paraId="6D55908D" w14:textId="77777777" w:rsidR="004A118B" w:rsidRPr="001F7A7D" w:rsidRDefault="004A118B" w:rsidP="000C5E9C">
      <w:pPr>
        <w:spacing w:line="360" w:lineRule="auto"/>
        <w:rPr>
          <w:rFonts w:ascii="Arial" w:hAnsi="Arial" w:cs="Arial"/>
        </w:rPr>
      </w:pPr>
      <w:r w:rsidRPr="001F7A7D">
        <w:rPr>
          <w:rFonts w:ascii="Arial" w:hAnsi="Arial" w:cs="Arial"/>
        </w:rPr>
        <w:t>1. Erikson’s Psychosocial Theory</w:t>
      </w:r>
    </w:p>
    <w:p w14:paraId="0697666A" w14:textId="77777777" w:rsidR="004A118B" w:rsidRPr="001F7A7D" w:rsidRDefault="004A118B" w:rsidP="000C5E9C">
      <w:pPr>
        <w:spacing w:line="360" w:lineRule="auto"/>
        <w:rPr>
          <w:rFonts w:ascii="Arial" w:hAnsi="Arial" w:cs="Arial"/>
        </w:rPr>
      </w:pPr>
      <w:r w:rsidRPr="001F7A7D">
        <w:rPr>
          <w:rFonts w:ascii="Arial" w:hAnsi="Arial" w:cs="Arial"/>
        </w:rPr>
        <w:t>Reference:</w:t>
      </w:r>
    </w:p>
    <w:p w14:paraId="7940A747" w14:textId="77777777" w:rsidR="004A118B" w:rsidRPr="001F7A7D" w:rsidRDefault="004A118B" w:rsidP="000C5E9C">
      <w:pPr>
        <w:spacing w:line="360" w:lineRule="auto"/>
        <w:rPr>
          <w:rFonts w:ascii="Arial" w:hAnsi="Arial" w:cs="Arial"/>
        </w:rPr>
      </w:pPr>
      <w:r w:rsidRPr="001F7A7D">
        <w:rPr>
          <w:rFonts w:ascii="Arial" w:hAnsi="Arial" w:cs="Arial"/>
        </w:rPr>
        <w:t>Erik Erikson (1982) The Life Cycle Completed. New York: W.W. Norton &amp; Company.</w:t>
      </w:r>
    </w:p>
    <w:p w14:paraId="405E4687" w14:textId="77777777" w:rsidR="004A118B" w:rsidRPr="001F7A7D" w:rsidRDefault="004A118B" w:rsidP="000C5E9C">
      <w:pPr>
        <w:spacing w:line="360" w:lineRule="auto"/>
        <w:rPr>
          <w:rFonts w:ascii="Arial" w:hAnsi="Arial" w:cs="Arial"/>
        </w:rPr>
      </w:pPr>
      <w:r w:rsidRPr="001F7A7D">
        <w:rPr>
          <w:rFonts w:ascii="Arial" w:hAnsi="Arial" w:cs="Arial"/>
        </w:rPr>
        <w:t>Summary:</w:t>
      </w:r>
    </w:p>
    <w:p w14:paraId="7BC48CEB" w14:textId="77777777" w:rsidR="004A118B" w:rsidRPr="001F7A7D" w:rsidRDefault="004A118B" w:rsidP="000C5E9C">
      <w:pPr>
        <w:spacing w:line="360" w:lineRule="auto"/>
        <w:rPr>
          <w:rFonts w:ascii="Arial" w:hAnsi="Arial" w:cs="Arial"/>
        </w:rPr>
      </w:pPr>
      <w:r w:rsidRPr="001F7A7D">
        <w:rPr>
          <w:rFonts w:ascii="Arial" w:hAnsi="Arial" w:cs="Arial"/>
        </w:rPr>
        <w:t>Erikson’s psychosocial theory proposes that human development occurs across eight distinct stages throughout the lifespan, each characterised by a central psychological conflict. In later adulthood, individuals encounter the stage of ego integrity versus despair. During this stage, older adults reflect on their lives, evaluating their achievements, relationships, and overall sense of meaning. Successful resolution leads to ego integrity, where individuals feel a sense of fulfilment, acceptance, and wisdom. In contrast, failure to resolve this stage may result in despair, regret, and fear of death (Erikson, 1982). The theory highlights the importance of reflection and meaning-making as key components of emotional wellbeing in later life, particularly as individuals face retirement, loss, and declining health.</w:t>
      </w:r>
    </w:p>
    <w:p w14:paraId="3E5F1872" w14:textId="77777777" w:rsidR="004A118B" w:rsidRPr="001F7A7D" w:rsidRDefault="004A118B" w:rsidP="000C5E9C">
      <w:pPr>
        <w:spacing w:line="360" w:lineRule="auto"/>
        <w:rPr>
          <w:rFonts w:ascii="Arial" w:hAnsi="Arial" w:cs="Arial"/>
        </w:rPr>
      </w:pPr>
      <w:r w:rsidRPr="001F7A7D">
        <w:rPr>
          <w:rFonts w:ascii="Arial" w:hAnsi="Arial" w:cs="Arial"/>
        </w:rPr>
        <w:t>Critical Comment:</w:t>
      </w:r>
    </w:p>
    <w:p w14:paraId="613997AB" w14:textId="77777777" w:rsidR="004A118B" w:rsidRPr="001F7A7D" w:rsidRDefault="004A118B" w:rsidP="000C5E9C">
      <w:pPr>
        <w:spacing w:line="360" w:lineRule="auto"/>
        <w:rPr>
          <w:rFonts w:ascii="Arial" w:hAnsi="Arial" w:cs="Arial"/>
        </w:rPr>
      </w:pPr>
      <w:r w:rsidRPr="001F7A7D">
        <w:rPr>
          <w:rFonts w:ascii="Arial" w:hAnsi="Arial" w:cs="Arial"/>
        </w:rPr>
        <w:t>Erikson’s theory is highly relevant in health and social care, particularly when supporting the emotional and psychological needs of older adults. Care professionals can apply this theory by encouraging life review activities, reminiscence therapy, and storytelling, which help individuals process their experiences and develop a sense of closure. These interventions are especially beneficial in residential care settings, where individuals may feel disconnected from their past identity. However, the theory has been criticised for being overly broad and lacking empirical evidence to support its stage-based structure. Additionally, it has been argued that the theory reflects Western cultural values, particularly the emphasis on individual reflection and autonomy, which may not apply universally. Despite these limitations, Erikson’s framework remains valuable for understanding the emotional challenges associated with ageing and guiding person-centred care practices.</w:t>
      </w:r>
    </w:p>
    <w:p w14:paraId="797C552F" w14:textId="77777777" w:rsidR="004A118B" w:rsidRPr="001F7A7D" w:rsidRDefault="004A118B" w:rsidP="000C5E9C">
      <w:pPr>
        <w:spacing w:line="360" w:lineRule="auto"/>
        <w:rPr>
          <w:rFonts w:ascii="Arial" w:hAnsi="Arial" w:cs="Arial"/>
        </w:rPr>
      </w:pPr>
      <w:r w:rsidRPr="001F7A7D">
        <w:rPr>
          <w:rFonts w:ascii="Arial" w:hAnsi="Arial" w:cs="Arial"/>
        </w:rPr>
        <w:lastRenderedPageBreak/>
        <w:t xml:space="preserve">2. </w:t>
      </w:r>
      <w:proofErr w:type="spellStart"/>
      <w:r w:rsidRPr="001F7A7D">
        <w:rPr>
          <w:rFonts w:ascii="Arial" w:hAnsi="Arial" w:cs="Arial"/>
        </w:rPr>
        <w:t>Havighurst’s</w:t>
      </w:r>
      <w:proofErr w:type="spellEnd"/>
      <w:r w:rsidRPr="001F7A7D">
        <w:rPr>
          <w:rFonts w:ascii="Arial" w:hAnsi="Arial" w:cs="Arial"/>
        </w:rPr>
        <w:t xml:space="preserve"> Activity Theory</w:t>
      </w:r>
    </w:p>
    <w:p w14:paraId="31DCD2A7" w14:textId="77777777" w:rsidR="004A118B" w:rsidRPr="001F7A7D" w:rsidRDefault="004A118B" w:rsidP="000C5E9C">
      <w:pPr>
        <w:spacing w:line="360" w:lineRule="auto"/>
        <w:rPr>
          <w:rFonts w:ascii="Arial" w:hAnsi="Arial" w:cs="Arial"/>
        </w:rPr>
      </w:pPr>
      <w:r w:rsidRPr="001F7A7D">
        <w:rPr>
          <w:rFonts w:ascii="Arial" w:hAnsi="Arial" w:cs="Arial"/>
        </w:rPr>
        <w:t>Reference:</w:t>
      </w:r>
    </w:p>
    <w:p w14:paraId="7F8A1DC4" w14:textId="77777777" w:rsidR="004A118B" w:rsidRPr="001F7A7D" w:rsidRDefault="004A118B" w:rsidP="000C5E9C">
      <w:pPr>
        <w:spacing w:line="360" w:lineRule="auto"/>
        <w:rPr>
          <w:rFonts w:ascii="Arial" w:hAnsi="Arial" w:cs="Arial"/>
        </w:rPr>
      </w:pPr>
      <w:r w:rsidRPr="001F7A7D">
        <w:rPr>
          <w:rFonts w:ascii="Arial" w:hAnsi="Arial" w:cs="Arial"/>
        </w:rPr>
        <w:t xml:space="preserve">Robert J. </w:t>
      </w:r>
      <w:proofErr w:type="spellStart"/>
      <w:r w:rsidRPr="001F7A7D">
        <w:rPr>
          <w:rFonts w:ascii="Arial" w:hAnsi="Arial" w:cs="Arial"/>
        </w:rPr>
        <w:t>Havighurst</w:t>
      </w:r>
      <w:proofErr w:type="spellEnd"/>
      <w:r w:rsidRPr="001F7A7D">
        <w:rPr>
          <w:rFonts w:ascii="Arial" w:hAnsi="Arial" w:cs="Arial"/>
        </w:rPr>
        <w:t xml:space="preserve"> (1961) ‘Successful ageing’, The Gerontologist, 1(1), pp. 8–13.</w:t>
      </w:r>
    </w:p>
    <w:p w14:paraId="70A4E4E2" w14:textId="77777777" w:rsidR="004A118B" w:rsidRPr="001F7A7D" w:rsidRDefault="004A118B" w:rsidP="000C5E9C">
      <w:pPr>
        <w:spacing w:line="360" w:lineRule="auto"/>
        <w:rPr>
          <w:rFonts w:ascii="Arial" w:hAnsi="Arial" w:cs="Arial"/>
        </w:rPr>
      </w:pPr>
      <w:r w:rsidRPr="001F7A7D">
        <w:rPr>
          <w:rFonts w:ascii="Arial" w:hAnsi="Arial" w:cs="Arial"/>
        </w:rPr>
        <w:t>Summary:</w:t>
      </w:r>
    </w:p>
    <w:p w14:paraId="00ED9589" w14:textId="77777777" w:rsidR="004A118B" w:rsidRPr="001F7A7D" w:rsidRDefault="004A118B" w:rsidP="000C5E9C">
      <w:pPr>
        <w:spacing w:line="360" w:lineRule="auto"/>
        <w:rPr>
          <w:rFonts w:ascii="Arial" w:hAnsi="Arial" w:cs="Arial"/>
        </w:rPr>
      </w:pPr>
      <w:proofErr w:type="spellStart"/>
      <w:r w:rsidRPr="001F7A7D">
        <w:rPr>
          <w:rFonts w:ascii="Arial" w:hAnsi="Arial" w:cs="Arial"/>
        </w:rPr>
        <w:t>Havighurst’s</w:t>
      </w:r>
      <w:proofErr w:type="spellEnd"/>
      <w:r w:rsidRPr="001F7A7D">
        <w:rPr>
          <w:rFonts w:ascii="Arial" w:hAnsi="Arial" w:cs="Arial"/>
        </w:rPr>
        <w:t xml:space="preserve"> activity theory suggests that successful ageing occurs when older adults remain active, engaged, and socially connected. The theory argues that maintaining roles, relationships, and participation in meaningful activities contributes to higher levels of life satisfaction and overall wellbeing (</w:t>
      </w:r>
      <w:proofErr w:type="spellStart"/>
      <w:r w:rsidRPr="001F7A7D">
        <w:rPr>
          <w:rFonts w:ascii="Arial" w:hAnsi="Arial" w:cs="Arial"/>
        </w:rPr>
        <w:t>Havighurst</w:t>
      </w:r>
      <w:proofErr w:type="spellEnd"/>
      <w:r w:rsidRPr="001F7A7D">
        <w:rPr>
          <w:rFonts w:ascii="Arial" w:hAnsi="Arial" w:cs="Arial"/>
        </w:rPr>
        <w:t>, 1961). As individuals age and experience role loss—such as retirement or bereavement—replacing these roles with new forms of engagement is essential for maintaining identity and purpose. Activities may include hobbies, volunteering, social groups, or community involvement, all of which promote a sense of belonging and self-worth.</w:t>
      </w:r>
    </w:p>
    <w:p w14:paraId="358E5DBF" w14:textId="77777777" w:rsidR="004A118B" w:rsidRPr="001F7A7D" w:rsidRDefault="004A118B" w:rsidP="000C5E9C">
      <w:pPr>
        <w:spacing w:line="360" w:lineRule="auto"/>
        <w:rPr>
          <w:rFonts w:ascii="Arial" w:hAnsi="Arial" w:cs="Arial"/>
        </w:rPr>
      </w:pPr>
      <w:r w:rsidRPr="001F7A7D">
        <w:rPr>
          <w:rFonts w:ascii="Arial" w:hAnsi="Arial" w:cs="Arial"/>
        </w:rPr>
        <w:t>Critical Comment:</w:t>
      </w:r>
    </w:p>
    <w:p w14:paraId="31AF2BF9" w14:textId="77777777" w:rsidR="004A118B" w:rsidRPr="001F7A7D" w:rsidRDefault="004A118B" w:rsidP="000C5E9C">
      <w:pPr>
        <w:spacing w:line="360" w:lineRule="auto"/>
        <w:rPr>
          <w:rFonts w:ascii="Arial" w:hAnsi="Arial" w:cs="Arial"/>
        </w:rPr>
      </w:pPr>
      <w:r w:rsidRPr="001F7A7D">
        <w:rPr>
          <w:rFonts w:ascii="Arial" w:hAnsi="Arial" w:cs="Arial"/>
        </w:rPr>
        <w:t>This theory is particularly useful in health and social care settings, where promoting engagement can significantly improve the quality of life for older adults. Care homes and community services often implement activity programmes, social events, and group therapies based on this principle to reduce loneliness and depression. However, the theory has limitations, as it assumes that all individuals have equal access to opportunities for engagement and the physical ability to participate. It may not fully consider those with chronic illnesses, disabilities, or cognitive impairments such as dementia. Additionally, some individuals may prefer solitude rather than constant activity, suggesting that wellbeing is subjective. Therefore, while activity theory provides a useful framework, care must be individualised to respect personal preferences and abilities.</w:t>
      </w:r>
    </w:p>
    <w:p w14:paraId="2836CE9E" w14:textId="77777777" w:rsidR="004A118B" w:rsidRPr="001F7A7D" w:rsidRDefault="004A118B" w:rsidP="000C5E9C">
      <w:pPr>
        <w:spacing w:line="360" w:lineRule="auto"/>
        <w:rPr>
          <w:rFonts w:ascii="Arial" w:hAnsi="Arial" w:cs="Arial"/>
        </w:rPr>
      </w:pPr>
      <w:r w:rsidRPr="001F7A7D">
        <w:rPr>
          <w:rFonts w:ascii="Arial" w:hAnsi="Arial" w:cs="Arial"/>
        </w:rPr>
        <w:t>3. Bowlby’s Attachment Theory</w:t>
      </w:r>
    </w:p>
    <w:p w14:paraId="59A15119" w14:textId="77777777" w:rsidR="004A118B" w:rsidRPr="001F7A7D" w:rsidRDefault="004A118B" w:rsidP="000C5E9C">
      <w:pPr>
        <w:spacing w:line="360" w:lineRule="auto"/>
        <w:rPr>
          <w:rFonts w:ascii="Arial" w:hAnsi="Arial" w:cs="Arial"/>
        </w:rPr>
      </w:pPr>
      <w:r w:rsidRPr="001F7A7D">
        <w:rPr>
          <w:rFonts w:ascii="Arial" w:hAnsi="Arial" w:cs="Arial"/>
        </w:rPr>
        <w:t>Reference:</w:t>
      </w:r>
    </w:p>
    <w:p w14:paraId="1CB113C9" w14:textId="77777777" w:rsidR="004A118B" w:rsidRPr="001F7A7D" w:rsidRDefault="004A118B" w:rsidP="000C5E9C">
      <w:pPr>
        <w:spacing w:line="360" w:lineRule="auto"/>
        <w:rPr>
          <w:rFonts w:ascii="Arial" w:hAnsi="Arial" w:cs="Arial"/>
        </w:rPr>
      </w:pPr>
      <w:r w:rsidRPr="001F7A7D">
        <w:rPr>
          <w:rFonts w:ascii="Arial" w:hAnsi="Arial" w:cs="Arial"/>
        </w:rPr>
        <w:t>John Bowlby (1988) A Secure Base: Parent-Child Attachment and Healthy Human Development. London: Routledge.</w:t>
      </w:r>
    </w:p>
    <w:p w14:paraId="5050C87B" w14:textId="77777777" w:rsidR="004A118B" w:rsidRPr="001F7A7D" w:rsidRDefault="004A118B" w:rsidP="000C5E9C">
      <w:pPr>
        <w:spacing w:line="360" w:lineRule="auto"/>
        <w:rPr>
          <w:rFonts w:ascii="Arial" w:hAnsi="Arial" w:cs="Arial"/>
        </w:rPr>
      </w:pPr>
      <w:r w:rsidRPr="001F7A7D">
        <w:rPr>
          <w:rFonts w:ascii="Arial" w:hAnsi="Arial" w:cs="Arial"/>
        </w:rPr>
        <w:lastRenderedPageBreak/>
        <w:t>Summary:</w:t>
      </w:r>
    </w:p>
    <w:p w14:paraId="4627F4F1" w14:textId="77777777" w:rsidR="004A118B" w:rsidRPr="001F7A7D" w:rsidRDefault="004A118B" w:rsidP="000C5E9C">
      <w:pPr>
        <w:spacing w:line="360" w:lineRule="auto"/>
        <w:rPr>
          <w:rFonts w:ascii="Arial" w:hAnsi="Arial" w:cs="Arial"/>
        </w:rPr>
      </w:pPr>
      <w:r w:rsidRPr="001F7A7D">
        <w:rPr>
          <w:rFonts w:ascii="Arial" w:hAnsi="Arial" w:cs="Arial"/>
        </w:rPr>
        <w:t>Bowlby’s attachment theory emphasises the importance of early relationships in shaping emotional development and future interpersonal behaviours. Although initially focused on childhood, attachment theory has been extended to adulthood, suggesting that attachment styles continue to influence relationships and emotional wellbeing throughout life (Bowlby, 1988). In older adulthood, individuals may increasingly rely on attachment figures, including partners, family members, or caregivers, for emotional security and support. Secure attachments are associated with better coping mechanisms, while insecure attachments may lead to anxiety, dependency, or withdrawal.</w:t>
      </w:r>
    </w:p>
    <w:p w14:paraId="05ECAEBA" w14:textId="77777777" w:rsidR="004A118B" w:rsidRPr="001F7A7D" w:rsidRDefault="004A118B" w:rsidP="000C5E9C">
      <w:pPr>
        <w:spacing w:line="360" w:lineRule="auto"/>
        <w:rPr>
          <w:rFonts w:ascii="Arial" w:hAnsi="Arial" w:cs="Arial"/>
        </w:rPr>
      </w:pPr>
      <w:r w:rsidRPr="001F7A7D">
        <w:rPr>
          <w:rFonts w:ascii="Arial" w:hAnsi="Arial" w:cs="Arial"/>
        </w:rPr>
        <w:t>Critical Comment:</w:t>
      </w:r>
    </w:p>
    <w:p w14:paraId="63F7BBA2" w14:textId="77777777" w:rsidR="004A118B" w:rsidRPr="001F7A7D" w:rsidRDefault="004A118B" w:rsidP="000C5E9C">
      <w:pPr>
        <w:spacing w:line="360" w:lineRule="auto"/>
        <w:rPr>
          <w:rFonts w:ascii="Arial" w:hAnsi="Arial" w:cs="Arial"/>
        </w:rPr>
      </w:pPr>
      <w:r w:rsidRPr="001F7A7D">
        <w:rPr>
          <w:rFonts w:ascii="Arial" w:hAnsi="Arial" w:cs="Arial"/>
        </w:rPr>
        <w:t>Attachment theory is highly relevant in health and social care, particularly in residential and dementia care settings. Building consistent and trusting relationships between staff and service users can provide a sense of stability and emotional safety. The concept of a “secure base” is especially important for individuals experiencing cognitive decline, as familiar caregivers can reduce distress and confusion. However, critics argue that the theory may oversimplify adult relationships, which are often more complex and influenced by social, cultural, and environmental factors. Furthermore, institutional settings may limit the ability to form stable attachments due to staff rotations and resource constraints. Despite these challenges, attachment theory remains a valuable tool for promoting person-centred care and understanding emotional needs in vulnerable populations.</w:t>
      </w:r>
    </w:p>
    <w:p w14:paraId="31E61A2F" w14:textId="77777777" w:rsidR="004A118B" w:rsidRPr="001F7A7D" w:rsidRDefault="004A118B" w:rsidP="000C5E9C">
      <w:pPr>
        <w:spacing w:line="360" w:lineRule="auto"/>
        <w:rPr>
          <w:rFonts w:ascii="Arial" w:hAnsi="Arial" w:cs="Arial"/>
        </w:rPr>
      </w:pPr>
      <w:r w:rsidRPr="001F7A7D">
        <w:rPr>
          <w:rFonts w:ascii="Arial" w:hAnsi="Arial" w:cs="Arial"/>
        </w:rPr>
        <w:t>4. Positive Psychology and Ageing</w:t>
      </w:r>
    </w:p>
    <w:p w14:paraId="638738DD" w14:textId="77777777" w:rsidR="004A118B" w:rsidRPr="001F7A7D" w:rsidRDefault="004A118B" w:rsidP="000C5E9C">
      <w:pPr>
        <w:spacing w:line="360" w:lineRule="auto"/>
        <w:rPr>
          <w:rFonts w:ascii="Arial" w:hAnsi="Arial" w:cs="Arial"/>
        </w:rPr>
      </w:pPr>
      <w:r w:rsidRPr="001F7A7D">
        <w:rPr>
          <w:rFonts w:ascii="Arial" w:hAnsi="Arial" w:cs="Arial"/>
        </w:rPr>
        <w:t>Reference:</w:t>
      </w:r>
    </w:p>
    <w:p w14:paraId="559D748A" w14:textId="77777777" w:rsidR="004A118B" w:rsidRPr="001F7A7D" w:rsidRDefault="004A118B" w:rsidP="000C5E9C">
      <w:pPr>
        <w:spacing w:line="360" w:lineRule="auto"/>
        <w:rPr>
          <w:rFonts w:ascii="Arial" w:hAnsi="Arial" w:cs="Arial"/>
        </w:rPr>
      </w:pPr>
      <w:r w:rsidRPr="001F7A7D">
        <w:rPr>
          <w:rFonts w:ascii="Arial" w:hAnsi="Arial" w:cs="Arial"/>
        </w:rPr>
        <w:t>Martin Seligman (2011) Flourish: A Visionary New Understanding of Happiness and Wellbeing. New York: Free Press.</w:t>
      </w:r>
    </w:p>
    <w:p w14:paraId="148CAE73" w14:textId="77777777" w:rsidR="004A118B" w:rsidRPr="001F7A7D" w:rsidRDefault="004A118B" w:rsidP="000C5E9C">
      <w:pPr>
        <w:spacing w:line="360" w:lineRule="auto"/>
        <w:rPr>
          <w:rFonts w:ascii="Arial" w:hAnsi="Arial" w:cs="Arial"/>
        </w:rPr>
      </w:pPr>
      <w:r w:rsidRPr="001F7A7D">
        <w:rPr>
          <w:rFonts w:ascii="Arial" w:hAnsi="Arial" w:cs="Arial"/>
        </w:rPr>
        <w:t>Summary:</w:t>
      </w:r>
    </w:p>
    <w:p w14:paraId="740D1CDC" w14:textId="77777777" w:rsidR="004A118B" w:rsidRPr="001F7A7D" w:rsidRDefault="004A118B" w:rsidP="000C5E9C">
      <w:pPr>
        <w:spacing w:line="360" w:lineRule="auto"/>
        <w:rPr>
          <w:rFonts w:ascii="Arial" w:hAnsi="Arial" w:cs="Arial"/>
        </w:rPr>
      </w:pPr>
      <w:r w:rsidRPr="001F7A7D">
        <w:rPr>
          <w:rFonts w:ascii="Arial" w:hAnsi="Arial" w:cs="Arial"/>
        </w:rPr>
        <w:lastRenderedPageBreak/>
        <w:t>Positive psychology focuses on the strengths and capabilities that enable individuals to thrive, rather than concentrating solely on illness or decline. In the context of ageing, this approach highlights the importance of resilience, optimism, and life satisfaction. Seligman’s PERMA model (Positive emotion, Engagement, Relationships, Meaning, and Accomplishment) provides a framework for understanding wellbeing across the lifespan (Seligman, 2011). For older adults, maintaining social connections, engaging in meaningful activities, and fostering a sense of purpose are key contributors to psychological wellbeing.</w:t>
      </w:r>
    </w:p>
    <w:p w14:paraId="36190EC5" w14:textId="77777777" w:rsidR="004A118B" w:rsidRPr="001F7A7D" w:rsidRDefault="004A118B" w:rsidP="000C5E9C">
      <w:pPr>
        <w:spacing w:line="360" w:lineRule="auto"/>
        <w:rPr>
          <w:rFonts w:ascii="Arial" w:hAnsi="Arial" w:cs="Arial"/>
        </w:rPr>
      </w:pPr>
      <w:r w:rsidRPr="001F7A7D">
        <w:rPr>
          <w:rFonts w:ascii="Arial" w:hAnsi="Arial" w:cs="Arial"/>
        </w:rPr>
        <w:t>Critical Comment:</w:t>
      </w:r>
    </w:p>
    <w:p w14:paraId="06CB378E" w14:textId="7A587627" w:rsidR="00DC7A4E" w:rsidRPr="001F7A7D" w:rsidRDefault="004A118B" w:rsidP="000C5E9C">
      <w:pPr>
        <w:spacing w:line="360" w:lineRule="auto"/>
        <w:rPr>
          <w:rFonts w:ascii="Arial" w:hAnsi="Arial" w:cs="Arial"/>
        </w:rPr>
      </w:pPr>
      <w:r w:rsidRPr="001F7A7D">
        <w:rPr>
          <w:rFonts w:ascii="Arial" w:hAnsi="Arial" w:cs="Arial"/>
        </w:rPr>
        <w:t>Positive psychology offers a valuable strengths-based approach in health and social care, shifting the focus from deficits to capabilities. Interventions such as gratitude exercises, reminiscence therapy, and social engagement programmes can enhance mental health and overall quality of life. This approach aligns closely with person-centred care principles and supports holistic wellbeing. However, critics argue that positive psychology may overlook structural issues such as poverty, health inequalities, and access to care, which significantly impact wellbeing in later life. Additionally, an overemphasis on positivity may invalidate negative emotions, which are a natural part of ageing. Despite these limitations, positive psychology provides an effective framework for promoting resilience and improving wellbeing among older adults.</w:t>
      </w:r>
    </w:p>
    <w:p w14:paraId="49222B3B" w14:textId="77777777" w:rsidR="004A118B" w:rsidRPr="001F7A7D" w:rsidRDefault="004A118B" w:rsidP="000C5E9C">
      <w:pPr>
        <w:spacing w:line="360" w:lineRule="auto"/>
        <w:rPr>
          <w:rFonts w:ascii="Arial" w:hAnsi="Arial" w:cs="Arial"/>
        </w:rPr>
      </w:pPr>
    </w:p>
    <w:p w14:paraId="09450BC8" w14:textId="6FAD7E58" w:rsidR="002D1787" w:rsidRPr="001F7A7D" w:rsidRDefault="002D1787" w:rsidP="000C5E9C">
      <w:pPr>
        <w:spacing w:line="360" w:lineRule="auto"/>
        <w:rPr>
          <w:rFonts w:ascii="Arial" w:hAnsi="Arial" w:cs="Arial"/>
        </w:rPr>
      </w:pPr>
      <w:r w:rsidRPr="001F7A7D">
        <w:rPr>
          <w:rFonts w:ascii="Arial" w:hAnsi="Arial" w:cs="Arial"/>
        </w:rPr>
        <w:t xml:space="preserve">Part B: Short Report </w:t>
      </w:r>
    </w:p>
    <w:p w14:paraId="38E19C4C" w14:textId="77777777" w:rsidR="002D1787" w:rsidRPr="001F7A7D" w:rsidRDefault="002D1787" w:rsidP="000C5E9C">
      <w:pPr>
        <w:spacing w:line="360" w:lineRule="auto"/>
        <w:rPr>
          <w:rFonts w:ascii="Arial" w:hAnsi="Arial" w:cs="Arial"/>
        </w:rPr>
      </w:pPr>
      <w:r w:rsidRPr="001F7A7D">
        <w:rPr>
          <w:rFonts w:ascii="Arial" w:hAnsi="Arial" w:cs="Arial"/>
        </w:rPr>
        <w:t>Applying Activity Theory to Improve Wellbeing in Residential Care</w:t>
      </w:r>
    </w:p>
    <w:p w14:paraId="4235E2A1" w14:textId="77777777" w:rsidR="002D1787" w:rsidRPr="001F7A7D" w:rsidRDefault="002D1787" w:rsidP="000C5E9C">
      <w:pPr>
        <w:spacing w:line="360" w:lineRule="auto"/>
        <w:rPr>
          <w:rFonts w:ascii="Arial" w:hAnsi="Arial" w:cs="Arial"/>
        </w:rPr>
      </w:pPr>
      <w:r w:rsidRPr="001F7A7D">
        <w:rPr>
          <w:rFonts w:ascii="Arial" w:hAnsi="Arial" w:cs="Arial"/>
        </w:rPr>
        <w:t>Introduction</w:t>
      </w:r>
    </w:p>
    <w:p w14:paraId="28441E38" w14:textId="77777777" w:rsidR="002D1787" w:rsidRPr="001F7A7D" w:rsidRDefault="002D1787" w:rsidP="000C5E9C">
      <w:pPr>
        <w:spacing w:line="360" w:lineRule="auto"/>
        <w:rPr>
          <w:rFonts w:ascii="Arial" w:hAnsi="Arial" w:cs="Arial"/>
        </w:rPr>
      </w:pPr>
      <w:r w:rsidRPr="001F7A7D">
        <w:rPr>
          <w:rFonts w:ascii="Arial" w:hAnsi="Arial" w:cs="Arial"/>
        </w:rPr>
        <w:t xml:space="preserve">Promoting psychological wellbeing in older adults is a key priority in health and social care. One theory that provides valuable insight into this is </w:t>
      </w:r>
      <w:proofErr w:type="spellStart"/>
      <w:r w:rsidRPr="001F7A7D">
        <w:rPr>
          <w:rFonts w:ascii="Arial" w:hAnsi="Arial" w:cs="Arial"/>
        </w:rPr>
        <w:t>Havighurst’s</w:t>
      </w:r>
      <w:proofErr w:type="spellEnd"/>
      <w:r w:rsidRPr="001F7A7D">
        <w:rPr>
          <w:rFonts w:ascii="Arial" w:hAnsi="Arial" w:cs="Arial"/>
        </w:rPr>
        <w:t xml:space="preserve"> Activity Theory, which suggests that maintaining social engagement and meaningful activity leads to successful ageing (</w:t>
      </w:r>
      <w:proofErr w:type="spellStart"/>
      <w:r w:rsidRPr="001F7A7D">
        <w:rPr>
          <w:rFonts w:ascii="Arial" w:hAnsi="Arial" w:cs="Arial"/>
        </w:rPr>
        <w:t>Havighurst</w:t>
      </w:r>
      <w:proofErr w:type="spellEnd"/>
      <w:r w:rsidRPr="001F7A7D">
        <w:rPr>
          <w:rFonts w:ascii="Arial" w:hAnsi="Arial" w:cs="Arial"/>
        </w:rPr>
        <w:t>, 1961). This report explores how this theory can be applied in residential care settings to improve wellbeing.</w:t>
      </w:r>
    </w:p>
    <w:p w14:paraId="58481B1E" w14:textId="77777777" w:rsidR="002D1787" w:rsidRPr="001F7A7D" w:rsidRDefault="002D1787" w:rsidP="000C5E9C">
      <w:pPr>
        <w:spacing w:line="360" w:lineRule="auto"/>
        <w:rPr>
          <w:rFonts w:ascii="Arial" w:hAnsi="Arial" w:cs="Arial"/>
        </w:rPr>
      </w:pPr>
      <w:r w:rsidRPr="001F7A7D">
        <w:rPr>
          <w:rFonts w:ascii="Arial" w:hAnsi="Arial" w:cs="Arial"/>
        </w:rPr>
        <w:lastRenderedPageBreak/>
        <w:t>Application of Activity Theory</w:t>
      </w:r>
    </w:p>
    <w:p w14:paraId="61452065" w14:textId="77777777" w:rsidR="002D1787" w:rsidRPr="001F7A7D" w:rsidRDefault="002D1787" w:rsidP="000C5E9C">
      <w:pPr>
        <w:spacing w:line="360" w:lineRule="auto"/>
        <w:rPr>
          <w:rFonts w:ascii="Arial" w:hAnsi="Arial" w:cs="Arial"/>
        </w:rPr>
      </w:pPr>
      <w:r w:rsidRPr="001F7A7D">
        <w:rPr>
          <w:rFonts w:ascii="Arial" w:hAnsi="Arial" w:cs="Arial"/>
        </w:rPr>
        <w:t>Activity theory can be applied in care homes by encouraging residents to participate in social, physical, and cognitive activities. Engagement in activities helps maintain identity, independence, and emotional wellbeing. For example, care staff can organise group activities such as arts and crafts, exercise sessions, or social events. These activities promote interaction and reduce feelings of isolation.</w:t>
      </w:r>
    </w:p>
    <w:p w14:paraId="33F89C02" w14:textId="77777777" w:rsidR="002D1787" w:rsidRPr="001F7A7D" w:rsidRDefault="002D1787" w:rsidP="000C5E9C">
      <w:pPr>
        <w:spacing w:line="360" w:lineRule="auto"/>
        <w:rPr>
          <w:rFonts w:ascii="Arial" w:hAnsi="Arial" w:cs="Arial"/>
        </w:rPr>
      </w:pPr>
      <w:r w:rsidRPr="001F7A7D">
        <w:rPr>
          <w:rFonts w:ascii="Arial" w:hAnsi="Arial" w:cs="Arial"/>
        </w:rPr>
        <w:t>Additionally, person-centred care is essential when applying this theory. Activities should be tailored to individual preferences, abilities, and cultural backgrounds. For example, a resident who previously enjoyed gardening could be supported to participate in gardening activities within the care home. This approach helps maintain a sense of purpose and continuity.</w:t>
      </w:r>
    </w:p>
    <w:p w14:paraId="6385BFFB" w14:textId="77777777" w:rsidR="002D1787" w:rsidRPr="001F7A7D" w:rsidRDefault="002D1787" w:rsidP="000C5E9C">
      <w:pPr>
        <w:spacing w:line="360" w:lineRule="auto"/>
        <w:rPr>
          <w:rFonts w:ascii="Arial" w:hAnsi="Arial" w:cs="Arial"/>
        </w:rPr>
      </w:pPr>
      <w:r w:rsidRPr="001F7A7D">
        <w:rPr>
          <w:rFonts w:ascii="Arial" w:hAnsi="Arial" w:cs="Arial"/>
        </w:rPr>
        <w:t>Research supports the effectiveness of activity-based interventions in improving mental health and reducing depression among older adults (Seligman, 2011). Therefore, integrating activity theory into daily care practices can significantly enhance quality of life.</w:t>
      </w:r>
    </w:p>
    <w:p w14:paraId="1D22F66C" w14:textId="77777777" w:rsidR="002D1787" w:rsidRPr="001F7A7D" w:rsidRDefault="002D1787" w:rsidP="000C5E9C">
      <w:pPr>
        <w:spacing w:line="360" w:lineRule="auto"/>
        <w:rPr>
          <w:rFonts w:ascii="Arial" w:hAnsi="Arial" w:cs="Arial"/>
        </w:rPr>
      </w:pPr>
      <w:r w:rsidRPr="001F7A7D">
        <w:rPr>
          <w:rFonts w:ascii="Arial" w:hAnsi="Arial" w:cs="Arial"/>
        </w:rPr>
        <w:t>Case Scenario</w:t>
      </w:r>
    </w:p>
    <w:p w14:paraId="615458D6" w14:textId="77777777" w:rsidR="002D1787" w:rsidRPr="001F7A7D" w:rsidRDefault="002D1787" w:rsidP="000C5E9C">
      <w:pPr>
        <w:spacing w:line="360" w:lineRule="auto"/>
        <w:rPr>
          <w:rFonts w:ascii="Arial" w:hAnsi="Arial" w:cs="Arial"/>
        </w:rPr>
      </w:pPr>
      <w:r w:rsidRPr="001F7A7D">
        <w:rPr>
          <w:rFonts w:ascii="Arial" w:hAnsi="Arial" w:cs="Arial"/>
        </w:rPr>
        <w:t>An example of activity theory in practice can be seen in a residential care home where an older adult, Mrs Smith, became socially withdrawn after moving into the facility. She rarely interacted with others and showed signs of low mood. After discussing her interests, staff discovered that she previously enjoyed knitting.</w:t>
      </w:r>
    </w:p>
    <w:p w14:paraId="7BE0EE25" w14:textId="77777777" w:rsidR="002D1787" w:rsidRPr="001F7A7D" w:rsidRDefault="002D1787" w:rsidP="000C5E9C">
      <w:pPr>
        <w:spacing w:line="360" w:lineRule="auto"/>
        <w:rPr>
          <w:rFonts w:ascii="Arial" w:hAnsi="Arial" w:cs="Arial"/>
        </w:rPr>
      </w:pPr>
      <w:r w:rsidRPr="001F7A7D">
        <w:rPr>
          <w:rFonts w:ascii="Arial" w:hAnsi="Arial" w:cs="Arial"/>
        </w:rPr>
        <w:t>Care staff introduced a weekly knitting group and encouraged her to participate. Over time, Mrs Smith began engaging with other residents, forming friendships, and showing improvements in mood and confidence. This demonstrates how meaningful activity can enhance wellbeing and reduce isolation, supporting the principles of activity theory.</w:t>
      </w:r>
    </w:p>
    <w:p w14:paraId="7F1CEA90" w14:textId="77777777" w:rsidR="002D1787" w:rsidRPr="001F7A7D" w:rsidRDefault="002D1787" w:rsidP="000C5E9C">
      <w:pPr>
        <w:spacing w:line="360" w:lineRule="auto"/>
        <w:rPr>
          <w:rFonts w:ascii="Arial" w:hAnsi="Arial" w:cs="Arial"/>
        </w:rPr>
      </w:pPr>
      <w:r w:rsidRPr="001F7A7D">
        <w:rPr>
          <w:rFonts w:ascii="Arial" w:hAnsi="Arial" w:cs="Arial"/>
        </w:rPr>
        <w:t>Challenges and Strategies</w:t>
      </w:r>
    </w:p>
    <w:p w14:paraId="135F9086" w14:textId="77777777" w:rsidR="002D1787" w:rsidRPr="001F7A7D" w:rsidRDefault="002D1787" w:rsidP="000C5E9C">
      <w:pPr>
        <w:spacing w:line="360" w:lineRule="auto"/>
        <w:rPr>
          <w:rFonts w:ascii="Arial" w:hAnsi="Arial" w:cs="Arial"/>
        </w:rPr>
      </w:pPr>
      <w:r w:rsidRPr="001F7A7D">
        <w:rPr>
          <w:rFonts w:ascii="Arial" w:hAnsi="Arial" w:cs="Arial"/>
        </w:rPr>
        <w:t>One challenge in applying activity theory is that some residents may have physical or cognitive limitations, such as dementia or mobility issues, which restrict participation. This can lead to exclusion and reduced engagement.</w:t>
      </w:r>
    </w:p>
    <w:p w14:paraId="5438220C" w14:textId="77777777" w:rsidR="002D1787" w:rsidRPr="001F7A7D" w:rsidRDefault="002D1787" w:rsidP="000C5E9C">
      <w:pPr>
        <w:spacing w:line="360" w:lineRule="auto"/>
        <w:rPr>
          <w:rFonts w:ascii="Arial" w:hAnsi="Arial" w:cs="Arial"/>
        </w:rPr>
      </w:pPr>
      <w:r w:rsidRPr="001F7A7D">
        <w:rPr>
          <w:rFonts w:ascii="Arial" w:hAnsi="Arial" w:cs="Arial"/>
        </w:rPr>
        <w:lastRenderedPageBreak/>
        <w:t>To overcome this, care professionals should adapt activities to meet individual needs. For example, simplified or sensory-based activities can be used for individuals with cognitive impairments. Staff training is also essential to ensure they understand how to deliver inclusive and person-centred activities.</w:t>
      </w:r>
    </w:p>
    <w:p w14:paraId="087EF723" w14:textId="77777777" w:rsidR="002D1787" w:rsidRPr="001F7A7D" w:rsidRDefault="002D1787" w:rsidP="000C5E9C">
      <w:pPr>
        <w:spacing w:line="360" w:lineRule="auto"/>
        <w:rPr>
          <w:rFonts w:ascii="Arial" w:hAnsi="Arial" w:cs="Arial"/>
        </w:rPr>
      </w:pPr>
      <w:r w:rsidRPr="001F7A7D">
        <w:rPr>
          <w:rFonts w:ascii="Arial" w:hAnsi="Arial" w:cs="Arial"/>
        </w:rPr>
        <w:t>Another challenge is limited resources, such as staffing or funding. Care homes may struggle to provide a wide range of activities. A potential solution is to involve volunteers, families, or community organisations to support activity programmes.</w:t>
      </w:r>
    </w:p>
    <w:p w14:paraId="09DBA5DA" w14:textId="77777777" w:rsidR="002D1787" w:rsidRPr="001F7A7D" w:rsidRDefault="002D1787" w:rsidP="000C5E9C">
      <w:pPr>
        <w:spacing w:line="360" w:lineRule="auto"/>
        <w:rPr>
          <w:rFonts w:ascii="Arial" w:hAnsi="Arial" w:cs="Arial"/>
        </w:rPr>
      </w:pPr>
      <w:r w:rsidRPr="001F7A7D">
        <w:rPr>
          <w:rFonts w:ascii="Arial" w:hAnsi="Arial" w:cs="Arial"/>
        </w:rPr>
        <w:t>Conclusion</w:t>
      </w:r>
    </w:p>
    <w:p w14:paraId="4A764F25" w14:textId="77777777" w:rsidR="002D1787" w:rsidRPr="001F7A7D" w:rsidRDefault="002D1787" w:rsidP="000C5E9C">
      <w:pPr>
        <w:spacing w:line="360" w:lineRule="auto"/>
        <w:rPr>
          <w:rFonts w:ascii="Arial" w:hAnsi="Arial" w:cs="Arial"/>
        </w:rPr>
      </w:pPr>
      <w:r w:rsidRPr="001F7A7D">
        <w:rPr>
          <w:rFonts w:ascii="Arial" w:hAnsi="Arial" w:cs="Arial"/>
        </w:rPr>
        <w:t>Activity theory provides a valuable framework for promoting psychological wellbeing in older adults living in residential care. By encouraging engagement in meaningful activities, care professionals can enhance social interaction, reduce isolation, and improve overall quality of life. Although challenges exist, these can be addressed through adaptation, training, and resourcefulness. Ultimately, applying this theory supports a more holistic and person-centred approach to care.</w:t>
      </w:r>
    </w:p>
    <w:p w14:paraId="4125825C" w14:textId="77777777" w:rsidR="002D1787" w:rsidRPr="001F7A7D" w:rsidRDefault="002D1787" w:rsidP="000C5E9C">
      <w:pPr>
        <w:spacing w:line="360" w:lineRule="auto"/>
        <w:rPr>
          <w:rFonts w:ascii="Arial" w:hAnsi="Arial" w:cs="Arial"/>
        </w:rPr>
      </w:pPr>
    </w:p>
    <w:p w14:paraId="37C72C10" w14:textId="3AE9AEE9" w:rsidR="002D1787" w:rsidRPr="001F7A7D" w:rsidRDefault="002D1787" w:rsidP="000C5E9C">
      <w:pPr>
        <w:spacing w:line="360" w:lineRule="auto"/>
        <w:rPr>
          <w:rFonts w:ascii="Arial" w:hAnsi="Arial" w:cs="Arial"/>
        </w:rPr>
      </w:pPr>
      <w:r w:rsidRPr="001F7A7D">
        <w:rPr>
          <w:rFonts w:ascii="Arial" w:hAnsi="Arial" w:cs="Arial"/>
          <w:b/>
          <w:bCs/>
        </w:rPr>
        <w:t>Reference List</w:t>
      </w:r>
    </w:p>
    <w:p w14:paraId="2D348255" w14:textId="77777777" w:rsidR="00D75E93" w:rsidRDefault="002D1787" w:rsidP="000C5E9C">
      <w:pPr>
        <w:spacing w:line="360" w:lineRule="auto"/>
        <w:rPr>
          <w:rFonts w:ascii="Arial" w:hAnsi="Arial" w:cs="Arial"/>
          <w:i/>
          <w:iCs/>
        </w:rPr>
      </w:pPr>
      <w:r w:rsidRPr="001F7A7D">
        <w:rPr>
          <w:rFonts w:ascii="Arial" w:hAnsi="Arial" w:cs="Arial"/>
        </w:rPr>
        <w:t xml:space="preserve">Bowlby, J. (1988) </w:t>
      </w:r>
      <w:r w:rsidRPr="001F7A7D">
        <w:rPr>
          <w:rFonts w:ascii="Arial" w:hAnsi="Arial" w:cs="Arial"/>
          <w:i/>
          <w:iCs/>
        </w:rPr>
        <w:t xml:space="preserve">A Secure Base: Parent-Child Attachment and Healthy Human </w:t>
      </w:r>
    </w:p>
    <w:p w14:paraId="6EF231AF" w14:textId="10D1EB1D" w:rsidR="002D1787" w:rsidRPr="00BF0B84" w:rsidRDefault="002D1787" w:rsidP="00BF0B84">
      <w:pPr>
        <w:rPr>
          <w:rFonts w:ascii="Arial" w:hAnsi="Arial" w:cs="Arial"/>
          <w:i/>
          <w:iCs/>
        </w:rPr>
      </w:pPr>
      <w:r w:rsidRPr="001F7A7D">
        <w:rPr>
          <w:rFonts w:ascii="Arial" w:hAnsi="Arial" w:cs="Arial"/>
          <w:i/>
          <w:iCs/>
        </w:rPr>
        <w:t xml:space="preserve">Development. </w:t>
      </w:r>
      <w:r w:rsidRPr="001F7A7D">
        <w:rPr>
          <w:rFonts w:ascii="Arial" w:hAnsi="Arial" w:cs="Arial"/>
        </w:rPr>
        <w:t>London: Routledge.</w:t>
      </w:r>
    </w:p>
    <w:p w14:paraId="5C68F88A" w14:textId="77777777" w:rsidR="002D1787" w:rsidRPr="001F7A7D" w:rsidRDefault="002D1787" w:rsidP="000C5E9C">
      <w:pPr>
        <w:spacing w:line="360" w:lineRule="auto"/>
        <w:rPr>
          <w:rFonts w:ascii="Arial" w:hAnsi="Arial" w:cs="Arial"/>
        </w:rPr>
      </w:pPr>
      <w:r w:rsidRPr="001F7A7D">
        <w:rPr>
          <w:rFonts w:ascii="Arial" w:hAnsi="Arial" w:cs="Arial"/>
        </w:rPr>
        <w:t xml:space="preserve">Erikson, E.H. (1982) </w:t>
      </w:r>
      <w:r w:rsidRPr="001F7A7D">
        <w:rPr>
          <w:rFonts w:ascii="Arial" w:hAnsi="Arial" w:cs="Arial"/>
          <w:i/>
          <w:iCs/>
        </w:rPr>
        <w:t>The Life Cycle Completed.</w:t>
      </w:r>
      <w:r w:rsidRPr="001F7A7D">
        <w:rPr>
          <w:rFonts w:ascii="Arial" w:hAnsi="Arial" w:cs="Arial"/>
        </w:rPr>
        <w:t xml:space="preserve"> New York: W.W. Norton &amp; Company.</w:t>
      </w:r>
    </w:p>
    <w:p w14:paraId="4213AA9D" w14:textId="77777777" w:rsidR="002D1787" w:rsidRPr="001F7A7D" w:rsidRDefault="002D1787" w:rsidP="000C5E9C">
      <w:pPr>
        <w:spacing w:line="360" w:lineRule="auto"/>
        <w:rPr>
          <w:rFonts w:ascii="Arial" w:hAnsi="Arial" w:cs="Arial"/>
        </w:rPr>
      </w:pPr>
      <w:proofErr w:type="spellStart"/>
      <w:r w:rsidRPr="001F7A7D">
        <w:rPr>
          <w:rFonts w:ascii="Arial" w:hAnsi="Arial" w:cs="Arial"/>
        </w:rPr>
        <w:t>Havighurst</w:t>
      </w:r>
      <w:proofErr w:type="spellEnd"/>
      <w:r w:rsidRPr="001F7A7D">
        <w:rPr>
          <w:rFonts w:ascii="Arial" w:hAnsi="Arial" w:cs="Arial"/>
        </w:rPr>
        <w:t>, R.J. (1961) ‘</w:t>
      </w:r>
      <w:r w:rsidRPr="001F7A7D">
        <w:rPr>
          <w:rFonts w:ascii="Arial" w:hAnsi="Arial" w:cs="Arial"/>
          <w:i/>
          <w:iCs/>
        </w:rPr>
        <w:t xml:space="preserve">Successful ageing’, The Gerontologist, </w:t>
      </w:r>
      <w:r w:rsidRPr="001F7A7D">
        <w:rPr>
          <w:rFonts w:ascii="Arial" w:hAnsi="Arial" w:cs="Arial"/>
        </w:rPr>
        <w:t>1(1), pp. 8–13.</w:t>
      </w:r>
    </w:p>
    <w:p w14:paraId="078512C5" w14:textId="77777777" w:rsidR="002D1787" w:rsidRPr="001F7A7D" w:rsidRDefault="002D1787" w:rsidP="000C5E9C">
      <w:pPr>
        <w:spacing w:line="360" w:lineRule="auto"/>
        <w:rPr>
          <w:rFonts w:ascii="Arial" w:hAnsi="Arial" w:cs="Arial"/>
        </w:rPr>
      </w:pPr>
      <w:r w:rsidRPr="001F7A7D">
        <w:rPr>
          <w:rFonts w:ascii="Arial" w:hAnsi="Arial" w:cs="Arial"/>
        </w:rPr>
        <w:t xml:space="preserve">Seligman, M.E.P. (2011) </w:t>
      </w:r>
      <w:r w:rsidRPr="001F7A7D">
        <w:rPr>
          <w:rFonts w:ascii="Arial" w:hAnsi="Arial" w:cs="Arial"/>
          <w:i/>
          <w:iCs/>
        </w:rPr>
        <w:t>Flourish: A Visionary New Understanding of Happiness and Wellbeing</w:t>
      </w:r>
      <w:r w:rsidRPr="001F7A7D">
        <w:rPr>
          <w:rFonts w:ascii="Arial" w:hAnsi="Arial" w:cs="Arial"/>
        </w:rPr>
        <w:t>. New York: Free Press.</w:t>
      </w:r>
    </w:p>
    <w:p w14:paraId="3D658BC2" w14:textId="77777777" w:rsidR="002D1787" w:rsidRPr="001F7A7D" w:rsidRDefault="002D1787" w:rsidP="000C5E9C">
      <w:pPr>
        <w:spacing w:line="360" w:lineRule="auto"/>
        <w:rPr>
          <w:rFonts w:ascii="Arial" w:hAnsi="Arial" w:cs="Arial"/>
        </w:rPr>
      </w:pPr>
    </w:p>
    <w:sectPr w:rsidR="002D1787" w:rsidRPr="001F7A7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A9E7E" w14:textId="77777777" w:rsidR="00DA7C1D" w:rsidRDefault="00DA7C1D" w:rsidP="00DC7A4E">
      <w:pPr>
        <w:spacing w:after="0" w:line="240" w:lineRule="auto"/>
      </w:pPr>
      <w:r>
        <w:separator/>
      </w:r>
    </w:p>
  </w:endnote>
  <w:endnote w:type="continuationSeparator" w:id="0">
    <w:p w14:paraId="33DE2D3F" w14:textId="77777777" w:rsidR="00DA7C1D" w:rsidRDefault="00DA7C1D" w:rsidP="00DC7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817A85" w14:textId="77777777" w:rsidR="00DC7A4E" w:rsidRDefault="00DC7A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8532BD" w14:textId="77777777" w:rsidR="00DC7A4E" w:rsidRDefault="00DC7A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4176B3" w14:textId="77777777" w:rsidR="00DC7A4E" w:rsidRDefault="00DC7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8705D5" w14:textId="77777777" w:rsidR="00DA7C1D" w:rsidRDefault="00DA7C1D" w:rsidP="00DC7A4E">
      <w:pPr>
        <w:spacing w:after="0" w:line="240" w:lineRule="auto"/>
      </w:pPr>
      <w:r>
        <w:separator/>
      </w:r>
    </w:p>
  </w:footnote>
  <w:footnote w:type="continuationSeparator" w:id="0">
    <w:p w14:paraId="66D81035" w14:textId="77777777" w:rsidR="00DA7C1D" w:rsidRDefault="00DA7C1D" w:rsidP="00DC7A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068BB" w14:textId="77777777" w:rsidR="00DC7A4E" w:rsidRDefault="00DC7A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90E214" w14:textId="77777777" w:rsidR="00DC7A4E" w:rsidRDefault="00DC7A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59F8CB" w14:textId="77777777" w:rsidR="00DC7A4E" w:rsidRDefault="00DC7A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85F96"/>
    <w:multiLevelType w:val="hybridMultilevel"/>
    <w:tmpl w:val="901AA1B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11076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787"/>
    <w:rsid w:val="00052286"/>
    <w:rsid w:val="000C5E9C"/>
    <w:rsid w:val="001F7A7D"/>
    <w:rsid w:val="0024549B"/>
    <w:rsid w:val="002A76ED"/>
    <w:rsid w:val="002D1787"/>
    <w:rsid w:val="003F3357"/>
    <w:rsid w:val="004A118B"/>
    <w:rsid w:val="00517651"/>
    <w:rsid w:val="00652A8D"/>
    <w:rsid w:val="00913E55"/>
    <w:rsid w:val="009821F2"/>
    <w:rsid w:val="00991FB6"/>
    <w:rsid w:val="00A32FAC"/>
    <w:rsid w:val="00BF0B84"/>
    <w:rsid w:val="00BF540D"/>
    <w:rsid w:val="00CB5713"/>
    <w:rsid w:val="00D55D88"/>
    <w:rsid w:val="00D75E93"/>
    <w:rsid w:val="00DA7C1D"/>
    <w:rsid w:val="00DC7A4E"/>
    <w:rsid w:val="00F46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D1857A"/>
  <w15:chartTrackingRefBased/>
  <w15:docId w15:val="{22EE96DD-531E-0548-A257-04F945372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7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17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7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17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7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7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7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7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7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7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17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7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7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7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7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7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7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787"/>
    <w:rPr>
      <w:rFonts w:eastAsiaTheme="majorEastAsia" w:cstheme="majorBidi"/>
      <w:color w:val="272727" w:themeColor="text1" w:themeTint="D8"/>
    </w:rPr>
  </w:style>
  <w:style w:type="paragraph" w:styleId="Title">
    <w:name w:val="Title"/>
    <w:basedOn w:val="Normal"/>
    <w:next w:val="Normal"/>
    <w:link w:val="TitleChar"/>
    <w:uiPriority w:val="10"/>
    <w:qFormat/>
    <w:rsid w:val="002D17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7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7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7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787"/>
    <w:pPr>
      <w:spacing w:before="160"/>
      <w:jc w:val="center"/>
    </w:pPr>
    <w:rPr>
      <w:i/>
      <w:iCs/>
      <w:color w:val="404040" w:themeColor="text1" w:themeTint="BF"/>
    </w:rPr>
  </w:style>
  <w:style w:type="character" w:customStyle="1" w:styleId="QuoteChar">
    <w:name w:val="Quote Char"/>
    <w:basedOn w:val="DefaultParagraphFont"/>
    <w:link w:val="Quote"/>
    <w:uiPriority w:val="29"/>
    <w:rsid w:val="002D1787"/>
    <w:rPr>
      <w:i/>
      <w:iCs/>
      <w:color w:val="404040" w:themeColor="text1" w:themeTint="BF"/>
    </w:rPr>
  </w:style>
  <w:style w:type="paragraph" w:styleId="ListParagraph">
    <w:name w:val="List Paragraph"/>
    <w:basedOn w:val="Normal"/>
    <w:uiPriority w:val="34"/>
    <w:qFormat/>
    <w:rsid w:val="002D1787"/>
    <w:pPr>
      <w:ind w:left="720"/>
      <w:contextualSpacing/>
    </w:pPr>
  </w:style>
  <w:style w:type="character" w:styleId="IntenseEmphasis">
    <w:name w:val="Intense Emphasis"/>
    <w:basedOn w:val="DefaultParagraphFont"/>
    <w:uiPriority w:val="21"/>
    <w:qFormat/>
    <w:rsid w:val="002D1787"/>
    <w:rPr>
      <w:i/>
      <w:iCs/>
      <w:color w:val="0F4761" w:themeColor="accent1" w:themeShade="BF"/>
    </w:rPr>
  </w:style>
  <w:style w:type="paragraph" w:styleId="IntenseQuote">
    <w:name w:val="Intense Quote"/>
    <w:basedOn w:val="Normal"/>
    <w:next w:val="Normal"/>
    <w:link w:val="IntenseQuoteChar"/>
    <w:uiPriority w:val="30"/>
    <w:qFormat/>
    <w:rsid w:val="002D17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787"/>
    <w:rPr>
      <w:i/>
      <w:iCs/>
      <w:color w:val="0F4761" w:themeColor="accent1" w:themeShade="BF"/>
    </w:rPr>
  </w:style>
  <w:style w:type="character" w:styleId="IntenseReference">
    <w:name w:val="Intense Reference"/>
    <w:basedOn w:val="DefaultParagraphFont"/>
    <w:uiPriority w:val="32"/>
    <w:qFormat/>
    <w:rsid w:val="002D1787"/>
    <w:rPr>
      <w:b/>
      <w:bCs/>
      <w:smallCaps/>
      <w:color w:val="0F4761" w:themeColor="accent1" w:themeShade="BF"/>
      <w:spacing w:val="5"/>
    </w:rPr>
  </w:style>
  <w:style w:type="paragraph" w:styleId="Header">
    <w:name w:val="header"/>
    <w:basedOn w:val="Normal"/>
    <w:link w:val="HeaderChar"/>
    <w:uiPriority w:val="99"/>
    <w:unhideWhenUsed/>
    <w:rsid w:val="00DC7A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7A4E"/>
  </w:style>
  <w:style w:type="paragraph" w:styleId="Footer">
    <w:name w:val="footer"/>
    <w:basedOn w:val="Normal"/>
    <w:link w:val="FooterChar"/>
    <w:uiPriority w:val="99"/>
    <w:unhideWhenUsed/>
    <w:rsid w:val="00DC7A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7A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7</Pages>
  <Words>1654</Words>
  <Characters>9428</Characters>
  <Application>Microsoft Office Word</Application>
  <DocSecurity>0</DocSecurity>
  <Lines>78</Lines>
  <Paragraphs>22</Paragraphs>
  <ScaleCrop>false</ScaleCrop>
  <Company/>
  <LinksUpToDate>false</LinksUpToDate>
  <CharactersWithSpaces>11060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Shellymae Mulcare</dc:creator>
  <cp:keywords/>
  <dc:description/>
  <cp:lastModifiedBy>Shellymae Mulcare</cp:lastModifiedBy>
  <cp:revision>20</cp:revision>
  <dcterms:created xsi:type="dcterms:W3CDTF">2026-03-29T15:30:00Z</dcterms:created>
  <dcterms:modified xsi:type="dcterms:W3CDTF">2026-03-30T07:54:00Z</dcterms:modified>
</cp:coreProperties>
</file>