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3073"/>
        <w:tblW w:w="9828" w:type="dxa"/>
        <w:tblLook w:val="04A0" w:firstRow="1" w:lastRow="0" w:firstColumn="1" w:lastColumn="0" w:noHBand="0" w:noVBand="1"/>
      </w:tblPr>
      <w:tblGrid>
        <w:gridCol w:w="5068"/>
        <w:gridCol w:w="4760"/>
      </w:tblGrid>
      <w:tr w:rsidR="004B4440" w:rsidRPr="004B4440" w:rsidTr="00814148">
        <w:trPr>
          <w:trHeight w:val="742"/>
        </w:trPr>
        <w:tc>
          <w:tcPr>
            <w:tcW w:w="5068"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Student Name</w:t>
            </w:r>
          </w:p>
        </w:tc>
        <w:tc>
          <w:tcPr>
            <w:tcW w:w="4760"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Syed Md Raihanul Hoque</w:t>
            </w:r>
          </w:p>
        </w:tc>
      </w:tr>
      <w:tr w:rsidR="004B4440" w:rsidRPr="004B4440" w:rsidTr="00814148">
        <w:trPr>
          <w:trHeight w:val="361"/>
        </w:trPr>
        <w:tc>
          <w:tcPr>
            <w:tcW w:w="5068"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Student ID Number</w:t>
            </w:r>
          </w:p>
        </w:tc>
        <w:tc>
          <w:tcPr>
            <w:tcW w:w="4760"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2521856</w:t>
            </w:r>
          </w:p>
        </w:tc>
      </w:tr>
      <w:tr w:rsidR="004B4440" w:rsidRPr="004B4440" w:rsidTr="00814148">
        <w:trPr>
          <w:trHeight w:val="1783"/>
        </w:trPr>
        <w:tc>
          <w:tcPr>
            <w:tcW w:w="5068"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Module Title</w:t>
            </w:r>
          </w:p>
        </w:tc>
        <w:tc>
          <w:tcPr>
            <w:tcW w:w="4760" w:type="dxa"/>
            <w:tcBorders>
              <w:top w:val="single" w:sz="4" w:space="0" w:color="auto"/>
              <w:left w:val="single" w:sz="4" w:space="0" w:color="auto"/>
              <w:bottom w:val="single" w:sz="4" w:space="0" w:color="auto"/>
              <w:right w:val="single" w:sz="4" w:space="0" w:color="auto"/>
            </w:tcBorders>
            <w:hideMark/>
          </w:tcPr>
          <w:p w:rsidR="004B4440" w:rsidRPr="00527628" w:rsidRDefault="00527628" w:rsidP="00814148">
            <w:pPr>
              <w:jc w:val="center"/>
              <w:rPr>
                <w:rFonts w:ascii="Arial" w:hAnsi="Arial" w:cs="Arial"/>
                <w:bCs/>
                <w:iCs/>
                <w:color w:val="000000" w:themeColor="text1"/>
                <w:sz w:val="44"/>
                <w:szCs w:val="44"/>
              </w:rPr>
            </w:pPr>
            <w:r w:rsidRPr="00527628">
              <w:rPr>
                <w:rFonts w:ascii="Arial" w:hAnsi="Arial" w:cs="Arial"/>
                <w:bCs/>
                <w:sz w:val="44"/>
                <w:szCs w:val="44"/>
              </w:rPr>
              <w:t xml:space="preserve">Health Care System </w:t>
            </w:r>
            <w:proofErr w:type="spellStart"/>
            <w:r w:rsidRPr="00527628">
              <w:rPr>
                <w:rFonts w:ascii="Arial" w:hAnsi="Arial" w:cs="Arial"/>
                <w:bCs/>
                <w:sz w:val="44"/>
                <w:szCs w:val="44"/>
              </w:rPr>
              <w:t>Organisation</w:t>
            </w:r>
            <w:proofErr w:type="spellEnd"/>
            <w:r w:rsidRPr="00527628">
              <w:rPr>
                <w:rFonts w:ascii="Arial" w:hAnsi="Arial" w:cs="Arial"/>
                <w:bCs/>
                <w:sz w:val="44"/>
                <w:szCs w:val="44"/>
              </w:rPr>
              <w:t xml:space="preserve"> and Leadership</w:t>
            </w:r>
            <w:r w:rsidRPr="00527628">
              <w:rPr>
                <w:rFonts w:ascii="Arial" w:hAnsi="Arial" w:cs="Arial"/>
                <w:bCs/>
                <w:iCs/>
                <w:color w:val="000000" w:themeColor="text1"/>
                <w:sz w:val="44"/>
                <w:szCs w:val="44"/>
              </w:rPr>
              <w:t xml:space="preserve"> </w:t>
            </w:r>
          </w:p>
        </w:tc>
      </w:tr>
      <w:tr w:rsidR="004B4440" w:rsidRPr="004B4440" w:rsidTr="00814148">
        <w:trPr>
          <w:trHeight w:val="703"/>
        </w:trPr>
        <w:tc>
          <w:tcPr>
            <w:tcW w:w="5068"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Module Code</w:t>
            </w:r>
          </w:p>
        </w:tc>
        <w:tc>
          <w:tcPr>
            <w:tcW w:w="4760" w:type="dxa"/>
            <w:tcBorders>
              <w:top w:val="single" w:sz="4" w:space="0" w:color="auto"/>
              <w:left w:val="single" w:sz="4" w:space="0" w:color="auto"/>
              <w:bottom w:val="single" w:sz="4" w:space="0" w:color="auto"/>
              <w:right w:val="single" w:sz="4" w:space="0" w:color="auto"/>
            </w:tcBorders>
            <w:hideMark/>
          </w:tcPr>
          <w:p w:rsidR="004B4440" w:rsidRPr="00527628" w:rsidRDefault="00527628" w:rsidP="00814148">
            <w:pPr>
              <w:jc w:val="center"/>
              <w:rPr>
                <w:rFonts w:ascii="Arial" w:hAnsi="Arial" w:cs="Arial"/>
                <w:bCs/>
                <w:iCs/>
                <w:color w:val="000000" w:themeColor="text1"/>
                <w:sz w:val="44"/>
                <w:szCs w:val="44"/>
              </w:rPr>
            </w:pPr>
            <w:r w:rsidRPr="00527628">
              <w:rPr>
                <w:rFonts w:ascii="Arial" w:hAnsi="Arial" w:cs="Arial"/>
                <w:bCs/>
                <w:sz w:val="44"/>
                <w:szCs w:val="44"/>
              </w:rPr>
              <w:t xml:space="preserve">LCHS7002 </w:t>
            </w:r>
          </w:p>
        </w:tc>
      </w:tr>
      <w:tr w:rsidR="004B4440" w:rsidRPr="004B4440" w:rsidTr="00814148">
        <w:trPr>
          <w:trHeight w:val="380"/>
        </w:trPr>
        <w:tc>
          <w:tcPr>
            <w:tcW w:w="5068"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Lecturer’s Name</w:t>
            </w:r>
          </w:p>
        </w:tc>
        <w:tc>
          <w:tcPr>
            <w:tcW w:w="4760" w:type="dxa"/>
            <w:tcBorders>
              <w:top w:val="single" w:sz="4" w:space="0" w:color="auto"/>
              <w:left w:val="single" w:sz="4" w:space="0" w:color="auto"/>
              <w:bottom w:val="single" w:sz="4" w:space="0" w:color="auto"/>
              <w:right w:val="single" w:sz="4" w:space="0" w:color="auto"/>
            </w:tcBorders>
            <w:hideMark/>
          </w:tcPr>
          <w:p w:rsidR="00527628" w:rsidRPr="00527628" w:rsidRDefault="00527628" w:rsidP="00814148">
            <w:pPr>
              <w:jc w:val="center"/>
              <w:rPr>
                <w:rFonts w:ascii="Arial" w:hAnsi="Arial" w:cs="Arial"/>
                <w:bCs/>
                <w:iCs/>
                <w:color w:val="000000" w:themeColor="text1"/>
                <w:sz w:val="44"/>
                <w:szCs w:val="44"/>
              </w:rPr>
            </w:pPr>
            <w:r w:rsidRPr="00527628">
              <w:rPr>
                <w:rFonts w:ascii="Arial" w:hAnsi="Arial" w:cs="Arial"/>
                <w:bCs/>
                <w:sz w:val="44"/>
                <w:szCs w:val="44"/>
              </w:rPr>
              <w:t>Dr Fahad Khan</w:t>
            </w:r>
            <w:r w:rsidRPr="00527628">
              <w:rPr>
                <w:rFonts w:ascii="Arial" w:hAnsi="Arial" w:cs="Arial"/>
                <w:bCs/>
                <w:iCs/>
                <w:color w:val="000000" w:themeColor="text1"/>
                <w:sz w:val="44"/>
                <w:szCs w:val="44"/>
              </w:rPr>
              <w:t xml:space="preserve"> </w:t>
            </w:r>
          </w:p>
          <w:p w:rsidR="004B4440" w:rsidRPr="00527628" w:rsidRDefault="004B4440" w:rsidP="00814148">
            <w:pPr>
              <w:jc w:val="center"/>
              <w:rPr>
                <w:rFonts w:ascii="Arial" w:hAnsi="Arial" w:cs="Arial"/>
                <w:bCs/>
                <w:iCs/>
                <w:color w:val="000000" w:themeColor="text1"/>
                <w:sz w:val="44"/>
                <w:szCs w:val="44"/>
              </w:rPr>
            </w:pPr>
          </w:p>
        </w:tc>
      </w:tr>
      <w:tr w:rsidR="004B4440" w:rsidRPr="004B4440" w:rsidTr="00814148">
        <w:trPr>
          <w:trHeight w:val="1279"/>
        </w:trPr>
        <w:tc>
          <w:tcPr>
            <w:tcW w:w="5068"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Assignment Title</w:t>
            </w:r>
          </w:p>
        </w:tc>
        <w:tc>
          <w:tcPr>
            <w:tcW w:w="4760" w:type="dxa"/>
            <w:tcBorders>
              <w:top w:val="single" w:sz="4" w:space="0" w:color="auto"/>
              <w:left w:val="single" w:sz="4" w:space="0" w:color="auto"/>
              <w:bottom w:val="single" w:sz="4" w:space="0" w:color="auto"/>
              <w:right w:val="single" w:sz="4" w:space="0" w:color="auto"/>
            </w:tcBorders>
            <w:hideMark/>
          </w:tcPr>
          <w:p w:rsidR="004B4440" w:rsidRPr="00527628" w:rsidRDefault="00527628" w:rsidP="00814148">
            <w:pPr>
              <w:jc w:val="center"/>
              <w:rPr>
                <w:rFonts w:ascii="Arial" w:hAnsi="Arial" w:cs="Arial"/>
                <w:bCs/>
                <w:iCs/>
                <w:color w:val="000000" w:themeColor="text1"/>
                <w:sz w:val="44"/>
                <w:szCs w:val="44"/>
              </w:rPr>
            </w:pPr>
            <w:r w:rsidRPr="00527628">
              <w:rPr>
                <w:rFonts w:ascii="Arial" w:hAnsi="Arial" w:cs="Arial"/>
                <w:bCs/>
                <w:sz w:val="44"/>
                <w:szCs w:val="44"/>
              </w:rPr>
              <w:t>Case Study Analysis Report</w:t>
            </w:r>
            <w:r w:rsidRPr="00527628">
              <w:rPr>
                <w:rFonts w:ascii="Arial" w:hAnsi="Arial" w:cs="Arial"/>
                <w:bCs/>
                <w:iCs/>
                <w:color w:val="000000" w:themeColor="text1"/>
                <w:sz w:val="44"/>
                <w:szCs w:val="44"/>
              </w:rPr>
              <w:t xml:space="preserve"> </w:t>
            </w:r>
          </w:p>
        </w:tc>
      </w:tr>
      <w:tr w:rsidR="004B4440" w:rsidRPr="004B4440" w:rsidTr="00814148">
        <w:trPr>
          <w:trHeight w:val="738"/>
        </w:trPr>
        <w:tc>
          <w:tcPr>
            <w:tcW w:w="5068" w:type="dxa"/>
            <w:tcBorders>
              <w:top w:val="single" w:sz="4" w:space="0" w:color="auto"/>
              <w:left w:val="single" w:sz="4" w:space="0" w:color="auto"/>
              <w:bottom w:val="single" w:sz="4" w:space="0" w:color="auto"/>
              <w:right w:val="single" w:sz="4" w:space="0" w:color="auto"/>
            </w:tcBorders>
            <w:hideMark/>
          </w:tcPr>
          <w:p w:rsidR="004B4440" w:rsidRPr="004B4440" w:rsidRDefault="004B4440"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Submission Date</w:t>
            </w:r>
          </w:p>
        </w:tc>
        <w:tc>
          <w:tcPr>
            <w:tcW w:w="4760" w:type="dxa"/>
            <w:tcBorders>
              <w:top w:val="single" w:sz="4" w:space="0" w:color="auto"/>
              <w:left w:val="single" w:sz="4" w:space="0" w:color="auto"/>
              <w:bottom w:val="single" w:sz="4" w:space="0" w:color="auto"/>
              <w:right w:val="single" w:sz="4" w:space="0" w:color="auto"/>
            </w:tcBorders>
          </w:tcPr>
          <w:p w:rsidR="004B4440" w:rsidRPr="004B4440" w:rsidRDefault="00814148" w:rsidP="00814148">
            <w:pPr>
              <w:tabs>
                <w:tab w:val="left" w:pos="774"/>
              </w:tabs>
              <w:rPr>
                <w:rFonts w:ascii="Arial" w:hAnsi="Arial" w:cs="Arial"/>
                <w:iCs/>
                <w:color w:val="000000" w:themeColor="text1"/>
                <w:sz w:val="44"/>
                <w:szCs w:val="44"/>
              </w:rPr>
            </w:pPr>
            <w:r>
              <w:rPr>
                <w:rFonts w:ascii="Arial" w:hAnsi="Arial" w:cs="Arial"/>
                <w:iCs/>
                <w:color w:val="000000" w:themeColor="text1"/>
                <w:sz w:val="44"/>
                <w:szCs w:val="44"/>
              </w:rPr>
              <w:tab/>
            </w:r>
            <w:r w:rsidR="004F6E06">
              <w:rPr>
                <w:rFonts w:ascii="Arial" w:hAnsi="Arial" w:cs="Arial"/>
                <w:iCs/>
                <w:color w:val="000000" w:themeColor="text1"/>
                <w:sz w:val="44"/>
                <w:szCs w:val="44"/>
              </w:rPr>
              <w:t>26</w:t>
            </w:r>
            <w:r w:rsidR="004F6E06" w:rsidRPr="004F6E06">
              <w:rPr>
                <w:rFonts w:ascii="Arial" w:hAnsi="Arial" w:cs="Arial"/>
                <w:iCs/>
                <w:color w:val="000000" w:themeColor="text1"/>
                <w:sz w:val="44"/>
                <w:szCs w:val="44"/>
                <w:vertAlign w:val="superscript"/>
              </w:rPr>
              <w:t>th</w:t>
            </w:r>
            <w:r w:rsidR="004F6E06">
              <w:rPr>
                <w:rFonts w:ascii="Arial" w:hAnsi="Arial" w:cs="Arial"/>
                <w:iCs/>
                <w:color w:val="000000" w:themeColor="text1"/>
                <w:sz w:val="44"/>
                <w:szCs w:val="44"/>
              </w:rPr>
              <w:t xml:space="preserve"> March, 2026</w:t>
            </w:r>
          </w:p>
        </w:tc>
      </w:tr>
      <w:tr w:rsidR="00814148" w:rsidRPr="004B4440" w:rsidTr="00814148">
        <w:trPr>
          <w:trHeight w:val="674"/>
        </w:trPr>
        <w:tc>
          <w:tcPr>
            <w:tcW w:w="5068" w:type="dxa"/>
            <w:tcBorders>
              <w:top w:val="single" w:sz="4" w:space="0" w:color="auto"/>
              <w:left w:val="single" w:sz="4" w:space="0" w:color="auto"/>
              <w:bottom w:val="single" w:sz="4" w:space="0" w:color="auto"/>
              <w:right w:val="single" w:sz="4" w:space="0" w:color="auto"/>
            </w:tcBorders>
          </w:tcPr>
          <w:p w:rsidR="00814148" w:rsidRPr="004B4440" w:rsidRDefault="00814148" w:rsidP="00814148">
            <w:pPr>
              <w:jc w:val="center"/>
              <w:rPr>
                <w:rFonts w:ascii="Arial" w:hAnsi="Arial" w:cs="Arial"/>
                <w:iCs/>
                <w:color w:val="000000" w:themeColor="text1"/>
                <w:sz w:val="44"/>
                <w:szCs w:val="44"/>
              </w:rPr>
            </w:pPr>
            <w:r w:rsidRPr="004B4440">
              <w:rPr>
                <w:rFonts w:ascii="Arial" w:hAnsi="Arial" w:cs="Arial"/>
                <w:iCs/>
                <w:color w:val="000000" w:themeColor="text1"/>
                <w:sz w:val="44"/>
                <w:szCs w:val="44"/>
              </w:rPr>
              <w:t>Word Count (Actual)</w:t>
            </w:r>
          </w:p>
        </w:tc>
        <w:tc>
          <w:tcPr>
            <w:tcW w:w="4760" w:type="dxa"/>
            <w:tcBorders>
              <w:top w:val="single" w:sz="4" w:space="0" w:color="auto"/>
              <w:left w:val="single" w:sz="4" w:space="0" w:color="auto"/>
              <w:bottom w:val="single" w:sz="4" w:space="0" w:color="auto"/>
              <w:right w:val="single" w:sz="4" w:space="0" w:color="auto"/>
            </w:tcBorders>
          </w:tcPr>
          <w:p w:rsidR="00814148" w:rsidRDefault="00814148" w:rsidP="00814148">
            <w:pPr>
              <w:tabs>
                <w:tab w:val="left" w:pos="774"/>
              </w:tabs>
              <w:jc w:val="center"/>
              <w:rPr>
                <w:rFonts w:ascii="Arial" w:hAnsi="Arial" w:cs="Arial"/>
                <w:iCs/>
                <w:color w:val="000000" w:themeColor="text1"/>
                <w:sz w:val="44"/>
                <w:szCs w:val="44"/>
              </w:rPr>
            </w:pPr>
            <w:r>
              <w:rPr>
                <w:rFonts w:ascii="Arial" w:hAnsi="Arial" w:cs="Arial"/>
                <w:iCs/>
                <w:color w:val="000000" w:themeColor="text1"/>
                <w:sz w:val="44"/>
                <w:szCs w:val="44"/>
              </w:rPr>
              <w:t>4937</w:t>
            </w:r>
          </w:p>
        </w:tc>
      </w:tr>
    </w:tbl>
    <w:p w:rsidR="00AD1A47" w:rsidRPr="00527628" w:rsidRDefault="00CB4E8B" w:rsidP="00AD1A47">
      <w:pPr>
        <w:jc w:val="center"/>
        <w:rPr>
          <w:rFonts w:ascii="Arial" w:hAnsi="Arial" w:cs="Arial"/>
          <w:color w:val="002060"/>
          <w:sz w:val="44"/>
          <w:szCs w:val="44"/>
        </w:rPr>
      </w:pPr>
      <w:r>
        <w:rPr>
          <w:b/>
          <w:noProof/>
        </w:rPr>
        <w:drawing>
          <wp:anchor distT="0" distB="0" distL="114300" distR="114300" simplePos="0" relativeHeight="251658752" behindDoc="1" locked="0" layoutInCell="1" allowOverlap="1" wp14:anchorId="5E784A8C">
            <wp:simplePos x="0" y="0"/>
            <wp:positionH relativeFrom="page">
              <wp:align>right</wp:align>
            </wp:positionH>
            <wp:positionV relativeFrom="margin">
              <wp:posOffset>-893135</wp:posOffset>
            </wp:positionV>
            <wp:extent cx="7910623" cy="9997440"/>
            <wp:effectExtent l="0" t="0" r="0" b="3810"/>
            <wp:wrapNone/>
            <wp:docPr id="5600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alphaModFix amt="35000"/>
                      <a:extLst>
                        <a:ext uri="{28A0092B-C50C-407E-A947-70E740481C1C}">
                          <a14:useLocalDpi xmlns:a14="http://schemas.microsoft.com/office/drawing/2010/main" val="0"/>
                        </a:ext>
                      </a:extLst>
                    </a:blip>
                    <a:srcRect/>
                    <a:stretch>
                      <a:fillRect/>
                    </a:stretch>
                  </pic:blipFill>
                  <pic:spPr bwMode="auto">
                    <a:xfrm>
                      <a:off x="0" y="0"/>
                      <a:ext cx="7910623" cy="9997440"/>
                    </a:xfrm>
                    <a:prstGeom prst="rect">
                      <a:avLst/>
                    </a:prstGeom>
                    <a:noFill/>
                  </pic:spPr>
                </pic:pic>
              </a:graphicData>
            </a:graphic>
            <wp14:sizeRelH relativeFrom="margin">
              <wp14:pctWidth>0</wp14:pctWidth>
            </wp14:sizeRelH>
            <wp14:sizeRelV relativeFrom="margin">
              <wp14:pctHeight>0</wp14:pctHeight>
            </wp14:sizeRelV>
          </wp:anchor>
        </w:drawing>
      </w:r>
      <w:r w:rsidR="00AD1A47" w:rsidRPr="00527628">
        <w:rPr>
          <w:rFonts w:ascii="Arial" w:hAnsi="Arial" w:cs="Arial"/>
          <w:b/>
          <w:color w:val="002060"/>
          <w:sz w:val="44"/>
          <w:szCs w:val="44"/>
        </w:rPr>
        <w:t>“Case Study 2: Len’s unintentional overdose of morphine sulfate oral solution”</w:t>
      </w:r>
    </w:p>
    <w:p w:rsidR="0027273A" w:rsidRDefault="004B4440">
      <w:pPr>
        <w:rPr>
          <w:rFonts w:asciiTheme="majorHAnsi" w:eastAsiaTheme="majorEastAsia" w:hAnsiTheme="majorHAnsi" w:cstheme="majorBidi"/>
          <w:b/>
          <w:bCs/>
          <w:color w:val="365F91" w:themeColor="accent1" w:themeShade="BF"/>
          <w:sz w:val="28"/>
          <w:szCs w:val="28"/>
        </w:rPr>
      </w:pPr>
      <w:r>
        <w:rPr>
          <w:b/>
        </w:rPr>
        <w:br w:type="page"/>
      </w:r>
    </w:p>
    <w:sdt>
      <w:sdtPr>
        <w:rPr>
          <w:rFonts w:ascii="Calibri" w:eastAsia="Calibri" w:hAnsi="Calibri" w:cstheme="minorBidi"/>
          <w:b w:val="0"/>
          <w:bCs w:val="0"/>
          <w:color w:val="auto"/>
          <w:sz w:val="22"/>
          <w:szCs w:val="22"/>
        </w:rPr>
        <w:id w:val="-384717475"/>
        <w:docPartObj>
          <w:docPartGallery w:val="Table of Contents"/>
          <w:docPartUnique/>
        </w:docPartObj>
      </w:sdtPr>
      <w:sdtEndPr>
        <w:rPr>
          <w:noProof/>
        </w:rPr>
      </w:sdtEndPr>
      <w:sdtContent>
        <w:p w:rsidR="0027273A" w:rsidRPr="003A0A89" w:rsidRDefault="0027273A">
          <w:pPr>
            <w:pStyle w:val="TOCHeading"/>
            <w:rPr>
              <w:rFonts w:ascii="Arial" w:hAnsi="Arial" w:cs="Arial"/>
              <w:b w:val="0"/>
              <w:bCs w:val="0"/>
            </w:rPr>
          </w:pPr>
          <w:r w:rsidRPr="003A0A89">
            <w:rPr>
              <w:rFonts w:ascii="Arial" w:hAnsi="Arial" w:cs="Arial"/>
              <w:b w:val="0"/>
              <w:bCs w:val="0"/>
            </w:rPr>
            <w:t>Table of Contents</w:t>
          </w:r>
        </w:p>
        <w:p w:rsidR="003A0A89" w:rsidRPr="003A0A89" w:rsidRDefault="0027273A">
          <w:pPr>
            <w:pStyle w:val="TOC1"/>
            <w:tabs>
              <w:tab w:val="right" w:leader="dot" w:pos="9350"/>
            </w:tabs>
            <w:rPr>
              <w:rFonts w:asciiTheme="minorHAnsi" w:eastAsiaTheme="minorEastAsia" w:hAnsiTheme="minorHAnsi"/>
              <w:noProof/>
              <w:kern w:val="2"/>
              <w:sz w:val="24"/>
              <w:szCs w:val="24"/>
              <w14:ligatures w14:val="standardContextual"/>
            </w:rPr>
          </w:pPr>
          <w:r w:rsidRPr="003A0A89">
            <w:rPr>
              <w:rFonts w:ascii="Arial" w:hAnsi="Arial" w:cs="Arial"/>
            </w:rPr>
            <w:fldChar w:fldCharType="begin"/>
          </w:r>
          <w:r w:rsidRPr="003A0A89">
            <w:rPr>
              <w:rFonts w:ascii="Arial" w:hAnsi="Arial" w:cs="Arial"/>
            </w:rPr>
            <w:instrText xml:space="preserve"> TOC \o "1-3" \h \z \u </w:instrText>
          </w:r>
          <w:r w:rsidRPr="003A0A89">
            <w:rPr>
              <w:rFonts w:ascii="Arial" w:hAnsi="Arial" w:cs="Arial"/>
            </w:rPr>
            <w:fldChar w:fldCharType="separate"/>
          </w:r>
          <w:hyperlink w:anchor="_Toc224386976" w:history="1">
            <w:r w:rsidR="003A0A89" w:rsidRPr="003A0A89">
              <w:rPr>
                <w:rStyle w:val="Hyperlink"/>
                <w:rFonts w:ascii="Arial" w:hAnsi="Arial" w:cs="Arial"/>
                <w:noProof/>
              </w:rPr>
              <w:t>Introduction</w:t>
            </w:r>
            <w:r w:rsidR="003A0A89" w:rsidRPr="003A0A89">
              <w:rPr>
                <w:noProof/>
                <w:webHidden/>
              </w:rPr>
              <w:tab/>
            </w:r>
            <w:r w:rsidR="003A0A89" w:rsidRPr="003A0A89">
              <w:rPr>
                <w:noProof/>
                <w:webHidden/>
              </w:rPr>
              <w:fldChar w:fldCharType="begin"/>
            </w:r>
            <w:r w:rsidR="003A0A89" w:rsidRPr="003A0A89">
              <w:rPr>
                <w:noProof/>
                <w:webHidden/>
              </w:rPr>
              <w:instrText xml:space="preserve"> PAGEREF _Toc224386976 \h </w:instrText>
            </w:r>
            <w:r w:rsidR="003A0A89" w:rsidRPr="003A0A89">
              <w:rPr>
                <w:noProof/>
                <w:webHidden/>
              </w:rPr>
            </w:r>
            <w:r w:rsidR="003A0A89" w:rsidRPr="003A0A89">
              <w:rPr>
                <w:noProof/>
                <w:webHidden/>
              </w:rPr>
              <w:fldChar w:fldCharType="separate"/>
            </w:r>
            <w:r w:rsidR="003A0A89" w:rsidRPr="003A0A89">
              <w:rPr>
                <w:noProof/>
                <w:webHidden/>
              </w:rPr>
              <w:t>3</w:t>
            </w:r>
            <w:r w:rsidR="003A0A89" w:rsidRPr="003A0A89">
              <w:rPr>
                <w:noProof/>
                <w:webHidden/>
              </w:rPr>
              <w:fldChar w:fldCharType="end"/>
            </w:r>
          </w:hyperlink>
        </w:p>
        <w:p w:rsidR="003A0A89" w:rsidRPr="003A0A89" w:rsidRDefault="003A0A89">
          <w:pPr>
            <w:pStyle w:val="TOC1"/>
            <w:tabs>
              <w:tab w:val="right" w:leader="dot" w:pos="9350"/>
            </w:tabs>
            <w:rPr>
              <w:rFonts w:asciiTheme="minorHAnsi" w:eastAsiaTheme="minorEastAsia" w:hAnsiTheme="minorHAnsi"/>
              <w:noProof/>
              <w:kern w:val="2"/>
              <w:sz w:val="24"/>
              <w:szCs w:val="24"/>
              <w14:ligatures w14:val="standardContextual"/>
            </w:rPr>
          </w:pPr>
          <w:hyperlink w:anchor="_Toc224386977" w:history="1">
            <w:r w:rsidRPr="003A0A89">
              <w:rPr>
                <w:rStyle w:val="Hyperlink"/>
                <w:rFonts w:ascii="Arial" w:hAnsi="Arial" w:cs="Arial"/>
                <w:noProof/>
              </w:rPr>
              <w:t>Part A: Identifying the Problem and Setting the System Context</w:t>
            </w:r>
            <w:r w:rsidRPr="003A0A89">
              <w:rPr>
                <w:noProof/>
                <w:webHidden/>
              </w:rPr>
              <w:tab/>
            </w:r>
            <w:r w:rsidRPr="003A0A89">
              <w:rPr>
                <w:noProof/>
                <w:webHidden/>
              </w:rPr>
              <w:fldChar w:fldCharType="begin"/>
            </w:r>
            <w:r w:rsidRPr="003A0A89">
              <w:rPr>
                <w:noProof/>
                <w:webHidden/>
              </w:rPr>
              <w:instrText xml:space="preserve"> PAGEREF _Toc224386977 \h </w:instrText>
            </w:r>
            <w:r w:rsidRPr="003A0A89">
              <w:rPr>
                <w:noProof/>
                <w:webHidden/>
              </w:rPr>
            </w:r>
            <w:r w:rsidRPr="003A0A89">
              <w:rPr>
                <w:noProof/>
                <w:webHidden/>
              </w:rPr>
              <w:fldChar w:fldCharType="separate"/>
            </w:r>
            <w:r w:rsidRPr="003A0A89">
              <w:rPr>
                <w:noProof/>
                <w:webHidden/>
              </w:rPr>
              <w:t>4</w:t>
            </w:r>
            <w:r w:rsidRPr="003A0A89">
              <w:rPr>
                <w:noProof/>
                <w:webHidden/>
              </w:rPr>
              <w:fldChar w:fldCharType="end"/>
            </w:r>
          </w:hyperlink>
        </w:p>
        <w:p w:rsidR="003A0A89" w:rsidRPr="003A0A89" w:rsidRDefault="003A0A89">
          <w:pPr>
            <w:pStyle w:val="TOC1"/>
            <w:tabs>
              <w:tab w:val="right" w:leader="dot" w:pos="9350"/>
            </w:tabs>
            <w:rPr>
              <w:rFonts w:asciiTheme="minorHAnsi" w:eastAsiaTheme="minorEastAsia" w:hAnsiTheme="minorHAnsi"/>
              <w:noProof/>
              <w:kern w:val="2"/>
              <w:sz w:val="24"/>
              <w:szCs w:val="24"/>
              <w14:ligatures w14:val="standardContextual"/>
            </w:rPr>
          </w:pPr>
          <w:hyperlink w:anchor="_Toc224386978" w:history="1">
            <w:r w:rsidRPr="003A0A89">
              <w:rPr>
                <w:rStyle w:val="Hyperlink"/>
                <w:rFonts w:ascii="Arial" w:hAnsi="Arial" w:cs="Arial"/>
                <w:noProof/>
              </w:rPr>
              <w:t>Part B: Centralisation vs decentralisation within the case study</w:t>
            </w:r>
            <w:r w:rsidRPr="003A0A89">
              <w:rPr>
                <w:noProof/>
                <w:webHidden/>
              </w:rPr>
              <w:tab/>
            </w:r>
            <w:r w:rsidRPr="003A0A89">
              <w:rPr>
                <w:noProof/>
                <w:webHidden/>
              </w:rPr>
              <w:fldChar w:fldCharType="begin"/>
            </w:r>
            <w:r w:rsidRPr="003A0A89">
              <w:rPr>
                <w:noProof/>
                <w:webHidden/>
              </w:rPr>
              <w:instrText xml:space="preserve"> PAGEREF _Toc224386978 \h </w:instrText>
            </w:r>
            <w:r w:rsidRPr="003A0A89">
              <w:rPr>
                <w:noProof/>
                <w:webHidden/>
              </w:rPr>
            </w:r>
            <w:r w:rsidRPr="003A0A89">
              <w:rPr>
                <w:noProof/>
                <w:webHidden/>
              </w:rPr>
              <w:fldChar w:fldCharType="separate"/>
            </w:r>
            <w:r w:rsidRPr="003A0A89">
              <w:rPr>
                <w:noProof/>
                <w:webHidden/>
              </w:rPr>
              <w:t>7</w:t>
            </w:r>
            <w:r w:rsidRPr="003A0A89">
              <w:rPr>
                <w:noProof/>
                <w:webHidden/>
              </w:rPr>
              <w:fldChar w:fldCharType="end"/>
            </w:r>
          </w:hyperlink>
        </w:p>
        <w:p w:rsidR="003A0A89" w:rsidRPr="003A0A89" w:rsidRDefault="003A0A89">
          <w:pPr>
            <w:pStyle w:val="TOC1"/>
            <w:tabs>
              <w:tab w:val="right" w:leader="dot" w:pos="9350"/>
            </w:tabs>
            <w:rPr>
              <w:rFonts w:asciiTheme="minorHAnsi" w:eastAsiaTheme="minorEastAsia" w:hAnsiTheme="minorHAnsi"/>
              <w:noProof/>
              <w:kern w:val="2"/>
              <w:sz w:val="24"/>
              <w:szCs w:val="24"/>
              <w14:ligatures w14:val="standardContextual"/>
            </w:rPr>
          </w:pPr>
          <w:hyperlink w:anchor="_Toc224386979" w:history="1">
            <w:r w:rsidRPr="003A0A89">
              <w:rPr>
                <w:rStyle w:val="Hyperlink"/>
                <w:rFonts w:ascii="Arial" w:hAnsi="Arial" w:cs="Arial"/>
                <w:noProof/>
              </w:rPr>
              <w:t>Part C: Leadership theories and application to the case study</w:t>
            </w:r>
            <w:r w:rsidRPr="003A0A89">
              <w:rPr>
                <w:noProof/>
                <w:webHidden/>
              </w:rPr>
              <w:tab/>
            </w:r>
            <w:r w:rsidRPr="003A0A89">
              <w:rPr>
                <w:noProof/>
                <w:webHidden/>
              </w:rPr>
              <w:fldChar w:fldCharType="begin"/>
            </w:r>
            <w:r w:rsidRPr="003A0A89">
              <w:rPr>
                <w:noProof/>
                <w:webHidden/>
              </w:rPr>
              <w:instrText xml:space="preserve"> PAGEREF _Toc224386979 \h </w:instrText>
            </w:r>
            <w:r w:rsidRPr="003A0A89">
              <w:rPr>
                <w:noProof/>
                <w:webHidden/>
              </w:rPr>
            </w:r>
            <w:r w:rsidRPr="003A0A89">
              <w:rPr>
                <w:noProof/>
                <w:webHidden/>
              </w:rPr>
              <w:fldChar w:fldCharType="separate"/>
            </w:r>
            <w:r w:rsidRPr="003A0A89">
              <w:rPr>
                <w:noProof/>
                <w:webHidden/>
              </w:rPr>
              <w:t>10</w:t>
            </w:r>
            <w:r w:rsidRPr="003A0A89">
              <w:rPr>
                <w:noProof/>
                <w:webHidden/>
              </w:rPr>
              <w:fldChar w:fldCharType="end"/>
            </w:r>
          </w:hyperlink>
        </w:p>
        <w:p w:rsidR="003A0A89" w:rsidRPr="003A0A89" w:rsidRDefault="003A0A89">
          <w:pPr>
            <w:pStyle w:val="TOC1"/>
            <w:tabs>
              <w:tab w:val="right" w:leader="dot" w:pos="9350"/>
            </w:tabs>
            <w:rPr>
              <w:rFonts w:asciiTheme="minorHAnsi" w:eastAsiaTheme="minorEastAsia" w:hAnsiTheme="minorHAnsi"/>
              <w:noProof/>
              <w:kern w:val="2"/>
              <w:sz w:val="24"/>
              <w:szCs w:val="24"/>
              <w14:ligatures w14:val="standardContextual"/>
            </w:rPr>
          </w:pPr>
          <w:hyperlink w:anchor="_Toc224386980" w:history="1">
            <w:r w:rsidRPr="003A0A89">
              <w:rPr>
                <w:rStyle w:val="Hyperlink"/>
                <w:rFonts w:ascii="Arial" w:hAnsi="Arial" w:cs="Arial"/>
                <w:noProof/>
              </w:rPr>
              <w:t>Part D: Improvement and lessons learned</w:t>
            </w:r>
            <w:r w:rsidRPr="003A0A89">
              <w:rPr>
                <w:noProof/>
                <w:webHidden/>
              </w:rPr>
              <w:tab/>
            </w:r>
            <w:r w:rsidRPr="003A0A89">
              <w:rPr>
                <w:noProof/>
                <w:webHidden/>
              </w:rPr>
              <w:fldChar w:fldCharType="begin"/>
            </w:r>
            <w:r w:rsidRPr="003A0A89">
              <w:rPr>
                <w:noProof/>
                <w:webHidden/>
              </w:rPr>
              <w:instrText xml:space="preserve"> PAGEREF _Toc224386980 \h </w:instrText>
            </w:r>
            <w:r w:rsidRPr="003A0A89">
              <w:rPr>
                <w:noProof/>
                <w:webHidden/>
              </w:rPr>
            </w:r>
            <w:r w:rsidRPr="003A0A89">
              <w:rPr>
                <w:noProof/>
                <w:webHidden/>
              </w:rPr>
              <w:fldChar w:fldCharType="separate"/>
            </w:r>
            <w:r w:rsidRPr="003A0A89">
              <w:rPr>
                <w:noProof/>
                <w:webHidden/>
              </w:rPr>
              <w:t>13</w:t>
            </w:r>
            <w:r w:rsidRPr="003A0A89">
              <w:rPr>
                <w:noProof/>
                <w:webHidden/>
              </w:rPr>
              <w:fldChar w:fldCharType="end"/>
            </w:r>
          </w:hyperlink>
        </w:p>
        <w:p w:rsidR="003A0A89" w:rsidRPr="003A0A89" w:rsidRDefault="003A0A89">
          <w:pPr>
            <w:pStyle w:val="TOC1"/>
            <w:tabs>
              <w:tab w:val="right" w:leader="dot" w:pos="9350"/>
            </w:tabs>
            <w:rPr>
              <w:rFonts w:asciiTheme="minorHAnsi" w:eastAsiaTheme="minorEastAsia" w:hAnsiTheme="minorHAnsi"/>
              <w:noProof/>
              <w:kern w:val="2"/>
              <w:sz w:val="24"/>
              <w:szCs w:val="24"/>
              <w14:ligatures w14:val="standardContextual"/>
            </w:rPr>
          </w:pPr>
          <w:hyperlink w:anchor="_Toc224386981" w:history="1">
            <w:r w:rsidRPr="003A0A89">
              <w:rPr>
                <w:rStyle w:val="Hyperlink"/>
                <w:rFonts w:ascii="Arial" w:hAnsi="Arial" w:cs="Arial"/>
                <w:noProof/>
              </w:rPr>
              <w:t>Recommendations</w:t>
            </w:r>
            <w:r w:rsidRPr="003A0A89">
              <w:rPr>
                <w:noProof/>
                <w:webHidden/>
              </w:rPr>
              <w:tab/>
            </w:r>
            <w:r w:rsidRPr="003A0A89">
              <w:rPr>
                <w:noProof/>
                <w:webHidden/>
              </w:rPr>
              <w:fldChar w:fldCharType="begin"/>
            </w:r>
            <w:r w:rsidRPr="003A0A89">
              <w:rPr>
                <w:noProof/>
                <w:webHidden/>
              </w:rPr>
              <w:instrText xml:space="preserve"> PAGEREF _Toc224386981 \h </w:instrText>
            </w:r>
            <w:r w:rsidRPr="003A0A89">
              <w:rPr>
                <w:noProof/>
                <w:webHidden/>
              </w:rPr>
            </w:r>
            <w:r w:rsidRPr="003A0A89">
              <w:rPr>
                <w:noProof/>
                <w:webHidden/>
              </w:rPr>
              <w:fldChar w:fldCharType="separate"/>
            </w:r>
            <w:r w:rsidRPr="003A0A89">
              <w:rPr>
                <w:noProof/>
                <w:webHidden/>
              </w:rPr>
              <w:t>16</w:t>
            </w:r>
            <w:r w:rsidRPr="003A0A89">
              <w:rPr>
                <w:noProof/>
                <w:webHidden/>
              </w:rPr>
              <w:fldChar w:fldCharType="end"/>
            </w:r>
          </w:hyperlink>
        </w:p>
        <w:p w:rsidR="003A0A89" w:rsidRPr="003A0A89" w:rsidRDefault="003A0A89">
          <w:pPr>
            <w:pStyle w:val="TOC1"/>
            <w:tabs>
              <w:tab w:val="right" w:leader="dot" w:pos="9350"/>
            </w:tabs>
            <w:rPr>
              <w:rFonts w:asciiTheme="minorHAnsi" w:eastAsiaTheme="minorEastAsia" w:hAnsiTheme="minorHAnsi"/>
              <w:noProof/>
              <w:kern w:val="2"/>
              <w:sz w:val="24"/>
              <w:szCs w:val="24"/>
              <w14:ligatures w14:val="standardContextual"/>
            </w:rPr>
          </w:pPr>
          <w:hyperlink w:anchor="_Toc224386982" w:history="1">
            <w:r w:rsidRPr="003A0A89">
              <w:rPr>
                <w:rStyle w:val="Hyperlink"/>
                <w:rFonts w:ascii="Arial" w:hAnsi="Arial" w:cs="Arial"/>
                <w:noProof/>
              </w:rPr>
              <w:t>Conclusion</w:t>
            </w:r>
            <w:r w:rsidRPr="003A0A89">
              <w:rPr>
                <w:noProof/>
                <w:webHidden/>
              </w:rPr>
              <w:tab/>
            </w:r>
            <w:r w:rsidRPr="003A0A89">
              <w:rPr>
                <w:noProof/>
                <w:webHidden/>
              </w:rPr>
              <w:fldChar w:fldCharType="begin"/>
            </w:r>
            <w:r w:rsidRPr="003A0A89">
              <w:rPr>
                <w:noProof/>
                <w:webHidden/>
              </w:rPr>
              <w:instrText xml:space="preserve"> PAGEREF _Toc224386982 \h </w:instrText>
            </w:r>
            <w:r w:rsidRPr="003A0A89">
              <w:rPr>
                <w:noProof/>
                <w:webHidden/>
              </w:rPr>
            </w:r>
            <w:r w:rsidRPr="003A0A89">
              <w:rPr>
                <w:noProof/>
                <w:webHidden/>
              </w:rPr>
              <w:fldChar w:fldCharType="separate"/>
            </w:r>
            <w:r w:rsidRPr="003A0A89">
              <w:rPr>
                <w:noProof/>
                <w:webHidden/>
              </w:rPr>
              <w:t>17</w:t>
            </w:r>
            <w:r w:rsidRPr="003A0A89">
              <w:rPr>
                <w:noProof/>
                <w:webHidden/>
              </w:rPr>
              <w:fldChar w:fldCharType="end"/>
            </w:r>
          </w:hyperlink>
        </w:p>
        <w:p w:rsidR="003A0A89" w:rsidRPr="003A0A89" w:rsidRDefault="003A0A89">
          <w:pPr>
            <w:pStyle w:val="TOC1"/>
            <w:tabs>
              <w:tab w:val="right" w:leader="dot" w:pos="9350"/>
            </w:tabs>
            <w:rPr>
              <w:rFonts w:asciiTheme="minorHAnsi" w:eastAsiaTheme="minorEastAsia" w:hAnsiTheme="minorHAnsi"/>
              <w:noProof/>
              <w:kern w:val="2"/>
              <w:sz w:val="24"/>
              <w:szCs w:val="24"/>
              <w14:ligatures w14:val="standardContextual"/>
            </w:rPr>
          </w:pPr>
          <w:hyperlink w:anchor="_Toc224386983" w:history="1">
            <w:r w:rsidRPr="003A0A89">
              <w:rPr>
                <w:rStyle w:val="Hyperlink"/>
                <w:rFonts w:ascii="Arial" w:hAnsi="Arial" w:cs="Arial"/>
                <w:noProof/>
              </w:rPr>
              <w:t>References</w:t>
            </w:r>
            <w:r w:rsidRPr="003A0A89">
              <w:rPr>
                <w:noProof/>
                <w:webHidden/>
              </w:rPr>
              <w:tab/>
            </w:r>
            <w:r w:rsidRPr="003A0A89">
              <w:rPr>
                <w:noProof/>
                <w:webHidden/>
              </w:rPr>
              <w:fldChar w:fldCharType="begin"/>
            </w:r>
            <w:r w:rsidRPr="003A0A89">
              <w:rPr>
                <w:noProof/>
                <w:webHidden/>
              </w:rPr>
              <w:instrText xml:space="preserve"> PAGEREF _Toc224386983 \h </w:instrText>
            </w:r>
            <w:r w:rsidRPr="003A0A89">
              <w:rPr>
                <w:noProof/>
                <w:webHidden/>
              </w:rPr>
            </w:r>
            <w:r w:rsidRPr="003A0A89">
              <w:rPr>
                <w:noProof/>
                <w:webHidden/>
              </w:rPr>
              <w:fldChar w:fldCharType="separate"/>
            </w:r>
            <w:r w:rsidRPr="003A0A89">
              <w:rPr>
                <w:noProof/>
                <w:webHidden/>
              </w:rPr>
              <w:t>19</w:t>
            </w:r>
            <w:r w:rsidRPr="003A0A89">
              <w:rPr>
                <w:noProof/>
                <w:webHidden/>
              </w:rPr>
              <w:fldChar w:fldCharType="end"/>
            </w:r>
          </w:hyperlink>
        </w:p>
        <w:p w:rsidR="0027273A" w:rsidRDefault="0027273A">
          <w:r w:rsidRPr="003A0A89">
            <w:rPr>
              <w:rFonts w:ascii="Arial" w:hAnsi="Arial" w:cs="Arial"/>
              <w:noProof/>
            </w:rPr>
            <w:fldChar w:fldCharType="end"/>
          </w:r>
        </w:p>
      </w:sdtContent>
    </w:sdt>
    <w:p w:rsidR="00AD7250" w:rsidRDefault="00AD7250">
      <w:pPr>
        <w:rPr>
          <w:rFonts w:asciiTheme="majorHAnsi" w:eastAsiaTheme="majorEastAsia" w:hAnsiTheme="majorHAnsi" w:cstheme="majorBidi"/>
          <w:b/>
          <w:bCs/>
          <w:color w:val="365F91" w:themeColor="accent1" w:themeShade="BF"/>
          <w:sz w:val="28"/>
          <w:szCs w:val="28"/>
        </w:rPr>
      </w:pPr>
      <w:r>
        <w:br w:type="page"/>
      </w:r>
    </w:p>
    <w:p w:rsidR="00AC1774" w:rsidRPr="00AD7250" w:rsidRDefault="00000000" w:rsidP="00AD1A47">
      <w:pPr>
        <w:pStyle w:val="Heading1"/>
        <w:rPr>
          <w:rFonts w:ascii="Arial" w:hAnsi="Arial" w:cs="Arial"/>
          <w:color w:val="002060"/>
        </w:rPr>
      </w:pPr>
      <w:bookmarkStart w:id="0" w:name="_Toc224386976"/>
      <w:r w:rsidRPr="00AD7250">
        <w:rPr>
          <w:rFonts w:ascii="Arial" w:hAnsi="Arial" w:cs="Arial"/>
          <w:color w:val="002060"/>
        </w:rPr>
        <w:lastRenderedPageBreak/>
        <w:t>Introduction</w:t>
      </w:r>
      <w:bookmarkEnd w:id="0"/>
    </w:p>
    <w:p w:rsidR="006E717E" w:rsidRDefault="006E717E" w:rsidP="006E717E">
      <w:pPr>
        <w:spacing w:line="360" w:lineRule="auto"/>
        <w:jc w:val="both"/>
        <w:rPr>
          <w:rFonts w:ascii="Arial" w:hAnsi="Arial" w:cs="Arial"/>
        </w:rPr>
      </w:pPr>
      <w:r w:rsidRPr="006E717E">
        <w:rPr>
          <w:rFonts w:ascii="Arial" w:hAnsi="Arial" w:cs="Arial"/>
        </w:rPr>
        <w:t xml:space="preserve">The case of Len entails accidental morphine sulphate oral solution overdose within the community. Len was an 89-year-old man with Charcot-Marie-Tooth disease and was prescribed morphine sulphate 10mg/5ml due to fall-related pain and breathlessness. It was 1.25ml to 2.5ml (2.5mg to 5mg) to a maximum of 4 hourly as needed. At home, Len and his wife gave three doses of 5ml (10mg) in a single day by misunderstanding the dosing direction on the bottle as the strength of the medicine. Len was taken to the hospital with the suspected opioid toxicity and deteriorating respiratory disease and passed away (HSSIB, 2022). </w:t>
      </w:r>
    </w:p>
    <w:p w:rsidR="006E717E" w:rsidRDefault="006E717E" w:rsidP="006E717E">
      <w:pPr>
        <w:spacing w:line="360" w:lineRule="auto"/>
        <w:jc w:val="both"/>
        <w:rPr>
          <w:rFonts w:ascii="Arial" w:hAnsi="Arial" w:cs="Arial"/>
        </w:rPr>
      </w:pPr>
      <w:r w:rsidRPr="006E717E">
        <w:rPr>
          <w:rFonts w:ascii="Arial" w:hAnsi="Arial" w:cs="Arial"/>
        </w:rPr>
        <w:t>This report is meant to explain the reasons as to why the incident took place and what it tells us about leadership and management in safety critical health systems. The concept of leadership in health and social care involves influencing others and managing resources in a way that the common outcomes such as safe, effective and person-</w:t>
      </w:r>
      <w:proofErr w:type="spellStart"/>
      <w:r w:rsidRPr="006E717E">
        <w:rPr>
          <w:rFonts w:ascii="Arial" w:hAnsi="Arial" w:cs="Arial"/>
        </w:rPr>
        <w:t>centred</w:t>
      </w:r>
      <w:proofErr w:type="spellEnd"/>
      <w:r w:rsidRPr="006E717E">
        <w:rPr>
          <w:rFonts w:ascii="Arial" w:hAnsi="Arial" w:cs="Arial"/>
        </w:rPr>
        <w:t xml:space="preserve"> care are </w:t>
      </w:r>
      <w:proofErr w:type="spellStart"/>
      <w:r w:rsidRPr="006E717E">
        <w:rPr>
          <w:rFonts w:ascii="Arial" w:hAnsi="Arial" w:cs="Arial"/>
        </w:rPr>
        <w:t>realised</w:t>
      </w:r>
      <w:proofErr w:type="spellEnd"/>
      <w:r w:rsidRPr="006E717E">
        <w:rPr>
          <w:rFonts w:ascii="Arial" w:hAnsi="Arial" w:cs="Arial"/>
        </w:rPr>
        <w:t xml:space="preserve"> (Edmondson, 1999). These involve </w:t>
      </w:r>
      <w:proofErr w:type="spellStart"/>
      <w:r w:rsidRPr="006E717E">
        <w:rPr>
          <w:rFonts w:ascii="Arial" w:hAnsi="Arial" w:cs="Arial"/>
        </w:rPr>
        <w:t>prioritisation</w:t>
      </w:r>
      <w:proofErr w:type="spellEnd"/>
      <w:r w:rsidRPr="006E717E">
        <w:rPr>
          <w:rFonts w:ascii="Arial" w:hAnsi="Arial" w:cs="Arial"/>
        </w:rPr>
        <w:t xml:space="preserve">, clarification of accountability, facilitation of communication, and establishment of a learning culture that transforms risk indicators to improvement (Northouse, 2022). </w:t>
      </w:r>
    </w:p>
    <w:p w:rsidR="006E717E" w:rsidRDefault="006E717E" w:rsidP="006E717E">
      <w:pPr>
        <w:spacing w:line="360" w:lineRule="auto"/>
        <w:jc w:val="both"/>
        <w:rPr>
          <w:rFonts w:ascii="Arial" w:hAnsi="Arial" w:cs="Arial"/>
        </w:rPr>
      </w:pPr>
      <w:r w:rsidRPr="006E717E">
        <w:rPr>
          <w:rFonts w:ascii="Arial" w:hAnsi="Arial" w:cs="Arial"/>
        </w:rPr>
        <w:t>The broader context is provided by medication safety. WHO estimates that medication errors incur about US 42 billion in cost every year (WHO, 2017). In England, 237 million medication errors are made every year, and 66 million of them may be clinically significant (Elliott et al., 2021). These facts demonstrate that the case of Len is a predictable risk pattern and a system level reaction is warranted as opposed to individual responsibility.</w:t>
      </w:r>
    </w:p>
    <w:p w:rsidR="006E717E" w:rsidRDefault="006E717E" w:rsidP="006E717E">
      <w:pPr>
        <w:spacing w:line="360" w:lineRule="auto"/>
        <w:jc w:val="both"/>
        <w:rPr>
          <w:rFonts w:ascii="Arial" w:hAnsi="Arial" w:cs="Arial"/>
        </w:rPr>
      </w:pPr>
      <w:r w:rsidRPr="006E717E">
        <w:rPr>
          <w:rFonts w:ascii="Arial" w:hAnsi="Arial" w:cs="Arial"/>
        </w:rPr>
        <w:t xml:space="preserve"> Governance structure is also taken into consideration in the report. </w:t>
      </w:r>
      <w:proofErr w:type="spellStart"/>
      <w:r w:rsidRPr="006E717E">
        <w:rPr>
          <w:rFonts w:ascii="Arial" w:hAnsi="Arial" w:cs="Arial"/>
        </w:rPr>
        <w:t>Centralisation</w:t>
      </w:r>
      <w:proofErr w:type="spellEnd"/>
      <w:r w:rsidRPr="006E717E">
        <w:rPr>
          <w:rFonts w:ascii="Arial" w:hAnsi="Arial" w:cs="Arial"/>
        </w:rPr>
        <w:t xml:space="preserve"> is the process where the power and setting the standards is concentrated either at the national level or in the regulatory level. </w:t>
      </w:r>
      <w:proofErr w:type="spellStart"/>
      <w:r w:rsidRPr="006E717E">
        <w:rPr>
          <w:rFonts w:ascii="Arial" w:hAnsi="Arial" w:cs="Arial"/>
        </w:rPr>
        <w:t>Decentralisation</w:t>
      </w:r>
      <w:proofErr w:type="spellEnd"/>
      <w:r w:rsidRPr="006E717E">
        <w:rPr>
          <w:rFonts w:ascii="Arial" w:hAnsi="Arial" w:cs="Arial"/>
        </w:rPr>
        <w:t xml:space="preserve"> devolves decision making to local </w:t>
      </w:r>
      <w:proofErr w:type="spellStart"/>
      <w:r w:rsidRPr="006E717E">
        <w:rPr>
          <w:rFonts w:ascii="Arial" w:hAnsi="Arial" w:cs="Arial"/>
        </w:rPr>
        <w:t>organisations</w:t>
      </w:r>
      <w:proofErr w:type="spellEnd"/>
      <w:r w:rsidRPr="006E717E">
        <w:rPr>
          <w:rFonts w:ascii="Arial" w:hAnsi="Arial" w:cs="Arial"/>
        </w:rPr>
        <w:t xml:space="preserve"> and frontline teams including GP </w:t>
      </w:r>
      <w:proofErr w:type="spellStart"/>
      <w:r w:rsidRPr="006E717E">
        <w:rPr>
          <w:rFonts w:ascii="Arial" w:hAnsi="Arial" w:cs="Arial"/>
        </w:rPr>
        <w:t>practises</w:t>
      </w:r>
      <w:proofErr w:type="spellEnd"/>
      <w:r w:rsidRPr="006E717E">
        <w:rPr>
          <w:rFonts w:ascii="Arial" w:hAnsi="Arial" w:cs="Arial"/>
        </w:rPr>
        <w:t xml:space="preserve"> and community pharmacies. The balance influences the </w:t>
      </w:r>
      <w:proofErr w:type="spellStart"/>
      <w:r w:rsidRPr="006E717E">
        <w:rPr>
          <w:rFonts w:ascii="Arial" w:hAnsi="Arial" w:cs="Arial"/>
        </w:rPr>
        <w:t>standardisation</w:t>
      </w:r>
      <w:proofErr w:type="spellEnd"/>
      <w:r w:rsidRPr="006E717E">
        <w:rPr>
          <w:rFonts w:ascii="Arial" w:hAnsi="Arial" w:cs="Arial"/>
        </w:rPr>
        <w:t xml:space="preserve">, responsiveness and interface risk throughout the medication pathway (Vincent, 2010; Yukl, 2013). </w:t>
      </w:r>
    </w:p>
    <w:p w:rsidR="00C8253A" w:rsidRDefault="00C8253A" w:rsidP="006E717E">
      <w:pPr>
        <w:spacing w:line="360" w:lineRule="auto"/>
        <w:jc w:val="both"/>
        <w:rPr>
          <w:rFonts w:ascii="Arial" w:hAnsi="Arial" w:cs="Arial"/>
        </w:rPr>
      </w:pPr>
      <w:r w:rsidRPr="00C8253A">
        <w:rPr>
          <w:rFonts w:ascii="Arial" w:hAnsi="Arial" w:cs="Arial"/>
        </w:rPr>
        <w:t xml:space="preserve">The leadership debate in this report is based on theories that describe the influence of assumptions on people, leader </w:t>
      </w:r>
      <w:proofErr w:type="spellStart"/>
      <w:r w:rsidRPr="00C8253A">
        <w:rPr>
          <w:rFonts w:ascii="Arial" w:hAnsi="Arial" w:cs="Arial"/>
        </w:rPr>
        <w:t>behaviour</w:t>
      </w:r>
      <w:proofErr w:type="spellEnd"/>
      <w:r w:rsidRPr="00C8253A">
        <w:rPr>
          <w:rFonts w:ascii="Arial" w:hAnsi="Arial" w:cs="Arial"/>
        </w:rPr>
        <w:t xml:space="preserve"> and situation to determine safety outcomes.</w:t>
      </w:r>
      <w:r>
        <w:rPr>
          <w:rFonts w:ascii="Arial" w:hAnsi="Arial" w:cs="Arial"/>
        </w:rPr>
        <w:t xml:space="preserve"> </w:t>
      </w:r>
      <w:r w:rsidR="00767F59">
        <w:rPr>
          <w:rFonts w:ascii="Arial" w:hAnsi="Arial" w:cs="Arial"/>
        </w:rPr>
        <w:t xml:space="preserve">It </w:t>
      </w:r>
      <w:r w:rsidR="00767F59" w:rsidRPr="00C8253A">
        <w:rPr>
          <w:rFonts w:ascii="Arial" w:hAnsi="Arial" w:cs="Arial"/>
        </w:rPr>
        <w:t>focuses</w:t>
      </w:r>
      <w:r w:rsidRPr="00C8253A">
        <w:rPr>
          <w:rFonts w:ascii="Arial" w:hAnsi="Arial" w:cs="Arial"/>
        </w:rPr>
        <w:t xml:space="preserve"> on Theory X, Theory Y and Theory Z, </w:t>
      </w:r>
      <w:proofErr w:type="spellStart"/>
      <w:r w:rsidRPr="00C8253A">
        <w:rPr>
          <w:rFonts w:ascii="Arial" w:hAnsi="Arial" w:cs="Arial"/>
        </w:rPr>
        <w:t>behavioural</w:t>
      </w:r>
      <w:proofErr w:type="spellEnd"/>
      <w:r w:rsidRPr="00C8253A">
        <w:rPr>
          <w:rFonts w:ascii="Arial" w:hAnsi="Arial" w:cs="Arial"/>
        </w:rPr>
        <w:t xml:space="preserve"> theory and the contingency theory pioneered by Fiedler and also critically evaluating the trait theory, Great Man theory and Path-Goal theory as less appropriate or secondary theories to </w:t>
      </w:r>
      <w:proofErr w:type="spellStart"/>
      <w:r w:rsidRPr="00C8253A">
        <w:rPr>
          <w:rFonts w:ascii="Arial" w:hAnsi="Arial" w:cs="Arial"/>
        </w:rPr>
        <w:t>analyse</w:t>
      </w:r>
      <w:proofErr w:type="spellEnd"/>
      <w:r w:rsidRPr="00C8253A">
        <w:rPr>
          <w:rFonts w:ascii="Arial" w:hAnsi="Arial" w:cs="Arial"/>
        </w:rPr>
        <w:t xml:space="preserve"> the case of Len (McGregor, 1960; Ouchi, 1981; Northouse, 2022; Fiedler, 1967).</w:t>
      </w:r>
    </w:p>
    <w:p w:rsidR="006E717E" w:rsidRDefault="006E717E" w:rsidP="006E717E">
      <w:pPr>
        <w:spacing w:line="360" w:lineRule="auto"/>
        <w:jc w:val="both"/>
        <w:rPr>
          <w:rFonts w:ascii="Arial" w:hAnsi="Arial" w:cs="Arial"/>
        </w:rPr>
      </w:pPr>
      <w:r w:rsidRPr="006E717E">
        <w:rPr>
          <w:rFonts w:ascii="Arial" w:hAnsi="Arial" w:cs="Arial"/>
        </w:rPr>
        <w:lastRenderedPageBreak/>
        <w:t xml:space="preserve">Leadership is hence the focus of </w:t>
      </w:r>
      <w:proofErr w:type="spellStart"/>
      <w:r w:rsidRPr="006E717E">
        <w:rPr>
          <w:rFonts w:ascii="Arial" w:hAnsi="Arial" w:cs="Arial"/>
        </w:rPr>
        <w:t>organisational</w:t>
      </w:r>
      <w:proofErr w:type="spellEnd"/>
      <w:r w:rsidRPr="006E717E">
        <w:rPr>
          <w:rFonts w:ascii="Arial" w:hAnsi="Arial" w:cs="Arial"/>
        </w:rPr>
        <w:t xml:space="preserve"> success in healthcare as it connects strategy to reliability in day-to-day operations, culture, staff engagement, quality and safety performance, and </w:t>
      </w:r>
      <w:proofErr w:type="spellStart"/>
      <w:r w:rsidRPr="006E717E">
        <w:rPr>
          <w:rFonts w:ascii="Arial" w:hAnsi="Arial" w:cs="Arial"/>
        </w:rPr>
        <w:t>organisational</w:t>
      </w:r>
      <w:proofErr w:type="spellEnd"/>
      <w:r w:rsidRPr="006E717E">
        <w:rPr>
          <w:rFonts w:ascii="Arial" w:hAnsi="Arial" w:cs="Arial"/>
        </w:rPr>
        <w:t xml:space="preserve"> learning capabilities (Wong et al., 2013). This report will discuss essential concepts in health leadership, such as governance, health systems, system thinking, service development, and efficiency measurement. It will </w:t>
      </w:r>
      <w:proofErr w:type="spellStart"/>
      <w:r w:rsidRPr="006E717E">
        <w:rPr>
          <w:rFonts w:ascii="Arial" w:hAnsi="Arial" w:cs="Arial"/>
        </w:rPr>
        <w:t>analyse</w:t>
      </w:r>
      <w:proofErr w:type="spellEnd"/>
      <w:r w:rsidRPr="006E717E">
        <w:rPr>
          <w:rFonts w:ascii="Arial" w:hAnsi="Arial" w:cs="Arial"/>
        </w:rPr>
        <w:t xml:space="preserve"> the role of leadership </w:t>
      </w:r>
      <w:r>
        <w:rPr>
          <w:rFonts w:ascii="Arial" w:hAnsi="Arial" w:cs="Arial"/>
        </w:rPr>
        <w:t>and l</w:t>
      </w:r>
      <w:r w:rsidRPr="006E717E">
        <w:rPr>
          <w:rFonts w:ascii="Arial" w:hAnsi="Arial" w:cs="Arial"/>
        </w:rPr>
        <w:t xml:space="preserve">astly it will show how systems thinking and analysis can be </w:t>
      </w:r>
      <w:proofErr w:type="spellStart"/>
      <w:r w:rsidRPr="006E717E">
        <w:rPr>
          <w:rFonts w:ascii="Arial" w:hAnsi="Arial" w:cs="Arial"/>
        </w:rPr>
        <w:t>utilised</w:t>
      </w:r>
      <w:proofErr w:type="spellEnd"/>
      <w:r w:rsidRPr="006E717E">
        <w:rPr>
          <w:rFonts w:ascii="Arial" w:hAnsi="Arial" w:cs="Arial"/>
        </w:rPr>
        <w:t xml:space="preserve"> to enhance health and social care outcomes.</w:t>
      </w:r>
    </w:p>
    <w:p w:rsidR="00AC1774" w:rsidRPr="00BE409F" w:rsidRDefault="00BE409F" w:rsidP="00BE409F">
      <w:pPr>
        <w:spacing w:line="360" w:lineRule="auto"/>
        <w:jc w:val="center"/>
        <w:rPr>
          <w:rFonts w:ascii="Arial" w:hAnsi="Arial" w:cs="Arial"/>
        </w:rPr>
      </w:pPr>
      <w:r>
        <w:rPr>
          <w:rFonts w:ascii="Arial" w:hAnsi="Arial" w:cs="Arial"/>
          <w:noProof/>
        </w:rPr>
        <w:drawing>
          <wp:inline distT="0" distB="0" distL="0" distR="0" wp14:anchorId="3CBF6728">
            <wp:extent cx="4714791" cy="2667000"/>
            <wp:effectExtent l="0" t="0" r="0" b="0"/>
            <wp:docPr id="9991702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2730" cy="2682804"/>
                    </a:xfrm>
                    <a:prstGeom prst="rect">
                      <a:avLst/>
                    </a:prstGeom>
                    <a:noFill/>
                  </pic:spPr>
                </pic:pic>
              </a:graphicData>
            </a:graphic>
          </wp:inline>
        </w:drawing>
      </w:r>
    </w:p>
    <w:p w:rsidR="006E717E" w:rsidRPr="00CB4E8B" w:rsidRDefault="006E717E" w:rsidP="00BE409F">
      <w:pPr>
        <w:jc w:val="center"/>
        <w:rPr>
          <w:rFonts w:ascii="Arial" w:hAnsi="Arial" w:cs="Arial"/>
        </w:rPr>
      </w:pPr>
      <w:r w:rsidRPr="00CB4E8B">
        <w:rPr>
          <w:rFonts w:ascii="Arial" w:hAnsi="Arial" w:cs="Arial"/>
        </w:rPr>
        <w:t xml:space="preserve">Figure 1: </w:t>
      </w:r>
      <w:r w:rsidRPr="00CB4E8B">
        <w:rPr>
          <w:rFonts w:ascii="Arial" w:hAnsi="Arial" w:cs="Arial"/>
          <w:i/>
        </w:rPr>
        <w:t>Estimated distribution of medication errors by care setting in England (Elliott et al., 2021).</w:t>
      </w:r>
    </w:p>
    <w:p w:rsidR="00AC1774" w:rsidRPr="003A0A89" w:rsidRDefault="00000000" w:rsidP="003A0A89">
      <w:pPr>
        <w:pStyle w:val="Heading1"/>
        <w:rPr>
          <w:rFonts w:ascii="Arial" w:hAnsi="Arial" w:cs="Arial"/>
          <w:color w:val="auto"/>
        </w:rPr>
      </w:pPr>
      <w:bookmarkStart w:id="1" w:name="_Toc224386977"/>
      <w:r w:rsidRPr="003A0A89">
        <w:rPr>
          <w:rFonts w:ascii="Arial" w:hAnsi="Arial" w:cs="Arial"/>
        </w:rPr>
        <w:t xml:space="preserve">Part A: </w:t>
      </w:r>
      <w:r w:rsidR="00AD7250" w:rsidRPr="003A0A89">
        <w:rPr>
          <w:rFonts w:ascii="Arial" w:hAnsi="Arial" w:cs="Arial"/>
        </w:rPr>
        <w:t>Identifying the Problem and Setting the System Context</w:t>
      </w:r>
      <w:bookmarkEnd w:id="1"/>
    </w:p>
    <w:p w:rsidR="00A0784F" w:rsidRDefault="00A0784F" w:rsidP="00A0784F">
      <w:pPr>
        <w:spacing w:line="360" w:lineRule="auto"/>
        <w:jc w:val="both"/>
        <w:rPr>
          <w:rFonts w:ascii="Arial" w:hAnsi="Arial" w:cs="Arial"/>
        </w:rPr>
      </w:pPr>
      <w:r w:rsidRPr="00A0784F">
        <w:rPr>
          <w:rFonts w:ascii="Arial" w:hAnsi="Arial" w:cs="Arial"/>
        </w:rPr>
        <w:t xml:space="preserve">This section determines the key issue in the case of Len through systems thinking and locates it in both international and national medication safety evidence. It is argued that the gist of the case is that the overdose was an expected system failure that was influenced by leadership and management choices regarding communication, verification, and learning along the prescribing- dispensing-home administration pathway. </w:t>
      </w:r>
    </w:p>
    <w:p w:rsidR="00A0784F" w:rsidRDefault="00A0784F" w:rsidP="00A0784F">
      <w:pPr>
        <w:spacing w:line="360" w:lineRule="auto"/>
        <w:jc w:val="both"/>
        <w:rPr>
          <w:rFonts w:ascii="Arial" w:hAnsi="Arial" w:cs="Arial"/>
        </w:rPr>
      </w:pPr>
      <w:r w:rsidRPr="00A0784F">
        <w:rPr>
          <w:rFonts w:ascii="Arial" w:hAnsi="Arial" w:cs="Arial"/>
        </w:rPr>
        <w:t xml:space="preserve">The main issue is the accidental overdose of opioids in the community, which was caused by a breakdown in communication and usability of the medication. Len (89) and his wife misunderstood the label of the medicine strength on the bottle to mean the dosing and gave his wife three doses of 5ml (10mg) of the medicine in a day. The suspected consequences were suspected opioid toxicity, hospital admission, deterioration, and death (HSSIB, 2022). Regarding leadership, the problem is not only in patient misunderstanding but in the inability to design the system in such a </w:t>
      </w:r>
      <w:r w:rsidRPr="00A0784F">
        <w:rPr>
          <w:rFonts w:ascii="Arial" w:hAnsi="Arial" w:cs="Arial"/>
        </w:rPr>
        <w:lastRenderedPageBreak/>
        <w:t xml:space="preserve">way that doing the right thing was apparent and knowing was confirmed in the case of a high-alert medicine taken at home. </w:t>
      </w:r>
    </w:p>
    <w:p w:rsidR="00A0784F" w:rsidRDefault="00A0784F" w:rsidP="00A0784F">
      <w:pPr>
        <w:spacing w:line="360" w:lineRule="auto"/>
        <w:jc w:val="both"/>
        <w:rPr>
          <w:rFonts w:ascii="Arial" w:hAnsi="Arial" w:cs="Arial"/>
        </w:rPr>
      </w:pPr>
      <w:r w:rsidRPr="00A0784F">
        <w:rPr>
          <w:rFonts w:ascii="Arial" w:hAnsi="Arial" w:cs="Arial"/>
        </w:rPr>
        <w:t xml:space="preserve">The global health agency, the World Health </w:t>
      </w:r>
      <w:proofErr w:type="spellStart"/>
      <w:r w:rsidRPr="00A0784F">
        <w:rPr>
          <w:rFonts w:ascii="Arial" w:hAnsi="Arial" w:cs="Arial"/>
        </w:rPr>
        <w:t>Organisation</w:t>
      </w:r>
      <w:proofErr w:type="spellEnd"/>
      <w:r w:rsidRPr="00A0784F">
        <w:rPr>
          <w:rFonts w:ascii="Arial" w:hAnsi="Arial" w:cs="Arial"/>
        </w:rPr>
        <w:t>, defines medication errors as a significant source of preventable harm, estimating the cost in the US alone at US$42 billion each year (WHO, 2017; Donaldson et al., 2017). Elliott et al. (2021) in England estimate 237 million medication errors per year, with the risk being primary care focused. The case of Len is thus an indication of a systematic weakness in the system and not just a single incident.</w:t>
      </w:r>
    </w:p>
    <w:p w:rsidR="00C531C3" w:rsidRPr="00C531C3" w:rsidRDefault="00C531C3">
      <w:pPr>
        <w:rPr>
          <w:rFonts w:ascii="Arial" w:hAnsi="Arial" w:cs="Arial"/>
        </w:rPr>
      </w:pPr>
      <w:r w:rsidRPr="00C531C3">
        <w:rPr>
          <w:rFonts w:ascii="Arial" w:hAnsi="Arial" w:cs="Arial"/>
        </w:rPr>
        <w:t>Table 1: Selected national and international indicators relevant to medication safety</w:t>
      </w:r>
    </w:p>
    <w:tbl>
      <w:tblPr>
        <w:tblStyle w:val="TableGrid"/>
        <w:tblW w:w="0" w:type="auto"/>
        <w:tblInd w:w="108" w:type="dxa"/>
        <w:tblLook w:val="04A0" w:firstRow="1" w:lastRow="0" w:firstColumn="1" w:lastColumn="0" w:noHBand="0" w:noVBand="1"/>
      </w:tblPr>
      <w:tblGrid>
        <w:gridCol w:w="2047"/>
        <w:gridCol w:w="2790"/>
        <w:gridCol w:w="4405"/>
      </w:tblGrid>
      <w:tr w:rsidR="00C531C3" w:rsidRPr="00C531C3" w:rsidTr="003A0A89">
        <w:tc>
          <w:tcPr>
            <w:tcW w:w="2047" w:type="dxa"/>
          </w:tcPr>
          <w:p w:rsidR="00C531C3" w:rsidRPr="00C531C3" w:rsidRDefault="00C531C3" w:rsidP="00C531C3">
            <w:pPr>
              <w:spacing w:line="360" w:lineRule="auto"/>
              <w:rPr>
                <w:rFonts w:ascii="Arial" w:hAnsi="Arial" w:cs="Arial"/>
                <w:b/>
                <w:bCs/>
              </w:rPr>
            </w:pPr>
            <w:r w:rsidRPr="00C531C3">
              <w:rPr>
                <w:rFonts w:ascii="Arial" w:hAnsi="Arial" w:cs="Arial"/>
                <w:b/>
                <w:bCs/>
              </w:rPr>
              <w:t>Source</w:t>
            </w:r>
          </w:p>
        </w:tc>
        <w:tc>
          <w:tcPr>
            <w:tcW w:w="2790" w:type="dxa"/>
          </w:tcPr>
          <w:p w:rsidR="00C531C3" w:rsidRPr="00C531C3" w:rsidRDefault="00C531C3" w:rsidP="00C531C3">
            <w:pPr>
              <w:spacing w:line="360" w:lineRule="auto"/>
              <w:rPr>
                <w:rFonts w:ascii="Arial" w:hAnsi="Arial" w:cs="Arial"/>
                <w:b/>
                <w:bCs/>
              </w:rPr>
            </w:pPr>
            <w:r w:rsidRPr="00C531C3">
              <w:rPr>
                <w:rFonts w:ascii="Arial" w:hAnsi="Arial" w:cs="Arial"/>
                <w:b/>
                <w:bCs/>
              </w:rPr>
              <w:t>Statistic</w:t>
            </w:r>
          </w:p>
        </w:tc>
        <w:tc>
          <w:tcPr>
            <w:tcW w:w="4405" w:type="dxa"/>
          </w:tcPr>
          <w:p w:rsidR="00C531C3" w:rsidRPr="00C531C3" w:rsidRDefault="00C531C3" w:rsidP="00C531C3">
            <w:pPr>
              <w:spacing w:line="360" w:lineRule="auto"/>
              <w:rPr>
                <w:rFonts w:ascii="Arial" w:hAnsi="Arial" w:cs="Arial"/>
                <w:b/>
                <w:bCs/>
              </w:rPr>
            </w:pPr>
            <w:r w:rsidRPr="00C531C3">
              <w:rPr>
                <w:rFonts w:ascii="Arial" w:hAnsi="Arial" w:cs="Arial"/>
                <w:b/>
                <w:bCs/>
              </w:rPr>
              <w:t>Leadership relevance for Len’s case</w:t>
            </w:r>
          </w:p>
        </w:tc>
      </w:tr>
      <w:tr w:rsidR="00C531C3" w:rsidRPr="00C531C3" w:rsidTr="003A0A89">
        <w:tc>
          <w:tcPr>
            <w:tcW w:w="2047" w:type="dxa"/>
          </w:tcPr>
          <w:p w:rsidR="00C531C3" w:rsidRPr="00C531C3" w:rsidRDefault="00C531C3" w:rsidP="00C531C3">
            <w:pPr>
              <w:spacing w:line="360" w:lineRule="auto"/>
              <w:rPr>
                <w:rFonts w:ascii="Arial" w:hAnsi="Arial" w:cs="Arial"/>
              </w:rPr>
            </w:pPr>
            <w:r w:rsidRPr="00C531C3">
              <w:rPr>
                <w:rFonts w:ascii="Arial" w:hAnsi="Arial" w:cs="Arial"/>
              </w:rPr>
              <w:t>WHO (2017); Donaldson et al. (2017)</w:t>
            </w:r>
          </w:p>
        </w:tc>
        <w:tc>
          <w:tcPr>
            <w:tcW w:w="2790" w:type="dxa"/>
          </w:tcPr>
          <w:p w:rsidR="00C531C3" w:rsidRPr="00C531C3" w:rsidRDefault="00C531C3" w:rsidP="00C531C3">
            <w:pPr>
              <w:spacing w:line="360" w:lineRule="auto"/>
              <w:rPr>
                <w:rFonts w:ascii="Arial" w:hAnsi="Arial" w:cs="Arial"/>
              </w:rPr>
            </w:pPr>
            <w:r w:rsidRPr="00C531C3">
              <w:rPr>
                <w:rFonts w:ascii="Arial" w:hAnsi="Arial" w:cs="Arial"/>
              </w:rPr>
              <w:t>Medication errors cost ~US$42B annually</w:t>
            </w:r>
          </w:p>
        </w:tc>
        <w:tc>
          <w:tcPr>
            <w:tcW w:w="4405" w:type="dxa"/>
          </w:tcPr>
          <w:p w:rsidR="00C531C3" w:rsidRPr="00C531C3" w:rsidRDefault="00C531C3" w:rsidP="00C531C3">
            <w:pPr>
              <w:spacing w:line="360" w:lineRule="auto"/>
              <w:rPr>
                <w:rFonts w:ascii="Arial" w:hAnsi="Arial" w:cs="Arial"/>
              </w:rPr>
            </w:pPr>
            <w:r w:rsidRPr="00C531C3">
              <w:rPr>
                <w:rFonts w:ascii="Arial" w:hAnsi="Arial" w:cs="Arial"/>
              </w:rPr>
              <w:t>Justifies system-wide leadership focus on engineered controls and learning, not reliance on vigilance.</w:t>
            </w:r>
          </w:p>
        </w:tc>
      </w:tr>
      <w:tr w:rsidR="00C531C3" w:rsidRPr="00C531C3" w:rsidTr="003A0A89">
        <w:tc>
          <w:tcPr>
            <w:tcW w:w="2047" w:type="dxa"/>
          </w:tcPr>
          <w:p w:rsidR="00C531C3" w:rsidRPr="00C531C3" w:rsidRDefault="00C531C3" w:rsidP="00C531C3">
            <w:pPr>
              <w:spacing w:line="360" w:lineRule="auto"/>
              <w:rPr>
                <w:rFonts w:ascii="Arial" w:hAnsi="Arial" w:cs="Arial"/>
              </w:rPr>
            </w:pPr>
            <w:r w:rsidRPr="00C531C3">
              <w:rPr>
                <w:rFonts w:ascii="Arial" w:hAnsi="Arial" w:cs="Arial"/>
              </w:rPr>
              <w:t>Elliott et al. (2021)</w:t>
            </w:r>
          </w:p>
        </w:tc>
        <w:tc>
          <w:tcPr>
            <w:tcW w:w="2790" w:type="dxa"/>
          </w:tcPr>
          <w:p w:rsidR="00C531C3" w:rsidRPr="00C531C3" w:rsidRDefault="00C531C3" w:rsidP="00C531C3">
            <w:pPr>
              <w:spacing w:line="360" w:lineRule="auto"/>
              <w:rPr>
                <w:rFonts w:ascii="Arial" w:hAnsi="Arial" w:cs="Arial"/>
              </w:rPr>
            </w:pPr>
            <w:r w:rsidRPr="00C531C3">
              <w:rPr>
                <w:rFonts w:ascii="Arial" w:hAnsi="Arial" w:cs="Arial"/>
              </w:rPr>
              <w:t>England: 237M errors/year</w:t>
            </w:r>
          </w:p>
        </w:tc>
        <w:tc>
          <w:tcPr>
            <w:tcW w:w="4405" w:type="dxa"/>
          </w:tcPr>
          <w:p w:rsidR="00C531C3" w:rsidRPr="00C531C3" w:rsidRDefault="00C531C3" w:rsidP="00C531C3">
            <w:pPr>
              <w:spacing w:line="360" w:lineRule="auto"/>
              <w:rPr>
                <w:rFonts w:ascii="Arial" w:hAnsi="Arial" w:cs="Arial"/>
              </w:rPr>
            </w:pPr>
            <w:r w:rsidRPr="00C531C3">
              <w:rPr>
                <w:rFonts w:ascii="Arial" w:hAnsi="Arial" w:cs="Arial"/>
              </w:rPr>
              <w:t xml:space="preserve">Shows routine work generates high risk; leaders should </w:t>
            </w:r>
            <w:proofErr w:type="spellStart"/>
            <w:r w:rsidRPr="00C531C3">
              <w:rPr>
                <w:rFonts w:ascii="Arial" w:hAnsi="Arial" w:cs="Arial"/>
              </w:rPr>
              <w:t>standardise</w:t>
            </w:r>
            <w:proofErr w:type="spellEnd"/>
            <w:r w:rsidRPr="00C531C3">
              <w:rPr>
                <w:rFonts w:ascii="Arial" w:hAnsi="Arial" w:cs="Arial"/>
              </w:rPr>
              <w:t xml:space="preserve"> high-alert medicine pathways and monitor reliability.</w:t>
            </w:r>
          </w:p>
        </w:tc>
      </w:tr>
      <w:tr w:rsidR="00C531C3" w:rsidRPr="00C531C3" w:rsidTr="003A0A89">
        <w:tc>
          <w:tcPr>
            <w:tcW w:w="2047" w:type="dxa"/>
          </w:tcPr>
          <w:p w:rsidR="00C531C3" w:rsidRPr="00C531C3" w:rsidRDefault="00C531C3" w:rsidP="00C531C3">
            <w:pPr>
              <w:spacing w:line="360" w:lineRule="auto"/>
              <w:rPr>
                <w:rFonts w:ascii="Arial" w:hAnsi="Arial" w:cs="Arial"/>
              </w:rPr>
            </w:pPr>
            <w:r w:rsidRPr="00C531C3">
              <w:rPr>
                <w:rFonts w:ascii="Arial" w:hAnsi="Arial" w:cs="Arial"/>
              </w:rPr>
              <w:t>Elliott et al. (2021)</w:t>
            </w:r>
          </w:p>
        </w:tc>
        <w:tc>
          <w:tcPr>
            <w:tcW w:w="2790" w:type="dxa"/>
          </w:tcPr>
          <w:p w:rsidR="00C531C3" w:rsidRPr="00C531C3" w:rsidRDefault="00C531C3" w:rsidP="00C531C3">
            <w:pPr>
              <w:spacing w:line="360" w:lineRule="auto"/>
              <w:rPr>
                <w:rFonts w:ascii="Arial" w:hAnsi="Arial" w:cs="Arial"/>
              </w:rPr>
            </w:pPr>
            <w:r w:rsidRPr="00C531C3">
              <w:rPr>
                <w:rFonts w:ascii="Arial" w:hAnsi="Arial" w:cs="Arial"/>
              </w:rPr>
              <w:t>66M potentially clinically significant errors/year</w:t>
            </w:r>
          </w:p>
        </w:tc>
        <w:tc>
          <w:tcPr>
            <w:tcW w:w="4405" w:type="dxa"/>
          </w:tcPr>
          <w:p w:rsidR="00C531C3" w:rsidRPr="00C531C3" w:rsidRDefault="00C531C3" w:rsidP="00C531C3">
            <w:pPr>
              <w:spacing w:line="360" w:lineRule="auto"/>
              <w:rPr>
                <w:rFonts w:ascii="Arial" w:hAnsi="Arial" w:cs="Arial"/>
              </w:rPr>
            </w:pPr>
            <w:r w:rsidRPr="00C531C3">
              <w:rPr>
                <w:rFonts w:ascii="Arial" w:hAnsi="Arial" w:cs="Arial"/>
              </w:rPr>
              <w:t>Supports enhanced controls for opioids and vulnerable patients (verification, follow-up, escalation).</w:t>
            </w:r>
          </w:p>
        </w:tc>
      </w:tr>
      <w:tr w:rsidR="00C531C3" w:rsidRPr="00C531C3" w:rsidTr="003A0A89">
        <w:tc>
          <w:tcPr>
            <w:tcW w:w="2047" w:type="dxa"/>
          </w:tcPr>
          <w:p w:rsidR="00C531C3" w:rsidRPr="00C531C3" w:rsidRDefault="00C531C3" w:rsidP="00C531C3">
            <w:pPr>
              <w:spacing w:line="360" w:lineRule="auto"/>
              <w:rPr>
                <w:rFonts w:ascii="Arial" w:hAnsi="Arial" w:cs="Arial"/>
              </w:rPr>
            </w:pPr>
            <w:r w:rsidRPr="00C531C3">
              <w:rPr>
                <w:rFonts w:ascii="Arial" w:hAnsi="Arial" w:cs="Arial"/>
              </w:rPr>
              <w:t>Elliott et al. (2021)</w:t>
            </w:r>
          </w:p>
        </w:tc>
        <w:tc>
          <w:tcPr>
            <w:tcW w:w="2790" w:type="dxa"/>
          </w:tcPr>
          <w:p w:rsidR="00C531C3" w:rsidRPr="00C531C3" w:rsidRDefault="00C531C3" w:rsidP="00C531C3">
            <w:pPr>
              <w:spacing w:line="360" w:lineRule="auto"/>
              <w:rPr>
                <w:rFonts w:ascii="Arial" w:hAnsi="Arial" w:cs="Arial"/>
              </w:rPr>
            </w:pPr>
            <w:r w:rsidRPr="00C531C3">
              <w:rPr>
                <w:rFonts w:ascii="Arial" w:hAnsi="Arial" w:cs="Arial"/>
              </w:rPr>
              <w:t>38.4% of errors occur in primary care</w:t>
            </w:r>
          </w:p>
        </w:tc>
        <w:tc>
          <w:tcPr>
            <w:tcW w:w="4405" w:type="dxa"/>
          </w:tcPr>
          <w:p w:rsidR="00C531C3" w:rsidRPr="00C531C3" w:rsidRDefault="00C531C3" w:rsidP="00C531C3">
            <w:pPr>
              <w:spacing w:line="360" w:lineRule="auto"/>
              <w:rPr>
                <w:rFonts w:ascii="Arial" w:hAnsi="Arial" w:cs="Arial"/>
              </w:rPr>
            </w:pPr>
            <w:r w:rsidRPr="00C531C3">
              <w:rPr>
                <w:rFonts w:ascii="Arial" w:hAnsi="Arial" w:cs="Arial"/>
              </w:rPr>
              <w:t>Directly aligns with GP–pharmacy–home pathway in this case.</w:t>
            </w:r>
          </w:p>
        </w:tc>
      </w:tr>
      <w:tr w:rsidR="00C531C3" w:rsidRPr="00C531C3" w:rsidTr="003A0A89">
        <w:tc>
          <w:tcPr>
            <w:tcW w:w="2047" w:type="dxa"/>
          </w:tcPr>
          <w:p w:rsidR="00C531C3" w:rsidRPr="00C531C3" w:rsidRDefault="00C531C3" w:rsidP="00C531C3">
            <w:pPr>
              <w:spacing w:line="360" w:lineRule="auto"/>
              <w:rPr>
                <w:rFonts w:ascii="Arial" w:hAnsi="Arial" w:cs="Arial"/>
              </w:rPr>
            </w:pPr>
            <w:r w:rsidRPr="00C531C3">
              <w:rPr>
                <w:rFonts w:ascii="Arial" w:hAnsi="Arial" w:cs="Arial"/>
              </w:rPr>
              <w:t>Elliott et al. (2021)</w:t>
            </w:r>
          </w:p>
        </w:tc>
        <w:tc>
          <w:tcPr>
            <w:tcW w:w="2790" w:type="dxa"/>
          </w:tcPr>
          <w:p w:rsidR="00C531C3" w:rsidRPr="00C531C3" w:rsidRDefault="00C531C3" w:rsidP="00C531C3">
            <w:pPr>
              <w:spacing w:line="360" w:lineRule="auto"/>
              <w:rPr>
                <w:rFonts w:ascii="Arial" w:hAnsi="Arial" w:cs="Arial"/>
              </w:rPr>
            </w:pPr>
            <w:r w:rsidRPr="00C531C3">
              <w:rPr>
                <w:rFonts w:ascii="Arial" w:hAnsi="Arial" w:cs="Arial"/>
              </w:rPr>
              <w:t>34% of clinically significant errors from primary care prescribing</w:t>
            </w:r>
          </w:p>
        </w:tc>
        <w:tc>
          <w:tcPr>
            <w:tcW w:w="4405" w:type="dxa"/>
          </w:tcPr>
          <w:p w:rsidR="00C531C3" w:rsidRPr="00C531C3" w:rsidRDefault="00C531C3" w:rsidP="00C531C3">
            <w:pPr>
              <w:spacing w:line="360" w:lineRule="auto"/>
              <w:rPr>
                <w:rFonts w:ascii="Arial" w:hAnsi="Arial" w:cs="Arial"/>
              </w:rPr>
            </w:pPr>
            <w:r w:rsidRPr="00C531C3">
              <w:rPr>
                <w:rFonts w:ascii="Arial" w:hAnsi="Arial" w:cs="Arial"/>
              </w:rPr>
              <w:t>Signals a hotspot for leadership action on prescribing communication and safety netting.</w:t>
            </w:r>
          </w:p>
        </w:tc>
      </w:tr>
    </w:tbl>
    <w:p w:rsidR="00A0784F" w:rsidRDefault="00A0784F"/>
    <w:p w:rsidR="00A0784F" w:rsidRPr="00A0784F" w:rsidRDefault="00A0784F" w:rsidP="00A0784F">
      <w:pPr>
        <w:spacing w:line="360" w:lineRule="auto"/>
        <w:jc w:val="both"/>
        <w:rPr>
          <w:rFonts w:ascii="Arial" w:hAnsi="Arial" w:cs="Arial"/>
        </w:rPr>
      </w:pPr>
      <w:r w:rsidRPr="00A0784F">
        <w:rPr>
          <w:rFonts w:ascii="Arial" w:hAnsi="Arial" w:cs="Arial"/>
        </w:rPr>
        <w:t>Systems thinking describes why the overdose was not an isolated case. The model by James Reason highlights the fact that harm is caused when a combination of defenses is weak simultaneously (Reason, 2000). Safety in the pathway of Len was subject to the written information being observed and correctly interpreted at home. Based on the SEIPS lens</w:t>
      </w:r>
      <w:r>
        <w:rPr>
          <w:rFonts w:ascii="Arial" w:hAnsi="Arial" w:cs="Arial"/>
        </w:rPr>
        <w:t xml:space="preserve">, </w:t>
      </w:r>
      <w:r w:rsidRPr="00A0784F">
        <w:rPr>
          <w:rFonts w:ascii="Arial" w:hAnsi="Arial" w:cs="Arial"/>
        </w:rPr>
        <w:t xml:space="preserve">the result is an expression of the interactions between people (older patient and spouse), tasks (low-volume PRN dosing), tools (strength label and dosing label not co-located), the home environment (limited supervision), and </w:t>
      </w:r>
      <w:proofErr w:type="spellStart"/>
      <w:r w:rsidRPr="00A0784F">
        <w:rPr>
          <w:rFonts w:ascii="Arial" w:hAnsi="Arial" w:cs="Arial"/>
        </w:rPr>
        <w:t>organisational</w:t>
      </w:r>
      <w:proofErr w:type="spellEnd"/>
      <w:r w:rsidRPr="00A0784F">
        <w:rPr>
          <w:rFonts w:ascii="Arial" w:hAnsi="Arial" w:cs="Arial"/>
        </w:rPr>
        <w:t xml:space="preserve"> conditions (time and workload pressures that may reduce counselling and verification)</w:t>
      </w:r>
      <w:r>
        <w:rPr>
          <w:rFonts w:ascii="Arial" w:hAnsi="Arial" w:cs="Arial"/>
        </w:rPr>
        <w:t xml:space="preserve"> </w:t>
      </w:r>
      <w:r w:rsidRPr="00A0784F">
        <w:rPr>
          <w:rFonts w:ascii="Arial" w:hAnsi="Arial" w:cs="Arial"/>
        </w:rPr>
        <w:t>(</w:t>
      </w:r>
      <w:proofErr w:type="spellStart"/>
      <w:r w:rsidRPr="00A0784F">
        <w:rPr>
          <w:rFonts w:ascii="Arial" w:hAnsi="Arial" w:cs="Arial"/>
        </w:rPr>
        <w:t>Carayon</w:t>
      </w:r>
      <w:proofErr w:type="spellEnd"/>
      <w:r w:rsidRPr="00A0784F">
        <w:rPr>
          <w:rFonts w:ascii="Arial" w:hAnsi="Arial" w:cs="Arial"/>
        </w:rPr>
        <w:t xml:space="preserve"> et al., 2006; Holden et al., 2013). A failure of leadership is </w:t>
      </w:r>
      <w:r w:rsidRPr="00A0784F">
        <w:rPr>
          <w:rFonts w:ascii="Arial" w:hAnsi="Arial" w:cs="Arial"/>
        </w:rPr>
        <w:lastRenderedPageBreak/>
        <w:t xml:space="preserve">evident in the system which uses passive controls as opposed to verification and design which lessen cognitive load. </w:t>
      </w:r>
    </w:p>
    <w:p w:rsidR="00767F59" w:rsidRDefault="00767F59" w:rsidP="00A0784F">
      <w:pPr>
        <w:spacing w:line="360" w:lineRule="auto"/>
        <w:jc w:val="both"/>
        <w:rPr>
          <w:rFonts w:ascii="Arial" w:hAnsi="Arial" w:cs="Arial"/>
        </w:rPr>
      </w:pPr>
      <w:r w:rsidRPr="00767F59">
        <w:rPr>
          <w:rFonts w:ascii="Arial" w:hAnsi="Arial" w:cs="Arial"/>
        </w:rPr>
        <w:t xml:space="preserve">Four systemic weaknesses can be identified in terms of leadership and management. First, communication was considered as transmission and not confirmation: the system thought that a label was comprehending, but not a high-alert opioid required a teach-back cheque. Second, the interface responsibility was inadequate: no single role existed that would focus on the handover of GP-pharmacy-home, the risk controls were split between </w:t>
      </w:r>
      <w:proofErr w:type="spellStart"/>
      <w:r w:rsidRPr="00767F59">
        <w:rPr>
          <w:rFonts w:ascii="Arial" w:hAnsi="Arial" w:cs="Arial"/>
        </w:rPr>
        <w:t>organisations</w:t>
      </w:r>
      <w:proofErr w:type="spellEnd"/>
      <w:r w:rsidRPr="00767F59">
        <w:rPr>
          <w:rFonts w:ascii="Arial" w:hAnsi="Arial" w:cs="Arial"/>
        </w:rPr>
        <w:t xml:space="preserve"> (Carol Wong et al. 2013). Third, training was not visible or the standard work</w:t>
      </w:r>
      <w:r w:rsidR="004F6E06">
        <w:rPr>
          <w:rFonts w:ascii="Arial" w:hAnsi="Arial" w:cs="Arial"/>
        </w:rPr>
        <w:t>. S</w:t>
      </w:r>
      <w:r w:rsidR="004F6E06" w:rsidRPr="00767F59">
        <w:rPr>
          <w:rFonts w:ascii="Arial" w:hAnsi="Arial" w:cs="Arial"/>
        </w:rPr>
        <w:t>o,</w:t>
      </w:r>
      <w:r w:rsidRPr="00767F59">
        <w:rPr>
          <w:rFonts w:ascii="Arial" w:hAnsi="Arial" w:cs="Arial"/>
        </w:rPr>
        <w:t xml:space="preserve"> unless the delivery of improved counselling on opioids is </w:t>
      </w:r>
      <w:proofErr w:type="spellStart"/>
      <w:r w:rsidRPr="00767F59">
        <w:rPr>
          <w:rFonts w:ascii="Arial" w:hAnsi="Arial" w:cs="Arial"/>
        </w:rPr>
        <w:t>standardised</w:t>
      </w:r>
      <w:proofErr w:type="spellEnd"/>
      <w:r w:rsidRPr="00767F59">
        <w:rPr>
          <w:rFonts w:ascii="Arial" w:hAnsi="Arial" w:cs="Arial"/>
        </w:rPr>
        <w:t xml:space="preserve"> and audited the delivery of improved counselling will be skewed between workload and practise. Fourth, the escalation and monitoring process was not strong enough: the at-risk patients who start using opioids at home should have noticeable warning signs and follow-ups, which are not typically implemented. All these weaknesses are connected, and it can be concluded that the incident shows the issue in the system design and leadership control, but not a single human error.</w:t>
      </w:r>
    </w:p>
    <w:p w:rsidR="00767F59" w:rsidRDefault="00767F59" w:rsidP="00A0784F">
      <w:pPr>
        <w:spacing w:line="360" w:lineRule="auto"/>
        <w:jc w:val="both"/>
        <w:rPr>
          <w:rFonts w:ascii="Arial" w:hAnsi="Arial" w:cs="Arial"/>
        </w:rPr>
      </w:pPr>
      <w:r w:rsidRPr="00767F59">
        <w:rPr>
          <w:rFonts w:ascii="Arial" w:hAnsi="Arial" w:cs="Arial"/>
        </w:rPr>
        <w:t xml:space="preserve">The incident is facilitated by both the national and the local governance. National decisions have an effect on the medicine’s regulation, packaging and labelling standards and safety priorities. The way in which dosing advice is communicated, whether high-vigilance drugs result in more counselling and teach-back tests, and whether vulnerable patients are to be contacted are all local governance in GP </w:t>
      </w:r>
      <w:proofErr w:type="spellStart"/>
      <w:r w:rsidRPr="00767F59">
        <w:rPr>
          <w:rFonts w:ascii="Arial" w:hAnsi="Arial" w:cs="Arial"/>
        </w:rPr>
        <w:t>practises</w:t>
      </w:r>
      <w:proofErr w:type="spellEnd"/>
      <w:r w:rsidRPr="00767F59">
        <w:rPr>
          <w:rFonts w:ascii="Arial" w:hAnsi="Arial" w:cs="Arial"/>
        </w:rPr>
        <w:t xml:space="preserve"> and community pharmacies (Elliott et al. 2021). The leadership challenge is to reconcile between national standards and regional practise by creating a sense of accountability and measurable controls. </w:t>
      </w:r>
    </w:p>
    <w:p w:rsidR="00767F59" w:rsidRDefault="00767F59" w:rsidP="00A0784F">
      <w:pPr>
        <w:spacing w:line="360" w:lineRule="auto"/>
        <w:jc w:val="both"/>
        <w:rPr>
          <w:rFonts w:ascii="Arial" w:hAnsi="Arial" w:cs="Arial"/>
        </w:rPr>
      </w:pPr>
      <w:r w:rsidRPr="00767F59">
        <w:rPr>
          <w:rFonts w:ascii="Arial" w:hAnsi="Arial" w:cs="Arial"/>
        </w:rPr>
        <w:t xml:space="preserve">Structural pressures on community pathways are increased. In cases of time constraints in counselling, </w:t>
      </w:r>
      <w:proofErr w:type="spellStart"/>
      <w:r w:rsidRPr="00767F59">
        <w:rPr>
          <w:rFonts w:ascii="Arial" w:hAnsi="Arial" w:cs="Arial"/>
        </w:rPr>
        <w:t>organisations</w:t>
      </w:r>
      <w:proofErr w:type="spellEnd"/>
      <w:r w:rsidRPr="00767F59">
        <w:rPr>
          <w:rFonts w:ascii="Arial" w:hAnsi="Arial" w:cs="Arial"/>
        </w:rPr>
        <w:t xml:space="preserve"> are attracted towards minimal compliance (there is a label) as opposed to usability (the patient is capable of showing the right dosage). Amy Edmondson (1999) presented a case that psychological safety promotes speaking up and learning and a review by </w:t>
      </w:r>
      <w:r w:rsidR="00F820CC" w:rsidRPr="00F820CC">
        <w:rPr>
          <w:rFonts w:ascii="Arial" w:hAnsi="Arial" w:cs="Arial"/>
        </w:rPr>
        <w:t xml:space="preserve">Wong et al., </w:t>
      </w:r>
      <w:r w:rsidR="00F820CC">
        <w:rPr>
          <w:rFonts w:ascii="Arial" w:hAnsi="Arial" w:cs="Arial"/>
        </w:rPr>
        <w:t>(</w:t>
      </w:r>
      <w:r w:rsidR="00F820CC" w:rsidRPr="00F820CC">
        <w:rPr>
          <w:rFonts w:ascii="Arial" w:hAnsi="Arial" w:cs="Arial"/>
        </w:rPr>
        <w:t>2013)</w:t>
      </w:r>
      <w:r w:rsidR="00F820CC">
        <w:rPr>
          <w:rFonts w:ascii="Arial" w:hAnsi="Arial" w:cs="Arial"/>
        </w:rPr>
        <w:t xml:space="preserve"> </w:t>
      </w:r>
      <w:r w:rsidRPr="00767F59">
        <w:rPr>
          <w:rFonts w:ascii="Arial" w:hAnsi="Arial" w:cs="Arial"/>
        </w:rPr>
        <w:t xml:space="preserve">related relational leadership to improved patient outcomes. These findings have demonstrated that culture and leadership </w:t>
      </w:r>
      <w:proofErr w:type="spellStart"/>
      <w:r w:rsidRPr="00767F59">
        <w:rPr>
          <w:rFonts w:ascii="Arial" w:hAnsi="Arial" w:cs="Arial"/>
        </w:rPr>
        <w:t>behaviours</w:t>
      </w:r>
      <w:proofErr w:type="spellEnd"/>
      <w:r w:rsidRPr="00767F59">
        <w:rPr>
          <w:rFonts w:ascii="Arial" w:hAnsi="Arial" w:cs="Arial"/>
        </w:rPr>
        <w:t xml:space="preserve"> can strengthen weak signals such as dose confusion or near misses prior to their destruction.</w:t>
      </w:r>
    </w:p>
    <w:p w:rsidR="00A0784F" w:rsidRPr="003A0A89" w:rsidRDefault="00A0784F" w:rsidP="003A0A89">
      <w:pPr>
        <w:spacing w:line="360" w:lineRule="auto"/>
        <w:jc w:val="both"/>
        <w:rPr>
          <w:rFonts w:ascii="Arial" w:hAnsi="Arial" w:cs="Arial"/>
        </w:rPr>
      </w:pPr>
      <w:r w:rsidRPr="00A0784F">
        <w:rPr>
          <w:rFonts w:ascii="Arial" w:hAnsi="Arial" w:cs="Arial"/>
        </w:rPr>
        <w:t xml:space="preserve">Figure 2 is a Rich Picture system view that contains actors (GP, community pharmacy, patient and carer, national regulators and learning bodies), processes (prescribing, dispensing, counselling, measurement and home administration), structures (central regulation with local operational control), feedback loops (incident reporting and audits feeding redesign), as well as </w:t>
      </w:r>
      <w:r w:rsidRPr="00A0784F">
        <w:rPr>
          <w:rFonts w:ascii="Arial" w:hAnsi="Arial" w:cs="Arial"/>
        </w:rPr>
        <w:lastRenderedPageBreak/>
        <w:t>emotions (stress, anxiety and fear affecting information processing). The diagram identifies dependencies and gaps at the GP-pharmacy-home interface and indicates how weakened feedback loops postpone redesign. In general, communication deficiencies, task-tool incongruity and learning deficiencies are all related and ought to be treated as a system.</w:t>
      </w:r>
    </w:p>
    <w:p w:rsidR="00AC1774" w:rsidRDefault="00000000" w:rsidP="00C531C3">
      <w:pPr>
        <w:jc w:val="center"/>
      </w:pPr>
      <w:r>
        <w:rPr>
          <w:noProof/>
        </w:rPr>
        <w:drawing>
          <wp:inline distT="0" distB="0" distL="0" distR="0">
            <wp:extent cx="5827771" cy="3639671"/>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ebd0e9-2433-43ea-8503-023a83ad05bb.png"/>
                    <pic:cNvPicPr/>
                  </pic:nvPicPr>
                  <pic:blipFill rotWithShape="1">
                    <a:blip r:embed="rId10"/>
                    <a:srcRect b="6802"/>
                    <a:stretch>
                      <a:fillRect/>
                    </a:stretch>
                  </pic:blipFill>
                  <pic:spPr bwMode="auto">
                    <a:xfrm>
                      <a:off x="0" y="0"/>
                      <a:ext cx="5841224" cy="3648073"/>
                    </a:xfrm>
                    <a:prstGeom prst="rect">
                      <a:avLst/>
                    </a:prstGeom>
                    <a:ln>
                      <a:noFill/>
                    </a:ln>
                    <a:extLst>
                      <a:ext uri="{53640926-AAD7-44D8-BBD7-CCE9431645EC}">
                        <a14:shadowObscured xmlns:a14="http://schemas.microsoft.com/office/drawing/2010/main"/>
                      </a:ext>
                    </a:extLst>
                  </pic:spPr>
                </pic:pic>
              </a:graphicData>
            </a:graphic>
          </wp:inline>
        </w:drawing>
      </w:r>
    </w:p>
    <w:p w:rsidR="00A0784F" w:rsidRPr="00CB4E8B" w:rsidRDefault="00A0784F" w:rsidP="00CB4E8B">
      <w:pPr>
        <w:jc w:val="center"/>
        <w:rPr>
          <w:rFonts w:ascii="Arial" w:hAnsi="Arial" w:cs="Arial"/>
        </w:rPr>
      </w:pPr>
      <w:r w:rsidRPr="00CB4E8B">
        <w:rPr>
          <w:rFonts w:ascii="Arial" w:hAnsi="Arial" w:cs="Arial"/>
        </w:rPr>
        <w:t xml:space="preserve">Figure 2: </w:t>
      </w:r>
      <w:r w:rsidRPr="00CB4E8B">
        <w:rPr>
          <w:rFonts w:ascii="Arial" w:hAnsi="Arial" w:cs="Arial"/>
          <w:i/>
        </w:rPr>
        <w:t>Data-driven Rich Picture style pathway showing national medication safety context and key failure points in Len’s case (Elliott et al., 2021; HSSIB, 2022).</w:t>
      </w:r>
    </w:p>
    <w:p w:rsidR="00AC1774" w:rsidRPr="0027273A" w:rsidRDefault="00000000" w:rsidP="00AD7250">
      <w:pPr>
        <w:pStyle w:val="Heading1"/>
        <w:rPr>
          <w:rFonts w:ascii="Arial" w:hAnsi="Arial" w:cs="Arial"/>
          <w:color w:val="002060"/>
        </w:rPr>
      </w:pPr>
      <w:bookmarkStart w:id="2" w:name="_Toc224386978"/>
      <w:r w:rsidRPr="0027273A">
        <w:rPr>
          <w:rFonts w:ascii="Arial" w:hAnsi="Arial" w:cs="Arial"/>
          <w:color w:val="002060"/>
        </w:rPr>
        <w:t>Part B: Centralisation vs decentralisation within the case study</w:t>
      </w:r>
      <w:bookmarkEnd w:id="2"/>
    </w:p>
    <w:p w:rsidR="00330C23" w:rsidRDefault="00330C23" w:rsidP="00AD7250">
      <w:pPr>
        <w:spacing w:line="360" w:lineRule="auto"/>
        <w:jc w:val="both"/>
        <w:rPr>
          <w:rFonts w:ascii="Arial" w:hAnsi="Arial" w:cs="Arial"/>
        </w:rPr>
      </w:pPr>
      <w:r w:rsidRPr="00330C23">
        <w:rPr>
          <w:rFonts w:ascii="Arial" w:hAnsi="Arial" w:cs="Arial"/>
        </w:rPr>
        <w:t xml:space="preserve">The case of Len is that of a mixed (hybrid) governance system in which some controls are </w:t>
      </w:r>
      <w:proofErr w:type="spellStart"/>
      <w:r w:rsidRPr="00330C23">
        <w:rPr>
          <w:rFonts w:ascii="Arial" w:hAnsi="Arial" w:cs="Arial"/>
        </w:rPr>
        <w:t>centralised</w:t>
      </w:r>
      <w:proofErr w:type="spellEnd"/>
      <w:r w:rsidRPr="00330C23">
        <w:rPr>
          <w:rFonts w:ascii="Arial" w:hAnsi="Arial" w:cs="Arial"/>
        </w:rPr>
        <w:t xml:space="preserve"> and service delivery is </w:t>
      </w:r>
      <w:proofErr w:type="spellStart"/>
      <w:r w:rsidRPr="00330C23">
        <w:rPr>
          <w:rFonts w:ascii="Arial" w:hAnsi="Arial" w:cs="Arial"/>
        </w:rPr>
        <w:t>decentralised</w:t>
      </w:r>
      <w:proofErr w:type="spellEnd"/>
      <w:r w:rsidRPr="00330C23">
        <w:rPr>
          <w:rFonts w:ascii="Arial" w:hAnsi="Arial" w:cs="Arial"/>
        </w:rPr>
        <w:t xml:space="preserve">. National regulation, standard setting of medicines, incident reporting infrastructure and patient safety priorities are all means of </w:t>
      </w:r>
      <w:proofErr w:type="spellStart"/>
      <w:r w:rsidRPr="00330C23">
        <w:rPr>
          <w:rFonts w:ascii="Arial" w:hAnsi="Arial" w:cs="Arial"/>
        </w:rPr>
        <w:t>centralisation</w:t>
      </w:r>
      <w:proofErr w:type="spellEnd"/>
      <w:r w:rsidRPr="00330C23">
        <w:rPr>
          <w:rFonts w:ascii="Arial" w:hAnsi="Arial" w:cs="Arial"/>
        </w:rPr>
        <w:t xml:space="preserve">. </w:t>
      </w:r>
      <w:proofErr w:type="spellStart"/>
      <w:r w:rsidRPr="00330C23">
        <w:rPr>
          <w:rFonts w:ascii="Arial" w:hAnsi="Arial" w:cs="Arial"/>
        </w:rPr>
        <w:t>Decentralisation</w:t>
      </w:r>
      <w:proofErr w:type="spellEnd"/>
      <w:r w:rsidRPr="00330C23">
        <w:rPr>
          <w:rFonts w:ascii="Arial" w:hAnsi="Arial" w:cs="Arial"/>
        </w:rPr>
        <w:t xml:space="preserve"> occurs in GP </w:t>
      </w:r>
      <w:proofErr w:type="spellStart"/>
      <w:r w:rsidRPr="00330C23">
        <w:rPr>
          <w:rFonts w:ascii="Arial" w:hAnsi="Arial" w:cs="Arial"/>
        </w:rPr>
        <w:t>practises</w:t>
      </w:r>
      <w:proofErr w:type="spellEnd"/>
      <w:r w:rsidRPr="00330C23">
        <w:rPr>
          <w:rFonts w:ascii="Arial" w:hAnsi="Arial" w:cs="Arial"/>
        </w:rPr>
        <w:t xml:space="preserve"> and community pharmacies, where local professionals understanding and counselling on prescriptions, and decision making on the implementation of safety cheques occurs. Practically, this form is a combination of central rules about what should be, and local discretion about the working of these rules at the point of care (HSSIB, 2022). </w:t>
      </w:r>
    </w:p>
    <w:p w:rsidR="00C8253A" w:rsidRDefault="00330C23" w:rsidP="00AD7250">
      <w:pPr>
        <w:spacing w:line="360" w:lineRule="auto"/>
        <w:jc w:val="both"/>
        <w:rPr>
          <w:rFonts w:ascii="Arial" w:hAnsi="Arial" w:cs="Arial"/>
        </w:rPr>
      </w:pPr>
      <w:r w:rsidRPr="00330C23">
        <w:rPr>
          <w:rFonts w:ascii="Arial" w:hAnsi="Arial" w:cs="Arial"/>
        </w:rPr>
        <w:lastRenderedPageBreak/>
        <w:t xml:space="preserve">This system has </w:t>
      </w:r>
      <w:proofErr w:type="spellStart"/>
      <w:r w:rsidRPr="00330C23">
        <w:rPr>
          <w:rFonts w:ascii="Arial" w:hAnsi="Arial" w:cs="Arial"/>
        </w:rPr>
        <w:t>centralised</w:t>
      </w:r>
      <w:proofErr w:type="spellEnd"/>
      <w:r w:rsidRPr="00330C23">
        <w:rPr>
          <w:rFonts w:ascii="Arial" w:hAnsi="Arial" w:cs="Arial"/>
        </w:rPr>
        <w:t xml:space="preserve"> power that is vested in regulatory and leadership bodies across the country like NHS England, which influence safety standards and reporting structures. System-level visibility and </w:t>
      </w:r>
      <w:proofErr w:type="spellStart"/>
      <w:r w:rsidRPr="00330C23">
        <w:rPr>
          <w:rFonts w:ascii="Arial" w:hAnsi="Arial" w:cs="Arial"/>
        </w:rPr>
        <w:t>standardisation</w:t>
      </w:r>
      <w:proofErr w:type="spellEnd"/>
      <w:r w:rsidRPr="00330C23">
        <w:rPr>
          <w:rFonts w:ascii="Arial" w:hAnsi="Arial" w:cs="Arial"/>
        </w:rPr>
        <w:t xml:space="preserve"> is one of the advantages. The transition between the National Reporting and Learning System (NRLS) to the Learn from Patient Safety Events (LFPSE) service could enable incidents to be pooled together to enable the identification of national trends. According to the transition report of the period between January 2021 and December 2024, the high frequency of NRLS incidents and LFPSE incidents, 96.5% and 93.7% respectively, were low or no harm, which supports a proactive learning model, which appreciates weak signals before serious harm is caused (NHS England, 2026). The case of Len however also demonstrates the shortcoming of </w:t>
      </w:r>
      <w:proofErr w:type="spellStart"/>
      <w:r w:rsidRPr="00330C23">
        <w:rPr>
          <w:rFonts w:ascii="Arial" w:hAnsi="Arial" w:cs="Arial"/>
        </w:rPr>
        <w:t>centralisation</w:t>
      </w:r>
      <w:proofErr w:type="spellEnd"/>
      <w:r w:rsidRPr="00330C23">
        <w:rPr>
          <w:rFonts w:ascii="Arial" w:hAnsi="Arial" w:cs="Arial"/>
        </w:rPr>
        <w:t xml:space="preserve">: standards may exist and fail at the point of use. Local compensatory controls are relied upon unless the dosing instruction is made conspicuously clear by way of packaging and labelling. </w:t>
      </w:r>
    </w:p>
    <w:p w:rsidR="00C8253A" w:rsidRDefault="00330C23" w:rsidP="00AD7250">
      <w:pPr>
        <w:spacing w:line="360" w:lineRule="auto"/>
        <w:jc w:val="both"/>
        <w:rPr>
          <w:rFonts w:ascii="Arial" w:hAnsi="Arial" w:cs="Arial"/>
        </w:rPr>
      </w:pPr>
      <w:proofErr w:type="spellStart"/>
      <w:r w:rsidRPr="00330C23">
        <w:rPr>
          <w:rFonts w:ascii="Arial" w:hAnsi="Arial" w:cs="Arial"/>
        </w:rPr>
        <w:t>Decentralisation</w:t>
      </w:r>
      <w:proofErr w:type="spellEnd"/>
      <w:r w:rsidRPr="00330C23">
        <w:rPr>
          <w:rFonts w:ascii="Arial" w:hAnsi="Arial" w:cs="Arial"/>
        </w:rPr>
        <w:t xml:space="preserve"> devolves day-to-day power to local clinicians and pharmacists. Its advantage is responsiveness and </w:t>
      </w:r>
      <w:proofErr w:type="spellStart"/>
      <w:r w:rsidRPr="00330C23">
        <w:rPr>
          <w:rFonts w:ascii="Arial" w:hAnsi="Arial" w:cs="Arial"/>
        </w:rPr>
        <w:t>customisation</w:t>
      </w:r>
      <w:proofErr w:type="spellEnd"/>
      <w:r w:rsidRPr="00330C23">
        <w:rPr>
          <w:rFonts w:ascii="Arial" w:hAnsi="Arial" w:cs="Arial"/>
        </w:rPr>
        <w:t xml:space="preserve">: GPs prescribe based on clinical judgement, and pharmacists can tailor counselling to literacy, carer capability and immediate risk. Nevertheless, </w:t>
      </w:r>
      <w:proofErr w:type="spellStart"/>
      <w:r w:rsidRPr="00330C23">
        <w:rPr>
          <w:rFonts w:ascii="Arial" w:hAnsi="Arial" w:cs="Arial"/>
        </w:rPr>
        <w:t>decentralisation</w:t>
      </w:r>
      <w:proofErr w:type="spellEnd"/>
      <w:r w:rsidRPr="00330C23">
        <w:rPr>
          <w:rFonts w:ascii="Arial" w:hAnsi="Arial" w:cs="Arial"/>
        </w:rPr>
        <w:t xml:space="preserve"> also brings about inconsistency and unequal supervision. As of December 2024, 3,930 of 10,434 registered pharmacies were with LFPSE and 64.5% of the registered pharmacies had incident reports. In GP </w:t>
      </w:r>
      <w:proofErr w:type="spellStart"/>
      <w:r w:rsidRPr="00330C23">
        <w:rPr>
          <w:rFonts w:ascii="Arial" w:hAnsi="Arial" w:cs="Arial"/>
        </w:rPr>
        <w:t>practises</w:t>
      </w:r>
      <w:proofErr w:type="spellEnd"/>
      <w:r w:rsidRPr="00330C23">
        <w:rPr>
          <w:rFonts w:ascii="Arial" w:hAnsi="Arial" w:cs="Arial"/>
        </w:rPr>
        <w:t xml:space="preserve">, 2,192 </w:t>
      </w:r>
      <w:proofErr w:type="spellStart"/>
      <w:r w:rsidRPr="00330C23">
        <w:rPr>
          <w:rFonts w:ascii="Arial" w:hAnsi="Arial" w:cs="Arial"/>
        </w:rPr>
        <w:t>practises</w:t>
      </w:r>
      <w:proofErr w:type="spellEnd"/>
      <w:r w:rsidRPr="00330C23">
        <w:rPr>
          <w:rFonts w:ascii="Arial" w:hAnsi="Arial" w:cs="Arial"/>
        </w:rPr>
        <w:t xml:space="preserve"> had been registered and 44.8 percent of </w:t>
      </w:r>
      <w:proofErr w:type="spellStart"/>
      <w:r w:rsidRPr="00330C23">
        <w:rPr>
          <w:rFonts w:ascii="Arial" w:hAnsi="Arial" w:cs="Arial"/>
        </w:rPr>
        <w:t>practises</w:t>
      </w:r>
      <w:proofErr w:type="spellEnd"/>
      <w:r w:rsidRPr="00330C23">
        <w:rPr>
          <w:rFonts w:ascii="Arial" w:hAnsi="Arial" w:cs="Arial"/>
        </w:rPr>
        <w:t xml:space="preserve"> registered had submitted incidents (NHS England, 2026). These statistics indicate disproportional involvement in central learning systems. There is also a minimum operational risk associated with community pharmacy where some 4 dispensing errors and 22 near misses per 10,000 items occurs and selection and labelling </w:t>
      </w:r>
      <w:r w:rsidR="00C8253A" w:rsidRPr="00330C23">
        <w:rPr>
          <w:rFonts w:ascii="Arial" w:hAnsi="Arial" w:cs="Arial"/>
        </w:rPr>
        <w:t>are</w:t>
      </w:r>
      <w:r w:rsidRPr="00330C23">
        <w:rPr>
          <w:rFonts w:ascii="Arial" w:hAnsi="Arial" w:cs="Arial"/>
        </w:rPr>
        <w:t xml:space="preserve"> identified as an area of weakness (Ashcroft et al., 2005). Len fits that profile quite well. </w:t>
      </w:r>
    </w:p>
    <w:p w:rsidR="00330C23" w:rsidRDefault="00330C23" w:rsidP="00AD7250">
      <w:pPr>
        <w:spacing w:line="360" w:lineRule="auto"/>
        <w:jc w:val="both"/>
        <w:rPr>
          <w:rFonts w:ascii="Arial" w:hAnsi="Arial" w:cs="Arial"/>
        </w:rPr>
      </w:pPr>
      <w:r w:rsidRPr="00330C23">
        <w:rPr>
          <w:rFonts w:ascii="Arial" w:hAnsi="Arial" w:cs="Arial"/>
        </w:rPr>
        <w:t xml:space="preserve">The two structural aspects contributed. Central standards did not prevent confusion on the strength dose where </w:t>
      </w:r>
      <w:proofErr w:type="spellStart"/>
      <w:r w:rsidRPr="00330C23">
        <w:rPr>
          <w:rFonts w:ascii="Arial" w:hAnsi="Arial" w:cs="Arial"/>
        </w:rPr>
        <w:t>decentralised</w:t>
      </w:r>
      <w:proofErr w:type="spellEnd"/>
      <w:r w:rsidRPr="00330C23">
        <w:rPr>
          <w:rFonts w:ascii="Arial" w:hAnsi="Arial" w:cs="Arial"/>
        </w:rPr>
        <w:t xml:space="preserve"> implementation permitted the counselling and verification to differ. Having poor central clarity, unstable local controls, the patient and carer constituted the final line of </w:t>
      </w:r>
      <w:proofErr w:type="spellStart"/>
      <w:r w:rsidRPr="00330C23">
        <w:rPr>
          <w:rFonts w:ascii="Arial" w:hAnsi="Arial" w:cs="Arial"/>
        </w:rPr>
        <w:t>defence</w:t>
      </w:r>
      <w:proofErr w:type="spellEnd"/>
      <w:r w:rsidRPr="00330C23">
        <w:rPr>
          <w:rFonts w:ascii="Arial" w:hAnsi="Arial" w:cs="Arial"/>
        </w:rPr>
        <w:t>, as a symptom of disjointed leadership and deficiencies between end-to-end accountability along the prescribing-dispensing-home pathway.</w:t>
      </w:r>
    </w:p>
    <w:p w:rsidR="00330C23" w:rsidRDefault="00330C23" w:rsidP="00AD7250">
      <w:pPr>
        <w:spacing w:line="360" w:lineRule="auto"/>
        <w:jc w:val="both"/>
        <w:rPr>
          <w:rFonts w:ascii="Arial" w:hAnsi="Arial" w:cs="Arial"/>
        </w:rPr>
      </w:pPr>
    </w:p>
    <w:p w:rsidR="00330C23" w:rsidRDefault="00330C23" w:rsidP="00AD7250">
      <w:pPr>
        <w:spacing w:line="360" w:lineRule="auto"/>
        <w:jc w:val="both"/>
        <w:rPr>
          <w:rFonts w:ascii="Arial" w:hAnsi="Arial" w:cs="Arial"/>
        </w:rPr>
      </w:pPr>
    </w:p>
    <w:p w:rsidR="00330C23" w:rsidRDefault="00330C23" w:rsidP="00AD7250">
      <w:pPr>
        <w:spacing w:line="360" w:lineRule="auto"/>
        <w:jc w:val="both"/>
        <w:rPr>
          <w:rFonts w:ascii="Arial" w:hAnsi="Arial" w:cs="Arial"/>
        </w:rPr>
      </w:pPr>
    </w:p>
    <w:p w:rsidR="00AC1774" w:rsidRPr="0027273A" w:rsidRDefault="00000000">
      <w:pPr>
        <w:rPr>
          <w:rFonts w:ascii="Arial" w:hAnsi="Arial" w:cs="Arial"/>
          <w:b/>
        </w:rPr>
      </w:pPr>
      <w:r w:rsidRPr="0027273A">
        <w:rPr>
          <w:rFonts w:ascii="Arial" w:hAnsi="Arial" w:cs="Arial"/>
          <w:b/>
        </w:rPr>
        <w:lastRenderedPageBreak/>
        <w:t xml:space="preserve">Table </w:t>
      </w:r>
      <w:r w:rsidR="001E312F" w:rsidRPr="0027273A">
        <w:rPr>
          <w:rFonts w:ascii="Arial" w:hAnsi="Arial" w:cs="Arial"/>
          <w:b/>
        </w:rPr>
        <w:t>2</w:t>
      </w:r>
      <w:r w:rsidRPr="0027273A">
        <w:rPr>
          <w:rFonts w:ascii="Arial" w:hAnsi="Arial" w:cs="Arial"/>
          <w:b/>
        </w:rPr>
        <w:t xml:space="preserve">: Performance indicators relevant to </w:t>
      </w:r>
      <w:proofErr w:type="spellStart"/>
      <w:r w:rsidRPr="0027273A">
        <w:rPr>
          <w:rFonts w:ascii="Arial" w:hAnsi="Arial" w:cs="Arial"/>
          <w:b/>
        </w:rPr>
        <w:t>centralised</w:t>
      </w:r>
      <w:proofErr w:type="spellEnd"/>
      <w:r w:rsidRPr="0027273A">
        <w:rPr>
          <w:rFonts w:ascii="Arial" w:hAnsi="Arial" w:cs="Arial"/>
          <w:b/>
        </w:rPr>
        <w:t xml:space="preserve"> vs </w:t>
      </w:r>
      <w:proofErr w:type="spellStart"/>
      <w:r w:rsidRPr="0027273A">
        <w:rPr>
          <w:rFonts w:ascii="Arial" w:hAnsi="Arial" w:cs="Arial"/>
          <w:b/>
        </w:rPr>
        <w:t>decentralised</w:t>
      </w:r>
      <w:proofErr w:type="spellEnd"/>
      <w:r w:rsidRPr="0027273A">
        <w:rPr>
          <w:rFonts w:ascii="Arial" w:hAnsi="Arial" w:cs="Arial"/>
          <w:b/>
        </w:rPr>
        <w:t xml:space="preserve"> control</w:t>
      </w:r>
    </w:p>
    <w:tbl>
      <w:tblPr>
        <w:tblStyle w:val="TableGrid"/>
        <w:tblW w:w="0" w:type="auto"/>
        <w:tblLook w:val="04A0" w:firstRow="1" w:lastRow="0" w:firstColumn="1" w:lastColumn="0" w:noHBand="0" w:noVBand="1"/>
      </w:tblPr>
      <w:tblGrid>
        <w:gridCol w:w="2340"/>
        <w:gridCol w:w="2325"/>
        <w:gridCol w:w="2343"/>
        <w:gridCol w:w="2342"/>
      </w:tblGrid>
      <w:tr w:rsidR="001E312F" w:rsidRPr="001E312F" w:rsidTr="001E312F">
        <w:tc>
          <w:tcPr>
            <w:tcW w:w="2394" w:type="dxa"/>
          </w:tcPr>
          <w:p w:rsidR="001E312F" w:rsidRPr="001E312F" w:rsidRDefault="001E312F" w:rsidP="001E312F">
            <w:pPr>
              <w:spacing w:line="360" w:lineRule="auto"/>
              <w:rPr>
                <w:rFonts w:ascii="Arial" w:hAnsi="Arial" w:cs="Arial"/>
                <w:b/>
              </w:rPr>
            </w:pPr>
            <w:r w:rsidRPr="001E312F">
              <w:rPr>
                <w:rFonts w:ascii="Arial" w:hAnsi="Arial" w:cs="Arial"/>
                <w:b/>
              </w:rPr>
              <w:t>Indicator</w:t>
            </w:r>
          </w:p>
        </w:tc>
        <w:tc>
          <w:tcPr>
            <w:tcW w:w="2394" w:type="dxa"/>
          </w:tcPr>
          <w:p w:rsidR="001E312F" w:rsidRPr="001E312F" w:rsidRDefault="001E312F" w:rsidP="001E312F">
            <w:pPr>
              <w:spacing w:line="360" w:lineRule="auto"/>
              <w:rPr>
                <w:rFonts w:ascii="Arial" w:hAnsi="Arial" w:cs="Arial"/>
                <w:b/>
              </w:rPr>
            </w:pPr>
            <w:r w:rsidRPr="001E312F">
              <w:rPr>
                <w:rFonts w:ascii="Arial" w:hAnsi="Arial" w:cs="Arial"/>
                <w:b/>
              </w:rPr>
              <w:t>Value</w:t>
            </w:r>
          </w:p>
        </w:tc>
        <w:tc>
          <w:tcPr>
            <w:tcW w:w="2394" w:type="dxa"/>
          </w:tcPr>
          <w:p w:rsidR="001E312F" w:rsidRPr="001E312F" w:rsidRDefault="001E312F" w:rsidP="001E312F">
            <w:pPr>
              <w:spacing w:line="360" w:lineRule="auto"/>
              <w:rPr>
                <w:rFonts w:ascii="Arial" w:hAnsi="Arial" w:cs="Arial"/>
                <w:b/>
              </w:rPr>
            </w:pPr>
            <w:r w:rsidRPr="001E312F">
              <w:rPr>
                <w:rFonts w:ascii="Arial" w:hAnsi="Arial" w:cs="Arial"/>
                <w:b/>
              </w:rPr>
              <w:t>What it indicates about structure</w:t>
            </w:r>
          </w:p>
        </w:tc>
        <w:tc>
          <w:tcPr>
            <w:tcW w:w="2394" w:type="dxa"/>
          </w:tcPr>
          <w:p w:rsidR="001E312F" w:rsidRPr="001E312F" w:rsidRDefault="001E312F" w:rsidP="001E312F">
            <w:pPr>
              <w:spacing w:line="360" w:lineRule="auto"/>
              <w:rPr>
                <w:rFonts w:ascii="Arial" w:hAnsi="Arial" w:cs="Arial"/>
                <w:b/>
              </w:rPr>
            </w:pPr>
            <w:r w:rsidRPr="001E312F">
              <w:rPr>
                <w:rFonts w:ascii="Arial" w:hAnsi="Arial" w:cs="Arial"/>
                <w:b/>
              </w:rPr>
              <w:t>Relevance to Len’s case</w:t>
            </w:r>
          </w:p>
        </w:tc>
      </w:tr>
      <w:tr w:rsidR="001E312F" w:rsidRPr="001E312F" w:rsidTr="001E312F">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NRLS vs LFPSE: low or no harm incidents (Jan 2021–Dec 2024)</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96.5% (NRLS) vs 93.7% (LFPSE)</w:t>
            </w:r>
          </w:p>
        </w:tc>
        <w:tc>
          <w:tcPr>
            <w:tcW w:w="2394" w:type="dxa"/>
          </w:tcPr>
          <w:p w:rsidR="001E312F" w:rsidRPr="001E312F" w:rsidRDefault="001E312F" w:rsidP="001E312F">
            <w:pPr>
              <w:spacing w:line="360" w:lineRule="auto"/>
              <w:rPr>
                <w:rFonts w:ascii="Arial" w:hAnsi="Arial" w:cs="Arial"/>
                <w:bCs/>
              </w:rPr>
            </w:pPr>
            <w:proofErr w:type="spellStart"/>
            <w:r w:rsidRPr="001E312F">
              <w:rPr>
                <w:rFonts w:ascii="Arial" w:hAnsi="Arial" w:cs="Arial"/>
                <w:bCs/>
              </w:rPr>
              <w:t>Centralised</w:t>
            </w:r>
            <w:proofErr w:type="spellEnd"/>
            <w:r w:rsidRPr="001E312F">
              <w:rPr>
                <w:rFonts w:ascii="Arial" w:hAnsi="Arial" w:cs="Arial"/>
                <w:bCs/>
              </w:rPr>
              <w:t xml:space="preserve"> reporting enables learning from weak signals; coding and data quality vary during transition</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Supports proactive redesign for community opioid safety rather than waiting for severe harm</w:t>
            </w:r>
          </w:p>
        </w:tc>
      </w:tr>
      <w:tr w:rsidR="001E312F" w:rsidRPr="001E312F" w:rsidTr="001E312F">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LFPSE engagement: pharmacies (Dec 2024)</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10,434 open; 3,930 registered; incidents from 64.5% of registered</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 xml:space="preserve">Local participation in a central system is uneven; learning loops vary by </w:t>
            </w:r>
            <w:proofErr w:type="spellStart"/>
            <w:r w:rsidRPr="001E312F">
              <w:rPr>
                <w:rFonts w:ascii="Arial" w:hAnsi="Arial" w:cs="Arial"/>
                <w:bCs/>
              </w:rPr>
              <w:t>organisation</w:t>
            </w:r>
            <w:proofErr w:type="spellEnd"/>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Uneven reporting can delay escalation of recurring confusion risks for system-wide action</w:t>
            </w:r>
          </w:p>
        </w:tc>
      </w:tr>
      <w:tr w:rsidR="001E312F" w:rsidRPr="001E312F" w:rsidTr="001E312F">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LFPSE engagement: GP practices (Dec 2024)</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6,267 open; 2,192 registered; incidents from 44.8% of registered</w:t>
            </w:r>
          </w:p>
        </w:tc>
        <w:tc>
          <w:tcPr>
            <w:tcW w:w="2394" w:type="dxa"/>
          </w:tcPr>
          <w:p w:rsidR="001E312F" w:rsidRPr="001E312F" w:rsidRDefault="001E312F" w:rsidP="001E312F">
            <w:pPr>
              <w:spacing w:line="360" w:lineRule="auto"/>
              <w:rPr>
                <w:rFonts w:ascii="Arial" w:hAnsi="Arial" w:cs="Arial"/>
                <w:bCs/>
              </w:rPr>
            </w:pPr>
            <w:proofErr w:type="spellStart"/>
            <w:r w:rsidRPr="001E312F">
              <w:rPr>
                <w:rFonts w:ascii="Arial" w:hAnsi="Arial" w:cs="Arial"/>
                <w:bCs/>
              </w:rPr>
              <w:t>Decentralised</w:t>
            </w:r>
            <w:proofErr w:type="spellEnd"/>
            <w:r w:rsidRPr="001E312F">
              <w:rPr>
                <w:rFonts w:ascii="Arial" w:hAnsi="Arial" w:cs="Arial"/>
                <w:bCs/>
              </w:rPr>
              <w:t xml:space="preserve"> engagement differs by </w:t>
            </w:r>
            <w:proofErr w:type="spellStart"/>
            <w:r w:rsidRPr="001E312F">
              <w:rPr>
                <w:rFonts w:ascii="Arial" w:hAnsi="Arial" w:cs="Arial"/>
                <w:bCs/>
              </w:rPr>
              <w:t>organisation</w:t>
            </w:r>
            <w:proofErr w:type="spellEnd"/>
            <w:r w:rsidRPr="001E312F">
              <w:rPr>
                <w:rFonts w:ascii="Arial" w:hAnsi="Arial" w:cs="Arial"/>
                <w:bCs/>
              </w:rPr>
              <w:t xml:space="preserve"> type; oversight is challenging</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Interface risks across GP–pharmacy–home pathway require coordinated accountability</w:t>
            </w:r>
          </w:p>
        </w:tc>
      </w:tr>
      <w:tr w:rsidR="001E312F" w:rsidRPr="001E312F" w:rsidTr="001E312F">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Community pharmacy dispensing error frequency (UK)</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~4 dispensing errors and ~22 near misses per 10,000 items</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 xml:space="preserve">Baseline risk in </w:t>
            </w:r>
            <w:proofErr w:type="spellStart"/>
            <w:r w:rsidRPr="001E312F">
              <w:rPr>
                <w:rFonts w:ascii="Arial" w:hAnsi="Arial" w:cs="Arial"/>
                <w:bCs/>
              </w:rPr>
              <w:t>decentralised</w:t>
            </w:r>
            <w:proofErr w:type="spellEnd"/>
            <w:r w:rsidRPr="001E312F">
              <w:rPr>
                <w:rFonts w:ascii="Arial" w:hAnsi="Arial" w:cs="Arial"/>
                <w:bCs/>
              </w:rPr>
              <w:t xml:space="preserve"> dispensing work; selection and labelling are key vulnerabilities</w:t>
            </w:r>
          </w:p>
        </w:tc>
        <w:tc>
          <w:tcPr>
            <w:tcW w:w="2394" w:type="dxa"/>
          </w:tcPr>
          <w:p w:rsidR="001E312F" w:rsidRPr="001E312F" w:rsidRDefault="001E312F" w:rsidP="001E312F">
            <w:pPr>
              <w:spacing w:line="360" w:lineRule="auto"/>
              <w:rPr>
                <w:rFonts w:ascii="Arial" w:hAnsi="Arial" w:cs="Arial"/>
                <w:bCs/>
              </w:rPr>
            </w:pPr>
            <w:r w:rsidRPr="001E312F">
              <w:rPr>
                <w:rFonts w:ascii="Arial" w:hAnsi="Arial" w:cs="Arial"/>
                <w:bCs/>
              </w:rPr>
              <w:t xml:space="preserve">Strengthens need for </w:t>
            </w:r>
            <w:proofErr w:type="spellStart"/>
            <w:r w:rsidRPr="001E312F">
              <w:rPr>
                <w:rFonts w:ascii="Arial" w:hAnsi="Arial" w:cs="Arial"/>
                <w:bCs/>
              </w:rPr>
              <w:t>standardised</w:t>
            </w:r>
            <w:proofErr w:type="spellEnd"/>
            <w:r w:rsidRPr="001E312F">
              <w:rPr>
                <w:rFonts w:ascii="Arial" w:hAnsi="Arial" w:cs="Arial"/>
                <w:bCs/>
              </w:rPr>
              <w:t xml:space="preserve"> counselling, verification and label usability for high-alert medicines</w:t>
            </w:r>
          </w:p>
        </w:tc>
      </w:tr>
    </w:tbl>
    <w:p w:rsidR="001E312F" w:rsidRDefault="001E312F"/>
    <w:p w:rsidR="00C8253A" w:rsidRDefault="00C8253A" w:rsidP="00EC124B">
      <w:pPr>
        <w:spacing w:line="360" w:lineRule="auto"/>
        <w:jc w:val="both"/>
        <w:rPr>
          <w:rFonts w:ascii="Arial" w:hAnsi="Arial" w:cs="Arial"/>
        </w:rPr>
      </w:pPr>
      <w:proofErr w:type="spellStart"/>
      <w:r w:rsidRPr="00C8253A">
        <w:rPr>
          <w:rFonts w:ascii="Arial" w:hAnsi="Arial" w:cs="Arial"/>
        </w:rPr>
        <w:t>Decentralised</w:t>
      </w:r>
      <w:proofErr w:type="spellEnd"/>
      <w:r w:rsidRPr="00C8253A">
        <w:rPr>
          <w:rFonts w:ascii="Arial" w:hAnsi="Arial" w:cs="Arial"/>
        </w:rPr>
        <w:t xml:space="preserve"> services can respond quickly with local response such as the multiplication of counselling or follow up at its early stages, but central bodies can provide the definite direction of the process with national alerts and standards. However, central redesign may be slowed down when the regulatory or manufacturer coordination is required. In the instance of Len, the absence of integrity in the possession of the GP-pharmacy-home interface compromised speed and accountability</w:t>
      </w:r>
      <w:r w:rsidR="00F820CC">
        <w:rPr>
          <w:rFonts w:ascii="Arial" w:hAnsi="Arial" w:cs="Arial"/>
        </w:rPr>
        <w:t xml:space="preserve"> </w:t>
      </w:r>
      <w:r w:rsidR="00F820CC" w:rsidRPr="00F820CC">
        <w:rPr>
          <w:rFonts w:ascii="Arial" w:hAnsi="Arial" w:cs="Arial"/>
        </w:rPr>
        <w:t xml:space="preserve">(Weick </w:t>
      </w:r>
      <w:r w:rsidR="00F820CC">
        <w:rPr>
          <w:rFonts w:ascii="Arial" w:hAnsi="Arial" w:cs="Arial"/>
        </w:rPr>
        <w:t>and</w:t>
      </w:r>
      <w:r w:rsidR="00F820CC" w:rsidRPr="00F820CC">
        <w:rPr>
          <w:rFonts w:ascii="Arial" w:hAnsi="Arial" w:cs="Arial"/>
        </w:rPr>
        <w:t xml:space="preserve"> Sutcliffe, 2007)</w:t>
      </w:r>
      <w:r w:rsidRPr="00C8253A">
        <w:rPr>
          <w:rFonts w:ascii="Arial" w:hAnsi="Arial" w:cs="Arial"/>
        </w:rPr>
        <w:t xml:space="preserve">. </w:t>
      </w:r>
    </w:p>
    <w:p w:rsidR="00C8253A" w:rsidRDefault="00C8253A" w:rsidP="00EC124B">
      <w:pPr>
        <w:spacing w:line="360" w:lineRule="auto"/>
        <w:jc w:val="both"/>
        <w:rPr>
          <w:rFonts w:ascii="Arial" w:hAnsi="Arial" w:cs="Arial"/>
        </w:rPr>
      </w:pPr>
      <w:r w:rsidRPr="00C8253A">
        <w:rPr>
          <w:rFonts w:ascii="Arial" w:hAnsi="Arial" w:cs="Arial"/>
        </w:rPr>
        <w:lastRenderedPageBreak/>
        <w:t xml:space="preserve">The hybrid form formed risk as the local protection was not always sure to counteract the central usability limits. </w:t>
      </w:r>
      <w:proofErr w:type="spellStart"/>
      <w:r w:rsidRPr="00C8253A">
        <w:rPr>
          <w:rFonts w:ascii="Arial" w:hAnsi="Arial" w:cs="Arial"/>
        </w:rPr>
        <w:t>Centralisation</w:t>
      </w:r>
      <w:proofErr w:type="spellEnd"/>
      <w:r w:rsidRPr="00C8253A">
        <w:rPr>
          <w:rFonts w:ascii="Arial" w:hAnsi="Arial" w:cs="Arial"/>
        </w:rPr>
        <w:t xml:space="preserve"> promotes uniformity and visibility whereas </w:t>
      </w:r>
      <w:proofErr w:type="spellStart"/>
      <w:r w:rsidRPr="00C8253A">
        <w:rPr>
          <w:rFonts w:ascii="Arial" w:hAnsi="Arial" w:cs="Arial"/>
        </w:rPr>
        <w:t>decentralisation</w:t>
      </w:r>
      <w:proofErr w:type="spellEnd"/>
      <w:r w:rsidRPr="00C8253A">
        <w:rPr>
          <w:rFonts w:ascii="Arial" w:hAnsi="Arial" w:cs="Arial"/>
        </w:rPr>
        <w:t xml:space="preserve"> promotes </w:t>
      </w:r>
      <w:proofErr w:type="spellStart"/>
      <w:r w:rsidRPr="00C8253A">
        <w:rPr>
          <w:rFonts w:ascii="Arial" w:hAnsi="Arial" w:cs="Arial"/>
        </w:rPr>
        <w:t>customisation</w:t>
      </w:r>
      <w:proofErr w:type="spellEnd"/>
      <w:r w:rsidRPr="00C8253A">
        <w:rPr>
          <w:rFonts w:ascii="Arial" w:hAnsi="Arial" w:cs="Arial"/>
        </w:rPr>
        <w:t xml:space="preserve"> and responsiveness. The safety will be determined by the degree of integration of those levels. Boundary-spanning governance, including shared opioid initiation protocols, measurable teach-back confirmation, and systematic review of incident and near-miss data across GP practices and pharmacies, is thus necessary in case leadership can mitigate interface risk (NHS England, 2026).</w:t>
      </w:r>
    </w:p>
    <w:p w:rsidR="00C8253A" w:rsidRDefault="00C8253A" w:rsidP="00EC124B">
      <w:pPr>
        <w:spacing w:line="360" w:lineRule="auto"/>
        <w:jc w:val="both"/>
        <w:rPr>
          <w:rFonts w:ascii="Arial" w:hAnsi="Arial" w:cs="Arial"/>
        </w:rPr>
      </w:pPr>
      <w:r w:rsidRPr="00C8253A">
        <w:rPr>
          <w:rFonts w:ascii="Arial" w:hAnsi="Arial" w:cs="Arial"/>
        </w:rPr>
        <w:t xml:space="preserve"> The case of Len exemplifies two failures: the primary standards have failed to protect the confusion of strengths and dose, and the execution, which was </w:t>
      </w:r>
      <w:proofErr w:type="spellStart"/>
      <w:r w:rsidRPr="00C8253A">
        <w:rPr>
          <w:rFonts w:ascii="Arial" w:hAnsi="Arial" w:cs="Arial"/>
        </w:rPr>
        <w:t>decentralised</w:t>
      </w:r>
      <w:proofErr w:type="spellEnd"/>
      <w:r w:rsidRPr="00C8253A">
        <w:rPr>
          <w:rFonts w:ascii="Arial" w:hAnsi="Arial" w:cs="Arial"/>
        </w:rPr>
        <w:t xml:space="preserve">, did not allow the counselling and verification variability and the end-to-end pathway risk could not be properly managed. </w:t>
      </w:r>
    </w:p>
    <w:p w:rsidR="00F92AC2" w:rsidRPr="003D5FA2" w:rsidRDefault="00F92AC2" w:rsidP="003D5FA2">
      <w:pPr>
        <w:pStyle w:val="Heading1"/>
        <w:rPr>
          <w:rFonts w:ascii="Arial" w:hAnsi="Arial" w:cs="Arial"/>
        </w:rPr>
      </w:pPr>
      <w:bookmarkStart w:id="3" w:name="_Toc224386979"/>
      <w:r w:rsidRPr="003D5FA2">
        <w:rPr>
          <w:rFonts w:ascii="Arial" w:hAnsi="Arial" w:cs="Arial"/>
        </w:rPr>
        <w:t>Part C: Leadership theories and application to the case study</w:t>
      </w:r>
      <w:bookmarkEnd w:id="3"/>
    </w:p>
    <w:p w:rsidR="00D50CA8" w:rsidRDefault="00D50CA8" w:rsidP="00A469EF">
      <w:pPr>
        <w:spacing w:line="360" w:lineRule="auto"/>
        <w:jc w:val="both"/>
        <w:rPr>
          <w:rFonts w:ascii="Arial" w:hAnsi="Arial" w:cs="Arial"/>
        </w:rPr>
      </w:pPr>
      <w:r w:rsidRPr="00D50CA8">
        <w:rPr>
          <w:rFonts w:ascii="Arial" w:hAnsi="Arial" w:cs="Arial"/>
        </w:rPr>
        <w:t xml:space="preserve">The situation of Len should not be evaluated based on a single profession or a single incident in the pathway. The safer leadership question is whether the entire medication process, including the prescribing, dispensing and home use, was structured and operated in a way that the right dose was easy to comprehend and easy to take. With SEIPS, it was not an individual failure but rather an interaction of people, tasks, tools, environment, and </w:t>
      </w:r>
      <w:proofErr w:type="spellStart"/>
      <w:r w:rsidRPr="00D50CA8">
        <w:rPr>
          <w:rFonts w:ascii="Arial" w:hAnsi="Arial" w:cs="Arial"/>
        </w:rPr>
        <w:t>organisational</w:t>
      </w:r>
      <w:proofErr w:type="spellEnd"/>
      <w:r w:rsidRPr="00D50CA8">
        <w:rPr>
          <w:rFonts w:ascii="Arial" w:hAnsi="Arial" w:cs="Arial"/>
        </w:rPr>
        <w:t xml:space="preserve"> arrangements that led to the overdose (HSSIB, 2022; </w:t>
      </w:r>
      <w:proofErr w:type="spellStart"/>
      <w:r w:rsidRPr="00D50CA8">
        <w:rPr>
          <w:rFonts w:ascii="Arial" w:hAnsi="Arial" w:cs="Arial"/>
        </w:rPr>
        <w:t>Carayon</w:t>
      </w:r>
      <w:proofErr w:type="spellEnd"/>
      <w:r w:rsidRPr="00D50CA8">
        <w:rPr>
          <w:rFonts w:ascii="Arial" w:hAnsi="Arial" w:cs="Arial"/>
        </w:rPr>
        <w:t xml:space="preserve"> et al., 2006; Holden et al., 2013). </w:t>
      </w:r>
    </w:p>
    <w:p w:rsidR="00D50CA8" w:rsidRDefault="00D50CA8" w:rsidP="00A469EF">
      <w:pPr>
        <w:spacing w:line="360" w:lineRule="auto"/>
        <w:jc w:val="both"/>
        <w:rPr>
          <w:rFonts w:ascii="Arial" w:hAnsi="Arial" w:cs="Arial"/>
        </w:rPr>
      </w:pPr>
      <w:r w:rsidRPr="00D50CA8">
        <w:rPr>
          <w:rFonts w:ascii="Arial" w:hAnsi="Arial" w:cs="Arial"/>
        </w:rPr>
        <w:t xml:space="preserve">The initial valuable lens is the Theory X and Theory Y by McGregor and Theory Z by Ouchi expands the argument. Theory X </w:t>
      </w:r>
      <w:r>
        <w:rPr>
          <w:rFonts w:ascii="Arial" w:hAnsi="Arial" w:cs="Arial"/>
        </w:rPr>
        <w:t>assume</w:t>
      </w:r>
      <w:r w:rsidRPr="00D50CA8">
        <w:rPr>
          <w:rFonts w:ascii="Arial" w:hAnsi="Arial" w:cs="Arial"/>
        </w:rPr>
        <w:t xml:space="preserve">s that people primarily require direction and control, and Theory Y </w:t>
      </w:r>
      <w:r>
        <w:rPr>
          <w:rFonts w:ascii="Arial" w:hAnsi="Arial" w:cs="Arial"/>
        </w:rPr>
        <w:t>assume</w:t>
      </w:r>
      <w:r w:rsidRPr="00D50CA8">
        <w:rPr>
          <w:rFonts w:ascii="Arial" w:hAnsi="Arial" w:cs="Arial"/>
        </w:rPr>
        <w:t xml:space="preserve">s that people can be responsible under the condition of support, involvement, and provision of the conditions to succeed (McGregor, 1960). Theory Z introduces trust, continuity and shared responsibility throughout the system (Ouchi, 1981). In the case of Len, a limited Theory X reasoning was on display since the pathway was based on the label, the written instruction, and the thought that compliance would occur automatically. The method was not sufficient as opioid safety at home needed more than </w:t>
      </w:r>
      <w:r>
        <w:rPr>
          <w:rFonts w:ascii="Arial" w:hAnsi="Arial" w:cs="Arial"/>
        </w:rPr>
        <w:t>instructions</w:t>
      </w:r>
      <w:r w:rsidRPr="00D50CA8">
        <w:rPr>
          <w:rFonts w:ascii="Arial" w:hAnsi="Arial" w:cs="Arial"/>
        </w:rPr>
        <w:t>. A more vigorous Theory Y and Theory Z response would have involved Len and his wife as active partners whose understanding should have been checked rather than assumed. It would have also have encouraged collective responsibility between the GP, pharmacy and family so that counselling, demonstration of doses and early follow-up were not three distinct activities but one unified safety activity. That is why the case should be examined throughout the application process and not be a specialty of one profession</w:t>
      </w:r>
      <w:r w:rsidR="00F820CC">
        <w:rPr>
          <w:rFonts w:ascii="Arial" w:hAnsi="Arial" w:cs="Arial"/>
        </w:rPr>
        <w:t xml:space="preserve"> </w:t>
      </w:r>
      <w:r w:rsidR="00F820CC" w:rsidRPr="00F820CC">
        <w:rPr>
          <w:rFonts w:ascii="Arial" w:hAnsi="Arial" w:cs="Arial"/>
        </w:rPr>
        <w:t>(Campbell et al., 2018)</w:t>
      </w:r>
      <w:r w:rsidRPr="00D50CA8">
        <w:rPr>
          <w:rFonts w:ascii="Arial" w:hAnsi="Arial" w:cs="Arial"/>
        </w:rPr>
        <w:t xml:space="preserve">. </w:t>
      </w:r>
    </w:p>
    <w:p w:rsidR="00D50CA8" w:rsidRDefault="00D50CA8" w:rsidP="00A469EF">
      <w:pPr>
        <w:spacing w:line="360" w:lineRule="auto"/>
        <w:jc w:val="both"/>
        <w:rPr>
          <w:rFonts w:ascii="Arial" w:hAnsi="Arial" w:cs="Arial"/>
        </w:rPr>
      </w:pPr>
      <w:r w:rsidRPr="00D50CA8">
        <w:rPr>
          <w:rFonts w:ascii="Arial" w:hAnsi="Arial" w:cs="Arial"/>
        </w:rPr>
        <w:lastRenderedPageBreak/>
        <w:t xml:space="preserve">The second lens is the </w:t>
      </w:r>
      <w:proofErr w:type="spellStart"/>
      <w:r w:rsidRPr="00D50CA8">
        <w:rPr>
          <w:rFonts w:ascii="Arial" w:hAnsi="Arial" w:cs="Arial"/>
        </w:rPr>
        <w:t>behavioural</w:t>
      </w:r>
      <w:proofErr w:type="spellEnd"/>
      <w:r w:rsidRPr="00D50CA8">
        <w:rPr>
          <w:rFonts w:ascii="Arial" w:hAnsi="Arial" w:cs="Arial"/>
        </w:rPr>
        <w:t xml:space="preserve"> theory. The </w:t>
      </w:r>
      <w:proofErr w:type="spellStart"/>
      <w:r w:rsidRPr="00D50CA8">
        <w:rPr>
          <w:rFonts w:ascii="Arial" w:hAnsi="Arial" w:cs="Arial"/>
        </w:rPr>
        <w:t>behavioural</w:t>
      </w:r>
      <w:proofErr w:type="spellEnd"/>
      <w:r w:rsidRPr="00D50CA8">
        <w:rPr>
          <w:rFonts w:ascii="Arial" w:hAnsi="Arial" w:cs="Arial"/>
        </w:rPr>
        <w:t xml:space="preserve"> theory </w:t>
      </w:r>
      <w:proofErr w:type="spellStart"/>
      <w:r w:rsidRPr="00D50CA8">
        <w:rPr>
          <w:rFonts w:ascii="Arial" w:hAnsi="Arial" w:cs="Arial"/>
        </w:rPr>
        <w:t>emphasises</w:t>
      </w:r>
      <w:proofErr w:type="spellEnd"/>
      <w:r w:rsidRPr="00D50CA8">
        <w:rPr>
          <w:rFonts w:ascii="Arial" w:hAnsi="Arial" w:cs="Arial"/>
        </w:rPr>
        <w:t xml:space="preserve"> what leaders do, in particular, the ratio between task-oriented and relationship-oriented </w:t>
      </w:r>
      <w:proofErr w:type="spellStart"/>
      <w:r w:rsidRPr="00D50CA8">
        <w:rPr>
          <w:rFonts w:ascii="Arial" w:hAnsi="Arial" w:cs="Arial"/>
        </w:rPr>
        <w:t>behaviours</w:t>
      </w:r>
      <w:proofErr w:type="spellEnd"/>
      <w:r w:rsidRPr="00D50CA8">
        <w:rPr>
          <w:rFonts w:ascii="Arial" w:hAnsi="Arial" w:cs="Arial"/>
        </w:rPr>
        <w:t xml:space="preserve"> (Northouse, 2022). In this scenario, task </w:t>
      </w:r>
      <w:proofErr w:type="spellStart"/>
      <w:r w:rsidRPr="00D50CA8">
        <w:rPr>
          <w:rFonts w:ascii="Arial" w:hAnsi="Arial" w:cs="Arial"/>
        </w:rPr>
        <w:t>behaviour</w:t>
      </w:r>
      <w:proofErr w:type="spellEnd"/>
      <w:r w:rsidRPr="00D50CA8">
        <w:rPr>
          <w:rFonts w:ascii="Arial" w:hAnsi="Arial" w:cs="Arial"/>
        </w:rPr>
        <w:t xml:space="preserve"> was present since the prescription was made, medicine dispensed and a syringe provided. The relationship-oriented </w:t>
      </w:r>
      <w:proofErr w:type="spellStart"/>
      <w:r w:rsidRPr="00D50CA8">
        <w:rPr>
          <w:rFonts w:ascii="Arial" w:hAnsi="Arial" w:cs="Arial"/>
        </w:rPr>
        <w:t>behaviour</w:t>
      </w:r>
      <w:proofErr w:type="spellEnd"/>
      <w:r w:rsidRPr="00D50CA8">
        <w:rPr>
          <w:rFonts w:ascii="Arial" w:hAnsi="Arial" w:cs="Arial"/>
        </w:rPr>
        <w:t xml:space="preserve"> was however too weak in the case of a high alert medicine. The leaders failed to provide teach-back, practical demonstration and assurance that the wife of Len could safely measure 1.25 ml to 2.5 ml at home. The </w:t>
      </w:r>
      <w:proofErr w:type="spellStart"/>
      <w:r w:rsidRPr="00D50CA8">
        <w:rPr>
          <w:rFonts w:ascii="Arial" w:hAnsi="Arial" w:cs="Arial"/>
        </w:rPr>
        <w:t>behaviour</w:t>
      </w:r>
      <w:proofErr w:type="spellEnd"/>
      <w:r w:rsidRPr="00D50CA8">
        <w:rPr>
          <w:rFonts w:ascii="Arial" w:hAnsi="Arial" w:cs="Arial"/>
        </w:rPr>
        <w:t xml:space="preserve"> pattern thus had a bias towards process completion as opposed to verified understanding</w:t>
      </w:r>
      <w:r w:rsidR="00F820CC">
        <w:rPr>
          <w:rFonts w:ascii="Arial" w:hAnsi="Arial" w:cs="Arial"/>
        </w:rPr>
        <w:t xml:space="preserve"> </w:t>
      </w:r>
      <w:r w:rsidR="00F820CC" w:rsidRPr="00F820CC">
        <w:rPr>
          <w:rFonts w:ascii="Arial" w:hAnsi="Arial" w:cs="Arial"/>
        </w:rPr>
        <w:t xml:space="preserve">(Quigley </w:t>
      </w:r>
      <w:r w:rsidR="00F820CC">
        <w:rPr>
          <w:rFonts w:ascii="Arial" w:hAnsi="Arial" w:cs="Arial"/>
        </w:rPr>
        <w:t>and</w:t>
      </w:r>
      <w:r w:rsidR="00F820CC" w:rsidRPr="00F820CC">
        <w:rPr>
          <w:rFonts w:ascii="Arial" w:hAnsi="Arial" w:cs="Arial"/>
        </w:rPr>
        <w:t xml:space="preserve"> Wheeler, 2021)</w:t>
      </w:r>
      <w:r w:rsidRPr="00D50CA8">
        <w:rPr>
          <w:rFonts w:ascii="Arial" w:hAnsi="Arial" w:cs="Arial"/>
        </w:rPr>
        <w:t>.</w:t>
      </w:r>
    </w:p>
    <w:p w:rsidR="00D50CA8" w:rsidRDefault="00D50CA8" w:rsidP="00A469EF">
      <w:pPr>
        <w:spacing w:line="360" w:lineRule="auto"/>
        <w:jc w:val="both"/>
        <w:rPr>
          <w:rFonts w:ascii="Arial" w:hAnsi="Arial" w:cs="Arial"/>
        </w:rPr>
      </w:pPr>
      <w:r w:rsidRPr="00D50CA8">
        <w:rPr>
          <w:rFonts w:ascii="Arial" w:hAnsi="Arial" w:cs="Arial"/>
        </w:rPr>
        <w:t xml:space="preserve">Trait theory has a narrow secondary contribution since traits like conscientiousness, clarity, and reliability are relevant in medicines governance. Nonetheless, trait theory is inadequate to explain the overdose of Len in isolation, as it is not through the lack of a certain right personal attribute of a leader or practitioner that the harm was created. The Great Man theory is even less applicable, as this case did not demand heroic individual authority; it needed ordinary teams to </w:t>
      </w:r>
      <w:proofErr w:type="spellStart"/>
      <w:r w:rsidRPr="00D50CA8">
        <w:rPr>
          <w:rFonts w:ascii="Arial" w:hAnsi="Arial" w:cs="Arial"/>
        </w:rPr>
        <w:t>organise</w:t>
      </w:r>
      <w:proofErr w:type="spellEnd"/>
      <w:r w:rsidRPr="00D50CA8">
        <w:rPr>
          <w:rFonts w:ascii="Arial" w:hAnsi="Arial" w:cs="Arial"/>
        </w:rPr>
        <w:t xml:space="preserve"> ordinary work safely across </w:t>
      </w:r>
      <w:proofErr w:type="spellStart"/>
      <w:r w:rsidRPr="00D50CA8">
        <w:rPr>
          <w:rFonts w:ascii="Arial" w:hAnsi="Arial" w:cs="Arial"/>
        </w:rPr>
        <w:t>organisational</w:t>
      </w:r>
      <w:proofErr w:type="spellEnd"/>
      <w:r w:rsidRPr="00D50CA8">
        <w:rPr>
          <w:rFonts w:ascii="Arial" w:hAnsi="Arial" w:cs="Arial"/>
        </w:rPr>
        <w:t xml:space="preserve"> boundaries (Northouse, 2022). That is why the trait theory and the Great Man theory should be discussed as the comparator theories rather than the primary analytical tool.</w:t>
      </w:r>
    </w:p>
    <w:p w:rsidR="00D50CA8" w:rsidRDefault="00D50CA8" w:rsidP="00A469EF">
      <w:pPr>
        <w:spacing w:line="360" w:lineRule="auto"/>
        <w:jc w:val="both"/>
        <w:rPr>
          <w:rFonts w:ascii="Arial" w:hAnsi="Arial" w:cs="Arial"/>
        </w:rPr>
      </w:pPr>
      <w:r w:rsidRPr="00D50CA8">
        <w:rPr>
          <w:rFonts w:ascii="Arial" w:hAnsi="Arial" w:cs="Arial"/>
        </w:rPr>
        <w:t>The third prominent lens is the contingency theory by Fiedler. According to contingency theory, the effectiveness of leaders is associated with the ability to match the leadership response to the situation (Fiedler, 1967; Northouse, 2022). Len had a combination of the following risk factors: older age, neurological disease, a decrease in renal activity, rib-fracture pain, dyspnea, a liquid opioid, and home administration by the family members. In such circumstances, leaders cannot afford a standard low-intensity reaction. They ought to add direction, support, supervision, and follow-up since the circumstance was more intricate and riskier than a typical repeat-medicine route</w:t>
      </w:r>
      <w:r w:rsidR="00F820CC">
        <w:rPr>
          <w:rFonts w:ascii="Arial" w:hAnsi="Arial" w:cs="Arial"/>
        </w:rPr>
        <w:t xml:space="preserve"> </w:t>
      </w:r>
      <w:r w:rsidR="00F820CC" w:rsidRPr="00F820CC">
        <w:rPr>
          <w:rFonts w:ascii="Arial" w:hAnsi="Arial" w:cs="Arial"/>
        </w:rPr>
        <w:t xml:space="preserve">(Saporta </w:t>
      </w:r>
      <w:r w:rsidR="00F820CC">
        <w:rPr>
          <w:rFonts w:ascii="Arial" w:hAnsi="Arial" w:cs="Arial"/>
        </w:rPr>
        <w:t>and</w:t>
      </w:r>
      <w:r w:rsidR="00F820CC" w:rsidRPr="00F820CC">
        <w:rPr>
          <w:rFonts w:ascii="Arial" w:hAnsi="Arial" w:cs="Arial"/>
        </w:rPr>
        <w:t xml:space="preserve"> Shy, 2013)</w:t>
      </w:r>
      <w:r w:rsidRPr="00D50CA8">
        <w:rPr>
          <w:rFonts w:ascii="Arial" w:hAnsi="Arial" w:cs="Arial"/>
        </w:rPr>
        <w:t>.</w:t>
      </w:r>
    </w:p>
    <w:p w:rsidR="00D50CA8" w:rsidRDefault="00D50CA8" w:rsidP="00A469EF">
      <w:pPr>
        <w:spacing w:line="360" w:lineRule="auto"/>
        <w:jc w:val="both"/>
        <w:rPr>
          <w:rFonts w:ascii="Arial" w:hAnsi="Arial" w:cs="Arial"/>
        </w:rPr>
      </w:pPr>
      <w:r w:rsidRPr="00D50CA8">
        <w:rPr>
          <w:rFonts w:ascii="Arial" w:hAnsi="Arial" w:cs="Arial"/>
        </w:rPr>
        <w:t xml:space="preserve">Path-Goal theory is also partially relevant as staff and carers required more straightforward directions, encouragement, and elimination of obstacles. Nevertheless, the contingency theory by Fiedler is more applicable in this case since it was not the motivation of the leader, but the necessity to align the entire leadership style with a high-risk combination of patient, medicine, task, and home environment. Similarly, transformational, transactional, and situational leadership are not central in the case, compared to a contingency perspective due to the same reason. A less risky drug can be handled by ordinary counselling, yet a new opioid in an extremely old </w:t>
      </w:r>
      <w:r w:rsidRPr="00D50CA8">
        <w:rPr>
          <w:rFonts w:ascii="Arial" w:hAnsi="Arial" w:cs="Arial"/>
        </w:rPr>
        <w:lastRenderedPageBreak/>
        <w:t>patient needed even greater controls, more understandable device usage, and the owner of the GP-pharmacy-home interface</w:t>
      </w:r>
      <w:r>
        <w:rPr>
          <w:rFonts w:ascii="Arial" w:hAnsi="Arial" w:cs="Arial"/>
        </w:rPr>
        <w:t xml:space="preserve"> </w:t>
      </w:r>
      <w:r w:rsidRPr="00A469EF">
        <w:rPr>
          <w:rFonts w:ascii="Arial" w:hAnsi="Arial" w:cs="Arial"/>
        </w:rPr>
        <w:t>(Wong et al., 2013; Hamdan et al., 2024; Wu et al., 2024)</w:t>
      </w:r>
      <w:r w:rsidRPr="00D50CA8">
        <w:rPr>
          <w:rFonts w:ascii="Arial" w:hAnsi="Arial" w:cs="Arial"/>
        </w:rPr>
        <w:t>.</w:t>
      </w:r>
    </w:p>
    <w:p w:rsidR="00D50CA8" w:rsidRDefault="00D50CA8" w:rsidP="00A469EF">
      <w:pPr>
        <w:spacing w:line="360" w:lineRule="auto"/>
        <w:jc w:val="both"/>
        <w:rPr>
          <w:rFonts w:ascii="Arial" w:hAnsi="Arial" w:cs="Arial"/>
        </w:rPr>
      </w:pPr>
      <w:r w:rsidRPr="00D50CA8">
        <w:rPr>
          <w:rFonts w:ascii="Arial" w:hAnsi="Arial" w:cs="Arial"/>
        </w:rPr>
        <w:t xml:space="preserve">In general, Theory X, Theory Y and Theory Z, </w:t>
      </w:r>
      <w:proofErr w:type="spellStart"/>
      <w:r w:rsidRPr="00D50CA8">
        <w:rPr>
          <w:rFonts w:ascii="Arial" w:hAnsi="Arial" w:cs="Arial"/>
        </w:rPr>
        <w:t>behavioural</w:t>
      </w:r>
      <w:proofErr w:type="spellEnd"/>
      <w:r w:rsidRPr="00D50CA8">
        <w:rPr>
          <w:rFonts w:ascii="Arial" w:hAnsi="Arial" w:cs="Arial"/>
        </w:rPr>
        <w:t xml:space="preserve"> theory, and contingency theory as put forward by Frieder are the most effective in </w:t>
      </w:r>
      <w:proofErr w:type="spellStart"/>
      <w:r w:rsidRPr="00D50CA8">
        <w:rPr>
          <w:rFonts w:ascii="Arial" w:hAnsi="Arial" w:cs="Arial"/>
        </w:rPr>
        <w:t>organising</w:t>
      </w:r>
      <w:proofErr w:type="spellEnd"/>
      <w:r w:rsidRPr="00D50CA8">
        <w:rPr>
          <w:rFonts w:ascii="Arial" w:hAnsi="Arial" w:cs="Arial"/>
        </w:rPr>
        <w:t xml:space="preserve"> Section C, with the secondary comparators being the theory of traits, Great Man theory, and Path-Goal theory. Theory X assists in understanding the boundaries of instructions-only, Theory Y and Theory Z </w:t>
      </w:r>
      <w:proofErr w:type="spellStart"/>
      <w:r w:rsidRPr="00D50CA8">
        <w:rPr>
          <w:rFonts w:ascii="Arial" w:hAnsi="Arial" w:cs="Arial"/>
        </w:rPr>
        <w:t>emphasise</w:t>
      </w:r>
      <w:proofErr w:type="spellEnd"/>
      <w:r w:rsidRPr="00D50CA8">
        <w:rPr>
          <w:rFonts w:ascii="Arial" w:hAnsi="Arial" w:cs="Arial"/>
        </w:rPr>
        <w:t xml:space="preserve"> collaboration and joint accountability, </w:t>
      </w:r>
      <w:proofErr w:type="spellStart"/>
      <w:r w:rsidRPr="00D50CA8">
        <w:rPr>
          <w:rFonts w:ascii="Arial" w:hAnsi="Arial" w:cs="Arial"/>
        </w:rPr>
        <w:t>behavioural</w:t>
      </w:r>
      <w:proofErr w:type="spellEnd"/>
      <w:r w:rsidRPr="00D50CA8">
        <w:rPr>
          <w:rFonts w:ascii="Arial" w:hAnsi="Arial" w:cs="Arial"/>
        </w:rPr>
        <w:t xml:space="preserve"> theory demonstrates the disparity between accomplishment of tasks and the established knowledge, and contingency theory clarifies why more risky patients should have greater protection. Combined, these theories are closer to the case study</w:t>
      </w:r>
      <w:r>
        <w:rPr>
          <w:rFonts w:ascii="Arial" w:hAnsi="Arial" w:cs="Arial"/>
        </w:rPr>
        <w:t xml:space="preserve"> </w:t>
      </w:r>
      <w:r w:rsidRPr="00A469EF">
        <w:rPr>
          <w:rFonts w:ascii="Arial" w:hAnsi="Arial" w:cs="Arial"/>
        </w:rPr>
        <w:t>(World Health Organization, 2017; Donaldson et al., 2017; Elliott et al., 2021)</w:t>
      </w:r>
      <w:r w:rsidRPr="00D50CA8">
        <w:rPr>
          <w:rFonts w:ascii="Arial" w:hAnsi="Arial" w:cs="Arial"/>
        </w:rPr>
        <w:t>.</w:t>
      </w:r>
    </w:p>
    <w:p w:rsidR="00FC3FEA" w:rsidRDefault="00FC3FEA" w:rsidP="00884887">
      <w:pPr>
        <w:spacing w:line="360" w:lineRule="auto"/>
        <w:jc w:val="both"/>
        <w:rPr>
          <w:rFonts w:ascii="Arial" w:hAnsi="Arial" w:cs="Arial"/>
          <w:noProof/>
        </w:rPr>
      </w:pPr>
    </w:p>
    <w:p w:rsidR="00572455" w:rsidRPr="00F92AC2" w:rsidRDefault="00572455" w:rsidP="00884887">
      <w:pPr>
        <w:spacing w:line="360" w:lineRule="auto"/>
        <w:jc w:val="both"/>
        <w:rPr>
          <w:rFonts w:ascii="Arial" w:hAnsi="Arial" w:cs="Arial"/>
        </w:rPr>
      </w:pPr>
      <w:r>
        <w:rPr>
          <w:rFonts w:ascii="Arial" w:hAnsi="Arial" w:cs="Arial"/>
          <w:noProof/>
        </w:rPr>
        <w:drawing>
          <wp:inline distT="0" distB="0" distL="0" distR="0" wp14:anchorId="6AD41751">
            <wp:extent cx="5919829" cy="3966210"/>
            <wp:effectExtent l="0" t="0" r="5080" b="0"/>
            <wp:docPr id="1161280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b="2627"/>
                    <a:stretch>
                      <a:fillRect/>
                    </a:stretch>
                  </pic:blipFill>
                  <pic:spPr bwMode="auto">
                    <a:xfrm>
                      <a:off x="0" y="0"/>
                      <a:ext cx="5934660" cy="3976147"/>
                    </a:xfrm>
                    <a:prstGeom prst="rect">
                      <a:avLst/>
                    </a:prstGeom>
                    <a:noFill/>
                    <a:ln>
                      <a:noFill/>
                    </a:ln>
                    <a:extLst>
                      <a:ext uri="{53640926-AAD7-44D8-BBD7-CCE9431645EC}">
                        <a14:shadowObscured xmlns:a14="http://schemas.microsoft.com/office/drawing/2010/main"/>
                      </a:ext>
                    </a:extLst>
                  </pic:spPr>
                </pic:pic>
              </a:graphicData>
            </a:graphic>
          </wp:inline>
        </w:drawing>
      </w:r>
    </w:p>
    <w:p w:rsidR="00EC124B" w:rsidRPr="00EC124B" w:rsidRDefault="00572455" w:rsidP="00EC124B">
      <w:pPr>
        <w:spacing w:line="360" w:lineRule="auto"/>
        <w:jc w:val="center"/>
        <w:rPr>
          <w:rFonts w:ascii="Arial" w:hAnsi="Arial" w:cs="Arial"/>
        </w:rPr>
      </w:pPr>
      <w:r>
        <w:rPr>
          <w:rFonts w:ascii="Arial" w:hAnsi="Arial" w:cs="Arial"/>
        </w:rPr>
        <w:t xml:space="preserve">Figure 3: </w:t>
      </w:r>
      <w:r w:rsidR="00EC124B" w:rsidRPr="00EC124B">
        <w:rPr>
          <w:rFonts w:ascii="Arial" w:hAnsi="Arial" w:cs="Arial"/>
        </w:rPr>
        <w:t>Figure 3: Problem-data-improvement analysis mind map linking contributory factors, evidence and priority improvement actions (Makary and Daniel, 2016; Elliott et al., 2021; HSSIB, 2022).</w:t>
      </w:r>
    </w:p>
    <w:p w:rsidR="00F92AC2" w:rsidRPr="003D5FA2" w:rsidRDefault="00F92AC2" w:rsidP="003D5FA2">
      <w:pPr>
        <w:pStyle w:val="Heading1"/>
        <w:rPr>
          <w:rFonts w:ascii="Arial" w:hAnsi="Arial" w:cs="Arial"/>
        </w:rPr>
      </w:pPr>
      <w:bookmarkStart w:id="4" w:name="_Toc224386980"/>
      <w:r w:rsidRPr="003D5FA2">
        <w:rPr>
          <w:rFonts w:ascii="Arial" w:hAnsi="Arial" w:cs="Arial"/>
        </w:rPr>
        <w:lastRenderedPageBreak/>
        <w:t>Part D: Improvement and lessons learned</w:t>
      </w:r>
      <w:bookmarkEnd w:id="4"/>
    </w:p>
    <w:p w:rsidR="00051427" w:rsidRDefault="00051427" w:rsidP="00A469EF">
      <w:pPr>
        <w:spacing w:line="360" w:lineRule="auto"/>
        <w:jc w:val="both"/>
        <w:rPr>
          <w:rFonts w:ascii="Arial" w:hAnsi="Arial" w:cs="Arial"/>
        </w:rPr>
      </w:pPr>
      <w:r w:rsidRPr="00051427">
        <w:rPr>
          <w:rFonts w:ascii="Arial" w:hAnsi="Arial" w:cs="Arial"/>
        </w:rPr>
        <w:t>The first learning aspect of the case of Len is that the governance was not entirely translated into safe use at home. The local route was reliant on the patient and family correctly understanding a product whose most conspicuous writing was about strength, rather than dose, and national rules gave a starting point on which prescribing, packaging and labelling were based. HSSIB analysis revealed that the prescription was filled as per the prescription, but the dose label on the outer box was not observed and the syringe supplied was not optimal to take the lowest dose, which had been prescribed (HSSIB, 2022). This is a common systems problem: legal and professional compliance did not guarantee user-</w:t>
      </w:r>
      <w:proofErr w:type="spellStart"/>
      <w:r w:rsidRPr="00051427">
        <w:rPr>
          <w:rFonts w:ascii="Arial" w:hAnsi="Arial" w:cs="Arial"/>
        </w:rPr>
        <w:t>centred</w:t>
      </w:r>
      <w:proofErr w:type="spellEnd"/>
      <w:r w:rsidRPr="00051427">
        <w:rPr>
          <w:rFonts w:ascii="Arial" w:hAnsi="Arial" w:cs="Arial"/>
        </w:rPr>
        <w:t xml:space="preserve"> safety. Better design guidance is already encompassed by the MHRA packaging guidance, the Royal Pharmaceutical Society dispensing guidance, and the NPSA design-for-safety work, yet leadership has not applied those principles to a strong local </w:t>
      </w:r>
      <w:proofErr w:type="spellStart"/>
      <w:r w:rsidRPr="00051427">
        <w:rPr>
          <w:rFonts w:ascii="Arial" w:hAnsi="Arial" w:cs="Arial"/>
        </w:rPr>
        <w:t>defence</w:t>
      </w:r>
      <w:proofErr w:type="spellEnd"/>
      <w:r w:rsidRPr="00051427">
        <w:rPr>
          <w:rFonts w:ascii="Arial" w:hAnsi="Arial" w:cs="Arial"/>
        </w:rPr>
        <w:t xml:space="preserve"> of this situation of high risk (MHRA, 2020; Royal Pharmaceutical Society, 2021; National Patient Safety Agency and Helen Hamlyn Research Centre, 2007). </w:t>
      </w:r>
    </w:p>
    <w:p w:rsidR="00051427" w:rsidRDefault="00051427" w:rsidP="00A469EF">
      <w:pPr>
        <w:spacing w:line="360" w:lineRule="auto"/>
        <w:jc w:val="both"/>
        <w:rPr>
          <w:rFonts w:ascii="Arial" w:hAnsi="Arial" w:cs="Arial"/>
        </w:rPr>
      </w:pPr>
      <w:r w:rsidRPr="00051427">
        <w:rPr>
          <w:rFonts w:ascii="Arial" w:hAnsi="Arial" w:cs="Arial"/>
        </w:rPr>
        <w:t>The second learning is associated with the quality of communication. The pathway has apparently assumed that the information provided was comparable to knowledge attained. The facts in the case were in the contrary. Len and his wife read the bottle and the leaflet, and still took the wrong dose because the system was not taking the initiative to ensure what they had gotten the instruction to mean (HSSIB, 2022). Communication is not a sign of courtesy but a type of control to the vulnerable users of medicine, especially the older adults on opioid prescriptions. It is to confirm the exact amount that should be removed, to physically demonstrate the equipment and to clarify who will give the medication at home. It can also be coherent with a systems view of care as one of the work processes leading to safer results is communication (</w:t>
      </w:r>
      <w:proofErr w:type="spellStart"/>
      <w:r w:rsidRPr="00051427">
        <w:rPr>
          <w:rFonts w:ascii="Arial" w:hAnsi="Arial" w:cs="Arial"/>
        </w:rPr>
        <w:t>Carayon</w:t>
      </w:r>
      <w:proofErr w:type="spellEnd"/>
      <w:r w:rsidRPr="00051427">
        <w:rPr>
          <w:rFonts w:ascii="Arial" w:hAnsi="Arial" w:cs="Arial"/>
        </w:rPr>
        <w:t xml:space="preserve"> et al., 2006; Holden et al., 2013). </w:t>
      </w:r>
    </w:p>
    <w:p w:rsidR="00051427" w:rsidRDefault="00051427" w:rsidP="00A469EF">
      <w:pPr>
        <w:spacing w:line="360" w:lineRule="auto"/>
        <w:jc w:val="both"/>
        <w:rPr>
          <w:rFonts w:ascii="Arial" w:hAnsi="Arial" w:cs="Arial"/>
        </w:rPr>
      </w:pPr>
      <w:r w:rsidRPr="00051427">
        <w:rPr>
          <w:rFonts w:ascii="Arial" w:hAnsi="Arial" w:cs="Arial"/>
        </w:rPr>
        <w:t xml:space="preserve">The third lesson is </w:t>
      </w:r>
      <w:proofErr w:type="spellStart"/>
      <w:r w:rsidRPr="00051427">
        <w:rPr>
          <w:rFonts w:ascii="Arial" w:hAnsi="Arial" w:cs="Arial"/>
        </w:rPr>
        <w:t>organisational</w:t>
      </w:r>
      <w:proofErr w:type="spellEnd"/>
      <w:r w:rsidRPr="00051427">
        <w:rPr>
          <w:rFonts w:ascii="Arial" w:hAnsi="Arial" w:cs="Arial"/>
        </w:rPr>
        <w:t xml:space="preserve"> learning. HSSIB noted that the community pharmacy was not part of the enquiry, so it restricted the knowledge of the daily dispensing and counselling practise (HSSIB, 2022). PSIRF incident response is aimed at learning and improvement, and patients, families, and staff should be involved in the process in a compassionate and proportional manner (NHS England, 2022). The other element of the case, however, is that even though the scheme was useful in its purpose of identifying and reviewing potential safety concerns related to medicine, no Yellow Card report was provided (HSSIB, 2022; Medicines and Healthcare products Regulatory Agency, 2022). There is therefore a need to improve local reporting, involvement of participation and cross-sector feedback </w:t>
      </w:r>
      <w:proofErr w:type="spellStart"/>
      <w:r w:rsidRPr="00051427">
        <w:rPr>
          <w:rFonts w:ascii="Arial" w:hAnsi="Arial" w:cs="Arial"/>
        </w:rPr>
        <w:t>practises</w:t>
      </w:r>
      <w:proofErr w:type="spellEnd"/>
      <w:r w:rsidRPr="00051427">
        <w:rPr>
          <w:rFonts w:ascii="Arial" w:hAnsi="Arial" w:cs="Arial"/>
        </w:rPr>
        <w:t>, so that community setting signals are not lost.</w:t>
      </w:r>
    </w:p>
    <w:p w:rsidR="00330C23" w:rsidRDefault="00330C23" w:rsidP="00A469EF">
      <w:pPr>
        <w:spacing w:line="360" w:lineRule="auto"/>
        <w:jc w:val="both"/>
        <w:rPr>
          <w:rFonts w:ascii="Arial" w:hAnsi="Arial" w:cs="Arial"/>
        </w:rPr>
      </w:pPr>
      <w:r w:rsidRPr="00330C23">
        <w:rPr>
          <w:rFonts w:ascii="Arial" w:hAnsi="Arial" w:cs="Arial"/>
        </w:rPr>
        <w:lastRenderedPageBreak/>
        <w:t xml:space="preserve">The fourth lesson is that safety culture in the community pathways ought to address barriers to reporting and workload reality. Evidence of community pharmacy shows that dispensing incidents occur in stressed environments, and reporting can be constrained by time pressure, anxiety, ambiguity and lack of feedback (Ashcroft et al., 2005; Verma and Allinson, 2012; Adie et al., 2021). In the current national primary care patient safety strategy, the concept of primary care safety has been clarified as a systems issue that requires just culture, patient involvement and learning in general practise and community pharmacy (NHS England, 2024). Such an agenda perfectly fits the case of Len. The </w:t>
      </w:r>
      <w:proofErr w:type="spellStart"/>
      <w:r w:rsidRPr="00330C23">
        <w:rPr>
          <w:rFonts w:ascii="Arial" w:hAnsi="Arial" w:cs="Arial"/>
        </w:rPr>
        <w:t>decentralised</w:t>
      </w:r>
      <w:proofErr w:type="spellEnd"/>
      <w:r w:rsidRPr="00330C23">
        <w:rPr>
          <w:rFonts w:ascii="Arial" w:hAnsi="Arial" w:cs="Arial"/>
        </w:rPr>
        <w:t xml:space="preserve"> route can be secure, yet it must be the case that the local teams ought to be supported through transparent standards, accessible tools and psychologically secure methods to escalate risk. </w:t>
      </w:r>
    </w:p>
    <w:p w:rsidR="00051427" w:rsidRDefault="00330C23" w:rsidP="00A469EF">
      <w:pPr>
        <w:spacing w:line="360" w:lineRule="auto"/>
        <w:jc w:val="both"/>
        <w:rPr>
          <w:rFonts w:ascii="Arial" w:hAnsi="Arial" w:cs="Arial"/>
        </w:rPr>
      </w:pPr>
      <w:r w:rsidRPr="00330C23">
        <w:rPr>
          <w:rFonts w:ascii="Arial" w:hAnsi="Arial" w:cs="Arial"/>
        </w:rPr>
        <w:t xml:space="preserve">The fifth lesson is that risk stratification is significant. It was not about simply a bottle label. It involved an aged person, neurological comorbidity, respiratory frailty, rib-fracture pains and opioid initiation. Even the failure was more educative as it shows that proper clinical decision-making can still be harmful when the controls surrounding it are weak (HSSIB, 2022; Joint Formulary Committee, 2021; National Institute for Health and Care Excellence, 2020). </w:t>
      </w:r>
      <w:proofErr w:type="spellStart"/>
      <w:r w:rsidRPr="00330C23">
        <w:rPr>
          <w:rFonts w:ascii="Arial" w:hAnsi="Arial" w:cs="Arial"/>
        </w:rPr>
        <w:t>Organisations</w:t>
      </w:r>
      <w:proofErr w:type="spellEnd"/>
      <w:r w:rsidRPr="00330C23">
        <w:rPr>
          <w:rFonts w:ascii="Arial" w:hAnsi="Arial" w:cs="Arial"/>
        </w:rPr>
        <w:t xml:space="preserve"> need to thus initiate increased protective mechanisms on a combination of risk factors rather than allow the staff to informally know that something is amiss. This is more viable than personal watchfulness and concurs with Reason who stated that the safety resides in improving system </w:t>
      </w:r>
      <w:proofErr w:type="spellStart"/>
      <w:r w:rsidRPr="00330C23">
        <w:rPr>
          <w:rFonts w:ascii="Arial" w:hAnsi="Arial" w:cs="Arial"/>
        </w:rPr>
        <w:t>defences</w:t>
      </w:r>
      <w:proofErr w:type="spellEnd"/>
      <w:r w:rsidRPr="00330C23">
        <w:rPr>
          <w:rFonts w:ascii="Arial" w:hAnsi="Arial" w:cs="Arial"/>
        </w:rPr>
        <w:t xml:space="preserve"> rather than blaming people after the hazards have already been matched (Reason, 2000).</w:t>
      </w:r>
    </w:p>
    <w:p w:rsidR="00F92AC2" w:rsidRDefault="00330C23" w:rsidP="00884887">
      <w:pPr>
        <w:spacing w:line="360" w:lineRule="auto"/>
        <w:jc w:val="both"/>
        <w:rPr>
          <w:rFonts w:ascii="Arial" w:hAnsi="Arial" w:cs="Arial"/>
        </w:rPr>
      </w:pPr>
      <w:r w:rsidRPr="00330C23">
        <w:rPr>
          <w:rFonts w:ascii="Arial" w:hAnsi="Arial" w:cs="Arial"/>
        </w:rPr>
        <w:t xml:space="preserve">Considering the case as a whole has a number of extended implications on health </w:t>
      </w:r>
      <w:proofErr w:type="spellStart"/>
      <w:r w:rsidRPr="00330C23">
        <w:rPr>
          <w:rFonts w:ascii="Arial" w:hAnsi="Arial" w:cs="Arial"/>
        </w:rPr>
        <w:t>organisations</w:t>
      </w:r>
      <w:proofErr w:type="spellEnd"/>
      <w:r w:rsidRPr="00330C23">
        <w:rPr>
          <w:rFonts w:ascii="Arial" w:hAnsi="Arial" w:cs="Arial"/>
        </w:rPr>
        <w:t xml:space="preserve">. Firstly, the home needs to be accorded the same design discipline as hospitals as concerns patient safety. Second, the leadership competence should be measured on what the patients can safely do, not on whether there is a policy. Third, the improvement of medication safety needs both national norms and local modification, mostly in primary care interfaces. Fourth, it should be easy to report on, </w:t>
      </w:r>
      <w:proofErr w:type="spellStart"/>
      <w:r w:rsidRPr="00330C23">
        <w:rPr>
          <w:rFonts w:ascii="Arial" w:hAnsi="Arial" w:cs="Arial"/>
        </w:rPr>
        <w:t>analyse</w:t>
      </w:r>
      <w:proofErr w:type="spellEnd"/>
      <w:r w:rsidRPr="00330C23">
        <w:rPr>
          <w:rFonts w:ascii="Arial" w:hAnsi="Arial" w:cs="Arial"/>
        </w:rPr>
        <w:t xml:space="preserve"> and act on weak signs through the learning systems before it develops into tragedies. These lessons cannot be applied to one case because medication harm is a major and preventable burden on the international and national level, and thus even apparently minor usability shortcomings can have systems-wide effects when recurrent throughout thousands of care episodes (World Health </w:t>
      </w:r>
      <w:proofErr w:type="spellStart"/>
      <w:r w:rsidRPr="00330C23">
        <w:rPr>
          <w:rFonts w:ascii="Arial" w:hAnsi="Arial" w:cs="Arial"/>
        </w:rPr>
        <w:t>Organisation</w:t>
      </w:r>
      <w:proofErr w:type="spellEnd"/>
      <w:r w:rsidRPr="00330C23">
        <w:rPr>
          <w:rFonts w:ascii="Arial" w:hAnsi="Arial" w:cs="Arial"/>
        </w:rPr>
        <w:t>, 2017; Donaldson et al., 2017; Elliott et al., 2021; Vincent, 2010).</w:t>
      </w:r>
    </w:p>
    <w:p w:rsidR="00814148" w:rsidRPr="00884887" w:rsidRDefault="00814148" w:rsidP="00884887">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116"/>
        <w:gridCol w:w="3117"/>
        <w:gridCol w:w="3117"/>
      </w:tblGrid>
      <w:tr w:rsidR="00F92AC2" w:rsidRPr="00884887">
        <w:tc>
          <w:tcPr>
            <w:tcW w:w="3116" w:type="dxa"/>
          </w:tcPr>
          <w:p w:rsidR="00F92AC2" w:rsidRPr="00884887" w:rsidRDefault="00F92AC2" w:rsidP="00884887">
            <w:pPr>
              <w:spacing w:line="360" w:lineRule="auto"/>
              <w:jc w:val="both"/>
              <w:rPr>
                <w:rFonts w:ascii="Arial" w:hAnsi="Arial" w:cs="Arial"/>
              </w:rPr>
            </w:pPr>
            <w:r w:rsidRPr="00884887">
              <w:rPr>
                <w:rFonts w:ascii="Arial" w:hAnsi="Arial" w:cs="Arial"/>
              </w:rPr>
              <w:lastRenderedPageBreak/>
              <w:t>Problem Identified</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Evidence</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Improvement Strategy</w:t>
            </w:r>
          </w:p>
        </w:tc>
      </w:tr>
      <w:tr w:rsidR="00F92AC2" w:rsidRPr="00884887">
        <w:tc>
          <w:tcPr>
            <w:tcW w:w="3116" w:type="dxa"/>
          </w:tcPr>
          <w:p w:rsidR="00F92AC2" w:rsidRPr="00884887" w:rsidRDefault="00F92AC2" w:rsidP="00884887">
            <w:pPr>
              <w:spacing w:line="360" w:lineRule="auto"/>
              <w:jc w:val="both"/>
              <w:rPr>
                <w:rFonts w:ascii="Arial" w:hAnsi="Arial" w:cs="Arial"/>
              </w:rPr>
            </w:pPr>
            <w:r w:rsidRPr="00884887">
              <w:rPr>
                <w:rFonts w:ascii="Arial" w:hAnsi="Arial" w:cs="Arial"/>
              </w:rPr>
              <w:t>Confusing medication labelling</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Patient misunderstood bottle strength as dose (HSSIB, 2022)</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Clearer dosing labels and improved packaging design</w:t>
            </w:r>
          </w:p>
        </w:tc>
      </w:tr>
      <w:tr w:rsidR="00F92AC2" w:rsidRPr="00884887">
        <w:tc>
          <w:tcPr>
            <w:tcW w:w="3116" w:type="dxa"/>
          </w:tcPr>
          <w:p w:rsidR="00F92AC2" w:rsidRPr="00884887" w:rsidRDefault="00F92AC2" w:rsidP="00884887">
            <w:pPr>
              <w:spacing w:line="360" w:lineRule="auto"/>
              <w:jc w:val="both"/>
              <w:rPr>
                <w:rFonts w:ascii="Arial" w:hAnsi="Arial" w:cs="Arial"/>
              </w:rPr>
            </w:pPr>
            <w:r w:rsidRPr="00884887">
              <w:rPr>
                <w:rFonts w:ascii="Arial" w:hAnsi="Arial" w:cs="Arial"/>
              </w:rPr>
              <w:t>Communication failure</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Patient read instructions but misunderstood dosage</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Teach-back counselling and demonstration of measuring devices</w:t>
            </w:r>
          </w:p>
        </w:tc>
      </w:tr>
      <w:tr w:rsidR="00F92AC2" w:rsidRPr="00884887">
        <w:tc>
          <w:tcPr>
            <w:tcW w:w="3116" w:type="dxa"/>
          </w:tcPr>
          <w:p w:rsidR="00F92AC2" w:rsidRPr="00884887" w:rsidRDefault="00F92AC2" w:rsidP="00884887">
            <w:pPr>
              <w:spacing w:line="360" w:lineRule="auto"/>
              <w:jc w:val="both"/>
              <w:rPr>
                <w:rFonts w:ascii="Arial" w:hAnsi="Arial" w:cs="Arial"/>
              </w:rPr>
            </w:pPr>
            <w:r w:rsidRPr="00884887">
              <w:rPr>
                <w:rFonts w:ascii="Arial" w:hAnsi="Arial" w:cs="Arial"/>
              </w:rPr>
              <w:t>Weak incident reporting</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Yellow Card report not submitted</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Stronger reporting routines and feedback systems</w:t>
            </w:r>
          </w:p>
        </w:tc>
      </w:tr>
      <w:tr w:rsidR="00F92AC2" w:rsidRPr="00884887">
        <w:tc>
          <w:tcPr>
            <w:tcW w:w="3116" w:type="dxa"/>
          </w:tcPr>
          <w:p w:rsidR="00F92AC2" w:rsidRPr="00884887" w:rsidRDefault="00F92AC2" w:rsidP="00884887">
            <w:pPr>
              <w:spacing w:line="360" w:lineRule="auto"/>
              <w:jc w:val="both"/>
              <w:rPr>
                <w:rFonts w:ascii="Arial" w:hAnsi="Arial" w:cs="Arial"/>
              </w:rPr>
            </w:pPr>
            <w:r w:rsidRPr="00884887">
              <w:rPr>
                <w:rFonts w:ascii="Arial" w:hAnsi="Arial" w:cs="Arial"/>
              </w:rPr>
              <w:t>Fragmented governance</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GP–pharmacy–home pathway lacked coordination</w:t>
            </w:r>
          </w:p>
        </w:tc>
        <w:tc>
          <w:tcPr>
            <w:tcW w:w="3117" w:type="dxa"/>
          </w:tcPr>
          <w:p w:rsidR="00F92AC2" w:rsidRPr="00884887" w:rsidRDefault="00F92AC2" w:rsidP="00884887">
            <w:pPr>
              <w:spacing w:line="360" w:lineRule="auto"/>
              <w:jc w:val="both"/>
              <w:rPr>
                <w:rFonts w:ascii="Arial" w:hAnsi="Arial" w:cs="Arial"/>
              </w:rPr>
            </w:pPr>
            <w:r w:rsidRPr="00884887">
              <w:rPr>
                <w:rFonts w:ascii="Arial" w:hAnsi="Arial" w:cs="Arial"/>
              </w:rPr>
              <w:t>Shared protocols and cross-sector safety review</w:t>
            </w:r>
          </w:p>
        </w:tc>
      </w:tr>
    </w:tbl>
    <w:p w:rsidR="00F92AC2" w:rsidRPr="00F92AC2" w:rsidRDefault="00F92AC2" w:rsidP="00884887">
      <w:pPr>
        <w:spacing w:line="360" w:lineRule="auto"/>
        <w:jc w:val="both"/>
        <w:rPr>
          <w:rFonts w:ascii="Arial" w:hAnsi="Arial" w:cs="Arial"/>
        </w:rPr>
      </w:pPr>
    </w:p>
    <w:p w:rsidR="00F92AC2" w:rsidRDefault="00F92AC2" w:rsidP="003D5FA2">
      <w:pPr>
        <w:pStyle w:val="Heading1"/>
        <w:rPr>
          <w:rFonts w:ascii="Arial" w:hAnsi="Arial" w:cs="Arial"/>
        </w:rPr>
      </w:pPr>
      <w:bookmarkStart w:id="5" w:name="_Toc224386981"/>
      <w:r w:rsidRPr="003D5FA2">
        <w:rPr>
          <w:rFonts w:ascii="Arial" w:hAnsi="Arial" w:cs="Arial"/>
        </w:rPr>
        <w:t>Recommendations</w:t>
      </w:r>
      <w:bookmarkEnd w:id="5"/>
    </w:p>
    <w:p w:rsidR="008F7369" w:rsidRPr="008F7369" w:rsidRDefault="008F7369" w:rsidP="008F7369"/>
    <w:p w:rsidR="008F7369" w:rsidRPr="008F7369" w:rsidRDefault="008F7369" w:rsidP="00A469EF">
      <w:pPr>
        <w:spacing w:line="360" w:lineRule="auto"/>
        <w:jc w:val="both"/>
        <w:rPr>
          <w:rFonts w:ascii="Arial" w:hAnsi="Arial" w:cs="Arial"/>
          <w:b/>
          <w:bCs/>
        </w:rPr>
      </w:pPr>
      <w:proofErr w:type="spellStart"/>
      <w:r w:rsidRPr="008F7369">
        <w:rPr>
          <w:rFonts w:ascii="Arial" w:hAnsi="Arial" w:cs="Arial"/>
          <w:b/>
          <w:bCs/>
        </w:rPr>
        <w:t>Standardised</w:t>
      </w:r>
      <w:proofErr w:type="spellEnd"/>
      <w:r w:rsidRPr="008F7369">
        <w:rPr>
          <w:rFonts w:ascii="Arial" w:hAnsi="Arial" w:cs="Arial"/>
          <w:b/>
          <w:bCs/>
        </w:rPr>
        <w:t xml:space="preserve"> high-risk opioid dispensing and counselling bundle</w:t>
      </w:r>
    </w:p>
    <w:p w:rsidR="008F7369" w:rsidRDefault="008F7369" w:rsidP="00A469EF">
      <w:pPr>
        <w:spacing w:line="360" w:lineRule="auto"/>
        <w:jc w:val="both"/>
        <w:rPr>
          <w:rFonts w:ascii="Arial" w:hAnsi="Arial" w:cs="Arial"/>
        </w:rPr>
      </w:pPr>
      <w:r w:rsidRPr="008F7369">
        <w:rPr>
          <w:rFonts w:ascii="Arial" w:hAnsi="Arial" w:cs="Arial"/>
        </w:rPr>
        <w:t xml:space="preserve"> Older adults and other vulnerable patients in community pathways should be introduced to a </w:t>
      </w:r>
      <w:proofErr w:type="spellStart"/>
      <w:r w:rsidRPr="008F7369">
        <w:rPr>
          <w:rFonts w:ascii="Arial" w:hAnsi="Arial" w:cs="Arial"/>
        </w:rPr>
        <w:t>standardised</w:t>
      </w:r>
      <w:proofErr w:type="spellEnd"/>
      <w:r w:rsidRPr="008F7369">
        <w:rPr>
          <w:rFonts w:ascii="Arial" w:hAnsi="Arial" w:cs="Arial"/>
        </w:rPr>
        <w:t xml:space="preserve"> high-risk opioid dispensing and counselling bundle. This bundle must mandate that the prescribed dose must be presented orally and visually, the actual volume must be demonstrated using the device provided, the patient or carer must repeat the dose and timing in </w:t>
      </w:r>
      <w:proofErr w:type="spellStart"/>
      <w:r w:rsidRPr="008F7369">
        <w:rPr>
          <w:rFonts w:ascii="Arial" w:hAnsi="Arial" w:cs="Arial"/>
        </w:rPr>
        <w:t>millilitres</w:t>
      </w:r>
      <w:proofErr w:type="spellEnd"/>
      <w:r w:rsidRPr="008F7369">
        <w:rPr>
          <w:rFonts w:ascii="Arial" w:hAnsi="Arial" w:cs="Arial"/>
        </w:rPr>
        <w:t>, and any barriers that might exist such as poor dexterity, poor sight, hearing impairment or disorientation about the packaging must be recorded and addressed. There should also be early follow-up prompted by the bundle following initiation in the presence of multiple risk factors (HSSIB, 2022; Royal Pharmaceutical Society, 2021; MHRA, 2020; Joint Formulary Committee, 2021; National Institute for Health and Care Excellence, 2020).</w:t>
      </w:r>
    </w:p>
    <w:p w:rsidR="008F7369" w:rsidRPr="008F7369" w:rsidRDefault="008F7369" w:rsidP="00A469EF">
      <w:pPr>
        <w:spacing w:line="360" w:lineRule="auto"/>
        <w:jc w:val="both"/>
        <w:rPr>
          <w:rFonts w:ascii="Arial" w:hAnsi="Arial" w:cs="Arial"/>
          <w:b/>
          <w:bCs/>
        </w:rPr>
      </w:pPr>
      <w:r w:rsidRPr="008F7369">
        <w:rPr>
          <w:rFonts w:ascii="Arial" w:hAnsi="Arial" w:cs="Arial"/>
          <w:b/>
          <w:bCs/>
        </w:rPr>
        <w:t xml:space="preserve">Communication capability </w:t>
      </w:r>
    </w:p>
    <w:p w:rsidR="008F7369" w:rsidRDefault="008F7369" w:rsidP="00A469EF">
      <w:pPr>
        <w:spacing w:line="360" w:lineRule="auto"/>
        <w:jc w:val="both"/>
        <w:rPr>
          <w:rFonts w:ascii="Arial" w:hAnsi="Arial" w:cs="Arial"/>
        </w:rPr>
      </w:pPr>
      <w:r w:rsidRPr="008F7369">
        <w:rPr>
          <w:rFonts w:ascii="Arial" w:hAnsi="Arial" w:cs="Arial"/>
        </w:rPr>
        <w:t>Communication must be taken as a safety control, not just a common courtesy. The training ought to be more than generic counselling and to high- alert medicines, dose measurement, demonstration of devices, teach-back and adjusting explanations to sensory, cognitive, and family situations. Teams are also encouraged to express issues when safe communication is less assured by packaging, layout, workload, or interruptions (Edmondson, 1999; Institute for Healthcare Improvement, 2017; NHS Staff Survey, 2024).</w:t>
      </w:r>
    </w:p>
    <w:p w:rsidR="008F7369" w:rsidRPr="008F7369" w:rsidRDefault="008F7369" w:rsidP="00A469EF">
      <w:pPr>
        <w:spacing w:line="360" w:lineRule="auto"/>
        <w:jc w:val="both"/>
        <w:rPr>
          <w:rFonts w:ascii="Arial" w:hAnsi="Arial" w:cs="Arial"/>
          <w:b/>
          <w:bCs/>
        </w:rPr>
      </w:pPr>
      <w:r w:rsidRPr="008F7369">
        <w:rPr>
          <w:rFonts w:ascii="Arial" w:hAnsi="Arial" w:cs="Arial"/>
          <w:b/>
          <w:bCs/>
        </w:rPr>
        <w:lastRenderedPageBreak/>
        <w:t xml:space="preserve">Learning governance </w:t>
      </w:r>
    </w:p>
    <w:p w:rsidR="008F7369" w:rsidRDefault="008F7369" w:rsidP="00A469EF">
      <w:pPr>
        <w:spacing w:line="360" w:lineRule="auto"/>
        <w:jc w:val="both"/>
        <w:rPr>
          <w:rFonts w:ascii="Arial" w:hAnsi="Arial" w:cs="Arial"/>
        </w:rPr>
      </w:pPr>
      <w:r w:rsidRPr="008F7369">
        <w:rPr>
          <w:rFonts w:ascii="Arial" w:hAnsi="Arial" w:cs="Arial"/>
        </w:rPr>
        <w:t xml:space="preserve">At the primary care and community pharmacy interfaces, PSIRF-type incident response and cross sector feedback should be used to strengthen learning governance. The incidents of high-risk medicine and the near misses must be easily reported, reviewed swiftly and learned. Review should be done respectfully through families and frontline staff, and </w:t>
      </w:r>
      <w:proofErr w:type="spellStart"/>
      <w:r w:rsidRPr="008F7369">
        <w:rPr>
          <w:rFonts w:ascii="Arial" w:hAnsi="Arial" w:cs="Arial"/>
        </w:rPr>
        <w:t>organisations</w:t>
      </w:r>
      <w:proofErr w:type="spellEnd"/>
      <w:r w:rsidRPr="008F7369">
        <w:rPr>
          <w:rFonts w:ascii="Arial" w:hAnsi="Arial" w:cs="Arial"/>
        </w:rPr>
        <w:t xml:space="preserve"> should give feedback as to what changed following reports. It is necessary to have a just culture approach to make learning disconnected with blame and participation encouraged (NHS England, 2022; NHS England, 2024; Marx, 2001; Dekker, 2012; Murray et al., 2023). </w:t>
      </w:r>
    </w:p>
    <w:p w:rsidR="008F7369" w:rsidRPr="008F7369" w:rsidRDefault="008F7369" w:rsidP="00A469EF">
      <w:pPr>
        <w:spacing w:line="360" w:lineRule="auto"/>
        <w:jc w:val="both"/>
        <w:rPr>
          <w:rFonts w:ascii="Arial" w:hAnsi="Arial" w:cs="Arial"/>
          <w:b/>
          <w:bCs/>
        </w:rPr>
      </w:pPr>
      <w:r w:rsidRPr="008F7369">
        <w:rPr>
          <w:rFonts w:ascii="Arial" w:hAnsi="Arial" w:cs="Arial"/>
          <w:b/>
          <w:bCs/>
        </w:rPr>
        <w:t xml:space="preserve">Blended leadership model </w:t>
      </w:r>
    </w:p>
    <w:p w:rsidR="008F7369" w:rsidRDefault="008F7369" w:rsidP="00A469EF">
      <w:pPr>
        <w:spacing w:line="360" w:lineRule="auto"/>
        <w:jc w:val="both"/>
        <w:rPr>
          <w:rFonts w:ascii="Arial" w:hAnsi="Arial" w:cs="Arial"/>
        </w:rPr>
      </w:pPr>
      <w:r w:rsidRPr="008F7369">
        <w:rPr>
          <w:rFonts w:ascii="Arial" w:hAnsi="Arial" w:cs="Arial"/>
        </w:rPr>
        <w:t xml:space="preserve">The improvements must be maintained through a blended leadership model. Non-negotiable controls require transactional discipline amongst senior leaders, but they must also have collaborative leadership, which creates shared ownership among GP </w:t>
      </w:r>
      <w:proofErr w:type="spellStart"/>
      <w:r w:rsidRPr="008F7369">
        <w:rPr>
          <w:rFonts w:ascii="Arial" w:hAnsi="Arial" w:cs="Arial"/>
        </w:rPr>
        <w:t>practises</w:t>
      </w:r>
      <w:proofErr w:type="spellEnd"/>
      <w:r w:rsidRPr="008F7369">
        <w:rPr>
          <w:rFonts w:ascii="Arial" w:hAnsi="Arial" w:cs="Arial"/>
        </w:rPr>
        <w:t>, community pharmacies, and urgent care interfaces. This would in practice entail the compulsory requirements of counselling, documentation, escalation and follow-up along with an explicit message that medication safety is a shared patient-</w:t>
      </w:r>
      <w:proofErr w:type="spellStart"/>
      <w:r w:rsidRPr="008F7369">
        <w:rPr>
          <w:rFonts w:ascii="Arial" w:hAnsi="Arial" w:cs="Arial"/>
        </w:rPr>
        <w:t>centred</w:t>
      </w:r>
      <w:proofErr w:type="spellEnd"/>
      <w:r w:rsidRPr="008F7369">
        <w:rPr>
          <w:rFonts w:ascii="Arial" w:hAnsi="Arial" w:cs="Arial"/>
        </w:rPr>
        <w:t xml:space="preserve"> duty (Wong et al., 2013; Hamdan et al., 2024; Wu et al., 2024; NHS England, 2019).</w:t>
      </w:r>
    </w:p>
    <w:p w:rsidR="008F7369" w:rsidRPr="008F7369" w:rsidRDefault="008F7369" w:rsidP="008F7369">
      <w:pPr>
        <w:spacing w:line="360" w:lineRule="auto"/>
        <w:jc w:val="both"/>
        <w:rPr>
          <w:rFonts w:ascii="Arial" w:hAnsi="Arial" w:cs="Arial"/>
          <w:b/>
          <w:bCs/>
        </w:rPr>
      </w:pPr>
      <w:r w:rsidRPr="008F7369">
        <w:rPr>
          <w:rFonts w:ascii="Arial" w:hAnsi="Arial" w:cs="Arial"/>
          <w:b/>
          <w:bCs/>
        </w:rPr>
        <w:t>Usability of packaging and dose-measurement</w:t>
      </w:r>
    </w:p>
    <w:p w:rsidR="008F7369" w:rsidRDefault="008F7369" w:rsidP="008F7369">
      <w:pPr>
        <w:spacing w:line="360" w:lineRule="auto"/>
        <w:jc w:val="both"/>
        <w:rPr>
          <w:rFonts w:ascii="Arial" w:hAnsi="Arial" w:cs="Arial"/>
        </w:rPr>
      </w:pPr>
      <w:r w:rsidRPr="008F7369">
        <w:rPr>
          <w:rFonts w:ascii="Arial" w:hAnsi="Arial" w:cs="Arial"/>
        </w:rPr>
        <w:t xml:space="preserve"> When any local team finds a risk to be recurring, the issue of packaging and dose-measurement usability must go to regional and national systems. In the case of Len, HSSIB specifically observed that any dose-quantifying aid provided should be in a position to quantify the entire range of the prescribed doses safely (HSSIB, 2022). Local leaders must then make sure that issues pertaining to the presentation of medicines, medicine measurement aids, and suspected adverse reactions are directed into formal learning systems, like Yellow Card reporting, and that commissioners, regulators, and manufacturers consider whether community medicines should have designs altered (MHRA, 2020; Medicines and Healthcare products Regulatory Agency, 2022).</w:t>
      </w:r>
    </w:p>
    <w:p w:rsidR="008F7369" w:rsidRPr="008F7369" w:rsidRDefault="008F7369" w:rsidP="008F7369">
      <w:pPr>
        <w:spacing w:line="360" w:lineRule="auto"/>
        <w:jc w:val="both"/>
        <w:rPr>
          <w:rFonts w:ascii="Arial" w:hAnsi="Arial" w:cs="Arial"/>
        </w:rPr>
      </w:pPr>
      <w:r w:rsidRPr="008F7369">
        <w:rPr>
          <w:rFonts w:ascii="Arial" w:hAnsi="Arial" w:cs="Arial"/>
        </w:rPr>
        <w:t xml:space="preserve"> Overall, the recommendations present an effective model of great leadership in health and social care: explain the major controls, provide the environment where the staff and families can be aware of them, learn quickly on weak signals, and make safety at home a priority of design and governance, rather than a secondary one. </w:t>
      </w:r>
    </w:p>
    <w:p w:rsidR="00F92AC2" w:rsidRPr="003D5FA2" w:rsidRDefault="00F92AC2" w:rsidP="003D5FA2">
      <w:pPr>
        <w:pStyle w:val="Heading1"/>
        <w:rPr>
          <w:rFonts w:ascii="Arial" w:hAnsi="Arial" w:cs="Arial"/>
        </w:rPr>
      </w:pPr>
      <w:bookmarkStart w:id="6" w:name="_Toc224386982"/>
      <w:r w:rsidRPr="003D5FA2">
        <w:rPr>
          <w:rFonts w:ascii="Arial" w:hAnsi="Arial" w:cs="Arial"/>
        </w:rPr>
        <w:lastRenderedPageBreak/>
        <w:t>Conclusion</w:t>
      </w:r>
      <w:bookmarkEnd w:id="6"/>
    </w:p>
    <w:p w:rsidR="00051427" w:rsidRDefault="00051427" w:rsidP="00A469EF">
      <w:pPr>
        <w:spacing w:line="360" w:lineRule="auto"/>
        <w:jc w:val="both"/>
        <w:rPr>
          <w:rFonts w:ascii="Arial" w:hAnsi="Arial" w:cs="Arial"/>
        </w:rPr>
      </w:pPr>
      <w:r w:rsidRPr="00051427">
        <w:rPr>
          <w:rFonts w:ascii="Arial" w:hAnsi="Arial" w:cs="Arial"/>
        </w:rPr>
        <w:t xml:space="preserve">The accidental overdose of morphine sulphate oral solution that Len accidentally took was not a mere family misconception or a one-time dispensing error. It was a system failure, which was caused by the interaction of prescribing, packaging, counselling, home administration, reporting and learning. As per the case study, the dose was reasonable clinically, and the pathway was unsafe because the controls were weak at the point of use. It is viewed through systems thinking that shows how people, tasks, tools, environment and </w:t>
      </w:r>
      <w:proofErr w:type="spellStart"/>
      <w:r w:rsidRPr="00051427">
        <w:rPr>
          <w:rFonts w:ascii="Arial" w:hAnsi="Arial" w:cs="Arial"/>
        </w:rPr>
        <w:t>organisation</w:t>
      </w:r>
      <w:proofErr w:type="spellEnd"/>
      <w:r w:rsidRPr="00051427">
        <w:rPr>
          <w:rFonts w:ascii="Arial" w:hAnsi="Arial" w:cs="Arial"/>
        </w:rPr>
        <w:t xml:space="preserve"> interact to create the conditions of harm (HSSIB, 2022; </w:t>
      </w:r>
      <w:proofErr w:type="spellStart"/>
      <w:r w:rsidRPr="00051427">
        <w:rPr>
          <w:rFonts w:ascii="Arial" w:hAnsi="Arial" w:cs="Arial"/>
        </w:rPr>
        <w:t>Carayon</w:t>
      </w:r>
      <w:proofErr w:type="spellEnd"/>
      <w:r w:rsidRPr="00051427">
        <w:rPr>
          <w:rFonts w:ascii="Arial" w:hAnsi="Arial" w:cs="Arial"/>
        </w:rPr>
        <w:t xml:space="preserve"> et al., 2006; Holden et al., 2013).</w:t>
      </w:r>
    </w:p>
    <w:p w:rsidR="008F7369" w:rsidRDefault="008F7369" w:rsidP="00A469EF">
      <w:pPr>
        <w:spacing w:line="360" w:lineRule="auto"/>
        <w:jc w:val="both"/>
        <w:rPr>
          <w:rFonts w:ascii="Arial" w:hAnsi="Arial" w:cs="Arial"/>
        </w:rPr>
      </w:pPr>
      <w:r w:rsidRPr="008F7369">
        <w:rPr>
          <w:rFonts w:ascii="Arial" w:hAnsi="Arial" w:cs="Arial"/>
        </w:rPr>
        <w:t xml:space="preserve">Theory X, Theory Y and Theory Z, </w:t>
      </w:r>
      <w:proofErr w:type="spellStart"/>
      <w:r w:rsidRPr="008F7369">
        <w:rPr>
          <w:rFonts w:ascii="Arial" w:hAnsi="Arial" w:cs="Arial"/>
        </w:rPr>
        <w:t>behavioural</w:t>
      </w:r>
      <w:proofErr w:type="spellEnd"/>
      <w:r w:rsidRPr="008F7369">
        <w:rPr>
          <w:rFonts w:ascii="Arial" w:hAnsi="Arial" w:cs="Arial"/>
        </w:rPr>
        <w:t xml:space="preserve"> theory and the contingency theory of Fiedler are the most viable causes of this case whereas the trait theory, Great Man theory and Path-Goal theory serve as secondary comparators as illustrated in the revised leadership analysis. Sole instructions were not enough, confirmed knowledge was lacking, and the reaction of the leadership was not in correspondence with the risk of clinical and usability. A hybrid between explicit controls, communication, shared responsibility, and proportional safeguard throughout the entire pathway is thus the most sustainable solution. In that respect, the primary insight of the case is that safer care in health and social care cannot be based on requesting people to be more cautious after they have suffered some harm; it must be grounded in leading systems so that common people could do the correct thing in common circumstances (Reason, 2000; Vincent, 2010; NHS England, 2019; NHS England, 2022).</w:t>
      </w:r>
    </w:p>
    <w:p w:rsidR="00AD7250" w:rsidRPr="00E963C8" w:rsidRDefault="00F92AC2" w:rsidP="00E963C8">
      <w:pPr>
        <w:spacing w:line="360" w:lineRule="auto"/>
        <w:jc w:val="both"/>
        <w:rPr>
          <w:rFonts w:ascii="Arial" w:hAnsi="Arial" w:cs="Arial"/>
        </w:rPr>
      </w:pPr>
      <w:r>
        <w:br w:type="page"/>
      </w:r>
    </w:p>
    <w:p w:rsidR="00AC1774" w:rsidRPr="00CB4E8B" w:rsidRDefault="00000000" w:rsidP="00CB4E8B">
      <w:pPr>
        <w:pStyle w:val="Heading1"/>
        <w:rPr>
          <w:rFonts w:ascii="Arial" w:hAnsi="Arial" w:cs="Arial"/>
          <w:color w:val="000000" w:themeColor="text1"/>
        </w:rPr>
      </w:pPr>
      <w:bookmarkStart w:id="7" w:name="_Toc224386983"/>
      <w:r w:rsidRPr="00CB4E8B">
        <w:rPr>
          <w:rFonts w:ascii="Arial" w:hAnsi="Arial" w:cs="Arial"/>
          <w:color w:val="000000" w:themeColor="text1"/>
        </w:rPr>
        <w:lastRenderedPageBreak/>
        <w:t>References</w:t>
      </w:r>
      <w:bookmarkEnd w:id="7"/>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Adie, K., Williams, S.D., Mortimer, K. and Avery, A., 2021. The nature, severity and causes of medication incidents from an English community pharmacy incident reporting </w:t>
      </w:r>
      <w:proofErr w:type="spellStart"/>
      <w:r w:rsidRPr="006A69E2">
        <w:rPr>
          <w:rFonts w:ascii="Arial" w:hAnsi="Arial" w:cs="Arial"/>
        </w:rPr>
        <w:t>programme</w:t>
      </w:r>
      <w:proofErr w:type="spellEnd"/>
      <w:r w:rsidRPr="006A69E2">
        <w:rPr>
          <w:rFonts w:ascii="Arial" w:hAnsi="Arial" w:cs="Arial"/>
        </w:rPr>
        <w:t xml:space="preserve">. </w:t>
      </w:r>
      <w:r w:rsidRPr="006A69E2">
        <w:rPr>
          <w:rFonts w:ascii="Arial" w:hAnsi="Arial" w:cs="Arial"/>
          <w:i/>
          <w:iCs/>
        </w:rPr>
        <w:t>British Journal of Clinical Pharmacology</w:t>
      </w:r>
      <w:r w:rsidRPr="006A69E2">
        <w:rPr>
          <w:rFonts w:ascii="Arial" w:hAnsi="Arial" w:cs="Arial"/>
        </w:rPr>
        <w:t xml:space="preserve">, 87(9), pp.3645–3657. Available at: </w:t>
      </w:r>
      <w:hyperlink r:id="rId12" w:tgtFrame="_new" w:history="1">
        <w:r w:rsidRPr="006A69E2">
          <w:rPr>
            <w:rStyle w:val="Hyperlink"/>
            <w:rFonts w:ascii="Arial" w:hAnsi="Arial" w:cs="Arial"/>
          </w:rPr>
          <w:t>https://doi.org/10.1111/bcp.14924</w:t>
        </w:r>
      </w:hyperlink>
    </w:p>
    <w:p w:rsidR="00D44F79" w:rsidRPr="00D44F79" w:rsidRDefault="006A69E2" w:rsidP="00D44F79">
      <w:pPr>
        <w:spacing w:after="0" w:line="480" w:lineRule="auto"/>
        <w:ind w:left="720" w:hanging="720"/>
        <w:jc w:val="both"/>
        <w:rPr>
          <w:rFonts w:ascii="Arial" w:hAnsi="Arial" w:cs="Arial"/>
        </w:rPr>
      </w:pPr>
      <w:r w:rsidRPr="006A69E2">
        <w:rPr>
          <w:rFonts w:ascii="Arial" w:hAnsi="Arial" w:cs="Arial"/>
        </w:rPr>
        <w:t xml:space="preserve">Ashcroft, D.M., Quinlan, P. and Blenkinsopp, A., 2005. Prospective study of the incidence, nature and causes of dispensing errors in community pharmacies. </w:t>
      </w:r>
      <w:r w:rsidRPr="006A69E2">
        <w:rPr>
          <w:rFonts w:ascii="Arial" w:hAnsi="Arial" w:cs="Arial"/>
          <w:i/>
          <w:iCs/>
        </w:rPr>
        <w:t>Pharmacy World &amp; Science</w:t>
      </w:r>
      <w:r w:rsidRPr="006A69E2">
        <w:rPr>
          <w:rFonts w:ascii="Arial" w:hAnsi="Arial" w:cs="Arial"/>
        </w:rPr>
        <w:t>, 27(1), pp.53–63. Available at:</w:t>
      </w:r>
      <w:r w:rsidRPr="004F6E06">
        <w:rPr>
          <w:rFonts w:ascii="Arial" w:hAnsi="Arial" w:cs="Arial"/>
        </w:rPr>
        <w:t xml:space="preserve"> </w:t>
      </w:r>
      <w:r w:rsidR="00D44F79" w:rsidRPr="004F6E06">
        <w:rPr>
          <w:rFonts w:ascii="Arial" w:hAnsi="Arial" w:cs="Arial"/>
        </w:rPr>
        <w:t> </w:t>
      </w:r>
      <w:hyperlink r:id="rId13" w:history="1">
        <w:r w:rsidR="00D44F79" w:rsidRPr="004F6E06">
          <w:rPr>
            <w:rStyle w:val="Hyperlink"/>
            <w:rFonts w:ascii="Arial" w:hAnsi="Arial" w:cs="Arial"/>
          </w:rPr>
          <w:t>https://doi.org/10.1002/pds.1012</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Campbell, P.J., Patel, M., Martin, J.R., Stephenson, E. and Goulding, R., 2018. Systematic review and meta-analysis of community pharmacy dispensing error rates in the USA, UK and Canada. </w:t>
      </w:r>
      <w:r w:rsidRPr="006A69E2">
        <w:rPr>
          <w:rFonts w:ascii="Arial" w:hAnsi="Arial" w:cs="Arial"/>
          <w:i/>
          <w:iCs/>
        </w:rPr>
        <w:t>Research in Social and Administrative Pharmacy</w:t>
      </w:r>
      <w:r w:rsidRPr="006A69E2">
        <w:rPr>
          <w:rFonts w:ascii="Arial" w:hAnsi="Arial" w:cs="Arial"/>
        </w:rPr>
        <w:t xml:space="preserve">, 14(5), pp.413–421. Available at: </w:t>
      </w:r>
      <w:hyperlink r:id="rId14" w:tgtFrame="_new" w:history="1">
        <w:r w:rsidRPr="006A69E2">
          <w:rPr>
            <w:rStyle w:val="Hyperlink"/>
            <w:rFonts w:ascii="Arial" w:hAnsi="Arial" w:cs="Arial"/>
          </w:rPr>
          <w:t>https://doi.org/10.1016/j.sapharm.2017.05.004</w:t>
        </w:r>
      </w:hyperlink>
    </w:p>
    <w:p w:rsidR="006A69E2" w:rsidRPr="006A69E2" w:rsidRDefault="006A69E2" w:rsidP="006A69E2">
      <w:pPr>
        <w:spacing w:after="0" w:line="480" w:lineRule="auto"/>
        <w:ind w:left="720" w:hanging="720"/>
        <w:jc w:val="both"/>
        <w:rPr>
          <w:rFonts w:ascii="Arial" w:hAnsi="Arial" w:cs="Arial"/>
        </w:rPr>
      </w:pPr>
      <w:proofErr w:type="spellStart"/>
      <w:r w:rsidRPr="006A69E2">
        <w:rPr>
          <w:rFonts w:ascii="Arial" w:hAnsi="Arial" w:cs="Arial"/>
        </w:rPr>
        <w:t>Carayon</w:t>
      </w:r>
      <w:proofErr w:type="spellEnd"/>
      <w:r w:rsidRPr="006A69E2">
        <w:rPr>
          <w:rFonts w:ascii="Arial" w:hAnsi="Arial" w:cs="Arial"/>
        </w:rPr>
        <w:t xml:space="preserve">, P., Schoofs Hundt, A., Karsh, B.T., </w:t>
      </w:r>
      <w:proofErr w:type="spellStart"/>
      <w:r w:rsidRPr="006A69E2">
        <w:rPr>
          <w:rFonts w:ascii="Arial" w:hAnsi="Arial" w:cs="Arial"/>
        </w:rPr>
        <w:t>Gurses</w:t>
      </w:r>
      <w:proofErr w:type="spellEnd"/>
      <w:r w:rsidRPr="006A69E2">
        <w:rPr>
          <w:rFonts w:ascii="Arial" w:hAnsi="Arial" w:cs="Arial"/>
        </w:rPr>
        <w:t xml:space="preserve">, A.P., Alvarado, C.J., Smith, M. and Brennan, P.F., 2006. Work system design for patient safety: the SEIPS model. </w:t>
      </w:r>
      <w:r w:rsidRPr="006A69E2">
        <w:rPr>
          <w:rFonts w:ascii="Arial" w:hAnsi="Arial" w:cs="Arial"/>
          <w:i/>
          <w:iCs/>
        </w:rPr>
        <w:t>Quality and Safety in Health Care</w:t>
      </w:r>
      <w:r w:rsidRPr="006A69E2">
        <w:rPr>
          <w:rFonts w:ascii="Arial" w:hAnsi="Arial" w:cs="Arial"/>
        </w:rPr>
        <w:t xml:space="preserve">, 15(Suppl. 1), </w:t>
      </w:r>
      <w:proofErr w:type="gramStart"/>
      <w:r w:rsidRPr="006A69E2">
        <w:rPr>
          <w:rFonts w:ascii="Arial" w:hAnsi="Arial" w:cs="Arial"/>
        </w:rPr>
        <w:t>pp.i</w:t>
      </w:r>
      <w:proofErr w:type="gramEnd"/>
      <w:r w:rsidRPr="006A69E2">
        <w:rPr>
          <w:rFonts w:ascii="Arial" w:hAnsi="Arial" w:cs="Arial"/>
        </w:rPr>
        <w:t xml:space="preserve">50–i58. Available at: </w:t>
      </w:r>
      <w:hyperlink r:id="rId15" w:tgtFrame="_new" w:history="1">
        <w:r w:rsidRPr="006A69E2">
          <w:rPr>
            <w:rStyle w:val="Hyperlink"/>
            <w:rFonts w:ascii="Arial" w:hAnsi="Arial" w:cs="Arial"/>
          </w:rPr>
          <w:t>https://doi.org/10.1136/qshc.2005.015842</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Dekker, S., 2012. </w:t>
      </w:r>
      <w:r w:rsidRPr="006A69E2">
        <w:rPr>
          <w:rFonts w:ascii="Arial" w:hAnsi="Arial" w:cs="Arial"/>
          <w:i/>
          <w:iCs/>
        </w:rPr>
        <w:t>Just culture: balancing safety and accountability</w:t>
      </w:r>
      <w:r w:rsidRPr="006A69E2">
        <w:rPr>
          <w:rFonts w:ascii="Arial" w:hAnsi="Arial" w:cs="Arial"/>
        </w:rPr>
        <w:t>. 2nd ed. Boca Raton, FL: CRC Press.</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Donaldson, L.J., Kelley, E.T., Dhingra-Kumar, N., Kieny, M.-P. and Sheikh, A., 2017. Medication without harm: WHO’s Third Global Patient Safety Challenge. </w:t>
      </w:r>
      <w:r w:rsidRPr="006A69E2">
        <w:rPr>
          <w:rFonts w:ascii="Arial" w:hAnsi="Arial" w:cs="Arial"/>
          <w:i/>
          <w:iCs/>
        </w:rPr>
        <w:t>The Lancet</w:t>
      </w:r>
      <w:r w:rsidRPr="006A69E2">
        <w:rPr>
          <w:rFonts w:ascii="Arial" w:hAnsi="Arial" w:cs="Arial"/>
        </w:rPr>
        <w:t xml:space="preserve">, 389(10080), pp.1680–1681. Available at: </w:t>
      </w:r>
      <w:hyperlink r:id="rId16" w:tgtFrame="_new" w:history="1">
        <w:r w:rsidRPr="006A69E2">
          <w:rPr>
            <w:rStyle w:val="Hyperlink"/>
            <w:rFonts w:ascii="Arial" w:hAnsi="Arial" w:cs="Arial"/>
          </w:rPr>
          <w:t>https://doi.org/10.1016/S0140-6736(17)31047-4</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Edmondson, A., 1999. Psychological safety and learning behavior in work teams. </w:t>
      </w:r>
      <w:r w:rsidRPr="006A69E2">
        <w:rPr>
          <w:rFonts w:ascii="Arial" w:hAnsi="Arial" w:cs="Arial"/>
          <w:i/>
          <w:iCs/>
        </w:rPr>
        <w:t>Administrative Science Quarterly</w:t>
      </w:r>
      <w:r w:rsidRPr="006A69E2">
        <w:rPr>
          <w:rFonts w:ascii="Arial" w:hAnsi="Arial" w:cs="Arial"/>
        </w:rPr>
        <w:t xml:space="preserve">, 44(2), pp.350–383. Available at: </w:t>
      </w:r>
      <w:hyperlink r:id="rId17" w:tgtFrame="_new" w:history="1">
        <w:r w:rsidRPr="006A69E2">
          <w:rPr>
            <w:rStyle w:val="Hyperlink"/>
            <w:rFonts w:ascii="Arial" w:hAnsi="Arial" w:cs="Arial"/>
          </w:rPr>
          <w:t>https://doi.org/10.2307/2666999</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Elliott, R.A., Camacho, E., Jankovic, D., </w:t>
      </w:r>
      <w:proofErr w:type="spellStart"/>
      <w:r w:rsidRPr="006A69E2">
        <w:rPr>
          <w:rFonts w:ascii="Arial" w:hAnsi="Arial" w:cs="Arial"/>
        </w:rPr>
        <w:t>Sculpher</w:t>
      </w:r>
      <w:proofErr w:type="spellEnd"/>
      <w:r w:rsidRPr="006A69E2">
        <w:rPr>
          <w:rFonts w:ascii="Arial" w:hAnsi="Arial" w:cs="Arial"/>
        </w:rPr>
        <w:t xml:space="preserve">, M.J. and Faria, R., 2021. Economic analysis of the prevalence and clinical and economic burden of medication error in England. </w:t>
      </w:r>
      <w:r w:rsidRPr="006A69E2">
        <w:rPr>
          <w:rFonts w:ascii="Arial" w:hAnsi="Arial" w:cs="Arial"/>
          <w:i/>
          <w:iCs/>
        </w:rPr>
        <w:t xml:space="preserve">BMJ </w:t>
      </w:r>
      <w:r w:rsidRPr="006A69E2">
        <w:rPr>
          <w:rFonts w:ascii="Arial" w:hAnsi="Arial" w:cs="Arial"/>
          <w:i/>
          <w:iCs/>
        </w:rPr>
        <w:lastRenderedPageBreak/>
        <w:t>Quality &amp; Safety</w:t>
      </w:r>
      <w:r w:rsidRPr="006A69E2">
        <w:rPr>
          <w:rFonts w:ascii="Arial" w:hAnsi="Arial" w:cs="Arial"/>
        </w:rPr>
        <w:t xml:space="preserve">, 30(2), pp.96–105. Available at: </w:t>
      </w:r>
      <w:hyperlink r:id="rId18" w:tgtFrame="_new" w:history="1">
        <w:r w:rsidRPr="006A69E2">
          <w:rPr>
            <w:rStyle w:val="Hyperlink"/>
            <w:rFonts w:ascii="Arial" w:hAnsi="Arial" w:cs="Arial"/>
          </w:rPr>
          <w:t>https://doi.org/10.1136/bmjqs-2019-010206</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Fiedler, F.E., 1967. </w:t>
      </w:r>
      <w:r w:rsidRPr="006A69E2">
        <w:rPr>
          <w:rFonts w:ascii="Arial" w:hAnsi="Arial" w:cs="Arial"/>
          <w:i/>
          <w:iCs/>
        </w:rPr>
        <w:t>A theory of leadership effectiveness</w:t>
      </w:r>
      <w:r w:rsidRPr="006A69E2">
        <w:rPr>
          <w:rFonts w:ascii="Arial" w:hAnsi="Arial" w:cs="Arial"/>
        </w:rPr>
        <w:t>. New York: McGraw-Hill.</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Hamdan, M., Abu Al Rub, R., </w:t>
      </w:r>
      <w:proofErr w:type="spellStart"/>
      <w:r w:rsidRPr="006A69E2">
        <w:rPr>
          <w:rFonts w:ascii="Arial" w:hAnsi="Arial" w:cs="Arial"/>
        </w:rPr>
        <w:t>Aljammal</w:t>
      </w:r>
      <w:proofErr w:type="spellEnd"/>
      <w:r w:rsidRPr="006A69E2">
        <w:rPr>
          <w:rFonts w:ascii="Arial" w:hAnsi="Arial" w:cs="Arial"/>
        </w:rPr>
        <w:t xml:space="preserve">, A., </w:t>
      </w:r>
      <w:proofErr w:type="spellStart"/>
      <w:r w:rsidRPr="006A69E2">
        <w:rPr>
          <w:rFonts w:ascii="Arial" w:hAnsi="Arial" w:cs="Arial"/>
        </w:rPr>
        <w:t>Khraisat</w:t>
      </w:r>
      <w:proofErr w:type="spellEnd"/>
      <w:r w:rsidRPr="006A69E2">
        <w:rPr>
          <w:rFonts w:ascii="Arial" w:hAnsi="Arial" w:cs="Arial"/>
        </w:rPr>
        <w:t xml:space="preserve">, O.M., </w:t>
      </w:r>
      <w:proofErr w:type="spellStart"/>
      <w:r w:rsidRPr="006A69E2">
        <w:rPr>
          <w:rFonts w:ascii="Arial" w:hAnsi="Arial" w:cs="Arial"/>
        </w:rPr>
        <w:t>Alshraideh</w:t>
      </w:r>
      <w:proofErr w:type="spellEnd"/>
      <w:r w:rsidRPr="006A69E2">
        <w:rPr>
          <w:rFonts w:ascii="Arial" w:hAnsi="Arial" w:cs="Arial"/>
        </w:rPr>
        <w:t xml:space="preserve">, J.A., Jarrah, S. and Al-Dweik, G., 2024. The association of transformational leadership on safety practices among nurses: the mediating role of patient safety culture. </w:t>
      </w:r>
      <w:r w:rsidRPr="006A69E2">
        <w:rPr>
          <w:rFonts w:ascii="Arial" w:hAnsi="Arial" w:cs="Arial"/>
          <w:i/>
          <w:iCs/>
        </w:rPr>
        <w:t>Risk Management and Healthcare Policy</w:t>
      </w:r>
      <w:r w:rsidRPr="006A69E2">
        <w:rPr>
          <w:rFonts w:ascii="Arial" w:hAnsi="Arial" w:cs="Arial"/>
        </w:rPr>
        <w:t>, 17, pp.255–267. Available at:</w:t>
      </w:r>
      <w:r w:rsidR="00D44F79">
        <w:rPr>
          <w:rFonts w:ascii="Arial" w:hAnsi="Arial" w:cs="Arial"/>
        </w:rPr>
        <w:t xml:space="preserve"> </w:t>
      </w:r>
      <w:r w:rsidR="00D44F79" w:rsidRPr="00D44F79">
        <w:rPr>
          <w:rFonts w:ascii="Arial" w:hAnsi="Arial" w:cs="Arial"/>
        </w:rPr>
        <w:t> </w:t>
      </w:r>
      <w:hyperlink r:id="rId19" w:history="1">
        <w:r w:rsidR="00D44F79" w:rsidRPr="00D44F79">
          <w:rPr>
            <w:rStyle w:val="Hyperlink"/>
            <w:rFonts w:ascii="Arial" w:hAnsi="Arial" w:cs="Arial"/>
          </w:rPr>
          <w:t>https://doi.org/10.2147/RMHP.S458505</w:t>
        </w:r>
      </w:hyperlink>
      <w:r w:rsidRPr="006A69E2">
        <w:rPr>
          <w:rFonts w:ascii="Arial" w:hAnsi="Arial" w:cs="Arial"/>
        </w:rPr>
        <w:t xml:space="preserve"> </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Health Services Safety Investigations Body (HSSIB), 2022. </w:t>
      </w:r>
      <w:r w:rsidRPr="006A69E2">
        <w:rPr>
          <w:rFonts w:ascii="Arial" w:hAnsi="Arial" w:cs="Arial"/>
          <w:i/>
          <w:iCs/>
        </w:rPr>
        <w:t>Unintentional overdose of morphine sulfate oral solution: investigation report</w:t>
      </w:r>
      <w:r w:rsidRPr="006A69E2">
        <w:rPr>
          <w:rFonts w:ascii="Arial" w:hAnsi="Arial" w:cs="Arial"/>
        </w:rPr>
        <w:t xml:space="preserve">. Available at: </w:t>
      </w:r>
      <w:hyperlink r:id="rId20" w:tgtFrame="_new" w:history="1">
        <w:r w:rsidRPr="006A69E2">
          <w:rPr>
            <w:rStyle w:val="Hyperlink"/>
            <w:rFonts w:ascii="Arial" w:hAnsi="Arial" w:cs="Arial"/>
          </w:rPr>
          <w:t>https://www.hssib.org.uk/patient-safety-investigations/unintentional-overdose-of-morphine-sulfate-oral-solution/investigation-report/</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Holden, R.J., </w:t>
      </w:r>
      <w:proofErr w:type="spellStart"/>
      <w:r w:rsidRPr="006A69E2">
        <w:rPr>
          <w:rFonts w:ascii="Arial" w:hAnsi="Arial" w:cs="Arial"/>
        </w:rPr>
        <w:t>Carayon</w:t>
      </w:r>
      <w:proofErr w:type="spellEnd"/>
      <w:r w:rsidRPr="006A69E2">
        <w:rPr>
          <w:rFonts w:ascii="Arial" w:hAnsi="Arial" w:cs="Arial"/>
        </w:rPr>
        <w:t xml:space="preserve">, P., </w:t>
      </w:r>
      <w:proofErr w:type="spellStart"/>
      <w:r w:rsidRPr="006A69E2">
        <w:rPr>
          <w:rFonts w:ascii="Arial" w:hAnsi="Arial" w:cs="Arial"/>
        </w:rPr>
        <w:t>Gurses</w:t>
      </w:r>
      <w:proofErr w:type="spellEnd"/>
      <w:r w:rsidRPr="006A69E2">
        <w:rPr>
          <w:rFonts w:ascii="Arial" w:hAnsi="Arial" w:cs="Arial"/>
        </w:rPr>
        <w:t xml:space="preserve">, A.P., </w:t>
      </w:r>
      <w:proofErr w:type="spellStart"/>
      <w:r w:rsidRPr="006A69E2">
        <w:rPr>
          <w:rFonts w:ascii="Arial" w:hAnsi="Arial" w:cs="Arial"/>
        </w:rPr>
        <w:t>Hoonakker</w:t>
      </w:r>
      <w:proofErr w:type="spellEnd"/>
      <w:r w:rsidRPr="006A69E2">
        <w:rPr>
          <w:rFonts w:ascii="Arial" w:hAnsi="Arial" w:cs="Arial"/>
        </w:rPr>
        <w:t xml:space="preserve">, P., Schoofs Hundt, A., </w:t>
      </w:r>
      <w:proofErr w:type="spellStart"/>
      <w:r w:rsidRPr="006A69E2">
        <w:rPr>
          <w:rFonts w:ascii="Arial" w:hAnsi="Arial" w:cs="Arial"/>
        </w:rPr>
        <w:t>Ozok</w:t>
      </w:r>
      <w:proofErr w:type="spellEnd"/>
      <w:r w:rsidRPr="006A69E2">
        <w:rPr>
          <w:rFonts w:ascii="Arial" w:hAnsi="Arial" w:cs="Arial"/>
        </w:rPr>
        <w:t xml:space="preserve">, A.A. and Rivera-Rodriguez, A.J., 2013. SEIPS 2.0: a human factors framework for studying and improving the work of healthcare professionals and patients. </w:t>
      </w:r>
      <w:r w:rsidRPr="006A69E2">
        <w:rPr>
          <w:rFonts w:ascii="Arial" w:hAnsi="Arial" w:cs="Arial"/>
          <w:i/>
          <w:iCs/>
        </w:rPr>
        <w:t>Ergonomics</w:t>
      </w:r>
      <w:r w:rsidRPr="006A69E2">
        <w:rPr>
          <w:rFonts w:ascii="Arial" w:hAnsi="Arial" w:cs="Arial"/>
        </w:rPr>
        <w:t xml:space="preserve">, 56(11), pp.1669–1686. Available at: </w:t>
      </w:r>
      <w:hyperlink r:id="rId21" w:tgtFrame="_new" w:history="1">
        <w:r w:rsidRPr="006A69E2">
          <w:rPr>
            <w:rStyle w:val="Hyperlink"/>
            <w:rFonts w:ascii="Arial" w:hAnsi="Arial" w:cs="Arial"/>
          </w:rPr>
          <w:t>https://doi.org/10.1080/00140139.2013.838643</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Institute for Healthcare Improvement (IHI), 2017. </w:t>
      </w:r>
      <w:r w:rsidRPr="006A69E2">
        <w:rPr>
          <w:rFonts w:ascii="Arial" w:hAnsi="Arial" w:cs="Arial"/>
          <w:i/>
          <w:iCs/>
        </w:rPr>
        <w:t>Psychology of change framework to advance and sustain improvement</w:t>
      </w:r>
      <w:r w:rsidRPr="006A69E2">
        <w:rPr>
          <w:rFonts w:ascii="Arial" w:hAnsi="Arial" w:cs="Arial"/>
        </w:rPr>
        <w:t xml:space="preserve">. Available at: </w:t>
      </w:r>
      <w:hyperlink r:id="rId22" w:tgtFrame="_new" w:history="1">
        <w:r w:rsidRPr="006A69E2">
          <w:rPr>
            <w:rStyle w:val="Hyperlink"/>
            <w:rFonts w:ascii="Arial" w:hAnsi="Arial" w:cs="Arial"/>
          </w:rPr>
          <w:t>https://www.ihi.org/resources/Pages/IHIWhitePapers/IHI-Psychology-of-Change-Framework-to-Advance-and-Sustain-Improvement.aspx</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Joint Formulary Committee, 2021. </w:t>
      </w:r>
      <w:r w:rsidRPr="006A69E2">
        <w:rPr>
          <w:rFonts w:ascii="Arial" w:hAnsi="Arial" w:cs="Arial"/>
          <w:i/>
          <w:iCs/>
        </w:rPr>
        <w:t>British National Formulary</w:t>
      </w:r>
      <w:r w:rsidRPr="006A69E2">
        <w:rPr>
          <w:rFonts w:ascii="Arial" w:hAnsi="Arial" w:cs="Arial"/>
        </w:rPr>
        <w:t>. London: BMJ Group and Pharmaceutical Press.</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McGregor, D., 1960. </w:t>
      </w:r>
      <w:r w:rsidRPr="006A69E2">
        <w:rPr>
          <w:rFonts w:ascii="Arial" w:hAnsi="Arial" w:cs="Arial"/>
          <w:i/>
          <w:iCs/>
        </w:rPr>
        <w:t>The human side of enterprise</w:t>
      </w:r>
      <w:r w:rsidRPr="006A69E2">
        <w:rPr>
          <w:rFonts w:ascii="Arial" w:hAnsi="Arial" w:cs="Arial"/>
        </w:rPr>
        <w:t>. New York: McGraw-Hill.</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Marx, D., 2001. </w:t>
      </w:r>
      <w:r w:rsidRPr="006A69E2">
        <w:rPr>
          <w:rFonts w:ascii="Arial" w:hAnsi="Arial" w:cs="Arial"/>
          <w:i/>
          <w:iCs/>
        </w:rPr>
        <w:t>Patient safety and the “just culture”: a primer for health care executives</w:t>
      </w:r>
      <w:r w:rsidRPr="006A69E2">
        <w:rPr>
          <w:rFonts w:ascii="Arial" w:hAnsi="Arial" w:cs="Arial"/>
        </w:rPr>
        <w:t>. New York: Columbia University.</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Medicines and Healthcare products Regulatory Agency (MHRA), 2020. </w:t>
      </w:r>
      <w:r w:rsidRPr="006A69E2">
        <w:rPr>
          <w:rFonts w:ascii="Arial" w:hAnsi="Arial" w:cs="Arial"/>
          <w:i/>
          <w:iCs/>
        </w:rPr>
        <w:t>Best practice guidance on the labelling and packaging of medicines</w:t>
      </w:r>
      <w:r w:rsidRPr="006A69E2">
        <w:rPr>
          <w:rFonts w:ascii="Arial" w:hAnsi="Arial" w:cs="Arial"/>
        </w:rPr>
        <w:t xml:space="preserve">. Available at: </w:t>
      </w:r>
      <w:hyperlink r:id="rId23" w:tgtFrame="_new" w:history="1">
        <w:r w:rsidRPr="006A69E2">
          <w:rPr>
            <w:rStyle w:val="Hyperlink"/>
            <w:rFonts w:ascii="Arial" w:hAnsi="Arial" w:cs="Arial"/>
          </w:rPr>
          <w:t>https://www.gov.uk/government/publications/best-practice-in-the-labelling-and-packaging-of-medicines</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Medicines and Healthcare products Regulatory Agency (MHRA), 2022. </w:t>
      </w:r>
      <w:r w:rsidRPr="006A69E2">
        <w:rPr>
          <w:rFonts w:ascii="Arial" w:hAnsi="Arial" w:cs="Arial"/>
          <w:i/>
          <w:iCs/>
        </w:rPr>
        <w:t>Every Yellow Card report helps to improve patient safety</w:t>
      </w:r>
      <w:r w:rsidRPr="006A69E2">
        <w:rPr>
          <w:rFonts w:ascii="Arial" w:hAnsi="Arial" w:cs="Arial"/>
        </w:rPr>
        <w:t xml:space="preserve">. Available at: </w:t>
      </w:r>
      <w:hyperlink r:id="rId24" w:tgtFrame="_new" w:history="1">
        <w:r w:rsidRPr="006A69E2">
          <w:rPr>
            <w:rStyle w:val="Hyperlink"/>
            <w:rFonts w:ascii="Arial" w:hAnsi="Arial" w:cs="Arial"/>
          </w:rPr>
          <w:t>https://www.gov.uk/drug-safety-update/medsafetyweek-november-2022-every-yellow-card-report-helps-to-improve-patient-safety</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Murray, J.S., Sundin, D. and Cope, V., 2023. Implementing just culture to improve patient safety. </w:t>
      </w:r>
      <w:r w:rsidRPr="006A69E2">
        <w:rPr>
          <w:rFonts w:ascii="Arial" w:hAnsi="Arial" w:cs="Arial"/>
          <w:i/>
          <w:iCs/>
        </w:rPr>
        <w:t>Military Medicine</w:t>
      </w:r>
      <w:r w:rsidRPr="006A69E2">
        <w:rPr>
          <w:rFonts w:ascii="Arial" w:hAnsi="Arial" w:cs="Arial"/>
        </w:rPr>
        <w:t xml:space="preserve">, 188(7–8), pp.1596–1602. Available at: </w:t>
      </w:r>
      <w:hyperlink r:id="rId25" w:tgtFrame="_new" w:history="1">
        <w:r w:rsidRPr="006A69E2">
          <w:rPr>
            <w:rStyle w:val="Hyperlink"/>
            <w:rFonts w:ascii="Arial" w:hAnsi="Arial" w:cs="Arial"/>
          </w:rPr>
          <w:t>https://doi.org/10.1093/milmed/usac117</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National Institute for Health and Care Excellence (NICE), 2020. </w:t>
      </w:r>
      <w:r w:rsidRPr="006A69E2">
        <w:rPr>
          <w:rFonts w:ascii="Arial" w:hAnsi="Arial" w:cs="Arial"/>
          <w:i/>
          <w:iCs/>
        </w:rPr>
        <w:t>Scenario: management of mild-to-moderate pain</w:t>
      </w:r>
      <w:r w:rsidRPr="006A69E2">
        <w:rPr>
          <w:rFonts w:ascii="Arial" w:hAnsi="Arial" w:cs="Arial"/>
        </w:rPr>
        <w:t xml:space="preserve">. Available at: </w:t>
      </w:r>
      <w:hyperlink r:id="rId26" w:tgtFrame="_new" w:history="1">
        <w:r w:rsidRPr="006A69E2">
          <w:rPr>
            <w:rStyle w:val="Hyperlink"/>
            <w:rFonts w:ascii="Arial" w:hAnsi="Arial" w:cs="Arial"/>
          </w:rPr>
          <w:t>https://cks.nice.org.uk/topics/analgesia-mild-moderate-pain/management/management/</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National Patient Safety Agency and Helen Hamlyn Research Centre, 2007. </w:t>
      </w:r>
      <w:r w:rsidRPr="006A69E2">
        <w:rPr>
          <w:rFonts w:ascii="Arial" w:hAnsi="Arial" w:cs="Arial"/>
          <w:i/>
          <w:iCs/>
        </w:rPr>
        <w:t>Design for patient safety: a guide to the graphic design of medication packaging</w:t>
      </w:r>
      <w:r w:rsidRPr="006A69E2">
        <w:rPr>
          <w:rFonts w:ascii="Arial" w:hAnsi="Arial" w:cs="Arial"/>
        </w:rPr>
        <w:t>. London: National Patient Safety Agency.</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NHS England, 2019. </w:t>
      </w:r>
      <w:r w:rsidRPr="006A69E2">
        <w:rPr>
          <w:rFonts w:ascii="Arial" w:hAnsi="Arial" w:cs="Arial"/>
          <w:i/>
          <w:iCs/>
        </w:rPr>
        <w:t>The NHS Patient Safety Strategy: safer culture, safer systems, safer patients</w:t>
      </w:r>
      <w:r w:rsidRPr="006A69E2">
        <w:rPr>
          <w:rFonts w:ascii="Arial" w:hAnsi="Arial" w:cs="Arial"/>
        </w:rPr>
        <w:t xml:space="preserve">. Available at: </w:t>
      </w:r>
      <w:hyperlink r:id="rId27" w:tgtFrame="_new" w:history="1">
        <w:r w:rsidRPr="006A69E2">
          <w:rPr>
            <w:rStyle w:val="Hyperlink"/>
            <w:rFonts w:ascii="Arial" w:hAnsi="Arial" w:cs="Arial"/>
          </w:rPr>
          <w:t>https://www.england.nhs.uk/wp-content/uploads/2020/08/190708_Patient_Safety_Strategy_for_website_v4.pdf</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NHS England, 2022. </w:t>
      </w:r>
      <w:r w:rsidRPr="006A69E2">
        <w:rPr>
          <w:rFonts w:ascii="Arial" w:hAnsi="Arial" w:cs="Arial"/>
          <w:i/>
          <w:iCs/>
        </w:rPr>
        <w:t>Patient Safety Incident Response Framework</w:t>
      </w:r>
      <w:r w:rsidRPr="006A69E2">
        <w:rPr>
          <w:rFonts w:ascii="Arial" w:hAnsi="Arial" w:cs="Arial"/>
        </w:rPr>
        <w:t xml:space="preserve">. Available at: </w:t>
      </w:r>
      <w:hyperlink r:id="rId28" w:tgtFrame="_new" w:history="1">
        <w:r w:rsidRPr="006A69E2">
          <w:rPr>
            <w:rStyle w:val="Hyperlink"/>
            <w:rFonts w:ascii="Arial" w:hAnsi="Arial" w:cs="Arial"/>
          </w:rPr>
          <w:t>https://www.england.nhs.uk/patient-safety/patient-safety-insight/incident-response-framework/</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NHS England, 2024. </w:t>
      </w:r>
      <w:r w:rsidRPr="006A69E2">
        <w:rPr>
          <w:rFonts w:ascii="Arial" w:hAnsi="Arial" w:cs="Arial"/>
          <w:i/>
          <w:iCs/>
        </w:rPr>
        <w:t>Primary care patient safety strategy</w:t>
      </w:r>
      <w:r w:rsidRPr="006A69E2">
        <w:rPr>
          <w:rFonts w:ascii="Arial" w:hAnsi="Arial" w:cs="Arial"/>
        </w:rPr>
        <w:t xml:space="preserve">. Available at: </w:t>
      </w:r>
      <w:hyperlink r:id="rId29" w:tgtFrame="_new" w:history="1">
        <w:r w:rsidRPr="006A69E2">
          <w:rPr>
            <w:rStyle w:val="Hyperlink"/>
            <w:rFonts w:ascii="Arial" w:hAnsi="Arial" w:cs="Arial"/>
          </w:rPr>
          <w:t>https://www.england.nhs.uk/publication/primary-care-patient-safety-strategy/</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lastRenderedPageBreak/>
        <w:t xml:space="preserve">NHS England, 2026. </w:t>
      </w:r>
      <w:r w:rsidRPr="006A69E2">
        <w:rPr>
          <w:rFonts w:ascii="Arial" w:hAnsi="Arial" w:cs="Arial"/>
          <w:i/>
          <w:iCs/>
        </w:rPr>
        <w:t>NRLS to LFPSE transition report (January 2021 to December 2024)</w:t>
      </w:r>
      <w:r w:rsidRPr="006A69E2">
        <w:rPr>
          <w:rFonts w:ascii="Arial" w:hAnsi="Arial" w:cs="Arial"/>
        </w:rPr>
        <w:t xml:space="preserve">. Available at: </w:t>
      </w:r>
      <w:hyperlink r:id="rId30" w:tgtFrame="_new" w:history="1">
        <w:r w:rsidRPr="006A69E2">
          <w:rPr>
            <w:rStyle w:val="Hyperlink"/>
            <w:rFonts w:ascii="Arial" w:hAnsi="Arial" w:cs="Arial"/>
          </w:rPr>
          <w:t>https://www.england.nhs.uk/statistics/statistical-work-areas/patient-safety-data/2024-25/nrls-to-lfpse-transition-report/</w:t>
        </w:r>
      </w:hyperlink>
      <w:r w:rsidRPr="006A69E2">
        <w:rPr>
          <w:rFonts w:ascii="Arial" w:hAnsi="Arial" w:cs="Arial"/>
        </w:rPr>
        <w:t xml:space="preserve"> (Accessed: 11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NHS Staff Survey, 2024. </w:t>
      </w:r>
      <w:r w:rsidRPr="006A69E2">
        <w:rPr>
          <w:rFonts w:ascii="Arial" w:hAnsi="Arial" w:cs="Arial"/>
          <w:i/>
          <w:iCs/>
        </w:rPr>
        <w:t>National results briefing 2024</w:t>
      </w:r>
      <w:r w:rsidRPr="006A69E2">
        <w:rPr>
          <w:rFonts w:ascii="Arial" w:hAnsi="Arial" w:cs="Arial"/>
        </w:rPr>
        <w:t xml:space="preserve">. Available at: </w:t>
      </w:r>
      <w:hyperlink r:id="rId31" w:tgtFrame="_new" w:history="1">
        <w:r w:rsidRPr="006A69E2">
          <w:rPr>
            <w:rStyle w:val="Hyperlink"/>
            <w:rFonts w:ascii="Arial" w:hAnsi="Arial" w:cs="Arial"/>
          </w:rPr>
          <w:t>https://www.nhsstaffsurveys.com/results/national-results/</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Northouse, P.G., 2022. </w:t>
      </w:r>
      <w:r w:rsidRPr="006A69E2">
        <w:rPr>
          <w:rFonts w:ascii="Arial" w:hAnsi="Arial" w:cs="Arial"/>
          <w:i/>
          <w:iCs/>
        </w:rPr>
        <w:t>Leadership: theory and practice</w:t>
      </w:r>
      <w:r w:rsidRPr="006A69E2">
        <w:rPr>
          <w:rFonts w:ascii="Arial" w:hAnsi="Arial" w:cs="Arial"/>
        </w:rPr>
        <w:t>. 9th ed. Thousand Oaks, CA: Sage.</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Ouchi, W.G., 1981. </w:t>
      </w:r>
      <w:r w:rsidRPr="006A69E2">
        <w:rPr>
          <w:rFonts w:ascii="Arial" w:hAnsi="Arial" w:cs="Arial"/>
          <w:i/>
          <w:iCs/>
        </w:rPr>
        <w:t>Theory Z: how American business can meet the Japanese challenge</w:t>
      </w:r>
      <w:r w:rsidRPr="006A69E2">
        <w:rPr>
          <w:rFonts w:ascii="Arial" w:hAnsi="Arial" w:cs="Arial"/>
        </w:rPr>
        <w:t>. Reading, MA: Addison-Wesley.</w:t>
      </w:r>
    </w:p>
    <w:p w:rsidR="00D44F79" w:rsidRDefault="006A69E2" w:rsidP="006A69E2">
      <w:pPr>
        <w:spacing w:after="0" w:line="480" w:lineRule="auto"/>
        <w:ind w:left="720" w:hanging="720"/>
        <w:jc w:val="both"/>
        <w:rPr>
          <w:rFonts w:ascii="Arial" w:hAnsi="Arial" w:cs="Arial"/>
        </w:rPr>
      </w:pPr>
      <w:r w:rsidRPr="006A69E2">
        <w:rPr>
          <w:rFonts w:ascii="Arial" w:hAnsi="Arial" w:cs="Arial"/>
        </w:rPr>
        <w:t xml:space="preserve">Quigley, P.A. and Wheeler, A., 2021. Rib fracture management in older adults: a scoping review. </w:t>
      </w:r>
      <w:r w:rsidRPr="006A69E2">
        <w:rPr>
          <w:rFonts w:ascii="Arial" w:hAnsi="Arial" w:cs="Arial"/>
          <w:i/>
          <w:iCs/>
        </w:rPr>
        <w:t>Journal of Brown Hospital Medicine</w:t>
      </w:r>
      <w:r w:rsidRPr="006A69E2">
        <w:rPr>
          <w:rFonts w:ascii="Arial" w:hAnsi="Arial" w:cs="Arial"/>
        </w:rPr>
        <w:t xml:space="preserve">, 1(2). Available at: </w:t>
      </w:r>
      <w:hyperlink r:id="rId32" w:tgtFrame="_blank" w:history="1">
        <w:r w:rsidR="00D44F79" w:rsidRPr="00D44F79">
          <w:rPr>
            <w:rStyle w:val="Hyperlink"/>
            <w:rFonts w:ascii="Arial" w:hAnsi="Arial" w:cs="Arial"/>
          </w:rPr>
          <w:t>https://doi.org/10.56305/001c.82211</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Reason, J., 2000. Human error: models and management. </w:t>
      </w:r>
      <w:r w:rsidRPr="006A69E2">
        <w:rPr>
          <w:rFonts w:ascii="Arial" w:hAnsi="Arial" w:cs="Arial"/>
          <w:i/>
          <w:iCs/>
        </w:rPr>
        <w:t>BMJ</w:t>
      </w:r>
      <w:r w:rsidRPr="006A69E2">
        <w:rPr>
          <w:rFonts w:ascii="Arial" w:hAnsi="Arial" w:cs="Arial"/>
        </w:rPr>
        <w:t xml:space="preserve">, 320(7237), pp.768–770. Available at: </w:t>
      </w:r>
      <w:hyperlink r:id="rId33" w:tgtFrame="_new" w:history="1">
        <w:r w:rsidRPr="006A69E2">
          <w:rPr>
            <w:rStyle w:val="Hyperlink"/>
            <w:rFonts w:ascii="Arial" w:hAnsi="Arial" w:cs="Arial"/>
          </w:rPr>
          <w:t>https://doi.org/10.1136/bmj.320.7237.768</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Royal Pharmaceutical Society, 2021. </w:t>
      </w:r>
      <w:r w:rsidRPr="006A69E2">
        <w:rPr>
          <w:rFonts w:ascii="Arial" w:hAnsi="Arial" w:cs="Arial"/>
          <w:i/>
          <w:iCs/>
        </w:rPr>
        <w:t>The safe and secure handling of medicines: guidance for healthcare professionals</w:t>
      </w:r>
      <w:r w:rsidRPr="006A69E2">
        <w:rPr>
          <w:rFonts w:ascii="Arial" w:hAnsi="Arial" w:cs="Arial"/>
        </w:rPr>
        <w:t xml:space="preserve">. Available at: </w:t>
      </w:r>
      <w:hyperlink r:id="rId34" w:tgtFrame="_new" w:history="1">
        <w:r w:rsidRPr="006A69E2">
          <w:rPr>
            <w:rStyle w:val="Hyperlink"/>
            <w:rFonts w:ascii="Arial" w:hAnsi="Arial" w:cs="Arial"/>
          </w:rPr>
          <w:t>https://www.rpharms.com/recognition/all-our-campaigns/policy-a-z/safe-and-secure-handling-of-medicines</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Saporta, M.A. and Shy, M.E., 2013. Inherited peripheral neuropathies. </w:t>
      </w:r>
      <w:r w:rsidRPr="006A69E2">
        <w:rPr>
          <w:rFonts w:ascii="Arial" w:hAnsi="Arial" w:cs="Arial"/>
          <w:i/>
          <w:iCs/>
        </w:rPr>
        <w:t>Neurologic Clinics</w:t>
      </w:r>
      <w:r w:rsidRPr="006A69E2">
        <w:rPr>
          <w:rFonts w:ascii="Arial" w:hAnsi="Arial" w:cs="Arial"/>
        </w:rPr>
        <w:t xml:space="preserve">, 31(2), pp.597–619. Available at: </w:t>
      </w:r>
      <w:hyperlink r:id="rId35" w:tgtFrame="_new" w:history="1">
        <w:r w:rsidRPr="006A69E2">
          <w:rPr>
            <w:rStyle w:val="Hyperlink"/>
            <w:rFonts w:ascii="Arial" w:hAnsi="Arial" w:cs="Arial"/>
          </w:rPr>
          <w:t>https://doi.org/10.1016/j.ncl.2013.01.009</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Verma, R. and Allinson, T., 2012. Investigating the barriers to reporting dispensing errors in community pharmacy. </w:t>
      </w:r>
      <w:r w:rsidRPr="006A69E2">
        <w:rPr>
          <w:rFonts w:ascii="Arial" w:hAnsi="Arial" w:cs="Arial"/>
          <w:i/>
          <w:iCs/>
        </w:rPr>
        <w:t>International Journal of Pharmacy Practice</w:t>
      </w:r>
      <w:r w:rsidRPr="006A69E2">
        <w:rPr>
          <w:rFonts w:ascii="Arial" w:hAnsi="Arial" w:cs="Arial"/>
        </w:rPr>
        <w:t>, 20(Suppl. 2), p.17.</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Vincent, C., 2010. </w:t>
      </w:r>
      <w:r w:rsidRPr="006A69E2">
        <w:rPr>
          <w:rFonts w:ascii="Arial" w:hAnsi="Arial" w:cs="Arial"/>
          <w:i/>
          <w:iCs/>
        </w:rPr>
        <w:t>Patient safety</w:t>
      </w:r>
      <w:r w:rsidRPr="006A69E2">
        <w:rPr>
          <w:rFonts w:ascii="Arial" w:hAnsi="Arial" w:cs="Arial"/>
        </w:rPr>
        <w:t>. 2nd ed. Chichester: Wiley-Blackwell.</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Weick, K.E. and Sutcliffe, K.M., 2007. </w:t>
      </w:r>
      <w:r w:rsidRPr="006A69E2">
        <w:rPr>
          <w:rFonts w:ascii="Arial" w:hAnsi="Arial" w:cs="Arial"/>
          <w:i/>
          <w:iCs/>
        </w:rPr>
        <w:t>Managing the unexpected: resilient performance in an age of uncertainty</w:t>
      </w:r>
      <w:r w:rsidRPr="006A69E2">
        <w:rPr>
          <w:rFonts w:ascii="Arial" w:hAnsi="Arial" w:cs="Arial"/>
        </w:rPr>
        <w:t>. 2nd ed. San Francisco, CA: Jossey-Bass.</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lastRenderedPageBreak/>
        <w:t xml:space="preserve">Wong, C.A., Cummings, G.G. and Ducharme, L., 2013. The relationship between nursing leadership and patient outcomes: a systematic review update. </w:t>
      </w:r>
      <w:r w:rsidRPr="006A69E2">
        <w:rPr>
          <w:rFonts w:ascii="Arial" w:hAnsi="Arial" w:cs="Arial"/>
          <w:i/>
          <w:iCs/>
        </w:rPr>
        <w:t>Journal of Nursing Management</w:t>
      </w:r>
      <w:r w:rsidRPr="006A69E2">
        <w:rPr>
          <w:rFonts w:ascii="Arial" w:hAnsi="Arial" w:cs="Arial"/>
        </w:rPr>
        <w:t xml:space="preserve">, 21(5), pp.709–724. Available at: </w:t>
      </w:r>
      <w:hyperlink r:id="rId36" w:tgtFrame="_new" w:history="1">
        <w:r w:rsidRPr="006A69E2">
          <w:rPr>
            <w:rStyle w:val="Hyperlink"/>
            <w:rFonts w:ascii="Arial" w:hAnsi="Arial" w:cs="Arial"/>
          </w:rPr>
          <w:t>https://doi.org/10.1111/jonm.12116</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World Health Organization, 2017. </w:t>
      </w:r>
      <w:r w:rsidRPr="006A69E2">
        <w:rPr>
          <w:rFonts w:ascii="Arial" w:hAnsi="Arial" w:cs="Arial"/>
          <w:i/>
          <w:iCs/>
        </w:rPr>
        <w:t>Medication without harm: WHO Global Patient Safety Challenge</w:t>
      </w:r>
      <w:r w:rsidRPr="006A69E2">
        <w:rPr>
          <w:rFonts w:ascii="Arial" w:hAnsi="Arial" w:cs="Arial"/>
        </w:rPr>
        <w:t xml:space="preserve">. Geneva: World Health Organization. Available at: </w:t>
      </w:r>
      <w:hyperlink r:id="rId37" w:tgtFrame="_new" w:history="1">
        <w:r w:rsidRPr="006A69E2">
          <w:rPr>
            <w:rStyle w:val="Hyperlink"/>
            <w:rFonts w:ascii="Arial" w:hAnsi="Arial" w:cs="Arial"/>
          </w:rPr>
          <w:t>https://iris.who.int/handle/10665/255263</w:t>
        </w:r>
      </w:hyperlink>
      <w:r w:rsidRPr="006A69E2">
        <w:rPr>
          <w:rFonts w:ascii="Arial" w:hAnsi="Arial" w:cs="Arial"/>
        </w:rPr>
        <w:t xml:space="preserve"> (Accessed: 10 March 2026).</w:t>
      </w:r>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Wu, Y., Dong, Y., Jiang, P., Liang, Q. and Cai, W., 2024. A systematic review of leadership styles in healthcare sector: sustainability perspective. </w:t>
      </w:r>
      <w:r w:rsidRPr="006A69E2">
        <w:rPr>
          <w:rFonts w:ascii="Arial" w:hAnsi="Arial" w:cs="Arial"/>
          <w:i/>
          <w:iCs/>
        </w:rPr>
        <w:t>Evaluation and Program Planning</w:t>
      </w:r>
      <w:r w:rsidRPr="006A69E2">
        <w:rPr>
          <w:rFonts w:ascii="Arial" w:hAnsi="Arial" w:cs="Arial"/>
        </w:rPr>
        <w:t xml:space="preserve">, 106, 102463. Available at: </w:t>
      </w:r>
      <w:hyperlink r:id="rId38" w:tgtFrame="_new" w:history="1">
        <w:r w:rsidRPr="006A69E2">
          <w:rPr>
            <w:rStyle w:val="Hyperlink"/>
            <w:rFonts w:ascii="Arial" w:hAnsi="Arial" w:cs="Arial"/>
          </w:rPr>
          <w:t>https://doi.org/10.1016/j.evalprogplan.2024.102463</w:t>
        </w:r>
      </w:hyperlink>
    </w:p>
    <w:p w:rsidR="006A69E2" w:rsidRPr="006A69E2" w:rsidRDefault="006A69E2" w:rsidP="006A69E2">
      <w:pPr>
        <w:spacing w:after="0" w:line="480" w:lineRule="auto"/>
        <w:ind w:left="720" w:hanging="720"/>
        <w:jc w:val="both"/>
        <w:rPr>
          <w:rFonts w:ascii="Arial" w:hAnsi="Arial" w:cs="Arial"/>
        </w:rPr>
      </w:pPr>
      <w:r w:rsidRPr="006A69E2">
        <w:rPr>
          <w:rFonts w:ascii="Arial" w:hAnsi="Arial" w:cs="Arial"/>
        </w:rPr>
        <w:t xml:space="preserve">Yukl, G., 2013. </w:t>
      </w:r>
      <w:r w:rsidRPr="006A69E2">
        <w:rPr>
          <w:rFonts w:ascii="Arial" w:hAnsi="Arial" w:cs="Arial"/>
          <w:i/>
          <w:iCs/>
        </w:rPr>
        <w:t>Leadership in organizations</w:t>
      </w:r>
      <w:r w:rsidRPr="006A69E2">
        <w:rPr>
          <w:rFonts w:ascii="Arial" w:hAnsi="Arial" w:cs="Arial"/>
        </w:rPr>
        <w:t>. 8th ed. Boston, MA: Pearson.</w:t>
      </w:r>
    </w:p>
    <w:p w:rsidR="00AC1774" w:rsidRPr="003D5FA2" w:rsidRDefault="00AC1774" w:rsidP="003A0A89">
      <w:pPr>
        <w:spacing w:after="0" w:line="480" w:lineRule="auto"/>
        <w:ind w:left="720" w:hanging="720"/>
        <w:jc w:val="both"/>
        <w:rPr>
          <w:rFonts w:ascii="Arial" w:hAnsi="Arial" w:cs="Arial"/>
        </w:rPr>
      </w:pPr>
    </w:p>
    <w:sectPr w:rsidR="00AC1774" w:rsidRPr="003D5FA2" w:rsidSect="00AD1A47">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00410" w:rsidRDefault="00200410" w:rsidP="0027273A">
      <w:pPr>
        <w:spacing w:after="0" w:line="240" w:lineRule="auto"/>
      </w:pPr>
      <w:r>
        <w:separator/>
      </w:r>
    </w:p>
  </w:endnote>
  <w:endnote w:type="continuationSeparator" w:id="0">
    <w:p w:rsidR="00200410" w:rsidRDefault="00200410" w:rsidP="00272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954021"/>
      <w:docPartObj>
        <w:docPartGallery w:val="Page Numbers (Bottom of Page)"/>
        <w:docPartUnique/>
      </w:docPartObj>
    </w:sdtPr>
    <w:sdtEndPr>
      <w:rPr>
        <w:noProof/>
      </w:rPr>
    </w:sdtEndPr>
    <w:sdtContent>
      <w:p w:rsidR="0027273A" w:rsidRDefault="002727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7273A" w:rsidRDefault="00272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00410" w:rsidRDefault="00200410" w:rsidP="0027273A">
      <w:pPr>
        <w:spacing w:after="0" w:line="240" w:lineRule="auto"/>
      </w:pPr>
      <w:r>
        <w:separator/>
      </w:r>
    </w:p>
  </w:footnote>
  <w:footnote w:type="continuationSeparator" w:id="0">
    <w:p w:rsidR="00200410" w:rsidRDefault="00200410" w:rsidP="002727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81676506">
    <w:abstractNumId w:val="8"/>
  </w:num>
  <w:num w:numId="2" w16cid:durableId="1114057113">
    <w:abstractNumId w:val="6"/>
  </w:num>
  <w:num w:numId="3" w16cid:durableId="517427770">
    <w:abstractNumId w:val="5"/>
  </w:num>
  <w:num w:numId="4" w16cid:durableId="127014266">
    <w:abstractNumId w:val="4"/>
  </w:num>
  <w:num w:numId="5" w16cid:durableId="1612740716">
    <w:abstractNumId w:val="7"/>
  </w:num>
  <w:num w:numId="6" w16cid:durableId="548610331">
    <w:abstractNumId w:val="3"/>
  </w:num>
  <w:num w:numId="7" w16cid:durableId="1642730873">
    <w:abstractNumId w:val="2"/>
  </w:num>
  <w:num w:numId="8" w16cid:durableId="1317033237">
    <w:abstractNumId w:val="1"/>
  </w:num>
  <w:num w:numId="9" w16cid:durableId="134613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1427"/>
    <w:rsid w:val="00056DE5"/>
    <w:rsid w:val="0006063C"/>
    <w:rsid w:val="000E36ED"/>
    <w:rsid w:val="0015074B"/>
    <w:rsid w:val="00173EB1"/>
    <w:rsid w:val="001E312F"/>
    <w:rsid w:val="00200410"/>
    <w:rsid w:val="002017CB"/>
    <w:rsid w:val="002374D6"/>
    <w:rsid w:val="00256A7C"/>
    <w:rsid w:val="0027273A"/>
    <w:rsid w:val="0029639D"/>
    <w:rsid w:val="002F1A80"/>
    <w:rsid w:val="00326F90"/>
    <w:rsid w:val="00330C23"/>
    <w:rsid w:val="00364460"/>
    <w:rsid w:val="003744C4"/>
    <w:rsid w:val="003A0A89"/>
    <w:rsid w:val="003D1C25"/>
    <w:rsid w:val="003D5FA2"/>
    <w:rsid w:val="004B4440"/>
    <w:rsid w:val="004F6E06"/>
    <w:rsid w:val="00527628"/>
    <w:rsid w:val="00572455"/>
    <w:rsid w:val="00594555"/>
    <w:rsid w:val="005E6AE6"/>
    <w:rsid w:val="00612F15"/>
    <w:rsid w:val="006A69E2"/>
    <w:rsid w:val="006E717E"/>
    <w:rsid w:val="00720F71"/>
    <w:rsid w:val="00751756"/>
    <w:rsid w:val="00767F59"/>
    <w:rsid w:val="00814148"/>
    <w:rsid w:val="00880281"/>
    <w:rsid w:val="00884887"/>
    <w:rsid w:val="008D1008"/>
    <w:rsid w:val="008F7369"/>
    <w:rsid w:val="00A0784F"/>
    <w:rsid w:val="00A23C79"/>
    <w:rsid w:val="00A469EF"/>
    <w:rsid w:val="00AA1D8D"/>
    <w:rsid w:val="00AC1774"/>
    <w:rsid w:val="00AD1A47"/>
    <w:rsid w:val="00AD7250"/>
    <w:rsid w:val="00B47730"/>
    <w:rsid w:val="00B66963"/>
    <w:rsid w:val="00BD5542"/>
    <w:rsid w:val="00BE409F"/>
    <w:rsid w:val="00C531C3"/>
    <w:rsid w:val="00C8253A"/>
    <w:rsid w:val="00CB0664"/>
    <w:rsid w:val="00CB4E8B"/>
    <w:rsid w:val="00D43A34"/>
    <w:rsid w:val="00D44F79"/>
    <w:rsid w:val="00D50CA8"/>
    <w:rsid w:val="00D9115F"/>
    <w:rsid w:val="00D9273E"/>
    <w:rsid w:val="00DB2F58"/>
    <w:rsid w:val="00DB4728"/>
    <w:rsid w:val="00E963C8"/>
    <w:rsid w:val="00EA57D8"/>
    <w:rsid w:val="00EC124B"/>
    <w:rsid w:val="00F820CC"/>
    <w:rsid w:val="00F92AC2"/>
    <w:rsid w:val="00FC3FE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7195A6"/>
  <w14:defaultImageDpi w14:val="300"/>
  <w15:docId w15:val="{CCD955E1-2C11-4599-AA17-E63AE3AD1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eastAsia="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7273A"/>
    <w:pPr>
      <w:spacing w:after="100"/>
    </w:pPr>
  </w:style>
  <w:style w:type="character" w:styleId="Hyperlink">
    <w:name w:val="Hyperlink"/>
    <w:basedOn w:val="DefaultParagraphFont"/>
    <w:uiPriority w:val="99"/>
    <w:unhideWhenUsed/>
    <w:rsid w:val="0027273A"/>
    <w:rPr>
      <w:color w:val="0000FF" w:themeColor="hyperlink"/>
      <w:u w:val="single"/>
    </w:rPr>
  </w:style>
  <w:style w:type="character" w:styleId="UnresolvedMention">
    <w:name w:val="Unresolved Mention"/>
    <w:basedOn w:val="DefaultParagraphFont"/>
    <w:uiPriority w:val="99"/>
    <w:semiHidden/>
    <w:unhideWhenUsed/>
    <w:rsid w:val="002727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pds.1012" TargetMode="External"/><Relationship Id="rId18" Type="http://schemas.openxmlformats.org/officeDocument/2006/relationships/hyperlink" Target="https://doi.org/10.1136/bmjqs-2019-010206" TargetMode="External"/><Relationship Id="rId26" Type="http://schemas.openxmlformats.org/officeDocument/2006/relationships/hyperlink" Target="https://cks.nice.org.uk/topics/analgesia-mild-moderate-pain/management/management/" TargetMode="External"/><Relationship Id="rId39" Type="http://schemas.openxmlformats.org/officeDocument/2006/relationships/footer" Target="footer1.xml"/><Relationship Id="rId21" Type="http://schemas.openxmlformats.org/officeDocument/2006/relationships/hyperlink" Target="https://doi.org/10.1080/00140139.2013.838643" TargetMode="External"/><Relationship Id="rId34" Type="http://schemas.openxmlformats.org/officeDocument/2006/relationships/hyperlink" Target="https://www.rpharms.com/recognition/all-our-campaigns/policy-a-z/safe-and-secure-handling-of-medicin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S0140-6736(17)31047-4" TargetMode="External"/><Relationship Id="rId20" Type="http://schemas.openxmlformats.org/officeDocument/2006/relationships/hyperlink" Target="https://www.hssib.org.uk/patient-safety-investigations/unintentional-overdose-of-morphine-sulfate-oral-solution/investigation-report/" TargetMode="External"/><Relationship Id="rId29" Type="http://schemas.openxmlformats.org/officeDocument/2006/relationships/hyperlink" Target="https://www.england.nhs.uk/publication/primary-care-patient-safety-strateg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drug-safety-update/medsafetyweek-november-2022-every-yellow-card-report-helps-to-improve-patient-safety" TargetMode="External"/><Relationship Id="rId32" Type="http://schemas.openxmlformats.org/officeDocument/2006/relationships/hyperlink" Target="https://doi.org/10.56305/001c.82211" TargetMode="External"/><Relationship Id="rId37" Type="http://schemas.openxmlformats.org/officeDocument/2006/relationships/hyperlink" Target="https://iris.who.int/handle/10665/255263"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36/qshc.2005.015842" TargetMode="External"/><Relationship Id="rId23" Type="http://schemas.openxmlformats.org/officeDocument/2006/relationships/hyperlink" Target="https://www.gov.uk/government/publications/best-practice-in-the-labelling-and-packaging-of-medicines" TargetMode="External"/><Relationship Id="rId28" Type="http://schemas.openxmlformats.org/officeDocument/2006/relationships/hyperlink" Target="https://www.england.nhs.uk/patient-safety/patient-safety-insight/incident-response-framework/" TargetMode="External"/><Relationship Id="rId36" Type="http://schemas.openxmlformats.org/officeDocument/2006/relationships/hyperlink" Target="https://doi.org/10.1111/jonm.12116" TargetMode="External"/><Relationship Id="rId10" Type="http://schemas.openxmlformats.org/officeDocument/2006/relationships/image" Target="media/image3.png"/><Relationship Id="rId19" Type="http://schemas.openxmlformats.org/officeDocument/2006/relationships/hyperlink" Target="https://doi.org/10.2147/RMHP.S458505" TargetMode="External"/><Relationship Id="rId31" Type="http://schemas.openxmlformats.org/officeDocument/2006/relationships/hyperlink" Target="https://www.nhsstaffsurveys.com/results/national-resul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sapharm.2017.05.004" TargetMode="External"/><Relationship Id="rId22" Type="http://schemas.openxmlformats.org/officeDocument/2006/relationships/hyperlink" Target="https://www.ihi.org/resources/Pages/IHIWhitePapers/IHI-Psychology-of-Change-Framework-to-Advance-and-Sustain-Improvement.aspx" TargetMode="External"/><Relationship Id="rId27" Type="http://schemas.openxmlformats.org/officeDocument/2006/relationships/hyperlink" Target="https://www.england.nhs.uk/wp-content/uploads/2020/08/190708_Patient_Safety_Strategy_for_website_v4.pdf" TargetMode="External"/><Relationship Id="rId30" Type="http://schemas.openxmlformats.org/officeDocument/2006/relationships/hyperlink" Target="https://www.england.nhs.uk/statistics/statistical-work-areas/patient-safety-data/2024-25/nrls-to-lfpse-transition-report/" TargetMode="External"/><Relationship Id="rId35" Type="http://schemas.openxmlformats.org/officeDocument/2006/relationships/hyperlink" Target="https://doi.org/10.1016/j.ncl.2013.01.009"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11/bcp.14924" TargetMode="External"/><Relationship Id="rId17" Type="http://schemas.openxmlformats.org/officeDocument/2006/relationships/hyperlink" Target="https://doi.org/10.2307/2666999" TargetMode="External"/><Relationship Id="rId25" Type="http://schemas.openxmlformats.org/officeDocument/2006/relationships/hyperlink" Target="https://doi.org/10.1093/milmed/usac117" TargetMode="External"/><Relationship Id="rId33" Type="http://schemas.openxmlformats.org/officeDocument/2006/relationships/hyperlink" Target="https://doi.org/10.1136/bmj.320.7237.768" TargetMode="External"/><Relationship Id="rId38" Type="http://schemas.openxmlformats.org/officeDocument/2006/relationships/hyperlink" Target="https://doi.org/10.1016/j.evalprogplan.2024.1024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22</Pages>
  <Words>6713</Words>
  <Characters>38266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44890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Ritu Panna Saha</cp:lastModifiedBy>
  <cp:revision>24</cp:revision>
  <dcterms:created xsi:type="dcterms:W3CDTF">2026-03-01T07:12:00Z</dcterms:created>
  <dcterms:modified xsi:type="dcterms:W3CDTF">2026-03-25T17:14:00Z</dcterms:modified>
  <cp:category/>
</cp:coreProperties>
</file>