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numId w:val="0"/>
        </w:numPr>
        <w:bidi w:val="0"/>
        <w:jc w:val="both"/>
        <w:outlineLvl w:val="0"/>
        <w:rPr>
          <w:rFonts w:hint="eastAsia" w:ascii="Times New Roman" w:hAnsi="Times New Roman" w:cs="Times New Roman" w:eastAsiaTheme="minorEastAsia"/>
          <w:sz w:val="36"/>
          <w:szCs w:val="36"/>
          <w:lang w:eastAsia="zh-CN"/>
        </w:rPr>
      </w:pPr>
      <w:bookmarkStart w:id="0" w:name="_Toc19583"/>
    </w:p>
    <w:p>
      <w:pPr>
        <w:numPr>
          <w:numId w:val="0"/>
        </w:numPr>
        <w:bidi w:val="0"/>
        <w:jc w:val="center"/>
        <w:outlineLvl w:val="0"/>
        <w:rPr>
          <w:rFonts w:hint="eastAsia" w:ascii="Times New Roman" w:hAnsi="Times New Roman" w:cs="Times New Roman" w:eastAsiaTheme="minorEastAsia"/>
          <w:sz w:val="36"/>
          <w:szCs w:val="36"/>
          <w:lang w:eastAsia="zh-CN"/>
        </w:rPr>
      </w:pPr>
    </w:p>
    <w:p>
      <w:pPr>
        <w:numPr>
          <w:numId w:val="0"/>
        </w:numPr>
        <w:bidi w:val="0"/>
        <w:jc w:val="center"/>
        <w:outlineLvl w:val="0"/>
        <w:rPr>
          <w:rFonts w:hint="eastAsia" w:ascii="Times New Roman" w:hAnsi="Times New Roman" w:cs="Times New Roman" w:eastAsiaTheme="minorEastAsia"/>
          <w:sz w:val="36"/>
          <w:szCs w:val="36"/>
          <w:lang w:eastAsia="zh-CN"/>
        </w:rPr>
      </w:pPr>
      <w:r>
        <w:rPr>
          <w:rFonts w:hint="eastAsia" w:ascii="Times New Roman" w:hAnsi="Times New Roman" w:cs="Times New Roman" w:eastAsiaTheme="minorEastAsia"/>
          <w:sz w:val="36"/>
          <w:szCs w:val="36"/>
          <w:lang w:eastAsia="zh-CN"/>
        </w:rPr>
        <w:t>Earnings Management</w:t>
      </w:r>
    </w:p>
    <w:p>
      <w:pPr>
        <w:numPr>
          <w:numId w:val="0"/>
        </w:numPr>
        <w:bidi w:val="0"/>
        <w:jc w:val="center"/>
        <w:outlineLvl w:val="0"/>
        <w:rPr>
          <w:rFonts w:hint="eastAsia" w:ascii="Times New Roman" w:hAnsi="Times New Roman" w:cs="Times New Roman" w:eastAsiaTheme="minorEastAsia"/>
          <w:sz w:val="36"/>
          <w:szCs w:val="36"/>
          <w:lang w:eastAsia="zh-CN"/>
        </w:rPr>
      </w:pPr>
    </w:p>
    <w:p>
      <w:pPr>
        <w:numPr>
          <w:numId w:val="0"/>
        </w:numPr>
        <w:bidi w:val="0"/>
        <w:jc w:val="center"/>
        <w:outlineLvl w:val="0"/>
        <w:rPr>
          <w:rFonts w:hint="eastAsia" w:ascii="Times New Roman" w:hAnsi="Times New Roman" w:cs="Times New Roman" w:eastAsiaTheme="minorEastAsia"/>
          <w:sz w:val="36"/>
          <w:szCs w:val="36"/>
          <w:lang w:eastAsia="zh-CN"/>
        </w:rPr>
      </w:pPr>
    </w:p>
    <w:p>
      <w:pPr>
        <w:spacing w:before="0" w:beforeLines="0" w:after="0" w:afterLines="0" w:line="240" w:lineRule="auto"/>
        <w:ind w:left="0" w:leftChars="0" w:right="0" w:rightChars="0" w:firstLine="0" w:firstLineChars="0"/>
        <w:jc w:val="center"/>
        <w:rPr>
          <w:rFonts w:hint="eastAsia" w:ascii="Times New Roman" w:hAnsi="Times New Roman" w:cs="Times New Roman" w:eastAsiaTheme="minorEastAsia"/>
          <w:sz w:val="36"/>
          <w:szCs w:val="36"/>
          <w:lang w:eastAsia="zh-CN"/>
        </w:rPr>
      </w:pPr>
      <w:r>
        <w:rPr>
          <w:rFonts w:hint="eastAsia" w:ascii="Times New Roman" w:hAnsi="Times New Roman" w:cs="Times New Roman" w:eastAsiaTheme="minorEastAsia"/>
          <w:sz w:val="36"/>
          <w:szCs w:val="36"/>
          <w:lang w:eastAsia="zh-CN"/>
        </w:rPr>
        <w:drawing>
          <wp:inline distT="0" distB="0" distL="114300" distR="114300">
            <wp:extent cx="5266690" cy="1983105"/>
            <wp:effectExtent l="0" t="0" r="6350" b="13335"/>
            <wp:docPr id="13" name="图片 13" descr="cb647c78c181c34513c07a79015e6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cb647c78c181c34513c07a79015e6e6"/>
                    <pic:cNvPicPr>
                      <a:picLocks noChangeAspect="1"/>
                    </pic:cNvPicPr>
                  </pic:nvPicPr>
                  <pic:blipFill>
                    <a:blip r:embed="rId5"/>
                    <a:stretch>
                      <a:fillRect/>
                    </a:stretch>
                  </pic:blipFill>
                  <pic:spPr>
                    <a:xfrm>
                      <a:off x="0" y="0"/>
                      <a:ext cx="5266690" cy="1983105"/>
                    </a:xfrm>
                    <a:prstGeom prst="rect">
                      <a:avLst/>
                    </a:prstGeom>
                  </pic:spPr>
                </pic:pic>
              </a:graphicData>
            </a:graphic>
          </wp:inline>
        </w:drawing>
      </w:r>
    </w:p>
    <w:p>
      <w:pPr>
        <w:spacing w:before="0" w:beforeLines="0" w:after="0" w:afterLines="0" w:line="240" w:lineRule="auto"/>
        <w:ind w:left="0" w:leftChars="0" w:right="0" w:rightChars="0" w:firstLine="0" w:firstLineChars="0"/>
        <w:jc w:val="center"/>
        <w:rPr>
          <w:rFonts w:hint="eastAsia" w:ascii="Times New Roman" w:hAnsi="Times New Roman" w:cs="Times New Roman" w:eastAsiaTheme="minorEastAsia"/>
          <w:sz w:val="36"/>
          <w:szCs w:val="36"/>
          <w:lang w:eastAsia="zh-CN"/>
        </w:rPr>
      </w:pPr>
    </w:p>
    <w:p>
      <w:pPr>
        <w:spacing w:before="0" w:beforeLines="0" w:after="0" w:afterLines="0" w:line="240" w:lineRule="auto"/>
        <w:ind w:left="0" w:leftChars="0" w:right="0" w:rightChars="0" w:firstLine="0" w:firstLineChars="0"/>
        <w:jc w:val="center"/>
        <w:rPr>
          <w:rFonts w:hint="default" w:ascii="Times New Roman" w:hAnsi="Times New Roman" w:cs="Times New Roman"/>
          <w:sz w:val="36"/>
          <w:szCs w:val="36"/>
        </w:rPr>
      </w:pPr>
      <w:r>
        <w:rPr>
          <w:rFonts w:hint="default" w:ascii="Times New Roman" w:hAnsi="Times New Roman" w:cs="Times New Roman"/>
          <w:sz w:val="36"/>
          <w:szCs w:val="36"/>
        </w:rPr>
        <w:t>MOUDLE NAME:Corporate Governance BMMB7018</w:t>
      </w:r>
    </w:p>
    <w:p>
      <w:pPr>
        <w:spacing w:before="0" w:beforeLines="0" w:after="0" w:afterLines="0" w:line="240" w:lineRule="auto"/>
        <w:ind w:left="0" w:leftChars="0" w:right="0" w:rightChars="0" w:firstLine="0" w:firstLineChars="0"/>
        <w:jc w:val="center"/>
        <w:rPr>
          <w:rFonts w:hint="default" w:ascii="Times New Roman" w:hAnsi="Times New Roman" w:cs="Times New Roman"/>
          <w:sz w:val="36"/>
          <w:szCs w:val="36"/>
        </w:rPr>
      </w:pPr>
    </w:p>
    <w:p>
      <w:pPr>
        <w:spacing w:before="0" w:beforeLines="0" w:after="0" w:afterLines="0" w:line="240" w:lineRule="auto"/>
        <w:ind w:left="0" w:leftChars="0" w:right="0" w:rightChars="0" w:firstLine="0" w:firstLineChars="0"/>
        <w:jc w:val="center"/>
        <w:rPr>
          <w:rFonts w:hint="eastAsia" w:cs="Times New Roman"/>
          <w:sz w:val="36"/>
          <w:szCs w:val="36"/>
          <w:lang w:val="en-US" w:eastAsia="zh-CN"/>
        </w:rPr>
      </w:pPr>
      <w:r>
        <w:rPr>
          <w:rFonts w:hint="default" w:ascii="Times New Roman" w:hAnsi="Times New Roman" w:cs="Times New Roman"/>
          <w:sz w:val="36"/>
          <w:szCs w:val="36"/>
        </w:rPr>
        <w:t xml:space="preserve">DATE ：March </w:t>
      </w:r>
      <w:r>
        <w:rPr>
          <w:rFonts w:hint="default" w:ascii="Times New Roman" w:hAnsi="Times New Roman" w:cs="Times New Roman"/>
          <w:sz w:val="36"/>
          <w:szCs w:val="36"/>
          <w:lang w:val="en-US" w:eastAsia="zh-CN"/>
        </w:rPr>
        <w:t>202</w:t>
      </w:r>
      <w:r>
        <w:rPr>
          <w:rFonts w:hint="eastAsia" w:cs="Times New Roman"/>
          <w:sz w:val="36"/>
          <w:szCs w:val="36"/>
          <w:lang w:val="en-US" w:eastAsia="zh-CN"/>
        </w:rPr>
        <w:t>3</w:t>
      </w:r>
    </w:p>
    <w:p>
      <w:pPr>
        <w:spacing w:before="0" w:beforeLines="0" w:after="0" w:afterLines="0" w:line="240" w:lineRule="auto"/>
        <w:ind w:left="0" w:leftChars="0" w:right="0" w:rightChars="0" w:firstLine="0" w:firstLineChars="0"/>
        <w:jc w:val="center"/>
        <w:rPr>
          <w:rFonts w:hint="default" w:cs="Times New Roman"/>
          <w:sz w:val="36"/>
          <w:szCs w:val="36"/>
          <w:lang w:val="en-US" w:eastAsia="zh-CN"/>
        </w:rPr>
      </w:pPr>
    </w:p>
    <w:p>
      <w:pPr>
        <w:spacing w:before="0" w:beforeLines="0" w:after="0" w:afterLines="0" w:line="240" w:lineRule="auto"/>
        <w:ind w:left="0" w:leftChars="0" w:right="0" w:rightChars="0" w:firstLine="0" w:firstLineChars="0"/>
        <w:jc w:val="center"/>
        <w:rPr>
          <w:rFonts w:hint="default" w:ascii="Times New Roman" w:hAnsi="Times New Roman" w:cs="Times New Roman"/>
          <w:sz w:val="36"/>
          <w:szCs w:val="36"/>
          <w:lang w:val="en-US" w:eastAsia="zh-CN"/>
        </w:rPr>
      </w:pPr>
      <w:r>
        <w:rPr>
          <w:rFonts w:hint="default" w:ascii="Times New Roman" w:hAnsi="Times New Roman" w:cs="Times New Roman"/>
          <w:sz w:val="36"/>
          <w:szCs w:val="36"/>
        </w:rPr>
        <w:t>NAME:</w:t>
      </w:r>
      <w:r>
        <w:rPr>
          <w:rFonts w:hint="default" w:ascii="Times New Roman" w:hAnsi="Times New Roman" w:cs="Times New Roman"/>
          <w:sz w:val="36"/>
          <w:szCs w:val="36"/>
          <w:lang w:val="en-US" w:eastAsia="zh-CN"/>
        </w:rPr>
        <w:t>Jiaxian Huang</w:t>
      </w:r>
    </w:p>
    <w:p>
      <w:pPr>
        <w:spacing w:before="0" w:beforeLines="0" w:after="0" w:afterLines="0" w:line="240" w:lineRule="auto"/>
        <w:ind w:left="0" w:leftChars="0" w:right="0" w:rightChars="0" w:firstLine="0" w:firstLineChars="0"/>
        <w:jc w:val="center"/>
        <w:rPr>
          <w:rFonts w:hint="default" w:ascii="Times New Roman" w:hAnsi="Times New Roman" w:cs="Times New Roman"/>
          <w:sz w:val="36"/>
          <w:szCs w:val="36"/>
          <w:lang w:val="en-US" w:eastAsia="zh-CN"/>
        </w:rPr>
      </w:pPr>
    </w:p>
    <w:p>
      <w:pPr>
        <w:numPr>
          <w:numId w:val="0"/>
        </w:numPr>
        <w:bidi w:val="0"/>
        <w:jc w:val="center"/>
        <w:outlineLvl w:val="0"/>
        <w:rPr>
          <w:rFonts w:hint="eastAsia"/>
          <w:b/>
          <w:bCs/>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36"/>
          <w:szCs w:val="36"/>
        </w:rPr>
        <w:t>STUDENT NUMBER:220</w:t>
      </w:r>
      <w:r>
        <w:rPr>
          <w:rFonts w:hint="default" w:ascii="Times New Roman" w:hAnsi="Times New Roman" w:cs="Times New Roman"/>
          <w:sz w:val="36"/>
          <w:szCs w:val="36"/>
          <w:lang w:val="en-US" w:eastAsia="zh-CN"/>
        </w:rPr>
        <w:t>6335</w:t>
      </w:r>
    </w:p>
    <w:p>
      <w:pPr>
        <w:numPr>
          <w:numId w:val="0"/>
        </w:numPr>
        <w:bidi w:val="0"/>
        <w:jc w:val="center"/>
        <w:outlineLvl w:val="0"/>
        <w:rPr>
          <w:rFonts w:hint="eastAsia"/>
          <w:b/>
          <w:bCs/>
        </w:rPr>
      </w:pPr>
      <w:r>
        <w:rPr>
          <w:rFonts w:hint="eastAsia"/>
          <w:b/>
          <w:bCs/>
        </w:rPr>
        <w:t>Executive summary</w:t>
      </w:r>
      <w:bookmarkEnd w:id="0"/>
    </w:p>
    <w:p>
      <w:pPr>
        <w:bidi w:val="0"/>
        <w:ind w:firstLine="480" w:firstLineChars="200"/>
        <w:rPr>
          <w:rFonts w:hint="eastAsia"/>
          <w:sz w:val="24"/>
          <w:szCs w:val="24"/>
        </w:rPr>
        <w:sectPr>
          <w:pgSz w:w="11906" w:h="16838"/>
          <w:pgMar w:top="1440" w:right="1800" w:bottom="1440" w:left="1800" w:header="851" w:footer="992" w:gutter="0"/>
          <w:cols w:space="425" w:num="1"/>
          <w:docGrid w:type="lines" w:linePitch="312" w:charSpace="0"/>
        </w:sectPr>
      </w:pPr>
      <w:r>
        <w:rPr>
          <w:rFonts w:hint="eastAsia"/>
          <w:sz w:val="24"/>
          <w:szCs w:val="24"/>
        </w:rPr>
        <w:t>Scholars from various countries have studied earnings management for decades, and it has become a common phenomenon for listed companies to optimize financial statement information through earnings management. Excessive earnings management has caused serious accounting information distortion, affected the quality of accounting information, and caused huge losses to creditors, investors, and other stakeholders. Therefore, the study of excessive earnings management helps to maintain the economic market and protect more stakeholders. This article believes that earnings management is a series of actions taken by the management of a company to whitewash the information in financial statements under the condition of asymmetric market information. Through a case study of Tianjin Magnetic Card Company, the motivation of earnings management is to avoid being treated specifically, obtain financing opportunities, and increase the remuneration of managers. Its excessive earnings management behavior violates the company's ethical standards. In addition, this article also analyzes the advantages of British corporate governance structure in constraining corporate earnings management, namely, the supervision of external directors, internal power balance mechanisms, and management compensation intervention. Finally, the government needs to strengthen the supervision of information disclosure and the punishment of excessive earnings management. Enterprises need to improve their internal controls in order to reduce the occurrence of earnings management phenomena.</w:t>
      </w:r>
    </w:p>
    <w:sdt>
      <w:sdtPr>
        <w:rPr>
          <w:rFonts w:ascii="宋体" w:hAnsi="宋体" w:eastAsia="宋体" w:cstheme="minorBidi"/>
          <w:kern w:val="2"/>
          <w:sz w:val="21"/>
          <w:szCs w:val="24"/>
          <w:lang w:val="en-US" w:eastAsia="zh-CN" w:bidi="ar-SA"/>
        </w:rPr>
        <w:id w:val="147466546"/>
        <w15:color w:val="DBDBDB"/>
        <w:docPartObj>
          <w:docPartGallery w:val="Table of Contents"/>
          <w:docPartUnique/>
        </w:docPartObj>
      </w:sdtPr>
      <w:sdtEndPr>
        <w:rPr>
          <w:rFonts w:hint="eastAsia" w:ascii="Times New Roman" w:hAnsi="Times New Roman" w:eastAsiaTheme="minorEastAsia" w:cstheme="minorBidi"/>
          <w:b/>
          <w:kern w:val="44"/>
          <w:sz w:val="28"/>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rPr>
          </w:pPr>
          <w:r>
            <w:rPr>
              <w:rFonts w:hint="eastAsia" w:ascii="宋体" w:hAnsi="宋体" w:eastAsia="宋体" w:cstheme="minorBidi"/>
              <w:kern w:val="2"/>
              <w:sz w:val="21"/>
              <w:szCs w:val="24"/>
              <w:lang w:val="en-US" w:eastAsia="zh-CN" w:bidi="ar-SA"/>
            </w:rPr>
            <w:t>C</w:t>
          </w:r>
          <w:r>
            <w:rPr>
              <w:rFonts w:hint="default" w:ascii="Times New Roman" w:hAnsi="Times New Roman" w:eastAsia="宋体" w:cs="Times New Roman"/>
              <w:sz w:val="21"/>
            </w:rPr>
            <w:t>atalogue</w:t>
          </w:r>
        </w:p>
        <w:p>
          <w:pPr>
            <w:pStyle w:val="10"/>
            <w:tabs>
              <w:tab w:val="right" w:leader="dot" w:pos="8306"/>
            </w:tabs>
          </w:pPr>
          <w:r>
            <w:rPr>
              <w:rFonts w:hint="eastAsia"/>
              <w:lang w:val="en-US" w:eastAsia="zh-CN"/>
            </w:rPr>
            <w:fldChar w:fldCharType="begin"/>
          </w:r>
          <w:r>
            <w:rPr>
              <w:rFonts w:hint="eastAsia"/>
              <w:lang w:val="en-US" w:eastAsia="zh-CN"/>
            </w:rPr>
            <w:instrText xml:space="preserve">TOC \o "1-3" \h \u </w:instrText>
          </w:r>
          <w:r>
            <w:rPr>
              <w:rFonts w:hint="eastAsia"/>
              <w:lang w:val="en-US" w:eastAsia="zh-CN"/>
            </w:rPr>
            <w:fldChar w:fldCharType="separate"/>
          </w:r>
          <w:r>
            <w:rPr>
              <w:rFonts w:hint="eastAsia"/>
              <w:lang w:val="en-US" w:eastAsia="zh-CN"/>
            </w:rPr>
            <w:fldChar w:fldCharType="begin"/>
          </w:r>
          <w:r>
            <w:rPr>
              <w:rFonts w:hint="eastAsia"/>
              <w:lang w:val="en-US" w:eastAsia="zh-CN"/>
            </w:rPr>
            <w:instrText xml:space="preserve"> HYPERLINK \l _Toc12092 </w:instrText>
          </w:r>
          <w:r>
            <w:rPr>
              <w:rFonts w:hint="eastAsia"/>
              <w:lang w:val="en-US" w:eastAsia="zh-CN"/>
            </w:rPr>
            <w:fldChar w:fldCharType="separate"/>
          </w:r>
          <w:r>
            <w:rPr>
              <w:rFonts w:hint="eastAsia"/>
              <w:lang w:val="en-US" w:eastAsia="zh-CN"/>
            </w:rPr>
            <w:t>1.</w:t>
          </w:r>
          <w:r>
            <w:rPr>
              <w:rFonts w:hint="eastAsia"/>
            </w:rPr>
            <w:t>Introduction</w:t>
          </w:r>
          <w:r>
            <w:tab/>
          </w:r>
          <w:r>
            <w:fldChar w:fldCharType="begin"/>
          </w:r>
          <w:r>
            <w:instrText xml:space="preserve"> PAGEREF _Toc12092 \h </w:instrText>
          </w:r>
          <w:r>
            <w:fldChar w:fldCharType="separate"/>
          </w:r>
          <w:r>
            <w:t>1</w:t>
          </w:r>
          <w:r>
            <w:fldChar w:fldCharType="end"/>
          </w:r>
          <w:r>
            <w:rPr>
              <w:rFonts w:hint="eastAsia"/>
              <w:lang w:val="en-US" w:eastAsia="zh-CN"/>
            </w:rPr>
            <w:fldChar w:fldCharType="end"/>
          </w:r>
        </w:p>
        <w:p>
          <w:pPr>
            <w:pStyle w:val="10"/>
            <w:tabs>
              <w:tab w:val="right" w:leader="dot" w:pos="8306"/>
            </w:tabs>
          </w:pPr>
          <w:r>
            <w:rPr>
              <w:rFonts w:hint="eastAsia"/>
              <w:lang w:val="en-US" w:eastAsia="zh-CN"/>
            </w:rPr>
            <w:fldChar w:fldCharType="begin"/>
          </w:r>
          <w:r>
            <w:rPr>
              <w:rFonts w:hint="eastAsia"/>
              <w:lang w:val="en-US" w:eastAsia="zh-CN"/>
            </w:rPr>
            <w:instrText xml:space="preserve"> HYPERLINK \l _Toc2999 </w:instrText>
          </w:r>
          <w:r>
            <w:rPr>
              <w:rFonts w:hint="eastAsia"/>
              <w:lang w:val="en-US" w:eastAsia="zh-CN"/>
            </w:rPr>
            <w:fldChar w:fldCharType="separate"/>
          </w:r>
          <w:r>
            <w:rPr>
              <w:rFonts w:hint="default"/>
              <w:lang w:val="en-US" w:eastAsia="zh-CN"/>
            </w:rPr>
            <w:t>2. Connotation and Background of Earnings Management</w:t>
          </w:r>
          <w:r>
            <w:tab/>
          </w:r>
          <w:r>
            <w:fldChar w:fldCharType="begin"/>
          </w:r>
          <w:r>
            <w:instrText xml:space="preserve"> PAGEREF _Toc2999 \h </w:instrText>
          </w:r>
          <w:r>
            <w:fldChar w:fldCharType="separate"/>
          </w:r>
          <w:r>
            <w:t>1</w:t>
          </w:r>
          <w:r>
            <w:fldChar w:fldCharType="end"/>
          </w:r>
          <w:r>
            <w:rPr>
              <w:rFonts w:hint="eastAsia"/>
              <w:lang w:val="en-US" w:eastAsia="zh-CN"/>
            </w:rPr>
            <w:fldChar w:fldCharType="end"/>
          </w:r>
        </w:p>
        <w:p>
          <w:pPr>
            <w:pStyle w:val="11"/>
            <w:tabs>
              <w:tab w:val="right" w:leader="dot" w:pos="8306"/>
            </w:tabs>
          </w:pPr>
          <w:r>
            <w:rPr>
              <w:rFonts w:hint="eastAsia"/>
              <w:lang w:val="en-US" w:eastAsia="zh-CN"/>
            </w:rPr>
            <w:fldChar w:fldCharType="begin"/>
          </w:r>
          <w:r>
            <w:rPr>
              <w:rFonts w:hint="eastAsia"/>
              <w:lang w:val="en-US" w:eastAsia="zh-CN"/>
            </w:rPr>
            <w:instrText xml:space="preserve"> HYPERLINK \l _Toc12322 </w:instrText>
          </w:r>
          <w:r>
            <w:rPr>
              <w:rFonts w:hint="eastAsia"/>
              <w:lang w:val="en-US" w:eastAsia="zh-CN"/>
            </w:rPr>
            <w:fldChar w:fldCharType="separate"/>
          </w:r>
          <w:r>
            <w:rPr>
              <w:rFonts w:hint="default"/>
              <w:lang w:val="en-US" w:eastAsia="zh-CN"/>
            </w:rPr>
            <w:t>2.1 Asymmetry of accounting information</w:t>
          </w:r>
          <w:r>
            <w:tab/>
          </w:r>
          <w:r>
            <w:fldChar w:fldCharType="begin"/>
          </w:r>
          <w:r>
            <w:instrText xml:space="preserve"> PAGEREF _Toc12322 \h </w:instrText>
          </w:r>
          <w:r>
            <w:fldChar w:fldCharType="separate"/>
          </w:r>
          <w:r>
            <w:t>1</w:t>
          </w:r>
          <w:r>
            <w:fldChar w:fldCharType="end"/>
          </w:r>
          <w:r>
            <w:rPr>
              <w:rFonts w:hint="eastAsia"/>
              <w:lang w:val="en-US" w:eastAsia="zh-CN"/>
            </w:rPr>
            <w:fldChar w:fldCharType="end"/>
          </w:r>
        </w:p>
        <w:p>
          <w:pPr>
            <w:pStyle w:val="11"/>
            <w:tabs>
              <w:tab w:val="right" w:leader="dot" w:pos="8306"/>
            </w:tabs>
          </w:pPr>
          <w:r>
            <w:rPr>
              <w:rFonts w:hint="eastAsia"/>
              <w:lang w:val="en-US" w:eastAsia="zh-CN"/>
            </w:rPr>
            <w:fldChar w:fldCharType="begin"/>
          </w:r>
          <w:r>
            <w:rPr>
              <w:rFonts w:hint="eastAsia"/>
              <w:lang w:val="en-US" w:eastAsia="zh-CN"/>
            </w:rPr>
            <w:instrText xml:space="preserve"> HYPERLINK \l _Toc32126 </w:instrText>
          </w:r>
          <w:r>
            <w:rPr>
              <w:rFonts w:hint="eastAsia"/>
              <w:lang w:val="en-US" w:eastAsia="zh-CN"/>
            </w:rPr>
            <w:fldChar w:fldCharType="separate"/>
          </w:r>
          <w:r>
            <w:rPr>
              <w:rFonts w:hint="default"/>
              <w:lang w:val="en-US" w:eastAsia="zh-CN"/>
            </w:rPr>
            <w:t>2.2 The meaning of earnings management</w:t>
          </w:r>
          <w:r>
            <w:tab/>
          </w:r>
          <w:r>
            <w:fldChar w:fldCharType="begin"/>
          </w:r>
          <w:r>
            <w:instrText xml:space="preserve"> PAGEREF _Toc32126 \h </w:instrText>
          </w:r>
          <w:r>
            <w:fldChar w:fldCharType="separate"/>
          </w:r>
          <w:r>
            <w:t>2</w:t>
          </w:r>
          <w:r>
            <w:fldChar w:fldCharType="end"/>
          </w:r>
          <w:r>
            <w:rPr>
              <w:rFonts w:hint="eastAsia"/>
              <w:lang w:val="en-US" w:eastAsia="zh-CN"/>
            </w:rPr>
            <w:fldChar w:fldCharType="end"/>
          </w:r>
        </w:p>
        <w:p>
          <w:pPr>
            <w:pStyle w:val="10"/>
            <w:tabs>
              <w:tab w:val="right" w:leader="dot" w:pos="8306"/>
            </w:tabs>
          </w:pPr>
          <w:r>
            <w:rPr>
              <w:rFonts w:hint="eastAsia"/>
              <w:lang w:val="en-US" w:eastAsia="zh-CN"/>
            </w:rPr>
            <w:fldChar w:fldCharType="begin"/>
          </w:r>
          <w:r>
            <w:rPr>
              <w:rFonts w:hint="eastAsia"/>
              <w:lang w:val="en-US" w:eastAsia="zh-CN"/>
            </w:rPr>
            <w:instrText xml:space="preserve"> HYPERLINK \l _Toc27912 </w:instrText>
          </w:r>
          <w:r>
            <w:rPr>
              <w:rFonts w:hint="eastAsia"/>
              <w:lang w:val="en-US" w:eastAsia="zh-CN"/>
            </w:rPr>
            <w:fldChar w:fldCharType="separate"/>
          </w:r>
          <w:r>
            <w:rPr>
              <w:rFonts w:hint="eastAsia"/>
              <w:lang w:val="en-US" w:eastAsia="zh-CN"/>
            </w:rPr>
            <w:t>3.Earnings management analysis based on the Tianjin magnetic card case</w:t>
          </w:r>
          <w:r>
            <w:tab/>
          </w:r>
          <w:r>
            <w:fldChar w:fldCharType="begin"/>
          </w:r>
          <w:r>
            <w:instrText xml:space="preserve"> PAGEREF _Toc27912 \h </w:instrText>
          </w:r>
          <w:r>
            <w:fldChar w:fldCharType="separate"/>
          </w:r>
          <w:r>
            <w:t>3</w:t>
          </w:r>
          <w:r>
            <w:fldChar w:fldCharType="end"/>
          </w:r>
          <w:r>
            <w:rPr>
              <w:rFonts w:hint="eastAsia"/>
              <w:lang w:val="en-US" w:eastAsia="zh-CN"/>
            </w:rPr>
            <w:fldChar w:fldCharType="end"/>
          </w:r>
        </w:p>
        <w:p>
          <w:pPr>
            <w:pStyle w:val="10"/>
            <w:tabs>
              <w:tab w:val="right" w:leader="dot" w:pos="8306"/>
            </w:tabs>
          </w:pPr>
          <w:r>
            <w:rPr>
              <w:rFonts w:hint="eastAsia"/>
              <w:lang w:val="en-US" w:eastAsia="zh-CN"/>
            </w:rPr>
            <w:fldChar w:fldCharType="begin"/>
          </w:r>
          <w:r>
            <w:rPr>
              <w:rFonts w:hint="eastAsia"/>
              <w:lang w:val="en-US" w:eastAsia="zh-CN"/>
            </w:rPr>
            <w:instrText xml:space="preserve"> HYPERLINK \l _Toc16701 </w:instrText>
          </w:r>
          <w:r>
            <w:rPr>
              <w:rFonts w:hint="eastAsia"/>
              <w:lang w:val="en-US" w:eastAsia="zh-CN"/>
            </w:rPr>
            <w:fldChar w:fldCharType="separate"/>
          </w:r>
          <w:r>
            <w:rPr>
              <w:rFonts w:hint="eastAsia"/>
              <w:lang w:val="en-US" w:eastAsia="zh-CN"/>
            </w:rPr>
            <w:t>3.1 Case Background</w:t>
          </w:r>
          <w:r>
            <w:tab/>
          </w:r>
          <w:r>
            <w:fldChar w:fldCharType="begin"/>
          </w:r>
          <w:r>
            <w:instrText xml:space="preserve"> PAGEREF _Toc16701 \h </w:instrText>
          </w:r>
          <w:r>
            <w:fldChar w:fldCharType="separate"/>
          </w:r>
          <w:r>
            <w:t>3</w:t>
          </w:r>
          <w:r>
            <w:fldChar w:fldCharType="end"/>
          </w:r>
          <w:r>
            <w:rPr>
              <w:rFonts w:hint="eastAsia"/>
              <w:lang w:val="en-US" w:eastAsia="zh-CN"/>
            </w:rPr>
            <w:fldChar w:fldCharType="end"/>
          </w:r>
        </w:p>
        <w:p>
          <w:pPr>
            <w:pStyle w:val="10"/>
            <w:tabs>
              <w:tab w:val="right" w:leader="dot" w:pos="8306"/>
            </w:tabs>
          </w:pPr>
          <w:r>
            <w:rPr>
              <w:rFonts w:hint="eastAsia"/>
              <w:lang w:val="en-US" w:eastAsia="zh-CN"/>
            </w:rPr>
            <w:fldChar w:fldCharType="begin"/>
          </w:r>
          <w:r>
            <w:rPr>
              <w:rFonts w:hint="eastAsia"/>
              <w:lang w:val="en-US" w:eastAsia="zh-CN"/>
            </w:rPr>
            <w:instrText xml:space="preserve"> HYPERLINK \l _Toc7954 </w:instrText>
          </w:r>
          <w:r>
            <w:rPr>
              <w:rFonts w:hint="eastAsia"/>
              <w:lang w:val="en-US" w:eastAsia="zh-CN"/>
            </w:rPr>
            <w:fldChar w:fldCharType="separate"/>
          </w:r>
          <w:r>
            <w:rPr>
              <w:rFonts w:hint="eastAsia"/>
              <w:lang w:val="en-US" w:eastAsia="zh-CN"/>
            </w:rPr>
            <w:t>3.2 Analysis of Earnings Management Motivation</w:t>
          </w:r>
          <w:r>
            <w:tab/>
          </w:r>
          <w:r>
            <w:fldChar w:fldCharType="begin"/>
          </w:r>
          <w:r>
            <w:instrText xml:space="preserve"> PAGEREF _Toc7954 \h </w:instrText>
          </w:r>
          <w:r>
            <w:fldChar w:fldCharType="separate"/>
          </w:r>
          <w:r>
            <w:t>4</w:t>
          </w:r>
          <w:r>
            <w:fldChar w:fldCharType="end"/>
          </w:r>
          <w:r>
            <w:rPr>
              <w:rFonts w:hint="eastAsia"/>
              <w:lang w:val="en-US" w:eastAsia="zh-CN"/>
            </w:rPr>
            <w:fldChar w:fldCharType="end"/>
          </w:r>
        </w:p>
        <w:p>
          <w:pPr>
            <w:pStyle w:val="12"/>
            <w:tabs>
              <w:tab w:val="right" w:leader="dot" w:pos="8306"/>
            </w:tabs>
          </w:pPr>
          <w:r>
            <w:rPr>
              <w:rFonts w:hint="eastAsia"/>
              <w:lang w:val="en-US" w:eastAsia="zh-CN"/>
            </w:rPr>
            <w:fldChar w:fldCharType="begin"/>
          </w:r>
          <w:r>
            <w:rPr>
              <w:rFonts w:hint="eastAsia"/>
              <w:lang w:val="en-US" w:eastAsia="zh-CN"/>
            </w:rPr>
            <w:instrText xml:space="preserve"> HYPERLINK \l _Toc28007 </w:instrText>
          </w:r>
          <w:r>
            <w:rPr>
              <w:rFonts w:hint="eastAsia"/>
              <w:lang w:val="en-US" w:eastAsia="zh-CN"/>
            </w:rPr>
            <w:fldChar w:fldCharType="separate"/>
          </w:r>
          <w:r>
            <w:rPr>
              <w:rFonts w:hint="eastAsia"/>
              <w:lang w:val="en-US" w:eastAsia="zh-CN"/>
            </w:rPr>
            <w:t>3.2.1 Avoid special handling</w:t>
          </w:r>
          <w:r>
            <w:tab/>
          </w:r>
          <w:r>
            <w:fldChar w:fldCharType="begin"/>
          </w:r>
          <w:r>
            <w:instrText xml:space="preserve"> PAGEREF _Toc28007 \h </w:instrText>
          </w:r>
          <w:r>
            <w:fldChar w:fldCharType="separate"/>
          </w:r>
          <w:r>
            <w:t>4</w:t>
          </w:r>
          <w:r>
            <w:fldChar w:fldCharType="end"/>
          </w:r>
          <w:r>
            <w:rPr>
              <w:rFonts w:hint="eastAsia"/>
              <w:lang w:val="en-US" w:eastAsia="zh-CN"/>
            </w:rPr>
            <w:fldChar w:fldCharType="end"/>
          </w:r>
        </w:p>
        <w:p>
          <w:pPr>
            <w:pStyle w:val="12"/>
            <w:tabs>
              <w:tab w:val="right" w:leader="dot" w:pos="8306"/>
            </w:tabs>
          </w:pPr>
          <w:r>
            <w:rPr>
              <w:rFonts w:hint="eastAsia"/>
              <w:lang w:val="en-US" w:eastAsia="zh-CN"/>
            </w:rPr>
            <w:fldChar w:fldCharType="begin"/>
          </w:r>
          <w:r>
            <w:rPr>
              <w:rFonts w:hint="eastAsia"/>
              <w:lang w:val="en-US" w:eastAsia="zh-CN"/>
            </w:rPr>
            <w:instrText xml:space="preserve"> HYPERLINK \l _Toc9563 </w:instrText>
          </w:r>
          <w:r>
            <w:rPr>
              <w:rFonts w:hint="eastAsia"/>
              <w:lang w:val="en-US" w:eastAsia="zh-CN"/>
            </w:rPr>
            <w:fldChar w:fldCharType="separate"/>
          </w:r>
          <w:r>
            <w:rPr>
              <w:rFonts w:hint="eastAsia"/>
              <w:lang w:val="en-US" w:eastAsia="zh-CN"/>
            </w:rPr>
            <w:t>3.2.2 Access to financing opportunities</w:t>
          </w:r>
          <w:r>
            <w:tab/>
          </w:r>
          <w:r>
            <w:fldChar w:fldCharType="begin"/>
          </w:r>
          <w:r>
            <w:instrText xml:space="preserve"> PAGEREF _Toc9563 \h </w:instrText>
          </w:r>
          <w:r>
            <w:fldChar w:fldCharType="separate"/>
          </w:r>
          <w:r>
            <w:t>4</w:t>
          </w:r>
          <w:r>
            <w:fldChar w:fldCharType="end"/>
          </w:r>
          <w:r>
            <w:rPr>
              <w:rFonts w:hint="eastAsia"/>
              <w:lang w:val="en-US" w:eastAsia="zh-CN"/>
            </w:rPr>
            <w:fldChar w:fldCharType="end"/>
          </w:r>
        </w:p>
        <w:p>
          <w:pPr>
            <w:pStyle w:val="12"/>
            <w:tabs>
              <w:tab w:val="right" w:leader="dot" w:pos="8306"/>
            </w:tabs>
          </w:pPr>
          <w:r>
            <w:rPr>
              <w:rFonts w:hint="eastAsia"/>
              <w:lang w:val="en-US" w:eastAsia="zh-CN"/>
            </w:rPr>
            <w:fldChar w:fldCharType="begin"/>
          </w:r>
          <w:r>
            <w:rPr>
              <w:rFonts w:hint="eastAsia"/>
              <w:lang w:val="en-US" w:eastAsia="zh-CN"/>
            </w:rPr>
            <w:instrText xml:space="preserve"> HYPERLINK \l _Toc17746 </w:instrText>
          </w:r>
          <w:r>
            <w:rPr>
              <w:rFonts w:hint="eastAsia"/>
              <w:lang w:val="en-US" w:eastAsia="zh-CN"/>
            </w:rPr>
            <w:fldChar w:fldCharType="separate"/>
          </w:r>
          <w:r>
            <w:rPr>
              <w:rFonts w:hint="eastAsia"/>
              <w:lang w:val="en-US" w:eastAsia="zh-CN"/>
            </w:rPr>
            <w:t>3.2.3 Increase the remuneration of managers</w:t>
          </w:r>
          <w:r>
            <w:tab/>
          </w:r>
          <w:r>
            <w:fldChar w:fldCharType="begin"/>
          </w:r>
          <w:r>
            <w:instrText xml:space="preserve"> PAGEREF _Toc17746 \h </w:instrText>
          </w:r>
          <w:r>
            <w:fldChar w:fldCharType="separate"/>
          </w:r>
          <w:r>
            <w:t>5</w:t>
          </w:r>
          <w:r>
            <w:fldChar w:fldCharType="end"/>
          </w:r>
          <w:r>
            <w:rPr>
              <w:rFonts w:hint="eastAsia"/>
              <w:lang w:val="en-US" w:eastAsia="zh-CN"/>
            </w:rPr>
            <w:fldChar w:fldCharType="end"/>
          </w:r>
        </w:p>
        <w:p>
          <w:pPr>
            <w:pStyle w:val="10"/>
            <w:tabs>
              <w:tab w:val="right" w:leader="dot" w:pos="8306"/>
            </w:tabs>
          </w:pPr>
          <w:r>
            <w:rPr>
              <w:rFonts w:hint="eastAsia"/>
              <w:lang w:val="en-US" w:eastAsia="zh-CN"/>
            </w:rPr>
            <w:fldChar w:fldCharType="begin"/>
          </w:r>
          <w:r>
            <w:rPr>
              <w:rFonts w:hint="eastAsia"/>
              <w:lang w:val="en-US" w:eastAsia="zh-CN"/>
            </w:rPr>
            <w:instrText xml:space="preserve"> HYPERLINK \l _Toc15334 </w:instrText>
          </w:r>
          <w:r>
            <w:rPr>
              <w:rFonts w:hint="eastAsia"/>
              <w:lang w:val="en-US" w:eastAsia="zh-CN"/>
            </w:rPr>
            <w:fldChar w:fldCharType="separate"/>
          </w:r>
          <w:r>
            <w:rPr>
              <w:rFonts w:hint="default"/>
              <w:lang w:val="en-US" w:eastAsia="zh-CN"/>
            </w:rPr>
            <w:t>3.3 Moral and ethical analysis</w:t>
          </w:r>
          <w:r>
            <w:tab/>
          </w:r>
          <w:r>
            <w:fldChar w:fldCharType="begin"/>
          </w:r>
          <w:r>
            <w:instrText xml:space="preserve"> PAGEREF _Toc15334 \h </w:instrText>
          </w:r>
          <w:r>
            <w:fldChar w:fldCharType="separate"/>
          </w:r>
          <w:r>
            <w:t>6</w:t>
          </w:r>
          <w:r>
            <w:fldChar w:fldCharType="end"/>
          </w:r>
          <w:r>
            <w:rPr>
              <w:rFonts w:hint="eastAsia"/>
              <w:lang w:val="en-US" w:eastAsia="zh-CN"/>
            </w:rPr>
            <w:fldChar w:fldCharType="end"/>
          </w:r>
        </w:p>
        <w:p>
          <w:pPr>
            <w:pStyle w:val="10"/>
            <w:tabs>
              <w:tab w:val="right" w:leader="dot" w:pos="8306"/>
            </w:tabs>
          </w:pPr>
          <w:r>
            <w:rPr>
              <w:rFonts w:hint="eastAsia"/>
              <w:lang w:val="en-US" w:eastAsia="zh-CN"/>
            </w:rPr>
            <w:fldChar w:fldCharType="begin"/>
          </w:r>
          <w:r>
            <w:rPr>
              <w:rFonts w:hint="eastAsia"/>
              <w:lang w:val="en-US" w:eastAsia="zh-CN"/>
            </w:rPr>
            <w:instrText xml:space="preserve"> HYPERLINK \l _Toc2804 </w:instrText>
          </w:r>
          <w:r>
            <w:rPr>
              <w:rFonts w:hint="eastAsia"/>
              <w:lang w:val="en-US" w:eastAsia="zh-CN"/>
            </w:rPr>
            <w:fldChar w:fldCharType="separate"/>
          </w:r>
          <w:r>
            <w:rPr>
              <w:rFonts w:hint="eastAsia"/>
              <w:lang w:val="en-US" w:eastAsia="zh-CN"/>
            </w:rPr>
            <w:t>4.</w:t>
          </w:r>
          <w:r>
            <w:rPr>
              <w:rFonts w:hint="default"/>
              <w:lang w:val="en-US" w:eastAsia="zh-CN"/>
            </w:rPr>
            <w:t>Analysis of the constraints of UK corporate governance structure on earnings management</w:t>
          </w:r>
          <w:r>
            <w:tab/>
          </w:r>
          <w:r>
            <w:fldChar w:fldCharType="begin"/>
          </w:r>
          <w:r>
            <w:instrText xml:space="preserve"> PAGEREF _Toc2804 \h </w:instrText>
          </w:r>
          <w:r>
            <w:fldChar w:fldCharType="separate"/>
          </w:r>
          <w:r>
            <w:t>6</w:t>
          </w:r>
          <w:r>
            <w:fldChar w:fldCharType="end"/>
          </w:r>
          <w:r>
            <w:rPr>
              <w:rFonts w:hint="eastAsia"/>
              <w:lang w:val="en-US" w:eastAsia="zh-CN"/>
            </w:rPr>
            <w:fldChar w:fldCharType="end"/>
          </w:r>
        </w:p>
        <w:p>
          <w:pPr>
            <w:pStyle w:val="11"/>
            <w:tabs>
              <w:tab w:val="right" w:leader="dot" w:pos="8306"/>
            </w:tabs>
          </w:pPr>
          <w:r>
            <w:rPr>
              <w:rFonts w:hint="eastAsia"/>
              <w:lang w:val="en-US" w:eastAsia="zh-CN"/>
            </w:rPr>
            <w:fldChar w:fldCharType="begin"/>
          </w:r>
          <w:r>
            <w:rPr>
              <w:rFonts w:hint="eastAsia"/>
              <w:lang w:val="en-US" w:eastAsia="zh-CN"/>
            </w:rPr>
            <w:instrText xml:space="preserve"> HYPERLINK \l _Toc8928 </w:instrText>
          </w:r>
          <w:r>
            <w:rPr>
              <w:rFonts w:hint="eastAsia"/>
              <w:lang w:val="en-US" w:eastAsia="zh-CN"/>
            </w:rPr>
            <w:fldChar w:fldCharType="separate"/>
          </w:r>
          <w:r>
            <w:rPr>
              <w:rFonts w:hint="default"/>
              <w:lang w:val="en-US" w:eastAsia="zh-CN"/>
            </w:rPr>
            <w:t>4.1 Supervisory role of external directors</w:t>
          </w:r>
          <w:r>
            <w:tab/>
          </w:r>
          <w:r>
            <w:fldChar w:fldCharType="begin"/>
          </w:r>
          <w:r>
            <w:instrText xml:space="preserve"> PAGEREF _Toc8928 \h </w:instrText>
          </w:r>
          <w:r>
            <w:fldChar w:fldCharType="separate"/>
          </w:r>
          <w:r>
            <w:t>6</w:t>
          </w:r>
          <w:r>
            <w:fldChar w:fldCharType="end"/>
          </w:r>
          <w:r>
            <w:rPr>
              <w:rFonts w:hint="eastAsia"/>
              <w:lang w:val="en-US" w:eastAsia="zh-CN"/>
            </w:rPr>
            <w:fldChar w:fldCharType="end"/>
          </w:r>
        </w:p>
        <w:p>
          <w:pPr>
            <w:pStyle w:val="11"/>
            <w:tabs>
              <w:tab w:val="right" w:leader="dot" w:pos="8306"/>
            </w:tabs>
          </w:pPr>
          <w:r>
            <w:rPr>
              <w:rFonts w:hint="eastAsia"/>
              <w:lang w:val="en-US" w:eastAsia="zh-CN"/>
            </w:rPr>
            <w:fldChar w:fldCharType="begin"/>
          </w:r>
          <w:r>
            <w:rPr>
              <w:rFonts w:hint="eastAsia"/>
              <w:lang w:val="en-US" w:eastAsia="zh-CN"/>
            </w:rPr>
            <w:instrText xml:space="preserve"> HYPERLINK \l _Toc13193 </w:instrText>
          </w:r>
          <w:r>
            <w:rPr>
              <w:rFonts w:hint="eastAsia"/>
              <w:lang w:val="en-US" w:eastAsia="zh-CN"/>
            </w:rPr>
            <w:fldChar w:fldCharType="separate"/>
          </w:r>
          <w:r>
            <w:rPr>
              <w:rFonts w:hint="default"/>
              <w:lang w:val="en-US" w:eastAsia="zh-CN"/>
            </w:rPr>
            <w:t>4.2 Perfect internal power balance mechanism</w:t>
          </w:r>
          <w:r>
            <w:tab/>
          </w:r>
          <w:r>
            <w:fldChar w:fldCharType="begin"/>
          </w:r>
          <w:r>
            <w:instrText xml:space="preserve"> PAGEREF _Toc13193 \h </w:instrText>
          </w:r>
          <w:r>
            <w:fldChar w:fldCharType="separate"/>
          </w:r>
          <w:r>
            <w:t>7</w:t>
          </w:r>
          <w:r>
            <w:fldChar w:fldCharType="end"/>
          </w:r>
          <w:r>
            <w:rPr>
              <w:rFonts w:hint="eastAsia"/>
              <w:lang w:val="en-US" w:eastAsia="zh-CN"/>
            </w:rPr>
            <w:fldChar w:fldCharType="end"/>
          </w:r>
        </w:p>
        <w:p>
          <w:pPr>
            <w:pStyle w:val="11"/>
            <w:tabs>
              <w:tab w:val="right" w:leader="dot" w:pos="8306"/>
            </w:tabs>
          </w:pPr>
          <w:r>
            <w:rPr>
              <w:rFonts w:hint="eastAsia"/>
              <w:lang w:val="en-US" w:eastAsia="zh-CN"/>
            </w:rPr>
            <w:fldChar w:fldCharType="begin"/>
          </w:r>
          <w:r>
            <w:rPr>
              <w:rFonts w:hint="eastAsia"/>
              <w:lang w:val="en-US" w:eastAsia="zh-CN"/>
            </w:rPr>
            <w:instrText xml:space="preserve"> HYPERLINK \l _Toc307 </w:instrText>
          </w:r>
          <w:r>
            <w:rPr>
              <w:rFonts w:hint="eastAsia"/>
              <w:lang w:val="en-US" w:eastAsia="zh-CN"/>
            </w:rPr>
            <w:fldChar w:fldCharType="separate"/>
          </w:r>
          <w:r>
            <w:rPr>
              <w:rFonts w:hint="default"/>
              <w:lang w:val="en-US" w:eastAsia="zh-CN"/>
            </w:rPr>
            <w:t>4.3 Management Compensation Intervention</w:t>
          </w:r>
          <w:r>
            <w:tab/>
          </w:r>
          <w:r>
            <w:fldChar w:fldCharType="begin"/>
          </w:r>
          <w:r>
            <w:instrText xml:space="preserve"> PAGEREF _Toc307 \h </w:instrText>
          </w:r>
          <w:r>
            <w:fldChar w:fldCharType="separate"/>
          </w:r>
          <w:r>
            <w:t>8</w:t>
          </w:r>
          <w:r>
            <w:fldChar w:fldCharType="end"/>
          </w:r>
          <w:r>
            <w:rPr>
              <w:rFonts w:hint="eastAsia"/>
              <w:lang w:val="en-US" w:eastAsia="zh-CN"/>
            </w:rPr>
            <w:fldChar w:fldCharType="end"/>
          </w:r>
        </w:p>
        <w:p>
          <w:pPr>
            <w:pStyle w:val="10"/>
            <w:tabs>
              <w:tab w:val="right" w:leader="dot" w:pos="8306"/>
            </w:tabs>
          </w:pPr>
          <w:r>
            <w:rPr>
              <w:rFonts w:hint="eastAsia"/>
              <w:lang w:val="en-US" w:eastAsia="zh-CN"/>
            </w:rPr>
            <w:fldChar w:fldCharType="begin"/>
          </w:r>
          <w:r>
            <w:rPr>
              <w:rFonts w:hint="eastAsia"/>
              <w:lang w:val="en-US" w:eastAsia="zh-CN"/>
            </w:rPr>
            <w:instrText xml:space="preserve"> HYPERLINK \l _Toc15982 </w:instrText>
          </w:r>
          <w:r>
            <w:rPr>
              <w:rFonts w:hint="eastAsia"/>
              <w:lang w:val="en-US" w:eastAsia="zh-CN"/>
            </w:rPr>
            <w:fldChar w:fldCharType="separate"/>
          </w:r>
          <w:r>
            <w:rPr>
              <w:rFonts w:hint="eastAsia"/>
            </w:rPr>
            <w:t>5. Conclusions</w:t>
          </w:r>
          <w:r>
            <w:tab/>
          </w:r>
          <w:r>
            <w:fldChar w:fldCharType="begin"/>
          </w:r>
          <w:r>
            <w:instrText xml:space="preserve"> PAGEREF _Toc15982 \h </w:instrText>
          </w:r>
          <w:r>
            <w:fldChar w:fldCharType="separate"/>
          </w:r>
          <w:r>
            <w:t>8</w:t>
          </w:r>
          <w:r>
            <w:fldChar w:fldCharType="end"/>
          </w:r>
          <w:r>
            <w:rPr>
              <w:rFonts w:hint="eastAsia"/>
              <w:lang w:val="en-US" w:eastAsia="zh-CN"/>
            </w:rPr>
            <w:fldChar w:fldCharType="end"/>
          </w:r>
        </w:p>
        <w:p>
          <w:pPr>
            <w:pStyle w:val="10"/>
            <w:tabs>
              <w:tab w:val="right" w:leader="dot" w:pos="8306"/>
            </w:tabs>
          </w:pPr>
          <w:r>
            <w:rPr>
              <w:rFonts w:hint="eastAsia"/>
              <w:lang w:val="en-US" w:eastAsia="zh-CN"/>
            </w:rPr>
            <w:fldChar w:fldCharType="begin"/>
          </w:r>
          <w:r>
            <w:rPr>
              <w:rFonts w:hint="eastAsia"/>
              <w:lang w:val="en-US" w:eastAsia="zh-CN"/>
            </w:rPr>
            <w:instrText xml:space="preserve"> HYPERLINK \l _Toc25730 </w:instrText>
          </w:r>
          <w:r>
            <w:rPr>
              <w:rFonts w:hint="eastAsia"/>
              <w:lang w:val="en-US" w:eastAsia="zh-CN"/>
            </w:rPr>
            <w:fldChar w:fldCharType="separate"/>
          </w:r>
          <w:r>
            <w:rPr>
              <w:rFonts w:hint="eastAsia"/>
              <w:lang w:val="en-US" w:eastAsia="zh-CN"/>
            </w:rPr>
            <w:t>6.</w:t>
          </w:r>
          <w:r>
            <w:rPr>
              <w:rFonts w:hint="eastAsia"/>
            </w:rPr>
            <w:t xml:space="preserve"> Recommendations</w:t>
          </w:r>
          <w:r>
            <w:tab/>
          </w:r>
          <w:r>
            <w:fldChar w:fldCharType="begin"/>
          </w:r>
          <w:r>
            <w:instrText xml:space="preserve"> PAGEREF _Toc25730 \h </w:instrText>
          </w:r>
          <w:r>
            <w:fldChar w:fldCharType="separate"/>
          </w:r>
          <w:r>
            <w:t>9</w:t>
          </w:r>
          <w:r>
            <w:fldChar w:fldCharType="end"/>
          </w:r>
          <w:r>
            <w:rPr>
              <w:rFonts w:hint="eastAsia"/>
              <w:lang w:val="en-US" w:eastAsia="zh-CN"/>
            </w:rPr>
            <w:fldChar w:fldCharType="end"/>
          </w:r>
        </w:p>
        <w:p>
          <w:pPr>
            <w:pStyle w:val="11"/>
            <w:tabs>
              <w:tab w:val="right" w:leader="dot" w:pos="8306"/>
            </w:tabs>
          </w:pPr>
          <w:r>
            <w:rPr>
              <w:rFonts w:hint="eastAsia"/>
              <w:lang w:val="en-US" w:eastAsia="zh-CN"/>
            </w:rPr>
            <w:fldChar w:fldCharType="begin"/>
          </w:r>
          <w:r>
            <w:rPr>
              <w:rFonts w:hint="eastAsia"/>
              <w:lang w:val="en-US" w:eastAsia="zh-CN"/>
            </w:rPr>
            <w:instrText xml:space="preserve"> HYPERLINK \l _Toc10156 </w:instrText>
          </w:r>
          <w:r>
            <w:rPr>
              <w:rFonts w:hint="eastAsia"/>
              <w:lang w:val="en-US" w:eastAsia="zh-CN"/>
            </w:rPr>
            <w:fldChar w:fldCharType="separate"/>
          </w:r>
          <w:r>
            <w:rPr>
              <w:rFonts w:hint="eastAsia"/>
            </w:rPr>
            <w:t>6.1 Strengthen the management of information disclosure of listed companies</w:t>
          </w:r>
          <w:r>
            <w:tab/>
          </w:r>
          <w:r>
            <w:fldChar w:fldCharType="begin"/>
          </w:r>
          <w:r>
            <w:instrText xml:space="preserve"> PAGEREF _Toc10156 \h </w:instrText>
          </w:r>
          <w:r>
            <w:fldChar w:fldCharType="separate"/>
          </w:r>
          <w:r>
            <w:t>9</w:t>
          </w:r>
          <w:r>
            <w:fldChar w:fldCharType="end"/>
          </w:r>
          <w:r>
            <w:rPr>
              <w:rFonts w:hint="eastAsia"/>
              <w:lang w:val="en-US" w:eastAsia="zh-CN"/>
            </w:rPr>
            <w:fldChar w:fldCharType="end"/>
          </w:r>
        </w:p>
        <w:p>
          <w:pPr>
            <w:pStyle w:val="11"/>
            <w:tabs>
              <w:tab w:val="right" w:leader="dot" w:pos="8306"/>
            </w:tabs>
          </w:pPr>
          <w:r>
            <w:rPr>
              <w:rFonts w:hint="eastAsia"/>
              <w:lang w:val="en-US" w:eastAsia="zh-CN"/>
            </w:rPr>
            <w:fldChar w:fldCharType="begin"/>
          </w:r>
          <w:r>
            <w:rPr>
              <w:rFonts w:hint="eastAsia"/>
              <w:lang w:val="en-US" w:eastAsia="zh-CN"/>
            </w:rPr>
            <w:instrText xml:space="preserve"> HYPERLINK \l _Toc4592 </w:instrText>
          </w:r>
          <w:r>
            <w:rPr>
              <w:rFonts w:hint="eastAsia"/>
              <w:lang w:val="en-US" w:eastAsia="zh-CN"/>
            </w:rPr>
            <w:fldChar w:fldCharType="separate"/>
          </w:r>
          <w:r>
            <w:rPr>
              <w:rFonts w:hint="eastAsia"/>
            </w:rPr>
            <w:t>6.2 Strengthen punishment for excessive earnings management behavior</w:t>
          </w:r>
          <w:r>
            <w:tab/>
          </w:r>
          <w:r>
            <w:fldChar w:fldCharType="begin"/>
          </w:r>
          <w:r>
            <w:instrText xml:space="preserve"> PAGEREF _Toc4592 \h </w:instrText>
          </w:r>
          <w:r>
            <w:fldChar w:fldCharType="separate"/>
          </w:r>
          <w:r>
            <w:t>9</w:t>
          </w:r>
          <w:r>
            <w:fldChar w:fldCharType="end"/>
          </w:r>
          <w:r>
            <w:rPr>
              <w:rFonts w:hint="eastAsia"/>
              <w:lang w:val="en-US" w:eastAsia="zh-CN"/>
            </w:rPr>
            <w:fldChar w:fldCharType="end"/>
          </w:r>
        </w:p>
        <w:p>
          <w:pPr>
            <w:pStyle w:val="11"/>
            <w:tabs>
              <w:tab w:val="right" w:leader="dot" w:pos="8306"/>
            </w:tabs>
          </w:pPr>
          <w:r>
            <w:rPr>
              <w:rFonts w:hint="eastAsia"/>
              <w:lang w:val="en-US" w:eastAsia="zh-CN"/>
            </w:rPr>
            <w:fldChar w:fldCharType="begin"/>
          </w:r>
          <w:r>
            <w:rPr>
              <w:rFonts w:hint="eastAsia"/>
              <w:lang w:val="en-US" w:eastAsia="zh-CN"/>
            </w:rPr>
            <w:instrText xml:space="preserve"> HYPERLINK \l _Toc31755 </w:instrText>
          </w:r>
          <w:r>
            <w:rPr>
              <w:rFonts w:hint="eastAsia"/>
              <w:lang w:val="en-US" w:eastAsia="zh-CN"/>
            </w:rPr>
            <w:fldChar w:fldCharType="separate"/>
          </w:r>
          <w:r>
            <w:rPr>
              <w:rFonts w:hint="eastAsia"/>
            </w:rPr>
            <w:t>6.3 Improving internal control of enterprises</w:t>
          </w:r>
          <w:r>
            <w:tab/>
          </w:r>
          <w:r>
            <w:fldChar w:fldCharType="begin"/>
          </w:r>
          <w:r>
            <w:instrText xml:space="preserve"> PAGEREF _Toc31755 \h </w:instrText>
          </w:r>
          <w:r>
            <w:fldChar w:fldCharType="separate"/>
          </w:r>
          <w:r>
            <w:t>9</w:t>
          </w:r>
          <w:r>
            <w:fldChar w:fldCharType="end"/>
          </w:r>
          <w:r>
            <w:rPr>
              <w:rFonts w:hint="eastAsia"/>
              <w:lang w:val="en-US" w:eastAsia="zh-CN"/>
            </w:rPr>
            <w:fldChar w:fldCharType="end"/>
          </w:r>
        </w:p>
        <w:p>
          <w:pPr>
            <w:pStyle w:val="10"/>
            <w:tabs>
              <w:tab w:val="right" w:leader="dot" w:pos="8306"/>
            </w:tabs>
          </w:pPr>
          <w:r>
            <w:rPr>
              <w:rFonts w:hint="eastAsia"/>
              <w:lang w:val="en-US" w:eastAsia="zh-CN"/>
            </w:rPr>
            <w:fldChar w:fldCharType="begin"/>
          </w:r>
          <w:r>
            <w:rPr>
              <w:rFonts w:hint="eastAsia"/>
              <w:lang w:val="en-US" w:eastAsia="zh-CN"/>
            </w:rPr>
            <w:instrText xml:space="preserve"> HYPERLINK \l _Toc13942 </w:instrText>
          </w:r>
          <w:r>
            <w:rPr>
              <w:rFonts w:hint="eastAsia"/>
              <w:lang w:val="en-US" w:eastAsia="zh-CN"/>
            </w:rPr>
            <w:fldChar w:fldCharType="separate"/>
          </w:r>
          <w:r>
            <w:rPr>
              <w:rFonts w:hint="eastAsia"/>
            </w:rPr>
            <w:t>References</w:t>
          </w:r>
          <w:r>
            <w:tab/>
          </w:r>
          <w:r>
            <w:fldChar w:fldCharType="begin"/>
          </w:r>
          <w:r>
            <w:instrText xml:space="preserve"> PAGEREF _Toc13942 \h </w:instrText>
          </w:r>
          <w:r>
            <w:fldChar w:fldCharType="separate"/>
          </w:r>
          <w:r>
            <w:t>11</w:t>
          </w:r>
          <w:r>
            <w:fldChar w:fldCharType="end"/>
          </w:r>
          <w:r>
            <w:rPr>
              <w:rFonts w:hint="eastAsia"/>
              <w:lang w:val="en-US" w:eastAsia="zh-CN"/>
            </w:rPr>
            <w:fldChar w:fldCharType="end"/>
          </w:r>
        </w:p>
        <w:p>
          <w:pPr>
            <w:pStyle w:val="2"/>
            <w:bidi w:val="0"/>
            <w:outlineLvl w:val="9"/>
            <w:rPr>
              <w:rFonts w:hint="eastAsia"/>
              <w:lang w:val="en-US" w:eastAsia="zh-CN"/>
            </w:rPr>
            <w:sectPr>
              <w:pgSz w:w="11906" w:h="16838"/>
              <w:pgMar w:top="1440" w:right="1800" w:bottom="1440" w:left="1800" w:header="851" w:footer="992" w:gutter="0"/>
              <w:cols w:space="425" w:num="1"/>
              <w:docGrid w:type="lines" w:linePitch="312" w:charSpace="0"/>
            </w:sectPr>
          </w:pPr>
          <w:r>
            <w:rPr>
              <w:rFonts w:hint="eastAsia"/>
              <w:lang w:val="en-US" w:eastAsia="zh-CN"/>
            </w:rPr>
            <w:fldChar w:fldCharType="end"/>
          </w:r>
        </w:p>
      </w:sdtContent>
    </w:sdt>
    <w:p>
      <w:pPr>
        <w:pStyle w:val="2"/>
        <w:bidi w:val="0"/>
        <w:rPr>
          <w:rFonts w:hint="eastAsia"/>
        </w:rPr>
      </w:pPr>
      <w:bookmarkStart w:id="1" w:name="_Toc12092"/>
      <w:r>
        <w:rPr>
          <w:rFonts w:hint="eastAsia"/>
          <w:lang w:val="en-US" w:eastAsia="zh-CN"/>
        </w:rPr>
        <w:t>1.</w:t>
      </w:r>
      <w:r>
        <w:rPr>
          <w:rFonts w:hint="eastAsia"/>
        </w:rPr>
        <w:t>Introduction</w:t>
      </w:r>
      <w:bookmarkEnd w:id="1"/>
    </w:p>
    <w:p>
      <w:pPr>
        <w:numPr>
          <w:ilvl w:val="0"/>
          <w:numId w:val="0"/>
        </w:numPr>
        <w:ind w:firstLine="480" w:firstLineChars="200"/>
        <w:rPr>
          <w:rFonts w:hint="eastAsia"/>
        </w:rPr>
      </w:pPr>
      <w:r>
        <w:rPr>
          <w:rFonts w:hint="eastAsia"/>
        </w:rPr>
        <w:t>In enterprise competition, emphasizing ethics is an inevitable requirement of the market economy. Moral constraints help maintain orderly enterprise competition, and are the fundamental requirements for enterprises to pursue long-term development. However, with the rapid development of the capital market, many standards have not kept up with the development speed of the capital market, leading to many listed companies using this loophole to carry out earnings management and achieve profitability. These enterprises focus on short-term earnings, without considering the interests of most investors, nor the long-term development of the enterprise. They deceive investors through improper means such as falsifying accounts and fabricating enterprise statement information. These improper behaviors not only harm the rights and interests of shareholders and investors of companies, but also have a negative impact on the healthy development of the market economy. Therefore, conducting research on enterprises with excessive earnings management and analyzing their motivations for earnings management can help maintain market fairness and protect the rights and interests of stakeholders.</w:t>
      </w:r>
    </w:p>
    <w:p>
      <w:pPr>
        <w:numPr>
          <w:ilvl w:val="0"/>
          <w:numId w:val="0"/>
        </w:numPr>
        <w:ind w:firstLine="480" w:firstLineChars="200"/>
        <w:rPr>
          <w:rFonts w:hint="eastAsia"/>
        </w:rPr>
      </w:pPr>
      <w:r>
        <w:rPr>
          <w:rFonts w:hint="eastAsia"/>
        </w:rPr>
        <w:t>For the above research background, this article takes Tianjin Magnetic Card Company as an example, based on issues in the field of accounting ethics, conducts a case study of the company from aspects such as earnings management motivation and ethical standards, and explores the restrictive effect of corporate governance structure on earnings management in the United Kingdom. Finally, it proposes relevant suggestions to avoid the occurrence of earnings management phenomena.</w:t>
      </w:r>
    </w:p>
    <w:p>
      <w:pPr>
        <w:numPr>
          <w:ilvl w:val="0"/>
          <w:numId w:val="0"/>
        </w:numPr>
        <w:ind w:firstLine="480" w:firstLineChars="200"/>
        <w:rPr>
          <w:rFonts w:hint="default"/>
          <w:lang w:val="en-US" w:eastAsia="zh-CN"/>
        </w:rPr>
      </w:pPr>
    </w:p>
    <w:p>
      <w:pPr>
        <w:pStyle w:val="2"/>
        <w:bidi w:val="0"/>
        <w:rPr>
          <w:rFonts w:hint="default"/>
          <w:lang w:val="en-US" w:eastAsia="zh-CN"/>
        </w:rPr>
      </w:pPr>
      <w:bookmarkStart w:id="2" w:name="_Toc2999"/>
      <w:r>
        <w:rPr>
          <w:rFonts w:hint="default"/>
          <w:lang w:val="en-US" w:eastAsia="zh-CN"/>
        </w:rPr>
        <w:t>2. Connotation and Background of Earnings Management</w:t>
      </w:r>
      <w:bookmarkEnd w:id="2"/>
    </w:p>
    <w:p>
      <w:pPr>
        <w:pStyle w:val="3"/>
        <w:bidi w:val="0"/>
        <w:rPr>
          <w:rFonts w:hint="default"/>
          <w:lang w:val="en-US" w:eastAsia="zh-CN"/>
        </w:rPr>
      </w:pPr>
      <w:bookmarkStart w:id="3" w:name="_Toc12322"/>
      <w:r>
        <w:rPr>
          <w:rFonts w:hint="default"/>
          <w:lang w:val="en-US" w:eastAsia="zh-CN"/>
        </w:rPr>
        <w:t>2.1 Asymmetry of accounting information</w:t>
      </w:r>
      <w:bookmarkEnd w:id="3"/>
    </w:p>
    <w:p>
      <w:pPr>
        <w:numPr>
          <w:ilvl w:val="0"/>
          <w:numId w:val="0"/>
        </w:numPr>
        <w:ind w:firstLine="480" w:firstLineChars="200"/>
        <w:rPr>
          <w:rFonts w:hint="default"/>
          <w:lang w:val="en-US" w:eastAsia="zh-CN"/>
        </w:rPr>
      </w:pPr>
      <w:r>
        <w:rPr>
          <w:rFonts w:hint="default"/>
          <w:lang w:val="en-US" w:eastAsia="zh-CN"/>
        </w:rPr>
        <w:t>In a relatively unsound capital market, there is always a huge information asymmetry between major shareholders and their senior managers and external stakeholders. Senior managers and major shareholders understand the actual operation of the enterprise under management, while external stakeholders only use financial statements to grasp the operation and profitability of the enterprise, and use analysis to judge the investment value of the enterprise. In this process, some senior managers and major shareholders of enterprises will conduct earnings management in order to safeguard their own interests, so that the main stakeholders of the enterprise believe that the operation of the enterprise is in good condition, and adopt accounting information processing methods that are more advantageous to them in a relatively difficult to discover accounting information space. Generally, major shareholders generally own a large amount of equity in a company, and the stock price of the company is affected by its financial statement information. In order to maintain the stock price, some major shareholders will collaborate with enterprise management personnel to fabricate financial statement information, resulting in a significant difference between the true financial situation and the information on the financial statements, which has triggered ethical and moral issues in earnings management in some enterprises, which has seriously damaged the rights and interests of investors.</w:t>
      </w:r>
    </w:p>
    <w:p>
      <w:pPr>
        <w:pStyle w:val="3"/>
        <w:bidi w:val="0"/>
        <w:rPr>
          <w:rFonts w:hint="default"/>
          <w:lang w:val="en-US" w:eastAsia="zh-CN"/>
        </w:rPr>
      </w:pPr>
      <w:bookmarkStart w:id="4" w:name="_Toc32126"/>
      <w:r>
        <w:rPr>
          <w:rFonts w:hint="default"/>
          <w:lang w:val="en-US" w:eastAsia="zh-CN"/>
        </w:rPr>
        <w:t>2.2 The meaning of earnings management</w:t>
      </w:r>
      <w:bookmarkEnd w:id="4"/>
    </w:p>
    <w:p>
      <w:pPr>
        <w:numPr>
          <w:ilvl w:val="0"/>
          <w:numId w:val="0"/>
        </w:numPr>
        <w:ind w:firstLine="480" w:firstLineChars="200"/>
        <w:rPr>
          <w:rFonts w:hint="default"/>
          <w:lang w:val="en-US" w:eastAsia="zh-CN"/>
        </w:rPr>
      </w:pPr>
      <w:r>
        <w:rPr>
          <w:rFonts w:hint="default"/>
          <w:lang w:val="en-US" w:eastAsia="zh-CN"/>
        </w:rPr>
        <w:t>The term "earnings management" was first proposed by American accounting researcher Schipper, who believed that earnings management is a process in which the management of a company manipulates financial information in external disclosure documents to ensure the maximization of its own interests (Schipper, 1989). Healy and Wahlen believe that earnings management is a whitewashing behavior conducted by companies through numerical modifications during the preparation of financial reports, thereby misleading investor decisions (Healy and Wahlen, 1999). Yao Jianchun regards earnings management as a formal tool and a transition of internal accounting information, which cannot help companies deal with practical issues. He believes that earnings management always follows accounting standards. Although it can adjust the earnings of a company, in essence, it only changes the distribution period of accounting earnings, without changing the actual earnings of the company (Yao Jianchun, 2016).</w:t>
      </w:r>
    </w:p>
    <w:p>
      <w:pPr>
        <w:numPr>
          <w:ilvl w:val="0"/>
          <w:numId w:val="0"/>
        </w:numPr>
        <w:ind w:firstLine="480" w:firstLineChars="200"/>
        <w:rPr>
          <w:rFonts w:hint="default"/>
          <w:lang w:val="en-US" w:eastAsia="zh-CN"/>
        </w:rPr>
      </w:pPr>
      <w:r>
        <w:rPr>
          <w:rFonts w:hint="default"/>
          <w:lang w:val="en-US" w:eastAsia="zh-CN"/>
        </w:rPr>
        <w:t>Although scholars have different views on the concept of earnings management, through summary, it is concluded that earnings management is a management activity within the scope of accounting standards. Enterprises regulate their financial information through the use of accounting policies and accounting estimation methods, in order to achieve maximum corporate profits. Earnings management is generally led by the company's management, and its purpose is to adjust the company's financial statements and improve indicators such as net profit through earnings management, in order to convey the company's excellent information to market investors. In addition, the methods of earnings management are not single. When selecting earnings management, the management will choose to use multiple means to achieve its objectives, such as changing the depreciation accrual method during a certain period, delaying or recognizing revenue from significant transactions in advance, or planning other real transaction activities.</w:t>
      </w:r>
    </w:p>
    <w:p>
      <w:pPr>
        <w:numPr>
          <w:ilvl w:val="0"/>
          <w:numId w:val="0"/>
        </w:numPr>
        <w:ind w:firstLine="480" w:firstLineChars="200"/>
        <w:rPr>
          <w:rFonts w:hint="default"/>
          <w:lang w:val="en-US" w:eastAsia="zh-CN"/>
        </w:rPr>
      </w:pPr>
      <w:r>
        <w:rPr>
          <w:rFonts w:hint="default"/>
          <w:lang w:val="en-US" w:eastAsia="zh-CN"/>
        </w:rPr>
        <w:t>Different scholars also have different views on the evaluation of earnings management. In terms of positive impact, some scholars believe that earnings management methods can indeed help companies reverse profits during periods of continuous losses, prevent companies from experiencing delisting crises (Zhao Chunjiao, 2011), and effectively save tax expenses and control contract costs through appropriate earnings management (Yan Ming, 2017). Regarding the negative impact of earnings management, some scholars believe that companies that have sustained losses for a long time can use earnings management methods to beautify their financial statements to prevent delisting, but in the future, they will have a significant negative impact on the daily operations and asset structure of the company, and also bring financial losses to investors (Zhao Shuo and Zhao Yang, 2023). At the same time, when a company goes public for financing, although earnings management can quickly obtain a large amount of funds for future business activities, the distortion of financial statements caused by earnings management can reduce the credibility of the company's accounting information, and investors' evaluation of the company's value will also be reduced. Therefore, when a company wants to refinance in the future, it needs to pay higher costs than before (Li Yongmei and Bai Xiaojuan, 2020).</w:t>
      </w:r>
    </w:p>
    <w:p>
      <w:pPr>
        <w:numPr>
          <w:ilvl w:val="0"/>
          <w:numId w:val="0"/>
        </w:numPr>
        <w:ind w:firstLine="480" w:firstLineChars="200"/>
        <w:rPr>
          <w:rFonts w:hint="default"/>
          <w:lang w:val="en-US" w:eastAsia="zh-CN"/>
        </w:rPr>
      </w:pPr>
    </w:p>
    <w:p>
      <w:pPr>
        <w:pStyle w:val="2"/>
        <w:bidi w:val="0"/>
        <w:rPr>
          <w:rFonts w:hint="eastAsia"/>
          <w:lang w:val="en-US" w:eastAsia="zh-CN"/>
        </w:rPr>
      </w:pPr>
      <w:bookmarkStart w:id="5" w:name="_Toc27912"/>
      <w:r>
        <w:rPr>
          <w:rFonts w:hint="eastAsia"/>
          <w:lang w:val="en-US" w:eastAsia="zh-CN"/>
        </w:rPr>
        <w:t>3.Earnings management analysis based on the Tianjin magnetic card case</w:t>
      </w:r>
      <w:bookmarkEnd w:id="5"/>
    </w:p>
    <w:p>
      <w:pPr>
        <w:pStyle w:val="2"/>
        <w:bidi w:val="0"/>
        <w:outlineLvl w:val="1"/>
        <w:rPr>
          <w:rFonts w:hint="eastAsia"/>
          <w:lang w:val="en-US" w:eastAsia="zh-CN"/>
        </w:rPr>
      </w:pPr>
      <w:bookmarkStart w:id="6" w:name="_Toc16701"/>
      <w:r>
        <w:rPr>
          <w:rFonts w:hint="eastAsia"/>
          <w:lang w:val="en-US" w:eastAsia="zh-CN"/>
        </w:rPr>
        <w:t>3.1 Case Background</w:t>
      </w:r>
      <w:bookmarkEnd w:id="6"/>
    </w:p>
    <w:p>
      <w:pPr>
        <w:numPr>
          <w:ilvl w:val="0"/>
          <w:numId w:val="0"/>
        </w:numPr>
        <w:ind w:firstLine="480" w:firstLineChars="200"/>
        <w:rPr>
          <w:rFonts w:hint="eastAsia"/>
          <w:lang w:val="en-US" w:eastAsia="zh-CN"/>
        </w:rPr>
      </w:pPr>
      <w:r>
        <w:rPr>
          <w:rFonts w:hint="eastAsia"/>
          <w:lang w:val="en-US" w:eastAsia="zh-CN"/>
        </w:rPr>
        <w:t>Tianjin Magnetic Card Company was listed on the Shanghai Stock Exchange on December 6, 1993 under the stock code SH600800. It is the first listed company in Tianjin. Tianjin Magnetic Card Company belongs to the industry of computer, communication, and other electronic equipment manufacturing. Its business scope is card products, supporting machines, and application systems. The company is a designated manufacturer of financial products such as UnionPay cards and civil aviation transportation vouchers, and is also one of the designated manufacturers of the second generation ID card and tax control machine products of the Ministry of Public Security. In the field of card printing, Tianjin Magnetic Card Company successfully developed the "Shenzhou First Card" in 1989, creating a precedent in China's credit card manufacturing industry. The company's card products have now developed into a development model that integrates network development, system integration, machine support, and card printing and sales, and are widely used in various fields such as finance, insurance, transportation, medical care, and communications.</w:t>
      </w:r>
    </w:p>
    <w:p>
      <w:pPr>
        <w:numPr>
          <w:ilvl w:val="0"/>
          <w:numId w:val="0"/>
        </w:numPr>
        <w:ind w:firstLine="480" w:firstLineChars="200"/>
        <w:rPr>
          <w:rFonts w:hint="eastAsia"/>
          <w:lang w:val="en-US" w:eastAsia="zh-CN"/>
        </w:rPr>
      </w:pPr>
      <w:r>
        <w:rPr>
          <w:rFonts w:hint="eastAsia"/>
          <w:lang w:val="en-US" w:eastAsia="zh-CN"/>
        </w:rPr>
        <w:t>In October 2017, Tianjin Magnetic Card Company was exposed as a scandal of concealing subsidiaries and falsely calculating operating profits for seven years (2009-2015). After investigating Tianjin Magnetic Card Company, the Tianjin Securities Regulatory Bureau decided to give it a warning and impose a maximum fine of 600000 yuan. According to a reporter from "Investment Express", this is not the first time that Tianjin Magnetic Card Company has been fined. As early as 2014, Tianjin Magnetic Card Company was fined by Tianjin Securities Regulatory Bureau for false information disclosure. In 2016, Tianjin Magnetic Card Company was ordered to rectify due to internal control issues. These internal control issues include: First, Tianjin Magnetic Card Company had internal and external accounts, and the company did not set up specialized institutions and personnel to verify financial information. Secondly, the monthly reconciliation system established by Tianjin Magnetic Card Company is virtually non-existent, and the accounting personnel have not strictly and effectively implemented the system, even unable to detect frequent differences and long-term errors in current accounts. Third, Tianjin Magnetic Card Company did not timely recognize long-term equity investments, did not accurately recognize investment income, and made unreasonable provision for asset impairment. Fourth, Tianjin Magnetic Card Co., Ltd. lacks effective accounting management of sales business. Sales revenue and cost are recognized in advance without delivery. Fifth, Tianjin Magnetic Card Company did not have personnel to review the input, accounting, and processing of various financial data, and did not promptly conduct accounting processing for the audited adjustments of its holding subsidiary. The company's management personnel did not participate in the process of monitoring the final financial report, making it difficult to ensure the authenticity of the information in the financial report. These internal control issues are all due to Tianjin Magnetic Card Company's excessive earnings management in order to make the financial statement information more attractive, making the information in the financial report unable to truly reflect the company's financial situation.</w:t>
      </w:r>
    </w:p>
    <w:p>
      <w:pPr>
        <w:pStyle w:val="2"/>
        <w:bidi w:val="0"/>
        <w:rPr>
          <w:rFonts w:hint="eastAsia"/>
          <w:lang w:val="en-US" w:eastAsia="zh-CN"/>
        </w:rPr>
      </w:pPr>
      <w:bookmarkStart w:id="7" w:name="_Toc7954"/>
      <w:r>
        <w:rPr>
          <w:rFonts w:hint="eastAsia"/>
          <w:lang w:val="en-US" w:eastAsia="zh-CN"/>
        </w:rPr>
        <w:t>3.2 Analysis of Earnings Management Motivation</w:t>
      </w:r>
      <w:bookmarkEnd w:id="7"/>
    </w:p>
    <w:p>
      <w:pPr>
        <w:pStyle w:val="4"/>
        <w:bidi w:val="0"/>
        <w:rPr>
          <w:rFonts w:hint="eastAsia"/>
          <w:lang w:val="en-US" w:eastAsia="zh-CN"/>
        </w:rPr>
      </w:pPr>
      <w:bookmarkStart w:id="8" w:name="_Toc28007"/>
      <w:r>
        <w:rPr>
          <w:rFonts w:hint="eastAsia"/>
          <w:lang w:val="en-US" w:eastAsia="zh-CN"/>
        </w:rPr>
        <w:t>3.2.1 Avoid special handling</w:t>
      </w:r>
      <w:bookmarkEnd w:id="8"/>
    </w:p>
    <w:p>
      <w:pPr>
        <w:numPr>
          <w:ilvl w:val="0"/>
          <w:numId w:val="0"/>
        </w:numPr>
        <w:ind w:firstLine="480" w:firstLineChars="200"/>
        <w:rPr>
          <w:rFonts w:hint="eastAsia"/>
          <w:lang w:val="en-US" w:eastAsia="zh-CN"/>
        </w:rPr>
      </w:pPr>
      <w:r>
        <w:rPr>
          <w:rFonts w:hint="eastAsia"/>
          <w:lang w:val="en-US" w:eastAsia="zh-CN"/>
        </w:rPr>
        <w:t>Asymmetric information between enterprises and investors may harm the rights and interests of investors. If a company has significant bad news, the bad news may have a significant impact on the company's subsequent performance development, especially in violation of the listing rules of the exchange, such as the illegal occupation of a large amount of funds by controlling shareholders and related parties, as well as some illegal guarantees, but investors may not be aware of this information, Once these news are exposed, investors will face serious losses. In order to avoid these situations and protect the rights and interests of investors, China's capital market has developed a "special treatment" that effectively complements the delisting system. Enterprises with the "ST" label indicate that they are in a delisting buffer period, giving investors a clear risk warning. In addition to significant bad news, when a company loses money or is involved in financial fraud for more than two consecutive years, the company will also be "ST" (Ning Xiangdong and Zhang Haiwen, 2001).</w:t>
      </w:r>
    </w:p>
    <w:p>
      <w:pPr>
        <w:numPr>
          <w:ilvl w:val="0"/>
          <w:numId w:val="0"/>
        </w:numPr>
        <w:ind w:firstLine="480" w:firstLineChars="200"/>
        <w:rPr>
          <w:rFonts w:hint="eastAsia"/>
          <w:lang w:val="en-US" w:eastAsia="zh-CN"/>
        </w:rPr>
      </w:pPr>
      <w:r>
        <w:rPr>
          <w:rFonts w:hint="eastAsia"/>
          <w:lang w:val="en-US" w:eastAsia="zh-CN"/>
        </w:rPr>
        <w:t>In the context of China's special "ST" system, we found that Tianjin Magnetic Card Company lost nearly 200 million yuan in 2015, which means that if the company cannot achieve profitability in 2016, it will be labeled as "ST" and face the risk of delisting. Therefore, the company manipulates the profits in the financial statements through earnings management methods such as early recognition of revenue, unrecognized product costs, and reversal of bad debt reserves, achieving a turnaround in 2016 and avoiding special treatment.</w:t>
      </w:r>
    </w:p>
    <w:p>
      <w:pPr>
        <w:pStyle w:val="4"/>
        <w:bidi w:val="0"/>
        <w:rPr>
          <w:rFonts w:hint="eastAsia"/>
          <w:lang w:val="en-US" w:eastAsia="zh-CN"/>
        </w:rPr>
      </w:pPr>
      <w:bookmarkStart w:id="9" w:name="_Toc9563"/>
      <w:r>
        <w:rPr>
          <w:rFonts w:hint="eastAsia"/>
          <w:lang w:val="en-US" w:eastAsia="zh-CN"/>
        </w:rPr>
        <w:t>3.2.2 Access to financing opportunities</w:t>
      </w:r>
      <w:bookmarkEnd w:id="9"/>
    </w:p>
    <w:p>
      <w:pPr>
        <w:numPr>
          <w:ilvl w:val="0"/>
          <w:numId w:val="0"/>
        </w:numPr>
        <w:ind w:firstLine="480" w:firstLineChars="200"/>
        <w:rPr>
          <w:rFonts w:hint="eastAsia"/>
          <w:lang w:val="en-US" w:eastAsia="zh-CN"/>
        </w:rPr>
      </w:pPr>
      <w:r>
        <w:rPr>
          <w:rFonts w:hint="eastAsia"/>
          <w:lang w:val="en-US" w:eastAsia="zh-CN"/>
        </w:rPr>
        <w:t>The funds of enterprises generally come from debt financing and equity financing, among which the main source of debt financing is banks, while the main source of equity financing is investors. The funds obtained through financing meet the needs of daily operations and investment of enterprises, or maintain a certain amount of reserve funds (Yisheng He and Na Li, 2022). Banks lend funds to enterprises to obtain interest returns, while investors invest funds in enterprises to obtain dividends and earnings from changes in stock prices. The current economic environment in China is not optimistic, and the financial market is also gradually advancing reform. Many enterprises have suffered serious losses, and the rate of non performing loans in the market is also increasing. In this economic environment, both banks and investors have strengthened their awareness of risk control when providing funds to enterprises. When deciding whether to provide funds to a company, banks and investors should carefully evaluate the company's operating performance and financial condition, and understand the financial information of the company through its financial statements (Neil Lee, Hiba Sameen and Marc Cowling, 2015). Banks need to pay attention to the solvency and asset liquidity of enterprises, understand their asset liability ratio, current ratio, quick ratio, interest coverage ratio, and other indicator data, and then evaluate whether the enterprise is able to repay loans and interests in the future. Investors also pay attention to the profitability and growth ability of enterprises, and understand the indicators such as the return on assets, net return, profit growth rate, and asset growth rate of enterprises. These indicators can help investors evaluate whether the stock value of enterprises can grow in the future (Chi Xianliang, 2007). In the context of chaotic internal control, Tianjin Magnetic Card Company needs more funds to maintain its daily operating activities. Otherwise, the company's operating activities will be difficult to sustain, and it will face continuous losses and eventual delisting. In order to convince banks that it is capable of repaying debts and interests, and to convince investors that it has the ability to sustain development, Tianjin Magnetic Card Company has chosen to whitewash its financial statements through a series of earnings management measures. After Tianjin Magnetic Card Company adopted the means of earnings management, its true operating and financial situation was hidden, and Tianjin Magnetic Card Company will obtain financing opportunities to change the plight of the enterprise.</w:t>
      </w:r>
    </w:p>
    <w:p>
      <w:pPr>
        <w:pStyle w:val="4"/>
        <w:bidi w:val="0"/>
        <w:rPr>
          <w:rFonts w:hint="eastAsia"/>
          <w:lang w:val="en-US" w:eastAsia="zh-CN"/>
        </w:rPr>
      </w:pPr>
      <w:bookmarkStart w:id="10" w:name="_Toc17746"/>
      <w:r>
        <w:rPr>
          <w:rFonts w:hint="eastAsia"/>
          <w:lang w:val="en-US" w:eastAsia="zh-CN"/>
        </w:rPr>
        <w:t>3.2.3 Increase the remuneration of managers</w:t>
      </w:r>
      <w:bookmarkEnd w:id="10"/>
    </w:p>
    <w:p>
      <w:pPr>
        <w:numPr>
          <w:ilvl w:val="0"/>
          <w:numId w:val="0"/>
        </w:numPr>
        <w:ind w:firstLine="480" w:firstLineChars="200"/>
        <w:rPr>
          <w:rFonts w:hint="eastAsia"/>
          <w:lang w:val="en-US" w:eastAsia="zh-CN"/>
        </w:rPr>
      </w:pPr>
      <w:r>
        <w:rPr>
          <w:rFonts w:hint="eastAsia"/>
          <w:lang w:val="en-US" w:eastAsia="zh-CN"/>
        </w:rPr>
        <w:t>In recent years, with the continuous improvement of modern corporate governance mechanisms, more and more enterprises have formulated more complete wage and remuneration systems. In addition to a fixed basic salary, managers' compensation also includes employee benefits such as bonuses, allowances, and subsidies, as well as other non monetary forms of benefits, such as stock options (Xie Deren, Cui Chenyu, and Tang Xiaoyan, 2018). These employee benefits and equity are often linked to the benefits of the enterprise. When the enterprise obtains more profits, the salary and remuneration of managers also increase. In addition to salary compensation, the benefits of a company also affect the management ability of managers. If the company loses money year after year, the ability of managers will also be questioned by others (Raymond Leung, 2016). Therefore, in order to maximize their ability to prove their management capabilities and maintain their social reputation, managers will use earnings management to whitewash financial statements and improve the operating efficiency of enterprises. After a loss of 2 billion yuan in 2015, Tianjin Magnetic Card Company fell into trouble in its production and operation activities. Many cooperative enterprises chose not to cooperate anymore, and the salary and social reputation of the management were also greatly affected. In this case, the management of Tianjin Magnetic Card Company chose the decision of earnings management based on the motivation of increasing their own remuneration.</w:t>
      </w:r>
    </w:p>
    <w:p>
      <w:pPr>
        <w:pStyle w:val="2"/>
        <w:bidi w:val="0"/>
        <w:outlineLvl w:val="1"/>
        <w:rPr>
          <w:rFonts w:hint="default"/>
          <w:lang w:val="en-US" w:eastAsia="zh-CN"/>
        </w:rPr>
      </w:pPr>
      <w:bookmarkStart w:id="11" w:name="_Toc15334"/>
      <w:r>
        <w:rPr>
          <w:rFonts w:hint="default"/>
          <w:lang w:val="en-US" w:eastAsia="zh-CN"/>
        </w:rPr>
        <w:t>3.3 Moral and ethical analysis</w:t>
      </w:r>
      <w:bookmarkEnd w:id="11"/>
    </w:p>
    <w:p>
      <w:pPr>
        <w:numPr>
          <w:ilvl w:val="0"/>
          <w:numId w:val="0"/>
        </w:numPr>
        <w:ind w:firstLine="480" w:firstLineChars="200"/>
        <w:rPr>
          <w:rFonts w:hint="default"/>
          <w:lang w:val="en-US" w:eastAsia="zh-CN"/>
        </w:rPr>
      </w:pPr>
      <w:r>
        <w:rPr>
          <w:rFonts w:hint="default"/>
          <w:lang w:val="en-US" w:eastAsia="zh-CN"/>
        </w:rPr>
        <w:t>When making decisions, the management of a company pays more attention to the interests of the company and itself, while ignoring ethics, thereby harming the rights and interests of other stakeholders. The management of Tianjin Magnetic Card Company has disclosed the financial statement information adjusted through excessive earnings management to external investors, creditors, and other stakeholders, without disclosing the true financial information of the enterprise to the outside world. The operating results reflected in the financial statements of Tianjin Magnetic Card Company do not match the actual operating results. These accounting information fabricated through earnings management can affect the judgment of information users, mislead their decision-making, cause decision-makers to engage in inappropriate behavior, harm the interests of investors and creditors, hinder the effectiveness of social resource allocation, hinder the healthy and orderly development of the capital market, and also have a negative impact on national taxation, Damage to national interests (Zhou Yong, 2003). Unlike legal norms, ethical norms of enterprises are not mandatory or binding, but have a positive exemplary effect and strong appeal. When recognized and accepted by people, they have the power of self-discipline, making them an important means of constraining the management of enterprises (Cheng Yueming, 2012). The excessive earnings management behavior of Tianjin Magnetic Card Company in this case clearly violates the authenticity requirements of moral ethics and seriously harms the interests of society. Therefore, in the process of corporate governance, the ethical standards of enterprises have certain practicality, which can reduce the occurrence of excessive earnings management behavior of enterprises.</w:t>
      </w:r>
    </w:p>
    <w:p>
      <w:pPr>
        <w:numPr>
          <w:ilvl w:val="0"/>
          <w:numId w:val="0"/>
        </w:numPr>
        <w:ind w:firstLine="480" w:firstLineChars="200"/>
        <w:rPr>
          <w:rFonts w:hint="default"/>
          <w:lang w:val="en-US" w:eastAsia="zh-CN"/>
        </w:rPr>
      </w:pPr>
    </w:p>
    <w:p>
      <w:pPr>
        <w:pStyle w:val="2"/>
        <w:bidi w:val="0"/>
        <w:rPr>
          <w:rFonts w:hint="default"/>
          <w:lang w:val="en-US" w:eastAsia="zh-CN"/>
        </w:rPr>
      </w:pPr>
      <w:bookmarkStart w:id="12" w:name="_Toc2804"/>
      <w:r>
        <w:rPr>
          <w:rFonts w:hint="eastAsia"/>
          <w:lang w:val="en-US" w:eastAsia="zh-CN"/>
        </w:rPr>
        <w:t>4.</w:t>
      </w:r>
      <w:r>
        <w:rPr>
          <w:rFonts w:hint="default"/>
          <w:lang w:val="en-US" w:eastAsia="zh-CN"/>
        </w:rPr>
        <w:t>Analysis of the constraints of UK corporate governance structure on earnings management</w:t>
      </w:r>
      <w:bookmarkEnd w:id="12"/>
    </w:p>
    <w:p>
      <w:pPr>
        <w:pStyle w:val="3"/>
        <w:bidi w:val="0"/>
        <w:rPr>
          <w:rFonts w:hint="default"/>
          <w:lang w:val="en-US" w:eastAsia="zh-CN"/>
        </w:rPr>
      </w:pPr>
      <w:bookmarkStart w:id="13" w:name="_Toc8928"/>
      <w:r>
        <w:rPr>
          <w:rFonts w:hint="default"/>
          <w:lang w:val="en-US" w:eastAsia="zh-CN"/>
        </w:rPr>
        <w:t>4.1 Supervisory role of external directors</w:t>
      </w:r>
      <w:bookmarkEnd w:id="13"/>
    </w:p>
    <w:p>
      <w:pPr>
        <w:numPr>
          <w:ilvl w:val="0"/>
          <w:numId w:val="0"/>
        </w:numPr>
        <w:ind w:firstLine="480" w:firstLineChars="200"/>
        <w:rPr>
          <w:rFonts w:hint="default"/>
          <w:lang w:val="en-US" w:eastAsia="zh-CN"/>
        </w:rPr>
      </w:pPr>
      <w:r>
        <w:rPr>
          <w:rFonts w:hint="default"/>
          <w:lang w:val="en-US" w:eastAsia="zh-CN"/>
        </w:rPr>
        <w:t>The UK has a relatively mature corporate governance structure system. According to its company law, only the shareholders' meeting and the board of directors are set up in the company's structure. The shareholders' meeting is the company's authority, which determines the company's business policies and investment plans, and is responsible for electing and supervising the board of directors. The board of directors is the central and permanent organ of the company, responsible for the daily operation, execution, and supervision of the company. The characteristic of such a corporate governance structure model is that there are fewer upper levels of organizational structure, so the decision-making efficiency of the company is higher. In smaller hierarchical organizational structures, there may be situations where an organization monopolizes power. To avoid this situation, the appointment of directors in the UK's corporate governance structure is divided into internal directors and external directors (Michael Yipake Banseh and Ehsan Khansalar, 2016). Internal directors are regular employees of the company, generally the top managers and senior managers of the company or its subsidiaries and affiliated companies. The operating efficiency of the company is directly linked to its personal interests, while external directors are not employees of the company. In addition to assisting the board of directors in making decisions, they also have the responsibility of supervising the performance of management to ensure shareholder rights and interests, and have no connection with the interests of the company. The separation of external directors from the interests of the enterprise represents their independence, which makes them have no incentive to implement earnings management to optimize the financial statements of the enterprise, and can also monitor whether the management has any non-compliance behavior, which has a binding effect on the earnings management of the enterprise.</w:t>
      </w:r>
    </w:p>
    <w:p>
      <w:pPr>
        <w:pStyle w:val="3"/>
        <w:bidi w:val="0"/>
        <w:rPr>
          <w:rFonts w:hint="default"/>
          <w:lang w:val="en-US" w:eastAsia="zh-CN"/>
        </w:rPr>
      </w:pPr>
      <w:bookmarkStart w:id="14" w:name="_Toc13193"/>
      <w:r>
        <w:rPr>
          <w:rFonts w:hint="default"/>
          <w:lang w:val="en-US" w:eastAsia="zh-CN"/>
        </w:rPr>
        <w:t>4.2 Perfect internal power balance mechanism</w:t>
      </w:r>
      <w:bookmarkEnd w:id="14"/>
    </w:p>
    <w:p>
      <w:pPr>
        <w:numPr>
          <w:ilvl w:val="0"/>
          <w:numId w:val="0"/>
        </w:numPr>
        <w:ind w:firstLine="480" w:firstLineChars="200"/>
        <w:rPr>
          <w:rFonts w:hint="default"/>
          <w:lang w:val="en-US" w:eastAsia="zh-CN"/>
        </w:rPr>
      </w:pPr>
      <w:r>
        <w:rPr>
          <w:rFonts w:hint="default"/>
          <w:lang w:val="en-US" w:eastAsia="zh-CN"/>
        </w:rPr>
        <w:t>The board of directors, the board of supervisors, the CEO, and the shareholders' meeting are the basic elements of modern corporate governance structures, and among them, the chairman and CEO, as key leaders of enterprises, are the focus of widespread research. The chairman of some companies can also serve as the CEO. The chairman is responsible for both operational decision-making and organization, implementation, and daily management. The power is relatively centralized, facilitating the chairman to fully understand the company's operational management status and more directly understand market changes, thereby making company decisions more timely and accurate. However, such a corporate governance structure can make companies more likely to engage in earnings management behavior. The concurrent system of chairman and CEO makes the company's power excessively centralized, which can easily lead to personal arbitrariness. When the chairman of a company wishes to whitewash financial statements through earnings management, no other management personnel will stand up to it (Sun Hanyu, 2013). On the contrary, the corporate governance structure in the UK requires that the chairman of a company cannot concurrently serve as the chief executive officer, preventing individuals from having excessive internal power and lacking supervision and checks and balances. In such a governance structure, an effective power restriction relationship and power balance mechanism have emerged within the company, which is conducive to the long-term strategic planning and implementation of the company. The motivation of one party to conduct earnings management may be opposed by the other party, effectively constraining the excessive earnings management of the company.</w:t>
      </w:r>
    </w:p>
    <w:p>
      <w:pPr>
        <w:pStyle w:val="3"/>
        <w:bidi w:val="0"/>
        <w:rPr>
          <w:rFonts w:hint="default"/>
          <w:lang w:val="en-US" w:eastAsia="zh-CN"/>
        </w:rPr>
      </w:pPr>
      <w:bookmarkStart w:id="15" w:name="_Toc307"/>
      <w:r>
        <w:rPr>
          <w:rFonts w:hint="default"/>
          <w:lang w:val="en-US" w:eastAsia="zh-CN"/>
        </w:rPr>
        <w:t>4.3 Management Compensation Intervention</w:t>
      </w:r>
      <w:bookmarkEnd w:id="15"/>
    </w:p>
    <w:p>
      <w:pPr>
        <w:numPr>
          <w:ilvl w:val="0"/>
          <w:numId w:val="0"/>
        </w:numPr>
        <w:ind w:firstLine="480" w:firstLineChars="200"/>
        <w:rPr>
          <w:rFonts w:hint="default"/>
          <w:lang w:val="en-US" w:eastAsia="zh-CN"/>
        </w:rPr>
      </w:pPr>
      <w:r>
        <w:rPr>
          <w:rFonts w:hint="default"/>
          <w:lang w:val="en-US" w:eastAsia="zh-CN"/>
        </w:rPr>
        <w:t>With the development of the economy, the compensation of the management of listed companies continues to increase, with the growth rate and scope far exceeding the average level of ordinary employees. Moreover, the compensation of the management of most companies is related to the benefits of the enterprise. The higher the benefits of the enterprise, the higher the compensation the management receives. Therefore, management may conduct earnings management to improve the company's performance for the motivation of obtaining higher remuneration. In order to weaken the motivation of the company's management, the UK's corporate governance structure has intervened in the compensation of the management, stipulating that before a company introduces a plan for senior executives to acquire newly issued shares or stock options, the compensation of senior executives must be approved by the company's shareholders through a resolution of the shareholders' meeting. At the same time, the compensation structure, service contracts, and resignation compensation of senior executives also need to be resolved by the shareholders' meeting, In addition, the compensation system of senior executives should be fully transparent and disclosed in the annual statements (Yang Yiru, 2013). Under such compensation intervention, the compensation of management not only needs to be determined by shareholders, but also needs to be disclosed to investors. Therefore, the compensation of management is no longer simply related to the performance of the enterprise, weakening the motivation of management to conduct earnings management in order to improve compensation.</w:t>
      </w:r>
    </w:p>
    <w:p>
      <w:pPr>
        <w:numPr>
          <w:ilvl w:val="0"/>
          <w:numId w:val="0"/>
        </w:numPr>
        <w:ind w:firstLine="480" w:firstLineChars="200"/>
        <w:rPr>
          <w:rFonts w:hint="default"/>
          <w:lang w:val="en-US" w:eastAsia="zh-CN"/>
        </w:rPr>
      </w:pPr>
    </w:p>
    <w:p>
      <w:pPr>
        <w:pStyle w:val="2"/>
        <w:numPr>
          <w:ilvl w:val="0"/>
          <w:numId w:val="1"/>
        </w:numPr>
        <w:bidi w:val="0"/>
        <w:rPr>
          <w:rFonts w:hint="eastAsia"/>
        </w:rPr>
      </w:pPr>
      <w:bookmarkStart w:id="16" w:name="_Toc15982"/>
      <w:r>
        <w:rPr>
          <w:rFonts w:hint="eastAsia"/>
        </w:rPr>
        <w:t>Conclusions</w:t>
      </w:r>
      <w:bookmarkEnd w:id="16"/>
      <w:r>
        <w:rPr>
          <w:rFonts w:hint="eastAsia"/>
        </w:rPr>
        <w:tab/>
      </w:r>
    </w:p>
    <w:p>
      <w:pPr>
        <w:numPr>
          <w:numId w:val="0"/>
        </w:numPr>
        <w:ind w:firstLine="480" w:firstLineChars="200"/>
        <w:rPr>
          <w:rFonts w:hint="eastAsia"/>
        </w:rPr>
      </w:pPr>
      <w:r>
        <w:rPr>
          <w:rFonts w:hint="eastAsia"/>
        </w:rPr>
        <w:t>This article believes that earnings management is a series of actions taken by the management of a company to whitewash the information in financial statements under the condition of asymmetric market information. Taking Tianjin Magnetic Card Company as a case study, the motivation for earnings management is to avoid special treatment, obtain financing opportunities, and increase management compensation. Its excessive earnings management behavior harms the rights and interests of stakeholders. Finally, this paper analyzes the advantages of British corporate governance structure in constraining earnings management behavior. Research shows that external director supervision, internal power balance mechanism, and management compensation intervention can effectively restrain excessive earnings management behavior of enterprises.</w:t>
      </w:r>
    </w:p>
    <w:p>
      <w:pPr>
        <w:numPr>
          <w:numId w:val="0"/>
        </w:numPr>
        <w:ind w:leftChars="0"/>
        <w:rPr>
          <w:rFonts w:hint="eastAsia"/>
        </w:rPr>
      </w:pPr>
    </w:p>
    <w:p>
      <w:pPr>
        <w:pStyle w:val="2"/>
        <w:bidi w:val="0"/>
        <w:rPr>
          <w:rFonts w:hint="eastAsia"/>
        </w:rPr>
      </w:pPr>
      <w:bookmarkStart w:id="17" w:name="_Toc25730"/>
      <w:r>
        <w:rPr>
          <w:rFonts w:hint="eastAsia"/>
          <w:lang w:val="en-US" w:eastAsia="zh-CN"/>
        </w:rPr>
        <w:t>6.</w:t>
      </w:r>
      <w:r>
        <w:rPr>
          <w:rFonts w:hint="eastAsia"/>
        </w:rPr>
        <w:t xml:space="preserve"> Recommendations</w:t>
      </w:r>
      <w:bookmarkEnd w:id="17"/>
      <w:r>
        <w:rPr>
          <w:rFonts w:hint="eastAsia"/>
        </w:rPr>
        <w:tab/>
      </w:r>
    </w:p>
    <w:p>
      <w:pPr>
        <w:pStyle w:val="3"/>
        <w:bidi w:val="0"/>
        <w:rPr>
          <w:rFonts w:hint="eastAsia"/>
        </w:rPr>
      </w:pPr>
      <w:bookmarkStart w:id="18" w:name="_Toc10156"/>
      <w:r>
        <w:rPr>
          <w:rFonts w:hint="eastAsia"/>
        </w:rPr>
        <w:t>6.1 Strengthen the management of information disclosure of listed companies</w:t>
      </w:r>
      <w:bookmarkEnd w:id="18"/>
    </w:p>
    <w:p>
      <w:pPr>
        <w:numPr>
          <w:ilvl w:val="0"/>
          <w:numId w:val="0"/>
        </w:numPr>
        <w:ind w:firstLine="480" w:firstLineChars="200"/>
        <w:rPr>
          <w:rFonts w:hint="eastAsia"/>
        </w:rPr>
      </w:pPr>
      <w:r>
        <w:rPr>
          <w:rFonts w:hint="eastAsia"/>
        </w:rPr>
        <w:t>A securities market that has an obligation to disclose information to listed companies and their shareholders can ensure the orderly operation of the capital market and protect the rights and interests of stakeholders. Because the current management of information disclosure in listed companies is not yet perfect, some management levels of listed companies can use professional judgment to disclose information to the minimum extent, while some information disclosure is not clear or even not disclosed (Xu Xiaoyun, 2021). This can undermine the quality of accounting information and promote excessive earnings management behavior. Based on this current situation, the government should further strengthen the management of information disclosure of listed companies, reduce the ambiguous content expressed by enterprises in accounting statement information, and require enterprises to disclose some content that can better reflect the authenticity of accounting information, such as the transaction amount of related parties of enterprises (Tang Yang, Liu Meiling and Wang Yun, 2022). Increasing the disclosure requirements for listed companies in these areas can increase the difficulty of earnings management operations for listed companies, and to a certain extent, inhibit the behavior of company profit operations.</w:t>
      </w:r>
    </w:p>
    <w:p>
      <w:pPr>
        <w:pStyle w:val="3"/>
        <w:bidi w:val="0"/>
        <w:rPr>
          <w:rFonts w:hint="eastAsia"/>
        </w:rPr>
      </w:pPr>
      <w:bookmarkStart w:id="19" w:name="_Toc4592"/>
      <w:r>
        <w:rPr>
          <w:rFonts w:hint="eastAsia"/>
        </w:rPr>
        <w:t>6.2 Strengthen punishment for excessive earnings management behavior</w:t>
      </w:r>
      <w:bookmarkEnd w:id="19"/>
    </w:p>
    <w:p>
      <w:pPr>
        <w:numPr>
          <w:ilvl w:val="0"/>
          <w:numId w:val="0"/>
        </w:numPr>
        <w:ind w:firstLine="480" w:firstLineChars="200"/>
        <w:rPr>
          <w:rFonts w:hint="eastAsia"/>
        </w:rPr>
      </w:pPr>
      <w:r>
        <w:rPr>
          <w:rFonts w:hint="eastAsia"/>
        </w:rPr>
        <w:t>Increasing the penalties for excessive earnings management and profit manipulation by listed companies can make the management of enterprises afraid of being punished and reduce earnings management behaviors (Gao Lifang, Sheng Mingquan, 2012). For example, increasing a large number of fines and imposing severe penalties on decision-makers who engage in earnings management activities, such as prohibiting them from engaging in relevant industries, can further sanction enterprises that issue false financial reports, which can increase the cost of earnings management for enterprises and thereby curb excessive earnings operations. "The losses caused by excessive earnings management in enterprises should not be largely borne by stakeholders such as creditors and investors, but should be severely punished by decision makers who make excessive earnings management.". At the same time, the government should introduce relevant policies to encourage investors to discover any misstatement or omission in the disclosed financial reports, and can promptly apply to the regulatory authorities for a project investigation, requiring listed companies to provide proof and explanation, in order to strengthen supervision and reduce the occurrence of excessive earnings management.</w:t>
      </w:r>
    </w:p>
    <w:p>
      <w:pPr>
        <w:pStyle w:val="3"/>
        <w:bidi w:val="0"/>
        <w:rPr>
          <w:rFonts w:hint="eastAsia"/>
        </w:rPr>
      </w:pPr>
      <w:bookmarkStart w:id="20" w:name="_Toc31755"/>
      <w:r>
        <w:rPr>
          <w:rFonts w:hint="eastAsia"/>
        </w:rPr>
        <w:t>6.3 Improving internal control of enterprises</w:t>
      </w:r>
      <w:bookmarkEnd w:id="20"/>
    </w:p>
    <w:p>
      <w:pPr>
        <w:numPr>
          <w:ilvl w:val="0"/>
          <w:numId w:val="0"/>
        </w:numPr>
        <w:ind w:firstLine="480" w:firstLineChars="200"/>
        <w:rPr>
          <w:rFonts w:hint="eastAsia"/>
        </w:rPr>
      </w:pPr>
      <w:r>
        <w:rPr>
          <w:rFonts w:hint="eastAsia"/>
        </w:rPr>
        <w:t>In order to improve risk prevention capabilities, listed companies should also improve their internal control, regularly inspect and evaluate whether the internal control system is reasonable, effective, and complete, thereby further strengthening internal management. At the same time, external audits are also required to test the company's in</w:t>
      </w:r>
      <w:bookmarkStart w:id="22" w:name="_GoBack"/>
      <w:bookmarkEnd w:id="22"/>
      <w:r>
        <w:rPr>
          <w:rFonts w:hint="eastAsia"/>
        </w:rPr>
        <w:t>ternal control system. Regarding the chaotic internal control of Tianjin Magnetic Card Company, enterprises can consider building a sound internal control system from the following aspects: First, establish specialized agencies or personnel to track and manage investment projects. Secondly, strictly implement the monthly reconciliation system and establish an internal audit institution to review the accounts (Najah, Omar, 2021). Third, establish an effective accounting control system for sales operations to eliminate the occurrence of revenue recognition in advance and lower operating costs.</w:t>
      </w: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pStyle w:val="2"/>
        <w:bidi w:val="0"/>
        <w:rPr>
          <w:rFonts w:hint="eastAsia"/>
        </w:rPr>
      </w:pPr>
      <w:bookmarkStart w:id="21" w:name="_Toc13942"/>
      <w:r>
        <w:rPr>
          <w:rFonts w:hint="eastAsia"/>
        </w:rPr>
        <w:t>References</w:t>
      </w:r>
      <w:bookmarkEnd w:id="21"/>
    </w:p>
    <w:p>
      <w:pPr>
        <w:numPr>
          <w:ilvl w:val="0"/>
          <w:numId w:val="0"/>
        </w:numPr>
        <w:rPr>
          <w:rFonts w:hint="eastAsia"/>
        </w:rPr>
      </w:pPr>
      <w:r>
        <w:rPr>
          <w:rFonts w:hint="eastAsia"/>
        </w:rPr>
        <w:t>Bo Xianhui, Wu Liansheng. (2011). Earnings Management, Information Risk, and Audit Opinions. Audit Research, (01): 90-97</w:t>
      </w:r>
    </w:p>
    <w:p>
      <w:pPr>
        <w:numPr>
          <w:ilvl w:val="0"/>
          <w:numId w:val="0"/>
        </w:numPr>
        <w:rPr>
          <w:rFonts w:hint="eastAsia"/>
        </w:rPr>
      </w:pPr>
    </w:p>
    <w:p>
      <w:pPr>
        <w:numPr>
          <w:ilvl w:val="0"/>
          <w:numId w:val="0"/>
        </w:numPr>
        <w:rPr>
          <w:rFonts w:hint="eastAsia"/>
          <w:lang w:eastAsia="zh-CN"/>
        </w:rPr>
      </w:pPr>
      <w:r>
        <w:rPr>
          <w:rFonts w:hint="eastAsia"/>
          <w:lang w:eastAsia="zh-CN"/>
        </w:rPr>
        <w:t>Cheng Yueming. (2012). Research on Corporate Ethics from the Perspective of Sustainable Development of Enterprises. Jiangxi University of Finance and Economics.</w:t>
      </w:r>
    </w:p>
    <w:p>
      <w:pPr>
        <w:numPr>
          <w:ilvl w:val="0"/>
          <w:numId w:val="0"/>
        </w:numPr>
        <w:rPr>
          <w:rFonts w:hint="eastAsia"/>
          <w:lang w:eastAsia="zh-CN"/>
        </w:rPr>
      </w:pPr>
    </w:p>
    <w:p>
      <w:pPr>
        <w:numPr>
          <w:ilvl w:val="0"/>
          <w:numId w:val="0"/>
        </w:numPr>
        <w:rPr>
          <w:rFonts w:hint="eastAsia"/>
        </w:rPr>
      </w:pPr>
      <w:r>
        <w:rPr>
          <w:rFonts w:hint="eastAsia"/>
        </w:rPr>
        <w:t>Chi Xianliang. (2007). Research on the Financing Dilemma and Countermeasures of Small and Medium-sized Enterprises. Jilin University.</w:t>
      </w:r>
    </w:p>
    <w:p>
      <w:pPr>
        <w:numPr>
          <w:numId w:val="0"/>
        </w:numPr>
        <w:rPr>
          <w:rFonts w:hint="eastAsia"/>
        </w:rPr>
      </w:pPr>
    </w:p>
    <w:p>
      <w:pPr>
        <w:numPr>
          <w:numId w:val="0"/>
        </w:numPr>
        <w:rPr>
          <w:rFonts w:hint="eastAsia"/>
        </w:rPr>
      </w:pPr>
      <w:r>
        <w:rPr>
          <w:rFonts w:hint="eastAsia"/>
        </w:rPr>
        <w:t>Gao Lifang, Sheng Mingquan. (2012). Research on the Consequences and Mechanisms of Securities Regulatory Commission Penalties on Corporate Earnings Management. Finance and Trade Research, 23 (01).</w:t>
      </w:r>
    </w:p>
    <w:p>
      <w:pPr>
        <w:numPr>
          <w:numId w:val="0"/>
        </w:numPr>
        <w:rPr>
          <w:rFonts w:hint="eastAsia"/>
        </w:rPr>
      </w:pPr>
    </w:p>
    <w:p>
      <w:pPr>
        <w:numPr>
          <w:numId w:val="0"/>
        </w:numPr>
        <w:rPr>
          <w:rFonts w:hint="eastAsia"/>
        </w:rPr>
      </w:pPr>
      <w:r>
        <w:rPr>
          <w:rFonts w:hint="eastAsia"/>
        </w:rPr>
        <w:t xml:space="preserve">Healy P M, Wahlen J. </w:t>
      </w:r>
      <w:r>
        <w:rPr>
          <w:rFonts w:hint="eastAsia"/>
          <w:lang w:val="en-US" w:eastAsia="zh-CN"/>
        </w:rPr>
        <w:t xml:space="preserve">(1999). </w:t>
      </w:r>
      <w:r>
        <w:rPr>
          <w:rFonts w:hint="eastAsia"/>
        </w:rPr>
        <w:t>A Review of the Earnings Management</w:t>
      </w:r>
      <w:r>
        <w:rPr>
          <w:rFonts w:hint="eastAsia"/>
          <w:lang w:val="en-US" w:eastAsia="zh-CN"/>
        </w:rPr>
        <w:t xml:space="preserve"> </w:t>
      </w:r>
      <w:r>
        <w:rPr>
          <w:rFonts w:hint="eastAsia"/>
        </w:rPr>
        <w:t>Literature and Its Implications for Standards Setting. Accounting Horizons,(13):365-383.</w:t>
      </w:r>
    </w:p>
    <w:p>
      <w:pPr>
        <w:numPr>
          <w:numId w:val="0"/>
        </w:numPr>
        <w:rPr>
          <w:rFonts w:hint="eastAsia"/>
        </w:rPr>
      </w:pPr>
    </w:p>
    <w:p>
      <w:pPr>
        <w:numPr>
          <w:numId w:val="0"/>
        </w:numPr>
        <w:rPr>
          <w:rFonts w:hint="eastAsia"/>
        </w:rPr>
      </w:pPr>
      <w:r>
        <w:rPr>
          <w:rFonts w:hint="eastAsia"/>
        </w:rPr>
        <w:t>Li Yongmei, Bai Xiaojuan. (2020). Accounting Information Quality, Financing Cost and Refinancing. Friends of Accounting, (04): 44-51</w:t>
      </w:r>
    </w:p>
    <w:p>
      <w:pPr>
        <w:numPr>
          <w:numId w:val="0"/>
        </w:numPr>
        <w:rPr>
          <w:rFonts w:hint="eastAsia"/>
        </w:rPr>
      </w:pPr>
    </w:p>
    <w:p>
      <w:pPr>
        <w:numPr>
          <w:numId w:val="0"/>
        </w:numPr>
        <w:rPr>
          <w:rFonts w:hint="eastAsia"/>
        </w:rPr>
      </w:pPr>
      <w:r>
        <w:rPr>
          <w:rFonts w:hint="eastAsia"/>
        </w:rPr>
        <w:t>Najah El Azhary, Omar Taouab. (2018). The Contribution of Internal Audit to the Improvement of Internal Control System. European Scientific Journal, ESJ, 14(7).</w:t>
      </w:r>
    </w:p>
    <w:p>
      <w:pPr>
        <w:numPr>
          <w:numId w:val="0"/>
        </w:numPr>
        <w:rPr>
          <w:rFonts w:hint="eastAsia"/>
        </w:rPr>
      </w:pPr>
    </w:p>
    <w:p>
      <w:pPr>
        <w:numPr>
          <w:numId w:val="0"/>
        </w:numPr>
        <w:rPr>
          <w:rFonts w:hint="eastAsia"/>
        </w:rPr>
      </w:pPr>
      <w:r>
        <w:rPr>
          <w:rFonts w:hint="eastAsia"/>
        </w:rPr>
        <w:t>Neil Lee,Hiba Sameen,Marc Cowling. (2015). Access to finance for innovative SMEs since the financial crisis. Research Policy,44(2).</w:t>
      </w:r>
    </w:p>
    <w:p>
      <w:pPr>
        <w:numPr>
          <w:numId w:val="0"/>
        </w:numPr>
        <w:rPr>
          <w:rFonts w:hint="eastAsia"/>
        </w:rPr>
      </w:pPr>
    </w:p>
    <w:p>
      <w:pPr>
        <w:numPr>
          <w:numId w:val="0"/>
        </w:numPr>
        <w:rPr>
          <w:rFonts w:hint="eastAsia"/>
        </w:rPr>
      </w:pPr>
      <w:r>
        <w:rPr>
          <w:rFonts w:hint="eastAsia"/>
        </w:rPr>
        <w:t>Ning Xiangdong, Zhang Haiwen. (2001). Research on the role of "special treatment" in listed companies. Accounting Research, (08): 15-21.</w:t>
      </w:r>
    </w:p>
    <w:p>
      <w:pPr>
        <w:numPr>
          <w:numId w:val="0"/>
        </w:numPr>
        <w:rPr>
          <w:rFonts w:hint="eastAsia"/>
        </w:rPr>
      </w:pPr>
    </w:p>
    <w:p>
      <w:pPr>
        <w:numPr>
          <w:numId w:val="0"/>
        </w:numPr>
        <w:rPr>
          <w:rFonts w:hint="eastAsia"/>
        </w:rPr>
      </w:pPr>
      <w:r>
        <w:rPr>
          <w:rFonts w:hint="eastAsia"/>
        </w:rPr>
        <w:t>Michael Yipake Banseh, Ehsan Khansalar. (2016). The Impact of the UK Corporate Governance Code 2010 on Earnings Management around Mergers and Acquisitions. International Journal of Economics and Finance,8(2).</w:t>
      </w:r>
    </w:p>
    <w:p>
      <w:pPr>
        <w:numPr>
          <w:numId w:val="0"/>
        </w:numPr>
        <w:rPr>
          <w:rFonts w:hint="eastAsia"/>
        </w:rPr>
      </w:pPr>
    </w:p>
    <w:p>
      <w:pPr>
        <w:numPr>
          <w:numId w:val="0"/>
        </w:numPr>
        <w:rPr>
          <w:rFonts w:hint="eastAsia"/>
        </w:rPr>
      </w:pPr>
      <w:r>
        <w:rPr>
          <w:rFonts w:hint="eastAsia"/>
        </w:rPr>
        <w:t>Raymond Leung. (2016). Earnings management motives and firm value following mandatory IFRS adoption – evidence from Canadian companies. Corporate Ownership &amp; Control,13(2 (continued-1)).</w:t>
      </w:r>
    </w:p>
    <w:p>
      <w:pPr>
        <w:numPr>
          <w:numId w:val="0"/>
        </w:numPr>
        <w:rPr>
          <w:rFonts w:hint="eastAsia"/>
        </w:rPr>
      </w:pPr>
    </w:p>
    <w:p>
      <w:pPr>
        <w:numPr>
          <w:numId w:val="0"/>
        </w:numPr>
        <w:rPr>
          <w:rFonts w:hint="eastAsia"/>
        </w:rPr>
      </w:pPr>
      <w:r>
        <w:rPr>
          <w:rFonts w:hint="eastAsia"/>
        </w:rPr>
        <w:t>Schipper K. (1989). Commentary on earnings management. Accounting Horizons, (04):91-102.</w:t>
      </w:r>
    </w:p>
    <w:p>
      <w:pPr>
        <w:numPr>
          <w:numId w:val="0"/>
        </w:numPr>
        <w:rPr>
          <w:rFonts w:hint="eastAsia"/>
        </w:rPr>
      </w:pPr>
    </w:p>
    <w:p>
      <w:pPr>
        <w:numPr>
          <w:numId w:val="0"/>
        </w:numPr>
        <w:rPr>
          <w:rFonts w:hint="eastAsia"/>
        </w:rPr>
      </w:pPr>
      <w:r>
        <w:rPr>
          <w:rFonts w:hint="eastAsia"/>
        </w:rPr>
        <w:t>Sun Hanyue. (2013). A Review of Western Studies on the Joint Employment of CEO and Chairman. Times Finance, (32): 42-43.</w:t>
      </w:r>
    </w:p>
    <w:p>
      <w:pPr>
        <w:numPr>
          <w:numId w:val="0"/>
        </w:numPr>
        <w:rPr>
          <w:rFonts w:hint="eastAsia"/>
        </w:rPr>
      </w:pPr>
    </w:p>
    <w:p>
      <w:pPr>
        <w:numPr>
          <w:numId w:val="0"/>
        </w:numPr>
        <w:rPr>
          <w:rFonts w:hint="eastAsia"/>
        </w:rPr>
      </w:pPr>
      <w:r>
        <w:rPr>
          <w:rFonts w:hint="eastAsia"/>
        </w:rPr>
        <w:t>Tang Yang, Liu Meiling, Wang Yun. (2022). Reflections on information disclosure behavior of listed companies from a strategic perspective. Times Economics and Trade, 19 (04): 99-101.</w:t>
      </w:r>
    </w:p>
    <w:p>
      <w:pPr>
        <w:numPr>
          <w:numId w:val="0"/>
        </w:numPr>
        <w:rPr>
          <w:rFonts w:hint="eastAsia"/>
        </w:rPr>
      </w:pPr>
    </w:p>
    <w:p>
      <w:pPr>
        <w:numPr>
          <w:numId w:val="0"/>
        </w:numPr>
        <w:rPr>
          <w:rFonts w:hint="eastAsia"/>
        </w:rPr>
      </w:pPr>
      <w:r>
        <w:rPr>
          <w:rFonts w:hint="eastAsia"/>
        </w:rPr>
        <w:t>Xia Lijun, Lu Xiaonan. (2005). Research on the Correlation between Earnings Management and Information Disclosure Quality of Listed Companies. Contemporary Economic Management, (05): 147-152+160</w:t>
      </w:r>
    </w:p>
    <w:p>
      <w:pPr>
        <w:numPr>
          <w:numId w:val="0"/>
        </w:numPr>
        <w:rPr>
          <w:rFonts w:hint="eastAsia"/>
        </w:rPr>
      </w:pPr>
    </w:p>
    <w:p>
      <w:pPr>
        <w:numPr>
          <w:numId w:val="0"/>
        </w:numPr>
        <w:rPr>
          <w:rFonts w:hint="eastAsia"/>
        </w:rPr>
      </w:pPr>
      <w:r>
        <w:rPr>
          <w:rFonts w:hint="eastAsia"/>
        </w:rPr>
        <w:t>Xie Deren, Cui Chenyu, Tang Xiaoyan. (2018). Motivation to Achieve Performance under Performance Based Equity Incentives and Real Earnings Management. Nankai Management Review, 21 (01): 159-171.</w:t>
      </w:r>
    </w:p>
    <w:p>
      <w:pPr>
        <w:numPr>
          <w:numId w:val="0"/>
        </w:numPr>
        <w:rPr>
          <w:rFonts w:hint="eastAsia"/>
        </w:rPr>
      </w:pPr>
    </w:p>
    <w:p>
      <w:pPr>
        <w:numPr>
          <w:numId w:val="0"/>
        </w:numPr>
        <w:rPr>
          <w:rFonts w:hint="eastAsia"/>
        </w:rPr>
      </w:pPr>
      <w:r>
        <w:rPr>
          <w:rFonts w:hint="eastAsia"/>
        </w:rPr>
        <w:t>Xu Xiaoyun. (2021). The Status Quo, Problems, and Suggestions of Information Disclosure by Listed Companies. Financial Horizon, (12): 63-66.</w:t>
      </w:r>
    </w:p>
    <w:p>
      <w:pPr>
        <w:numPr>
          <w:numId w:val="0"/>
        </w:numPr>
        <w:rPr>
          <w:rFonts w:hint="eastAsia"/>
        </w:rPr>
      </w:pPr>
    </w:p>
    <w:p>
      <w:pPr>
        <w:numPr>
          <w:numId w:val="0"/>
        </w:numPr>
        <w:rPr>
          <w:rFonts w:hint="eastAsia"/>
        </w:rPr>
      </w:pPr>
      <w:r>
        <w:rPr>
          <w:rFonts w:hint="eastAsia"/>
        </w:rPr>
        <w:t>Yan Ming. (2017). On the Causes, Consequences, and Optimization Countermeasures of Earnings Management. Market Weekly (Theoretical Research), (10): 75-77</w:t>
      </w:r>
    </w:p>
    <w:p>
      <w:pPr>
        <w:numPr>
          <w:numId w:val="0"/>
        </w:numPr>
        <w:rPr>
          <w:rFonts w:hint="eastAsia"/>
        </w:rPr>
      </w:pPr>
    </w:p>
    <w:p>
      <w:pPr>
        <w:numPr>
          <w:numId w:val="0"/>
        </w:numPr>
        <w:rPr>
          <w:rFonts w:hint="eastAsia"/>
        </w:rPr>
      </w:pPr>
      <w:r>
        <w:rPr>
          <w:rFonts w:hint="eastAsia"/>
        </w:rPr>
        <w:t>Yang Yiru. (2013). An Analysis of the Senior Management Compensation System of Listed Companies Based on Corporate Governance. Mall Modernization, (28): 128.</w:t>
      </w:r>
    </w:p>
    <w:p>
      <w:pPr>
        <w:numPr>
          <w:numId w:val="0"/>
        </w:numPr>
        <w:rPr>
          <w:rFonts w:hint="eastAsia"/>
        </w:rPr>
      </w:pPr>
    </w:p>
    <w:p>
      <w:pPr>
        <w:numPr>
          <w:numId w:val="0"/>
        </w:numPr>
        <w:rPr>
          <w:rFonts w:hint="eastAsia"/>
          <w:lang w:val="en-US" w:eastAsia="zh-CN"/>
        </w:rPr>
      </w:pPr>
      <w:r>
        <w:rPr>
          <w:rFonts w:hint="eastAsia"/>
        </w:rPr>
        <w:t xml:space="preserve">Yao Jianchun. </w:t>
      </w:r>
      <w:r>
        <w:rPr>
          <w:rFonts w:hint="eastAsia"/>
          <w:lang w:val="en-US" w:eastAsia="zh-CN"/>
        </w:rPr>
        <w:t xml:space="preserve">(2016). </w:t>
      </w:r>
      <w:r>
        <w:rPr>
          <w:rFonts w:hint="eastAsia"/>
        </w:rPr>
        <w:t>Discussion on Accounting Policy Selection and Earnings Management. China Business Review, (17): 47-48</w:t>
      </w:r>
      <w:r>
        <w:rPr>
          <w:rFonts w:hint="eastAsia"/>
          <w:lang w:val="en-US" w:eastAsia="zh-CN"/>
        </w:rPr>
        <w:t>.</w:t>
      </w:r>
    </w:p>
    <w:p>
      <w:pPr>
        <w:numPr>
          <w:numId w:val="0"/>
        </w:numPr>
        <w:rPr>
          <w:rFonts w:hint="eastAsia"/>
          <w:lang w:val="en-US" w:eastAsia="zh-CN"/>
        </w:rPr>
      </w:pPr>
    </w:p>
    <w:p>
      <w:pPr>
        <w:numPr>
          <w:numId w:val="0"/>
        </w:numPr>
        <w:rPr>
          <w:rFonts w:hint="eastAsia"/>
          <w:lang w:val="en-US" w:eastAsia="zh-CN"/>
        </w:rPr>
      </w:pPr>
      <w:r>
        <w:rPr>
          <w:rFonts w:hint="eastAsia"/>
          <w:lang w:val="en-US" w:eastAsia="zh-CN"/>
        </w:rPr>
        <w:t>Yisheng He,Na Li. (2022). Analysis on Expanding the Financing Channels of Private Small and Medium-Sized Enterprises in China. Accounting and Corporate Management, 4(1).</w:t>
      </w:r>
    </w:p>
    <w:p>
      <w:pPr>
        <w:numPr>
          <w:numId w:val="0"/>
        </w:numPr>
        <w:rPr>
          <w:rFonts w:hint="eastAsia"/>
          <w:lang w:val="en-US" w:eastAsia="zh-CN"/>
        </w:rPr>
      </w:pPr>
    </w:p>
    <w:p>
      <w:pPr>
        <w:numPr>
          <w:numId w:val="0"/>
        </w:numPr>
        <w:rPr>
          <w:rFonts w:hint="eastAsia"/>
          <w:lang w:val="en-US" w:eastAsia="zh-CN"/>
        </w:rPr>
      </w:pPr>
      <w:r>
        <w:rPr>
          <w:rFonts w:hint="eastAsia"/>
          <w:lang w:val="en-US" w:eastAsia="zh-CN"/>
        </w:rPr>
        <w:t>Zhang Yijie, Wang Yan, Tang Yuanhu, Cai Laixing. (2006). An Empirical Study on the Relationship between Board Characteristics and Earnings Management in Listed Companies. Management Review, (03): 14-19+63.</w:t>
      </w:r>
    </w:p>
    <w:p>
      <w:pPr>
        <w:numPr>
          <w:numId w:val="0"/>
        </w:numPr>
        <w:rPr>
          <w:rFonts w:hint="eastAsia"/>
          <w:lang w:val="en-US" w:eastAsia="zh-CN"/>
        </w:rPr>
      </w:pPr>
    </w:p>
    <w:p>
      <w:pPr>
        <w:numPr>
          <w:numId w:val="0"/>
        </w:numPr>
        <w:rPr>
          <w:rFonts w:hint="eastAsia" w:eastAsiaTheme="minorEastAsia"/>
          <w:lang w:eastAsia="zh-CN"/>
        </w:rPr>
      </w:pPr>
      <w:r>
        <w:rPr>
          <w:rFonts w:hint="eastAsia"/>
        </w:rPr>
        <w:t xml:space="preserve">Zhao Chunjiao. </w:t>
      </w:r>
      <w:r>
        <w:rPr>
          <w:rFonts w:hint="eastAsia"/>
          <w:lang w:val="en-US" w:eastAsia="zh-CN"/>
        </w:rPr>
        <w:t xml:space="preserve">(2011). </w:t>
      </w:r>
      <w:r>
        <w:rPr>
          <w:rFonts w:hint="eastAsia"/>
        </w:rPr>
        <w:t>Research on the Economic Consequences of Earnings Management of Chinese Listed Companies with Continuous Losses. Northeast University of Finance and Economics</w:t>
      </w:r>
      <w:r>
        <w:rPr>
          <w:rFonts w:hint="eastAsia"/>
          <w:lang w:val="en-US" w:eastAsia="zh-CN"/>
        </w:rPr>
        <w:t>.</w:t>
      </w:r>
    </w:p>
    <w:p>
      <w:pPr>
        <w:numPr>
          <w:numId w:val="0"/>
        </w:numPr>
        <w:rPr>
          <w:rFonts w:hint="eastAsia"/>
        </w:rPr>
      </w:pPr>
    </w:p>
    <w:p>
      <w:pPr>
        <w:numPr>
          <w:numId w:val="0"/>
        </w:numPr>
        <w:rPr>
          <w:rFonts w:hint="eastAsia"/>
        </w:rPr>
      </w:pPr>
      <w:r>
        <w:rPr>
          <w:rFonts w:hint="eastAsia"/>
        </w:rPr>
        <w:t>Zhao Shuo,</w:t>
      </w:r>
      <w:r>
        <w:rPr>
          <w:rFonts w:hint="eastAsia"/>
          <w:lang w:val="en-US" w:eastAsia="zh-CN"/>
        </w:rPr>
        <w:t xml:space="preserve"> </w:t>
      </w:r>
      <w:r>
        <w:rPr>
          <w:rFonts w:hint="eastAsia"/>
        </w:rPr>
        <w:t xml:space="preserve">Zhao Yang. </w:t>
      </w:r>
      <w:r>
        <w:rPr>
          <w:rFonts w:hint="eastAsia"/>
          <w:lang w:val="en-US" w:eastAsia="zh-CN"/>
        </w:rPr>
        <w:t xml:space="preserve">(2023). </w:t>
      </w:r>
      <w:r>
        <w:rPr>
          <w:rFonts w:hint="eastAsia"/>
        </w:rPr>
        <w:t>Corporate Sustainable Development from the Perspective of the Effect of Institutional Investors’ Shareholding on Earnings Management. Sustainability,</w:t>
      </w:r>
      <w:r>
        <w:rPr>
          <w:rFonts w:hint="eastAsia"/>
          <w:lang w:val="en-US" w:eastAsia="zh-CN"/>
        </w:rPr>
        <w:t xml:space="preserve"> </w:t>
      </w:r>
      <w:r>
        <w:rPr>
          <w:rFonts w:hint="eastAsia"/>
        </w:rPr>
        <w:t>15(2).</w:t>
      </w:r>
    </w:p>
    <w:p>
      <w:pPr>
        <w:numPr>
          <w:numId w:val="0"/>
        </w:numPr>
        <w:rPr>
          <w:rFonts w:hint="eastAsia"/>
        </w:rPr>
      </w:pPr>
    </w:p>
    <w:p>
      <w:pPr>
        <w:numPr>
          <w:numId w:val="0"/>
        </w:numPr>
        <w:rPr>
          <w:rFonts w:hint="default"/>
          <w:lang w:val="en-US" w:eastAsia="zh-CN"/>
        </w:rPr>
      </w:pPr>
      <w:r>
        <w:rPr>
          <w:rFonts w:hint="default"/>
          <w:lang w:val="en-US" w:eastAsia="zh-CN"/>
        </w:rPr>
        <w:t xml:space="preserve">Zhou Yong. </w:t>
      </w:r>
      <w:r>
        <w:rPr>
          <w:rFonts w:hint="eastAsia"/>
          <w:lang w:val="en-US" w:eastAsia="zh-CN"/>
        </w:rPr>
        <w:t xml:space="preserve">(2003). </w:t>
      </w:r>
      <w:r>
        <w:rPr>
          <w:rFonts w:hint="default"/>
          <w:lang w:val="en-US" w:eastAsia="zh-CN"/>
        </w:rPr>
        <w:t>On Responsibility, Corporate Responsibility, and Corporate Social Responsibility. Journal of Wuhan University of Science and Technology (Social Science Edition),  (04): 29-33</w:t>
      </w:r>
      <w:r>
        <w:rPr>
          <w:rFonts w:hint="eastAsia"/>
          <w:lang w:val="en-US" w:eastAsia="zh-CN"/>
        </w:rPr>
        <w:t>.</w:t>
      </w: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Calibri Light">
    <w:panose1 w:val="020F0302020204030204"/>
    <w:charset w:val="00"/>
    <w:family w:val="auto"/>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3</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7D42120"/>
    <w:multiLevelType w:val="singleLevel"/>
    <w:tmpl w:val="37D42120"/>
    <w:lvl w:ilvl="0" w:tentative="0">
      <w:start w:val="5"/>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zA5NTcyYzA5NWMwMDAwNDc5M2M3ZWE0MjFjMDEzODUifQ=="/>
  </w:docVars>
  <w:rsids>
    <w:rsidRoot w:val="58940A6B"/>
    <w:rsid w:val="001634E1"/>
    <w:rsid w:val="024D1089"/>
    <w:rsid w:val="03D8291E"/>
    <w:rsid w:val="08BF22FE"/>
    <w:rsid w:val="09124A4E"/>
    <w:rsid w:val="0BCB2D68"/>
    <w:rsid w:val="0D7F3E0A"/>
    <w:rsid w:val="0DD53B2B"/>
    <w:rsid w:val="10224A42"/>
    <w:rsid w:val="125A3098"/>
    <w:rsid w:val="14045069"/>
    <w:rsid w:val="16201F02"/>
    <w:rsid w:val="16230423"/>
    <w:rsid w:val="16AF39B2"/>
    <w:rsid w:val="187579D8"/>
    <w:rsid w:val="1B5221C9"/>
    <w:rsid w:val="1CD852E5"/>
    <w:rsid w:val="1D512A3A"/>
    <w:rsid w:val="1EC876CB"/>
    <w:rsid w:val="1FDC2238"/>
    <w:rsid w:val="211277A6"/>
    <w:rsid w:val="2147455D"/>
    <w:rsid w:val="217D6665"/>
    <w:rsid w:val="21AF4B22"/>
    <w:rsid w:val="23A86B40"/>
    <w:rsid w:val="254A2AF8"/>
    <w:rsid w:val="29EF5C0E"/>
    <w:rsid w:val="2F014EF6"/>
    <w:rsid w:val="30671753"/>
    <w:rsid w:val="33F96CF5"/>
    <w:rsid w:val="3911775D"/>
    <w:rsid w:val="39754E22"/>
    <w:rsid w:val="3D905418"/>
    <w:rsid w:val="3DAC6CE1"/>
    <w:rsid w:val="45F676A1"/>
    <w:rsid w:val="46491DB8"/>
    <w:rsid w:val="4715323E"/>
    <w:rsid w:val="4AED5623"/>
    <w:rsid w:val="4CE511D4"/>
    <w:rsid w:val="4E2E4686"/>
    <w:rsid w:val="4E720846"/>
    <w:rsid w:val="536657F3"/>
    <w:rsid w:val="565F1745"/>
    <w:rsid w:val="58940A6B"/>
    <w:rsid w:val="59627F4C"/>
    <w:rsid w:val="5C7165E1"/>
    <w:rsid w:val="5D215911"/>
    <w:rsid w:val="5D2D075A"/>
    <w:rsid w:val="5D8365CC"/>
    <w:rsid w:val="617216DD"/>
    <w:rsid w:val="66BE3D49"/>
    <w:rsid w:val="6A03399B"/>
    <w:rsid w:val="6A0B5038"/>
    <w:rsid w:val="6E14337C"/>
    <w:rsid w:val="70381B73"/>
    <w:rsid w:val="7217206C"/>
    <w:rsid w:val="730E1DAE"/>
    <w:rsid w:val="73D30184"/>
    <w:rsid w:val="752B5127"/>
    <w:rsid w:val="755A5A0C"/>
    <w:rsid w:val="778E5176"/>
    <w:rsid w:val="77917047"/>
    <w:rsid w:val="7A5167AA"/>
    <w:rsid w:val="7A560E98"/>
    <w:rsid w:val="7ECA316D"/>
    <w:rsid w:val="7FA25D2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heme="minorEastAsia" w:cstheme="minorBidi"/>
      <w:kern w:val="2"/>
      <w:sz w:val="24"/>
      <w:szCs w:val="24"/>
      <w:lang w:val="en-US" w:eastAsia="zh-CN" w:bidi="ar-SA"/>
    </w:rPr>
  </w:style>
  <w:style w:type="paragraph" w:styleId="2">
    <w:name w:val="heading 1"/>
    <w:basedOn w:val="1"/>
    <w:next w:val="1"/>
    <w:link w:val="9"/>
    <w:qFormat/>
    <w:uiPriority w:val="0"/>
    <w:pPr>
      <w:keepNext/>
      <w:keepLines/>
      <w:snapToGrid w:val="0"/>
      <w:spacing w:before="100" w:beforeLines="100" w:beforeAutospacing="0" w:after="100" w:afterLines="100" w:afterAutospacing="0" w:line="240" w:lineRule="auto"/>
      <w:outlineLvl w:val="0"/>
    </w:pPr>
    <w:rPr>
      <w:b/>
      <w:kern w:val="44"/>
      <w:sz w:val="28"/>
    </w:rPr>
  </w:style>
  <w:style w:type="paragraph" w:styleId="3">
    <w:name w:val="heading 2"/>
    <w:basedOn w:val="1"/>
    <w:next w:val="1"/>
    <w:unhideWhenUsed/>
    <w:qFormat/>
    <w:uiPriority w:val="0"/>
    <w:pPr>
      <w:keepNext/>
      <w:keepLines/>
      <w:spacing w:before="100" w:beforeLines="100" w:beforeAutospacing="0" w:after="100" w:afterLines="100" w:afterAutospacing="0" w:line="240" w:lineRule="auto"/>
      <w:outlineLvl w:val="1"/>
    </w:pPr>
    <w:rPr>
      <w:rFonts w:ascii="Times New Roman" w:hAnsi="Times New Roman" w:eastAsia="黑体"/>
      <w:b/>
      <w:sz w:val="24"/>
    </w:rPr>
  </w:style>
  <w:style w:type="paragraph" w:styleId="4">
    <w:name w:val="heading 3"/>
    <w:basedOn w:val="1"/>
    <w:next w:val="1"/>
    <w:unhideWhenUsed/>
    <w:qFormat/>
    <w:uiPriority w:val="0"/>
    <w:pPr>
      <w:keepNext/>
      <w:keepLines/>
      <w:spacing w:before="100" w:beforeLines="100" w:beforeAutospacing="0" w:after="100" w:afterLines="100" w:afterAutospacing="0" w:line="240" w:lineRule="auto"/>
      <w:outlineLvl w:val="2"/>
    </w:pPr>
    <w:rPr>
      <w:rFonts w:ascii="Times New Roman" w:hAnsi="Times New Roman"/>
      <w:b/>
      <w:sz w:val="24"/>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customStyle="1" w:styleId="9">
    <w:name w:val="标题 1 Char"/>
    <w:link w:val="2"/>
    <w:uiPriority w:val="0"/>
    <w:rPr>
      <w:b/>
      <w:kern w:val="44"/>
      <w:sz w:val="28"/>
    </w:rPr>
  </w:style>
  <w:style w:type="paragraph" w:customStyle="1" w:styleId="10">
    <w:name w:val="WPSOffice手动目录 1"/>
    <w:uiPriority w:val="0"/>
    <w:pPr>
      <w:ind w:leftChars="0"/>
    </w:pPr>
    <w:rPr>
      <w:sz w:val="20"/>
      <w:szCs w:val="20"/>
    </w:rPr>
  </w:style>
  <w:style w:type="paragraph" w:customStyle="1" w:styleId="11">
    <w:name w:val="WPSOffice手动目录 2"/>
    <w:uiPriority w:val="0"/>
    <w:pPr>
      <w:ind w:leftChars="200"/>
    </w:pPr>
    <w:rPr>
      <w:sz w:val="20"/>
      <w:szCs w:val="20"/>
    </w:rPr>
  </w:style>
  <w:style w:type="paragraph" w:customStyle="1" w:styleId="12">
    <w:name w:val="WPSOffice手动目录 3"/>
    <w:uiPriority w:val="0"/>
    <w:pPr>
      <w:ind w:leftChars="400"/>
    </w:pPr>
    <w:rPr>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15</Pages>
  <Words>4963</Words>
  <Characters>30017</Characters>
  <Lines>0</Lines>
  <Paragraphs>0</Paragraphs>
  <TotalTime>2</TotalTime>
  <ScaleCrop>false</ScaleCrop>
  <LinksUpToDate>false</LinksUpToDate>
  <CharactersWithSpaces>35084</CharactersWithSpaces>
  <Application>WPS Office_11.1.0.12313_F1E327BC-269C-435d-A152-05C5408002CA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2023-03-19T12:56:00Z</dcterms:created>
  <dc:creator>学罢～</dc:creator>
  <cp:lastModifiedBy>学罢～</cp:lastModifiedBy>
  <dcterms:modified xsi:type="dcterms:W3CDTF">2023-03-30T09:35:32Z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2052-11.1.0.12313</vt:lpwstr>
  </property>
  <property fmtid="{D5CDD505-2E9C-101B-9397-08002B2CF9AE}" pid="3" name="ICV">
    <vt:lpwstr>E7F221A4EDCB4F4AA7BADA3047BBFB7F</vt:lpwstr>
  </property>
</Properties>
</file>