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B7701" w:rsidRDefault="00DB7701" w:rsidP="00DB7701">
      <w:pPr>
        <w:spacing w:line="259" w:lineRule="auto"/>
        <w:jc w:val="center"/>
        <w:rPr>
          <w:b/>
          <w:sz w:val="72"/>
          <w:szCs w:val="72"/>
        </w:rPr>
      </w:pPr>
    </w:p>
    <w:p w:rsidR="00DB7701" w:rsidRDefault="00DB7701" w:rsidP="00DB7701">
      <w:pPr>
        <w:spacing w:line="259" w:lineRule="auto"/>
        <w:jc w:val="center"/>
        <w:rPr>
          <w:b/>
          <w:sz w:val="72"/>
          <w:szCs w:val="72"/>
        </w:rPr>
      </w:pPr>
    </w:p>
    <w:p w:rsidR="00DB7701" w:rsidRDefault="00DB7701" w:rsidP="00DB7701">
      <w:pPr>
        <w:spacing w:line="259" w:lineRule="auto"/>
        <w:jc w:val="center"/>
        <w:rPr>
          <w:b/>
          <w:sz w:val="72"/>
          <w:szCs w:val="72"/>
        </w:rPr>
      </w:pPr>
      <w:r w:rsidRPr="00DB7701">
        <w:rPr>
          <w:b/>
          <w:sz w:val="72"/>
          <w:szCs w:val="72"/>
        </w:rPr>
        <w:t>Community Engagement</w:t>
      </w:r>
      <w:r w:rsidRPr="00DB7701">
        <w:rPr>
          <w:b/>
          <w:sz w:val="72"/>
          <w:szCs w:val="72"/>
        </w:rPr>
        <w:br w:type="page"/>
      </w:r>
    </w:p>
    <w:p w:rsidR="00C11F21" w:rsidRDefault="00AA7065" w:rsidP="00AA7065">
      <w:pPr>
        <w:spacing w:line="259" w:lineRule="auto"/>
        <w:jc w:val="left"/>
        <w:rPr>
          <w:rFonts w:eastAsiaTheme="majorEastAsia" w:cstheme="majorBidi"/>
          <w:bCs/>
          <w:color w:val="000000" w:themeColor="text1"/>
          <w:sz w:val="40"/>
          <w:szCs w:val="40"/>
          <w:lang w:val="en-GB"/>
        </w:rPr>
      </w:pPr>
      <w:r>
        <w:rPr>
          <w:rFonts w:eastAsiaTheme="majorEastAsia" w:cstheme="majorBidi"/>
          <w:bCs/>
          <w:color w:val="000000" w:themeColor="text1"/>
          <w:sz w:val="40"/>
          <w:szCs w:val="40"/>
          <w:lang w:val="en-GB"/>
        </w:rPr>
        <w:t>Daniel – Valentin Ungureanu</w:t>
      </w:r>
    </w:p>
    <w:p w:rsidR="00AA7065" w:rsidRDefault="00AA7065" w:rsidP="00AA7065">
      <w:pPr>
        <w:spacing w:line="259" w:lineRule="auto"/>
        <w:jc w:val="left"/>
        <w:rPr>
          <w:rFonts w:eastAsiaTheme="majorEastAsia" w:cstheme="majorBidi"/>
          <w:bCs/>
          <w:color w:val="000000" w:themeColor="text1"/>
          <w:sz w:val="40"/>
          <w:szCs w:val="40"/>
          <w:lang w:val="en-GB"/>
        </w:rPr>
      </w:pPr>
      <w:r>
        <w:rPr>
          <w:rFonts w:eastAsiaTheme="majorEastAsia" w:cstheme="majorBidi"/>
          <w:bCs/>
          <w:color w:val="000000" w:themeColor="text1"/>
          <w:sz w:val="40"/>
          <w:szCs w:val="40"/>
          <w:lang w:val="en-GB"/>
        </w:rPr>
        <w:t>Student id : 2125720</w:t>
      </w:r>
    </w:p>
    <w:p w:rsidR="00AA7065" w:rsidRPr="00AA7065" w:rsidRDefault="00AA7065" w:rsidP="00AA7065">
      <w:pPr>
        <w:spacing w:line="259" w:lineRule="auto"/>
        <w:jc w:val="left"/>
        <w:rPr>
          <w:rFonts w:eastAsiaTheme="majorEastAsia" w:cstheme="majorBidi"/>
          <w:bCs/>
          <w:color w:val="000000" w:themeColor="text1"/>
          <w:sz w:val="40"/>
          <w:szCs w:val="40"/>
          <w:lang w:val="en-GB"/>
        </w:rPr>
      </w:pPr>
      <w:r>
        <w:rPr>
          <w:rFonts w:eastAsiaTheme="majorEastAsia" w:cstheme="majorBidi"/>
          <w:bCs/>
          <w:color w:val="000000" w:themeColor="text1"/>
          <w:sz w:val="40"/>
          <w:szCs w:val="40"/>
          <w:lang w:val="en-GB"/>
        </w:rPr>
        <w:t>Module Code</w:t>
      </w:r>
      <w:r w:rsidR="0001733C">
        <w:rPr>
          <w:rFonts w:eastAsiaTheme="majorEastAsia" w:cstheme="majorBidi"/>
          <w:bCs/>
          <w:color w:val="000000" w:themeColor="text1"/>
          <w:sz w:val="40"/>
          <w:szCs w:val="40"/>
          <w:lang w:val="en-GB"/>
        </w:rPr>
        <w:t xml:space="preserve"> L</w:t>
      </w:r>
      <w:r w:rsidR="00522A4A">
        <w:rPr>
          <w:rFonts w:eastAsiaTheme="majorEastAsia" w:cstheme="majorBidi"/>
          <w:bCs/>
          <w:color w:val="000000" w:themeColor="text1"/>
          <w:sz w:val="40"/>
          <w:szCs w:val="40"/>
          <w:lang w:val="en-GB"/>
        </w:rPr>
        <w:t>CBB4011</w:t>
      </w:r>
    </w:p>
    <w:p w:rsidR="00C11F21" w:rsidRPr="00DB7701" w:rsidRDefault="00C11F21" w:rsidP="00DB7701">
      <w:pPr>
        <w:spacing w:line="259" w:lineRule="auto"/>
        <w:jc w:val="center"/>
        <w:rPr>
          <w:rFonts w:eastAsiaTheme="majorEastAsia" w:cstheme="majorBidi"/>
          <w:b/>
          <w:color w:val="000000" w:themeColor="text1"/>
          <w:sz w:val="72"/>
          <w:szCs w:val="72"/>
          <w:lang w:val="en-GB"/>
        </w:rPr>
      </w:pPr>
    </w:p>
    <w:sdt>
      <w:sdtPr>
        <w:rPr>
          <w:rFonts w:ascii="Times New Roman" w:eastAsiaTheme="minorHAnsi" w:hAnsi="Times New Roman" w:cs="Times New Roman"/>
          <w:color w:val="auto"/>
          <w:sz w:val="24"/>
          <w:szCs w:val="24"/>
        </w:rPr>
        <w:id w:val="-963035960"/>
        <w:docPartObj>
          <w:docPartGallery w:val="Table of Contents"/>
          <w:docPartUnique/>
        </w:docPartObj>
      </w:sdtPr>
      <w:sdtEndPr>
        <w:rPr>
          <w:b/>
          <w:bCs/>
          <w:noProof/>
        </w:rPr>
      </w:sdtEndPr>
      <w:sdtContent>
        <w:p w:rsidR="00DB7701" w:rsidRPr="00DB7701" w:rsidRDefault="00DB7701" w:rsidP="00DB7701">
          <w:pPr>
            <w:pStyle w:val="TOCHeading"/>
            <w:spacing w:line="360" w:lineRule="auto"/>
            <w:rPr>
              <w:rFonts w:ascii="Times New Roman" w:hAnsi="Times New Roman" w:cs="Times New Roman"/>
            </w:rPr>
          </w:pPr>
          <w:r w:rsidRPr="00DB7701">
            <w:rPr>
              <w:rFonts w:ascii="Times New Roman" w:hAnsi="Times New Roman" w:cs="Times New Roman"/>
            </w:rPr>
            <w:t>Table of Contents</w:t>
          </w:r>
        </w:p>
        <w:p w:rsidR="000A0CF5" w:rsidRDefault="00DB7701">
          <w:pPr>
            <w:pStyle w:val="TOC1"/>
            <w:tabs>
              <w:tab w:val="right" w:leader="dot" w:pos="9350"/>
            </w:tabs>
            <w:rPr>
              <w:rFonts w:asciiTheme="minorHAnsi" w:eastAsiaTheme="minorEastAsia" w:hAnsiTheme="minorHAnsi" w:cstheme="minorBidi"/>
              <w:noProof/>
              <w:sz w:val="22"/>
              <w:szCs w:val="22"/>
            </w:rPr>
          </w:pPr>
          <w:r w:rsidRPr="00DB7701">
            <w:fldChar w:fldCharType="begin"/>
          </w:r>
          <w:r w:rsidRPr="00DB7701">
            <w:instrText xml:space="preserve"> TOC \o "1-3" \h \z \u </w:instrText>
          </w:r>
          <w:r w:rsidRPr="00DB7701">
            <w:fldChar w:fldCharType="separate"/>
          </w:r>
          <w:hyperlink w:anchor="_Toc173921131" w:history="1">
            <w:r w:rsidR="000A0CF5" w:rsidRPr="00B85C01">
              <w:rPr>
                <w:rStyle w:val="Hyperlink"/>
                <w:noProof/>
              </w:rPr>
              <w:t>INTRODUCTION</w:t>
            </w:r>
            <w:r w:rsidR="000A0CF5">
              <w:rPr>
                <w:noProof/>
                <w:webHidden/>
              </w:rPr>
              <w:tab/>
            </w:r>
            <w:r w:rsidR="000A0CF5">
              <w:rPr>
                <w:noProof/>
                <w:webHidden/>
              </w:rPr>
              <w:fldChar w:fldCharType="begin"/>
            </w:r>
            <w:r w:rsidR="000A0CF5">
              <w:rPr>
                <w:noProof/>
                <w:webHidden/>
              </w:rPr>
              <w:instrText xml:space="preserve"> PAGEREF _Toc173921131 \h </w:instrText>
            </w:r>
            <w:r w:rsidR="000A0CF5">
              <w:rPr>
                <w:noProof/>
                <w:webHidden/>
              </w:rPr>
            </w:r>
            <w:r w:rsidR="000A0CF5">
              <w:rPr>
                <w:noProof/>
                <w:webHidden/>
              </w:rPr>
              <w:fldChar w:fldCharType="separate"/>
            </w:r>
            <w:r w:rsidR="000A0CF5">
              <w:rPr>
                <w:noProof/>
                <w:webHidden/>
              </w:rPr>
              <w:t>3</w:t>
            </w:r>
            <w:r w:rsidR="000A0CF5">
              <w:rPr>
                <w:noProof/>
                <w:webHidden/>
              </w:rPr>
              <w:fldChar w:fldCharType="end"/>
            </w:r>
          </w:hyperlink>
        </w:p>
        <w:p w:rsidR="000A0CF5" w:rsidRDefault="00522A4A">
          <w:pPr>
            <w:pStyle w:val="TOC2"/>
            <w:tabs>
              <w:tab w:val="right" w:leader="dot" w:pos="9350"/>
            </w:tabs>
            <w:rPr>
              <w:rFonts w:asciiTheme="minorHAnsi" w:eastAsiaTheme="minorEastAsia" w:hAnsiTheme="minorHAnsi" w:cstheme="minorBidi"/>
              <w:noProof/>
              <w:sz w:val="22"/>
              <w:szCs w:val="22"/>
            </w:rPr>
          </w:pPr>
          <w:hyperlink w:anchor="_Toc173921132" w:history="1">
            <w:r w:rsidR="000A0CF5" w:rsidRPr="00B85C01">
              <w:rPr>
                <w:rStyle w:val="Hyperlink"/>
                <w:noProof/>
              </w:rPr>
              <w:t>Community Outreach</w:t>
            </w:r>
            <w:r w:rsidR="000A0CF5">
              <w:rPr>
                <w:noProof/>
                <w:webHidden/>
              </w:rPr>
              <w:tab/>
            </w:r>
            <w:r w:rsidR="000A0CF5">
              <w:rPr>
                <w:noProof/>
                <w:webHidden/>
              </w:rPr>
              <w:fldChar w:fldCharType="begin"/>
            </w:r>
            <w:r w:rsidR="000A0CF5">
              <w:rPr>
                <w:noProof/>
                <w:webHidden/>
              </w:rPr>
              <w:instrText xml:space="preserve"> PAGEREF _Toc173921132 \h </w:instrText>
            </w:r>
            <w:r w:rsidR="000A0CF5">
              <w:rPr>
                <w:noProof/>
                <w:webHidden/>
              </w:rPr>
            </w:r>
            <w:r w:rsidR="000A0CF5">
              <w:rPr>
                <w:noProof/>
                <w:webHidden/>
              </w:rPr>
              <w:fldChar w:fldCharType="separate"/>
            </w:r>
            <w:r w:rsidR="000A0CF5">
              <w:rPr>
                <w:noProof/>
                <w:webHidden/>
              </w:rPr>
              <w:t>3</w:t>
            </w:r>
            <w:r w:rsidR="000A0CF5">
              <w:rPr>
                <w:noProof/>
                <w:webHidden/>
              </w:rPr>
              <w:fldChar w:fldCharType="end"/>
            </w:r>
          </w:hyperlink>
        </w:p>
        <w:p w:rsidR="000A0CF5" w:rsidRDefault="00522A4A">
          <w:pPr>
            <w:pStyle w:val="TOC2"/>
            <w:tabs>
              <w:tab w:val="right" w:leader="dot" w:pos="9350"/>
            </w:tabs>
            <w:rPr>
              <w:rFonts w:asciiTheme="minorHAnsi" w:eastAsiaTheme="minorEastAsia" w:hAnsiTheme="minorHAnsi" w:cstheme="minorBidi"/>
              <w:noProof/>
              <w:sz w:val="22"/>
              <w:szCs w:val="22"/>
            </w:rPr>
          </w:pPr>
          <w:hyperlink w:anchor="_Toc173921133" w:history="1">
            <w:r w:rsidR="000A0CF5" w:rsidRPr="00B85C01">
              <w:rPr>
                <w:rStyle w:val="Hyperlink"/>
                <w:noProof/>
              </w:rPr>
              <w:t>Stakeholder Mapping Exercise</w:t>
            </w:r>
            <w:r w:rsidR="000A0CF5">
              <w:rPr>
                <w:noProof/>
                <w:webHidden/>
              </w:rPr>
              <w:tab/>
            </w:r>
            <w:r w:rsidR="000A0CF5">
              <w:rPr>
                <w:noProof/>
                <w:webHidden/>
              </w:rPr>
              <w:fldChar w:fldCharType="begin"/>
            </w:r>
            <w:r w:rsidR="000A0CF5">
              <w:rPr>
                <w:noProof/>
                <w:webHidden/>
              </w:rPr>
              <w:instrText xml:space="preserve"> PAGEREF _Toc173921133 \h </w:instrText>
            </w:r>
            <w:r w:rsidR="000A0CF5">
              <w:rPr>
                <w:noProof/>
                <w:webHidden/>
              </w:rPr>
            </w:r>
            <w:r w:rsidR="000A0CF5">
              <w:rPr>
                <w:noProof/>
                <w:webHidden/>
              </w:rPr>
              <w:fldChar w:fldCharType="separate"/>
            </w:r>
            <w:r w:rsidR="000A0CF5">
              <w:rPr>
                <w:noProof/>
                <w:webHidden/>
              </w:rPr>
              <w:t>5</w:t>
            </w:r>
            <w:r w:rsidR="000A0CF5">
              <w:rPr>
                <w:noProof/>
                <w:webHidden/>
              </w:rPr>
              <w:fldChar w:fldCharType="end"/>
            </w:r>
          </w:hyperlink>
        </w:p>
        <w:p w:rsidR="000A0CF5" w:rsidRDefault="00522A4A">
          <w:pPr>
            <w:pStyle w:val="TOC2"/>
            <w:tabs>
              <w:tab w:val="right" w:leader="dot" w:pos="9350"/>
            </w:tabs>
            <w:rPr>
              <w:rFonts w:asciiTheme="minorHAnsi" w:eastAsiaTheme="minorEastAsia" w:hAnsiTheme="minorHAnsi" w:cstheme="minorBidi"/>
              <w:noProof/>
              <w:sz w:val="22"/>
              <w:szCs w:val="22"/>
            </w:rPr>
          </w:pPr>
          <w:hyperlink w:anchor="_Toc173921134" w:history="1">
            <w:r w:rsidR="000A0CF5" w:rsidRPr="00B85C01">
              <w:rPr>
                <w:rStyle w:val="Hyperlink"/>
                <w:noProof/>
              </w:rPr>
              <w:t>Community Engagement Plan</w:t>
            </w:r>
            <w:r w:rsidR="000A0CF5">
              <w:rPr>
                <w:noProof/>
                <w:webHidden/>
              </w:rPr>
              <w:tab/>
            </w:r>
            <w:r w:rsidR="000A0CF5">
              <w:rPr>
                <w:noProof/>
                <w:webHidden/>
              </w:rPr>
              <w:fldChar w:fldCharType="begin"/>
            </w:r>
            <w:r w:rsidR="000A0CF5">
              <w:rPr>
                <w:noProof/>
                <w:webHidden/>
              </w:rPr>
              <w:instrText xml:space="preserve"> PAGEREF _Toc173921134 \h </w:instrText>
            </w:r>
            <w:r w:rsidR="000A0CF5">
              <w:rPr>
                <w:noProof/>
                <w:webHidden/>
              </w:rPr>
            </w:r>
            <w:r w:rsidR="000A0CF5">
              <w:rPr>
                <w:noProof/>
                <w:webHidden/>
              </w:rPr>
              <w:fldChar w:fldCharType="separate"/>
            </w:r>
            <w:r w:rsidR="000A0CF5">
              <w:rPr>
                <w:noProof/>
                <w:webHidden/>
              </w:rPr>
              <w:t>8</w:t>
            </w:r>
            <w:r w:rsidR="000A0CF5">
              <w:rPr>
                <w:noProof/>
                <w:webHidden/>
              </w:rPr>
              <w:fldChar w:fldCharType="end"/>
            </w:r>
          </w:hyperlink>
        </w:p>
        <w:p w:rsidR="000A0CF5" w:rsidRDefault="00522A4A">
          <w:pPr>
            <w:pStyle w:val="TOC2"/>
            <w:tabs>
              <w:tab w:val="right" w:leader="dot" w:pos="9350"/>
            </w:tabs>
            <w:rPr>
              <w:rFonts w:asciiTheme="minorHAnsi" w:eastAsiaTheme="minorEastAsia" w:hAnsiTheme="minorHAnsi" w:cstheme="minorBidi"/>
              <w:noProof/>
              <w:sz w:val="22"/>
              <w:szCs w:val="22"/>
            </w:rPr>
          </w:pPr>
          <w:hyperlink w:anchor="_Toc173921135" w:history="1">
            <w:r w:rsidR="000A0CF5" w:rsidRPr="00B85C01">
              <w:rPr>
                <w:rStyle w:val="Hyperlink"/>
                <w:noProof/>
              </w:rPr>
              <w:t>Practical Discussion</w:t>
            </w:r>
            <w:r w:rsidR="000A0CF5">
              <w:rPr>
                <w:noProof/>
                <w:webHidden/>
              </w:rPr>
              <w:tab/>
            </w:r>
            <w:r w:rsidR="000A0CF5">
              <w:rPr>
                <w:noProof/>
                <w:webHidden/>
              </w:rPr>
              <w:fldChar w:fldCharType="begin"/>
            </w:r>
            <w:r w:rsidR="000A0CF5">
              <w:rPr>
                <w:noProof/>
                <w:webHidden/>
              </w:rPr>
              <w:instrText xml:space="preserve"> PAGEREF _Toc173921135 \h </w:instrText>
            </w:r>
            <w:r w:rsidR="000A0CF5">
              <w:rPr>
                <w:noProof/>
                <w:webHidden/>
              </w:rPr>
            </w:r>
            <w:r w:rsidR="000A0CF5">
              <w:rPr>
                <w:noProof/>
                <w:webHidden/>
              </w:rPr>
              <w:fldChar w:fldCharType="separate"/>
            </w:r>
            <w:r w:rsidR="000A0CF5">
              <w:rPr>
                <w:noProof/>
                <w:webHidden/>
              </w:rPr>
              <w:t>11</w:t>
            </w:r>
            <w:r w:rsidR="000A0CF5">
              <w:rPr>
                <w:noProof/>
                <w:webHidden/>
              </w:rPr>
              <w:fldChar w:fldCharType="end"/>
            </w:r>
          </w:hyperlink>
        </w:p>
        <w:p w:rsidR="000A0CF5" w:rsidRDefault="00522A4A">
          <w:pPr>
            <w:pStyle w:val="TOC1"/>
            <w:tabs>
              <w:tab w:val="right" w:leader="dot" w:pos="9350"/>
            </w:tabs>
            <w:rPr>
              <w:rFonts w:asciiTheme="minorHAnsi" w:eastAsiaTheme="minorEastAsia" w:hAnsiTheme="minorHAnsi" w:cstheme="minorBidi"/>
              <w:noProof/>
              <w:sz w:val="22"/>
              <w:szCs w:val="22"/>
            </w:rPr>
          </w:pPr>
          <w:hyperlink w:anchor="_Toc173921136" w:history="1">
            <w:r w:rsidR="000A0CF5" w:rsidRPr="00B85C01">
              <w:rPr>
                <w:rStyle w:val="Hyperlink"/>
                <w:noProof/>
              </w:rPr>
              <w:t>CONCLUSION</w:t>
            </w:r>
            <w:r w:rsidR="000A0CF5">
              <w:rPr>
                <w:noProof/>
                <w:webHidden/>
              </w:rPr>
              <w:tab/>
            </w:r>
            <w:r w:rsidR="000A0CF5">
              <w:rPr>
                <w:noProof/>
                <w:webHidden/>
              </w:rPr>
              <w:fldChar w:fldCharType="begin"/>
            </w:r>
            <w:r w:rsidR="000A0CF5">
              <w:rPr>
                <w:noProof/>
                <w:webHidden/>
              </w:rPr>
              <w:instrText xml:space="preserve"> PAGEREF _Toc173921136 \h </w:instrText>
            </w:r>
            <w:r w:rsidR="000A0CF5">
              <w:rPr>
                <w:noProof/>
                <w:webHidden/>
              </w:rPr>
            </w:r>
            <w:r w:rsidR="000A0CF5">
              <w:rPr>
                <w:noProof/>
                <w:webHidden/>
              </w:rPr>
              <w:fldChar w:fldCharType="separate"/>
            </w:r>
            <w:r w:rsidR="000A0CF5">
              <w:rPr>
                <w:noProof/>
                <w:webHidden/>
              </w:rPr>
              <w:t>13</w:t>
            </w:r>
            <w:r w:rsidR="000A0CF5">
              <w:rPr>
                <w:noProof/>
                <w:webHidden/>
              </w:rPr>
              <w:fldChar w:fldCharType="end"/>
            </w:r>
          </w:hyperlink>
        </w:p>
        <w:p w:rsidR="000A0CF5" w:rsidRDefault="00522A4A">
          <w:pPr>
            <w:pStyle w:val="TOC1"/>
            <w:tabs>
              <w:tab w:val="right" w:leader="dot" w:pos="9350"/>
            </w:tabs>
            <w:rPr>
              <w:rFonts w:asciiTheme="minorHAnsi" w:eastAsiaTheme="minorEastAsia" w:hAnsiTheme="minorHAnsi" w:cstheme="minorBidi"/>
              <w:noProof/>
              <w:sz w:val="22"/>
              <w:szCs w:val="22"/>
            </w:rPr>
          </w:pPr>
          <w:hyperlink w:anchor="_Toc173921137" w:history="1">
            <w:r w:rsidR="000A0CF5" w:rsidRPr="00B85C01">
              <w:rPr>
                <w:rStyle w:val="Hyperlink"/>
                <w:noProof/>
              </w:rPr>
              <w:t>REFERENCES</w:t>
            </w:r>
            <w:r w:rsidR="000A0CF5">
              <w:rPr>
                <w:noProof/>
                <w:webHidden/>
              </w:rPr>
              <w:tab/>
            </w:r>
            <w:r w:rsidR="000A0CF5">
              <w:rPr>
                <w:noProof/>
                <w:webHidden/>
              </w:rPr>
              <w:fldChar w:fldCharType="begin"/>
            </w:r>
            <w:r w:rsidR="000A0CF5">
              <w:rPr>
                <w:noProof/>
                <w:webHidden/>
              </w:rPr>
              <w:instrText xml:space="preserve"> PAGEREF _Toc173921137 \h </w:instrText>
            </w:r>
            <w:r w:rsidR="000A0CF5">
              <w:rPr>
                <w:noProof/>
                <w:webHidden/>
              </w:rPr>
            </w:r>
            <w:r w:rsidR="000A0CF5">
              <w:rPr>
                <w:noProof/>
                <w:webHidden/>
              </w:rPr>
              <w:fldChar w:fldCharType="separate"/>
            </w:r>
            <w:r w:rsidR="000A0CF5">
              <w:rPr>
                <w:noProof/>
                <w:webHidden/>
              </w:rPr>
              <w:t>14</w:t>
            </w:r>
            <w:r w:rsidR="000A0CF5">
              <w:rPr>
                <w:noProof/>
                <w:webHidden/>
              </w:rPr>
              <w:fldChar w:fldCharType="end"/>
            </w:r>
          </w:hyperlink>
        </w:p>
        <w:p w:rsidR="00DB7701" w:rsidRDefault="00DB7701" w:rsidP="00DB7701">
          <w:r w:rsidRPr="00DB7701">
            <w:rPr>
              <w:b/>
              <w:bCs/>
              <w:noProof/>
            </w:rPr>
            <w:fldChar w:fldCharType="end"/>
          </w:r>
        </w:p>
      </w:sdtContent>
    </w:sdt>
    <w:p w:rsidR="00DB7701" w:rsidRDefault="00DB7701">
      <w:pPr>
        <w:spacing w:line="259" w:lineRule="auto"/>
        <w:jc w:val="left"/>
        <w:rPr>
          <w:rFonts w:eastAsiaTheme="majorEastAsia" w:cstheme="majorBidi"/>
          <w:b/>
          <w:color w:val="000000" w:themeColor="text1"/>
          <w:sz w:val="28"/>
          <w:szCs w:val="32"/>
          <w:lang w:val="en-GB"/>
        </w:rPr>
      </w:pPr>
      <w:r>
        <w:br w:type="page"/>
      </w:r>
    </w:p>
    <w:p w:rsidR="00DB7701" w:rsidRPr="00DB7701" w:rsidRDefault="00DB7701" w:rsidP="00DB7701">
      <w:pPr>
        <w:pStyle w:val="Heading1"/>
      </w:pPr>
      <w:bookmarkStart w:id="0" w:name="_Toc173921131"/>
      <w:r>
        <w:lastRenderedPageBreak/>
        <w:t>INTRODUCTION</w:t>
      </w:r>
      <w:bookmarkEnd w:id="0"/>
    </w:p>
    <w:p w:rsidR="003A74CA" w:rsidRDefault="00E233ED" w:rsidP="003A74CA">
      <w:r>
        <w:tab/>
      </w:r>
      <w:r w:rsidR="003A74CA">
        <w:t>This portfolio seeks to establish and practice the best practice in engaging the community particularly the Birmingham Settlement in Birmingham</w:t>
      </w:r>
      <w:r w:rsidR="008955C0">
        <w:t xml:space="preserve"> (</w:t>
      </w:r>
      <w:r w:rsidR="008955C0" w:rsidRPr="008955C0">
        <w:t>Hassan</w:t>
      </w:r>
      <w:r w:rsidR="008955C0">
        <w:t xml:space="preserve"> et al,</w:t>
      </w:r>
      <w:r w:rsidR="008955C0" w:rsidRPr="008955C0">
        <w:t xml:space="preserve"> 2023</w:t>
      </w:r>
      <w:r w:rsidR="008955C0">
        <w:t>)</w:t>
      </w:r>
      <w:r w:rsidR="003A74CA">
        <w:t>. As a complex socio-economic area, Birmingham is one of the most socially diverse cities in the country in terms of geographical distribution of people’s age</w:t>
      </w:r>
      <w:r>
        <w:t xml:space="preserve">, ethnicity, and social status. </w:t>
      </w:r>
      <w:r w:rsidR="003A74CA">
        <w:t xml:space="preserve">Thus, this </w:t>
      </w:r>
      <w:r>
        <w:t>center</w:t>
      </w:r>
      <w:r w:rsidR="003A74CA">
        <w:t xml:space="preserve"> is an important element of support services within the Birmingham, helping to address social and </w:t>
      </w:r>
      <w:r>
        <w:t>economic</w:t>
      </w:r>
      <w:r w:rsidR="003A74CA">
        <w:t xml:space="preserve"> issues in the region. To be able to do this effectively, the portfolio aims to work with this organization, so as to address the particular concerns of the community with which it comes into contact.</w:t>
      </w:r>
    </w:p>
    <w:p w:rsidR="00DB7701" w:rsidRPr="00DB7701" w:rsidRDefault="00E233ED" w:rsidP="003A74CA">
      <w:r>
        <w:tab/>
      </w:r>
      <w:r w:rsidR="003A74CA">
        <w:t xml:space="preserve">The first one of the four key areas, that forms the general structure of a portfolio, is as follows: First, the Community Outreach section uses statistical data and ethical concerns in assessing the demographic characteristics via outreach. Second, the Stakeholder Mapping Exercise make an infographic to help in the identification and analysis of the stakeholders in the community. Third, the Community Engagement Plan establishes a particular action plan for goals, strategies, and inclusion. Lastly, the Practical Discussion discusses the engagement activities, its benefits, how it can be a challenge, and lessons that have been learned personally, and </w:t>
      </w:r>
      <w:r>
        <w:t>recommendations for the future.</w:t>
      </w:r>
    </w:p>
    <w:p w:rsidR="00DB7701" w:rsidRPr="00DB7701" w:rsidRDefault="00DB7701" w:rsidP="00DB7701">
      <w:pPr>
        <w:pStyle w:val="Heading2"/>
      </w:pPr>
      <w:bookmarkStart w:id="1" w:name="_Toc173921132"/>
      <w:r w:rsidRPr="00DB7701">
        <w:t>Community Outreach</w:t>
      </w:r>
      <w:bookmarkEnd w:id="1"/>
    </w:p>
    <w:p w:rsidR="00DB7701" w:rsidRPr="00DB7701" w:rsidRDefault="00DB7701" w:rsidP="00DB7701">
      <w:r w:rsidRPr="00DB7701">
        <w:rPr>
          <w:b/>
          <w:bCs/>
        </w:rPr>
        <w:t>Birmingham Settlement: Mission and Key Activities</w:t>
      </w:r>
    </w:p>
    <w:p w:rsidR="00DB7701" w:rsidRPr="00DB7701" w:rsidRDefault="00E233ED" w:rsidP="00DB7701">
      <w:r>
        <w:tab/>
      </w:r>
      <w:r w:rsidR="003A74CA" w:rsidRPr="003A74CA">
        <w:t>Birmingham Settlement is a charitable organization established in 1899 with an aim to transform the status of individuals and families in the face of adversity</w:t>
      </w:r>
      <w:r w:rsidR="008955C0">
        <w:t xml:space="preserve"> (Steer,</w:t>
      </w:r>
      <w:r w:rsidR="008955C0" w:rsidRPr="008955C0">
        <w:t xml:space="preserve"> 2020</w:t>
      </w:r>
      <w:r w:rsidR="008955C0">
        <w:t>)</w:t>
      </w:r>
      <w:r w:rsidR="003A74CA" w:rsidRPr="003A74CA">
        <w:t>. This organization has been offering several services that include money assistance, accommodation services for the needy and the youths, and community development services. Their main purpose is to generate social integration, equal opportunities and personal development to enhance the well-being of citizens. Birmingham Settlement is spread out in many neighborhoods and it delivers programs fitting each community’s need</w:t>
      </w:r>
      <w:r w:rsidR="003A74CA">
        <w:t>s</w:t>
      </w:r>
      <w:r w:rsidR="00DB7701" w:rsidRPr="00DB7701">
        <w:t>.</w:t>
      </w:r>
    </w:p>
    <w:p w:rsidR="00DB7701" w:rsidRPr="00DB7701" w:rsidRDefault="00DB7701" w:rsidP="00DB7701">
      <w:r w:rsidRPr="00DB7701">
        <w:rPr>
          <w:b/>
          <w:bCs/>
        </w:rPr>
        <w:t>Demographic Analysis of the Community Served</w:t>
      </w:r>
    </w:p>
    <w:p w:rsidR="003A74CA" w:rsidRDefault="00E233ED" w:rsidP="003A74CA">
      <w:r>
        <w:tab/>
      </w:r>
      <w:r w:rsidR="003A74CA">
        <w:t>In this respect, Birmingham as a city has a rather diverse cultural profile and rather diverse socio-economic population. Thus, the community that Birmingham Settlement targets and helps is also diverse, including people of different age, ethnicity, and financial standings.</w:t>
      </w:r>
    </w:p>
    <w:p w:rsidR="00DB7701" w:rsidRPr="00DB7701" w:rsidRDefault="003A74CA" w:rsidP="003A74CA">
      <w:r w:rsidRPr="003A74CA">
        <w:rPr>
          <w:b/>
        </w:rPr>
        <w:lastRenderedPageBreak/>
        <w:t>Age Distribution:</w:t>
      </w:r>
      <w:r>
        <w:t xml:space="preserve"> In this community, the age distribution is quite diverse with the largest group comprising young people who are below 25 years of age. This is more so given the fact that Birmingham is reputed for being a young city with many students, most of who are of </w:t>
      </w:r>
      <w:r w:rsidR="00E233ED">
        <w:t>color</w:t>
      </w:r>
      <w:r>
        <w:t>. However, there is also a major population of working age people with limited financial conditions including joblessness or meager wages. It also targets the elderly people most of whom are isolated or have health complications.</w:t>
      </w:r>
    </w:p>
    <w:p w:rsidR="003A74CA" w:rsidRPr="003A74CA" w:rsidRDefault="003A74CA" w:rsidP="003A74CA">
      <w:pPr>
        <w:rPr>
          <w:bCs/>
        </w:rPr>
      </w:pPr>
      <w:r w:rsidRPr="003A74CA">
        <w:rPr>
          <w:b/>
          <w:bCs/>
        </w:rPr>
        <w:t>Ethnic Composition:</w:t>
      </w:r>
      <w:r w:rsidRPr="003A74CA">
        <w:rPr>
          <w:bCs/>
        </w:rPr>
        <w:t xml:space="preserve"> Still, it is important to mention, that ethnic distribution of the Birmingham population is rather rich</w:t>
      </w:r>
      <w:r w:rsidR="008955C0">
        <w:rPr>
          <w:bCs/>
        </w:rPr>
        <w:t xml:space="preserve"> (Campion,</w:t>
      </w:r>
      <w:r w:rsidR="008955C0" w:rsidRPr="008955C0">
        <w:rPr>
          <w:bCs/>
        </w:rPr>
        <w:t xml:space="preserve"> 2021</w:t>
      </w:r>
      <w:r w:rsidR="008955C0">
        <w:rPr>
          <w:bCs/>
        </w:rPr>
        <w:t>)</w:t>
      </w:r>
      <w:r w:rsidRPr="003A74CA">
        <w:rPr>
          <w:bCs/>
        </w:rPr>
        <w:t>. The clients that are targeted by Birmingham Settlement include people from South Asian, African-Caribbean, eastern Europe and Middle Eastern origin among others. It is admired that the community at Kingsley-Park is multicultural, but the problem is that every culture needs to be addressed, and most people speak different languages.</w:t>
      </w:r>
    </w:p>
    <w:p w:rsidR="00DB7701" w:rsidRPr="003A74CA" w:rsidRDefault="003A74CA" w:rsidP="003A74CA">
      <w:r w:rsidRPr="003A74CA">
        <w:rPr>
          <w:b/>
          <w:bCs/>
        </w:rPr>
        <w:t>Socio-Economic Status:</w:t>
      </w:r>
      <w:r w:rsidRPr="003A74CA">
        <w:rPr>
          <w:bCs/>
        </w:rPr>
        <w:t xml:space="preserve"> It is notable, therefore, that the socio-economic status of people in the community can be relatively high or low. Residents’ economic problems are evidenced in high unemployment, under employment and dependency on social welfare. Homelessness and poverty cases are some of the problems that Birmingham Settlement helps to solve with the help of all its services.</w:t>
      </w:r>
    </w:p>
    <w:p w:rsidR="00DB7701" w:rsidRPr="00DB7701" w:rsidRDefault="00DB7701" w:rsidP="00DB7701">
      <w:r w:rsidRPr="00DB7701">
        <w:rPr>
          <w:b/>
          <w:bCs/>
        </w:rPr>
        <w:t>Summary of Outreach Activities Conducted</w:t>
      </w:r>
    </w:p>
    <w:p w:rsidR="003A74CA" w:rsidRDefault="003A74CA" w:rsidP="003A74CA">
      <w:r>
        <w:t>In addition, in order respond to the needs of the community, Birmingham Settlement implements various types of outreach activities. such activities as; sample surveys, focused group discussions and interviewing of members of the community.</w:t>
      </w:r>
    </w:p>
    <w:p w:rsidR="003A74CA" w:rsidRDefault="00E233ED" w:rsidP="003A74CA">
      <w:r>
        <w:tab/>
      </w:r>
      <w:r w:rsidR="003A74CA">
        <w:t>When doing the outreach activities, the workers from Birmingham Settlement come across people in schools, community halls, events, among others. The main aim is to understand the nature of the needs unique to diverse groups in the population and where the intervention would be most helpful.</w:t>
      </w:r>
    </w:p>
    <w:p w:rsidR="00DB7701" w:rsidRPr="00DB7701" w:rsidRDefault="00E233ED" w:rsidP="003A74CA">
      <w:r>
        <w:tab/>
      </w:r>
      <w:r w:rsidR="003A74CA">
        <w:t xml:space="preserve">From these brief engagements, Birmingham Settlement has been able to establish some areas of concern such as poor financial security, lack of shelter and housing, poor education and employment opportunities, and loneliness. </w:t>
      </w:r>
    </w:p>
    <w:p w:rsidR="00DB7701" w:rsidRPr="00DB7701" w:rsidRDefault="00DB7701" w:rsidP="00DB7701">
      <w:r w:rsidRPr="00DB7701">
        <w:rPr>
          <w:b/>
          <w:bCs/>
        </w:rPr>
        <w:t>Ethical Considerations and Social, Economic, and Cultural Factors</w:t>
      </w:r>
    </w:p>
    <w:p w:rsidR="003A74CA" w:rsidRDefault="003A74CA" w:rsidP="003A74CA">
      <w:r>
        <w:lastRenderedPageBreak/>
        <w:t>Birmingham Settlement follows different ethical considerations while dealing with the community as it is important that the community engagement process should be ethical and proper for all the participants.</w:t>
      </w:r>
    </w:p>
    <w:p w:rsidR="003A74CA" w:rsidRDefault="003A74CA" w:rsidP="003A74CA">
      <w:r w:rsidRPr="003A74CA">
        <w:rPr>
          <w:b/>
        </w:rPr>
        <w:t>Confidentiality and Privacy:</w:t>
      </w:r>
      <w:r>
        <w:t xml:space="preserve"> This includes but not limited to protection of the identity of clients, employees or any individual involved in a transaction</w:t>
      </w:r>
      <w:r w:rsidR="008955C0">
        <w:t xml:space="preserve"> (</w:t>
      </w:r>
      <w:r w:rsidR="008955C0" w:rsidRPr="008955C0">
        <w:t>Bouras</w:t>
      </w:r>
      <w:r w:rsidR="008955C0">
        <w:t xml:space="preserve"> et al, </w:t>
      </w:r>
      <w:r w:rsidR="008955C0" w:rsidRPr="008955C0">
        <w:t>2020</w:t>
      </w:r>
      <w:r w:rsidR="008955C0">
        <w:t>)</w:t>
      </w:r>
      <w:r>
        <w:t>. Whenever collecting data during any outreach activity, the data is treated with a lot of care to avoid misuse or misuse of any person’s information.</w:t>
      </w:r>
    </w:p>
    <w:p w:rsidR="003A74CA" w:rsidRDefault="003A74CA" w:rsidP="003A74CA">
      <w:r w:rsidRPr="003A74CA">
        <w:rPr>
          <w:b/>
        </w:rPr>
        <w:t>Inclusivity and Cultural Sensitivity:</w:t>
      </w:r>
      <w:r>
        <w:t xml:space="preserve"> Therefore, there is a need to ensure that the outreach activities taking in the region are culturally acceptable since there is a variation of the ethnic group. It requires translating the information and services into several languages, honoring cultural practices and values and making everybody in a specific community feel welcome.</w:t>
      </w:r>
    </w:p>
    <w:p w:rsidR="00DB7701" w:rsidRPr="00DB7701" w:rsidRDefault="003A74CA" w:rsidP="003A74CA">
      <w:r w:rsidRPr="003A74CA">
        <w:rPr>
          <w:b/>
        </w:rPr>
        <w:t>Economic Barriers:</w:t>
      </w:r>
      <w:r>
        <w:t xml:space="preserve"> Realizing that many residents have economic constraints, Birmingham Settlement aims to maintain its services’ affordability for everybody. Some of these activities may include informing the targeted persons on available or affordable services that may assist them.</w:t>
      </w:r>
    </w:p>
    <w:p w:rsidR="003A74CA" w:rsidRPr="003A74CA" w:rsidRDefault="003A74CA" w:rsidP="003A74CA">
      <w:pPr>
        <w:rPr>
          <w:bCs/>
        </w:rPr>
      </w:pPr>
      <w:r w:rsidRPr="003A74CA">
        <w:rPr>
          <w:b/>
          <w:bCs/>
        </w:rPr>
        <w:t>Social Inclusion:</w:t>
      </w:r>
      <w:r w:rsidRPr="003A74CA">
        <w:rPr>
          <w:bCs/>
        </w:rPr>
        <w:t xml:space="preserve"> Social integration is one of the basics that Birmingham Settlement focuses on meeting within the society. Awareness interventions are aimed at increasing an individual’s involvement in programs/activities that enhance aspects of social/economic wellbeing.</w:t>
      </w:r>
    </w:p>
    <w:p w:rsidR="00DB7701" w:rsidRDefault="00E233ED" w:rsidP="003A74CA">
      <w:pPr>
        <w:rPr>
          <w:bCs/>
        </w:rPr>
      </w:pPr>
      <w:r>
        <w:rPr>
          <w:bCs/>
        </w:rPr>
        <w:tab/>
      </w:r>
      <w:r w:rsidR="003A74CA" w:rsidRPr="003A74CA">
        <w:rPr>
          <w:bCs/>
        </w:rPr>
        <w:t xml:space="preserve">Outreach of Birmingham Settlement is very important to the organization since it exists to transform the lives of needy people of Birmingham. This way, the organization will be able to provide the community with effective as well as relevant programs that meet its needs based on the nature of its demography. </w:t>
      </w:r>
    </w:p>
    <w:p w:rsidR="00DB7701" w:rsidRDefault="00DB7701" w:rsidP="00DB7701">
      <w:pPr>
        <w:pStyle w:val="Heading2"/>
      </w:pPr>
      <w:bookmarkStart w:id="2" w:name="_Toc173921133"/>
      <w:r w:rsidRPr="00DB7701">
        <w:t>Stakeholder Mapping Exercise</w:t>
      </w:r>
      <w:bookmarkEnd w:id="2"/>
    </w:p>
    <w:p w:rsidR="00577B26" w:rsidRPr="00195CA5" w:rsidRDefault="00195CA5" w:rsidP="003A74CA">
      <w:r w:rsidRPr="00195CA5">
        <w:rPr>
          <w:noProof/>
        </w:rPr>
        <w:drawing>
          <wp:inline distT="0" distB="0" distL="0" distR="0" wp14:anchorId="4E9816F3" wp14:editId="190F0409">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2640"/>
                    </a:xfrm>
                    <a:prstGeom prst="rect">
                      <a:avLst/>
                    </a:prstGeom>
                  </pic:spPr>
                </pic:pic>
              </a:graphicData>
            </a:graphic>
          </wp:inline>
        </w:drawing>
      </w:r>
    </w:p>
    <w:p w:rsidR="00DB7701" w:rsidRDefault="00DB7701" w:rsidP="00DB7701">
      <w:pPr>
        <w:pStyle w:val="Heading2"/>
      </w:pPr>
      <w:bookmarkStart w:id="3" w:name="_Toc173921134"/>
      <w:r w:rsidRPr="00DB7701">
        <w:t>Community Engagement Plan</w:t>
      </w:r>
      <w:bookmarkEnd w:id="3"/>
    </w:p>
    <w:p w:rsidR="00195CA5" w:rsidRPr="00195CA5" w:rsidRDefault="00195CA5" w:rsidP="00195CA5">
      <w:r>
        <w:t>Slide 1</w:t>
      </w:r>
    </w:p>
    <w:p w:rsidR="00195CA5" w:rsidRDefault="00195CA5" w:rsidP="00195CA5">
      <w:r w:rsidRPr="00195CA5">
        <w:rPr>
          <w:noProof/>
        </w:rPr>
        <w:drawing>
          <wp:inline distT="0" distB="0" distL="0" distR="0" wp14:anchorId="3F42C242" wp14:editId="7A8A63C6">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rsidR="00195CA5" w:rsidRDefault="00195CA5" w:rsidP="00195CA5">
      <w:r>
        <w:t>Slide 2</w:t>
      </w:r>
    </w:p>
    <w:p w:rsidR="00195CA5" w:rsidRDefault="00195CA5" w:rsidP="00195CA5">
      <w:r w:rsidRPr="00195CA5">
        <w:rPr>
          <w:noProof/>
        </w:rPr>
        <w:drawing>
          <wp:inline distT="0" distB="0" distL="0" distR="0" wp14:anchorId="366C4B65" wp14:editId="53E225FC">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195CA5" w:rsidRDefault="00195CA5" w:rsidP="00195CA5">
      <w:r>
        <w:t>Slide 3</w:t>
      </w:r>
    </w:p>
    <w:p w:rsidR="00195CA5" w:rsidRDefault="00195CA5" w:rsidP="00195CA5">
      <w:r w:rsidRPr="00195CA5">
        <w:rPr>
          <w:noProof/>
        </w:rPr>
        <w:drawing>
          <wp:inline distT="0" distB="0" distL="0" distR="0" wp14:anchorId="381A7095" wp14:editId="7891C3D4">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195CA5" w:rsidRDefault="00195CA5" w:rsidP="00195CA5">
      <w:r>
        <w:t>Slide 4</w:t>
      </w:r>
    </w:p>
    <w:p w:rsidR="00195CA5" w:rsidRDefault="00195CA5" w:rsidP="00195CA5">
      <w:r w:rsidRPr="00195CA5">
        <w:rPr>
          <w:noProof/>
        </w:rPr>
        <w:drawing>
          <wp:inline distT="0" distB="0" distL="0" distR="0" wp14:anchorId="0266F436" wp14:editId="49B624DC">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195CA5" w:rsidRDefault="00195CA5" w:rsidP="00195CA5">
      <w:r>
        <w:t>Slide 5</w:t>
      </w:r>
    </w:p>
    <w:p w:rsidR="00195CA5" w:rsidRDefault="00195CA5" w:rsidP="00195CA5">
      <w:r w:rsidRPr="00195CA5">
        <w:rPr>
          <w:noProof/>
        </w:rPr>
        <w:drawing>
          <wp:inline distT="0" distB="0" distL="0" distR="0" wp14:anchorId="2E73B0E4" wp14:editId="268CB8CD">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195CA5" w:rsidRDefault="00195CA5" w:rsidP="00195CA5">
      <w:pPr>
        <w:rPr>
          <w:b/>
        </w:rPr>
      </w:pPr>
      <w:r w:rsidRPr="00195CA5">
        <w:rPr>
          <w:b/>
        </w:rPr>
        <w:t xml:space="preserve">Notes: </w:t>
      </w:r>
    </w:p>
    <w:p w:rsidR="00195CA5" w:rsidRPr="00195CA5" w:rsidRDefault="00195CA5" w:rsidP="00195CA5">
      <w:r w:rsidRPr="00195CA5">
        <w:rPr>
          <w:bCs/>
        </w:rPr>
        <w:t>Specific Activities to be Undertaken</w:t>
      </w:r>
    </w:p>
    <w:p w:rsidR="00195CA5" w:rsidRPr="00195CA5" w:rsidRDefault="00195CA5" w:rsidP="00195CA5">
      <w:r w:rsidRPr="00195CA5">
        <w:rPr>
          <w:bCs/>
        </w:rPr>
        <w:t>Community Workshops:</w:t>
      </w:r>
      <w:r w:rsidRPr="00195CA5">
        <w:t xml:space="preserve"> To meet the needs of the community offer once a month workshops in areas of financial, health, and employment resources.</w:t>
      </w:r>
    </w:p>
    <w:p w:rsidR="00195CA5" w:rsidRPr="00195CA5" w:rsidRDefault="00195CA5" w:rsidP="00195CA5">
      <w:r w:rsidRPr="00195CA5">
        <w:rPr>
          <w:bCs/>
        </w:rPr>
        <w:t>Youth Programs:</w:t>
      </w:r>
      <w:r w:rsidRPr="00195CA5">
        <w:t xml:space="preserve"> Support programs that are meant to offer extra tuition and extra-curricular activities to the young people after school or during their holidays.</w:t>
      </w:r>
    </w:p>
    <w:p w:rsidR="00195CA5" w:rsidRPr="00195CA5" w:rsidRDefault="00195CA5" w:rsidP="00195CA5">
      <w:r w:rsidRPr="00195CA5">
        <w:rPr>
          <w:bCs/>
        </w:rPr>
        <w:t>Health and Well-being Initiatives:</w:t>
      </w:r>
      <w:r w:rsidRPr="00195CA5">
        <w:t xml:space="preserve"> It involves integrating with local health care agencies to avail preventive health checkups, counseling services, and workout.</w:t>
      </w:r>
    </w:p>
    <w:p w:rsidR="00195CA5" w:rsidRPr="00195CA5" w:rsidRDefault="00195CA5" w:rsidP="00195CA5">
      <w:r w:rsidRPr="00195CA5">
        <w:rPr>
          <w:bCs/>
        </w:rPr>
        <w:t>Timeline and Milestones</w:t>
      </w:r>
    </w:p>
    <w:p w:rsidR="00195CA5" w:rsidRPr="00195CA5" w:rsidRDefault="00195CA5" w:rsidP="00195CA5">
      <w:r w:rsidRPr="00195CA5">
        <w:rPr>
          <w:bCs/>
        </w:rPr>
        <w:t>Month 1-3:</w:t>
      </w:r>
      <w:r w:rsidRPr="00195CA5">
        <w:t xml:space="preserve"> Therefore, there is need to establish community workshops and recruit volunteers to support the cause (Same et al, 2020).</w:t>
      </w:r>
    </w:p>
    <w:p w:rsidR="00195CA5" w:rsidRPr="00195CA5" w:rsidRDefault="00195CA5" w:rsidP="00195CA5">
      <w:r w:rsidRPr="00195CA5">
        <w:rPr>
          <w:bCs/>
        </w:rPr>
        <w:t>Month 4-6:</w:t>
      </w:r>
      <w:r w:rsidRPr="00195CA5">
        <w:t xml:space="preserve"> Developing the youth programs and partnership agreements are made for the schools in that region.</w:t>
      </w:r>
    </w:p>
    <w:p w:rsidR="00195CA5" w:rsidRPr="00195CA5" w:rsidRDefault="00195CA5" w:rsidP="00195CA5">
      <w:r w:rsidRPr="00195CA5">
        <w:rPr>
          <w:bCs/>
        </w:rPr>
        <w:t>Month 7-9:</w:t>
      </w:r>
      <w:r w:rsidRPr="00195CA5">
        <w:t xml:space="preserve"> Introduce health and wellbeing activities and review the status of the activities in this area.</w:t>
      </w:r>
    </w:p>
    <w:p w:rsidR="00195CA5" w:rsidRPr="00195CA5" w:rsidRDefault="00195CA5" w:rsidP="00195CA5">
      <w:r w:rsidRPr="00195CA5">
        <w:rPr>
          <w:bCs/>
        </w:rPr>
        <w:t>Month 10-12:</w:t>
      </w:r>
      <w:r w:rsidRPr="00195CA5">
        <w:t xml:space="preserve"> Identify gaps and changes in all the programs implemented and make a final assessment.</w:t>
      </w:r>
    </w:p>
    <w:p w:rsidR="00195CA5" w:rsidRPr="00195CA5" w:rsidRDefault="00195CA5" w:rsidP="00195CA5">
      <w:r w:rsidRPr="00195CA5">
        <w:rPr>
          <w:bCs/>
        </w:rPr>
        <w:t>Resource Allocation and Responsibilities</w:t>
      </w:r>
    </w:p>
    <w:p w:rsidR="00195CA5" w:rsidRPr="00195CA5" w:rsidRDefault="00195CA5" w:rsidP="00195CA5">
      <w:r w:rsidRPr="00195CA5">
        <w:rPr>
          <w:bCs/>
        </w:rPr>
        <w:t>Human Resources:</w:t>
      </w:r>
      <w:r w:rsidRPr="00195CA5">
        <w:t xml:space="preserve"> Recruit permanent employees and trained volunteers for each of them.</w:t>
      </w:r>
    </w:p>
    <w:p w:rsidR="00195CA5" w:rsidRPr="00195CA5" w:rsidRDefault="00195CA5" w:rsidP="00195CA5">
      <w:r w:rsidRPr="00195CA5">
        <w:rPr>
          <w:bCs/>
        </w:rPr>
        <w:t>Financial Resources:</w:t>
      </w:r>
      <w:r w:rsidRPr="00195CA5">
        <w:t xml:space="preserve"> Devise and obtain financial support from the funded organization’s budget, and actively search for grants and donations.</w:t>
      </w:r>
    </w:p>
    <w:p w:rsidR="00195CA5" w:rsidRDefault="00195CA5" w:rsidP="00195CA5">
      <w:r w:rsidRPr="00195CA5">
        <w:rPr>
          <w:bCs/>
        </w:rPr>
        <w:t>Material Resources:</w:t>
      </w:r>
      <w:r w:rsidRPr="00195CA5">
        <w:t xml:space="preserve"> Make programs to be held in centers, school and health facilities.</w:t>
      </w:r>
    </w:p>
    <w:p w:rsidR="00195CA5" w:rsidRDefault="00195CA5" w:rsidP="00195CA5"/>
    <w:p w:rsidR="00195CA5" w:rsidRDefault="00195CA5" w:rsidP="00195CA5"/>
    <w:p w:rsidR="00195CA5" w:rsidRDefault="00195CA5" w:rsidP="00195CA5"/>
    <w:p w:rsidR="00195CA5" w:rsidRDefault="00195CA5" w:rsidP="00195CA5"/>
    <w:p w:rsidR="00195CA5" w:rsidRDefault="00195CA5" w:rsidP="00195CA5"/>
    <w:p w:rsidR="00195CA5" w:rsidRPr="00195CA5" w:rsidRDefault="00195CA5" w:rsidP="00195CA5">
      <w:r>
        <w:t>Slide 6</w:t>
      </w:r>
    </w:p>
    <w:p w:rsidR="00195CA5" w:rsidRDefault="00195CA5" w:rsidP="00195CA5">
      <w:pPr>
        <w:rPr>
          <w:b/>
        </w:rPr>
      </w:pPr>
      <w:r w:rsidRPr="00195CA5">
        <w:rPr>
          <w:b/>
          <w:noProof/>
        </w:rPr>
        <w:drawing>
          <wp:inline distT="0" distB="0" distL="0" distR="0" wp14:anchorId="3ED6D8BD" wp14:editId="1650A2BA">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195CA5" w:rsidRDefault="00195CA5" w:rsidP="00195CA5">
      <w:r>
        <w:rPr>
          <w:b/>
        </w:rPr>
        <w:t xml:space="preserve">Notes: </w:t>
      </w:r>
    </w:p>
    <w:p w:rsidR="00195CA5" w:rsidRDefault="00195CA5" w:rsidP="00195CA5">
      <w:r w:rsidRPr="00195CA5">
        <w:t>The following plan of action will ensure that accessibility is improved by offering services in various locations in the community to the needy individuals: The communities with focus on the outreach activities will include ethnic minorities, the elder, and those with some disability.</w:t>
      </w:r>
    </w:p>
    <w:p w:rsidR="00195CA5" w:rsidRDefault="00195CA5" w:rsidP="00195CA5"/>
    <w:p w:rsidR="00195CA5" w:rsidRDefault="00195CA5" w:rsidP="00195CA5"/>
    <w:p w:rsidR="00195CA5" w:rsidRDefault="00195CA5" w:rsidP="00195CA5"/>
    <w:p w:rsidR="00195CA5" w:rsidRDefault="00195CA5" w:rsidP="00195CA5"/>
    <w:p w:rsidR="00195CA5" w:rsidRDefault="00195CA5" w:rsidP="00195CA5"/>
    <w:p w:rsidR="00195CA5" w:rsidRDefault="00195CA5" w:rsidP="00195CA5"/>
    <w:p w:rsidR="00195CA5" w:rsidRDefault="00195CA5" w:rsidP="00195CA5"/>
    <w:p w:rsidR="00195CA5" w:rsidRDefault="00195CA5" w:rsidP="00195CA5"/>
    <w:p w:rsidR="00195CA5" w:rsidRPr="00195CA5" w:rsidRDefault="00195CA5" w:rsidP="00195CA5">
      <w:r>
        <w:t>Slide 7</w:t>
      </w:r>
    </w:p>
    <w:p w:rsidR="00195CA5" w:rsidRDefault="00195CA5" w:rsidP="00195CA5">
      <w:pPr>
        <w:rPr>
          <w:b/>
        </w:rPr>
      </w:pPr>
      <w:r w:rsidRPr="00195CA5">
        <w:rPr>
          <w:b/>
          <w:noProof/>
        </w:rPr>
        <w:drawing>
          <wp:inline distT="0" distB="0" distL="0" distR="0" wp14:anchorId="1CE4E52D" wp14:editId="6533F146">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195CA5" w:rsidRDefault="00195CA5" w:rsidP="00195CA5">
      <w:pPr>
        <w:rPr>
          <w:b/>
        </w:rPr>
      </w:pPr>
      <w:r>
        <w:rPr>
          <w:b/>
        </w:rPr>
        <w:t xml:space="preserve">Notes: </w:t>
      </w:r>
    </w:p>
    <w:p w:rsidR="00195CA5" w:rsidRPr="00195CA5" w:rsidRDefault="00195CA5" w:rsidP="00195CA5">
      <w:r w:rsidRPr="00195CA5">
        <w:rPr>
          <w:bCs/>
        </w:rPr>
        <w:t>Challenges</w:t>
      </w:r>
      <w:r w:rsidRPr="00195CA5">
        <w:t>:</w:t>
      </w:r>
    </w:p>
    <w:p w:rsidR="00195CA5" w:rsidRPr="00195CA5" w:rsidRDefault="00195CA5" w:rsidP="00195CA5">
      <w:r w:rsidRPr="00195CA5">
        <w:rPr>
          <w:bCs/>
        </w:rPr>
        <w:t xml:space="preserve">Cultural Barriers: </w:t>
      </w:r>
      <w:r w:rsidRPr="00195CA5">
        <w:t>It can be postulated that group cultural backgrounds may influence the participation rate.</w:t>
      </w:r>
    </w:p>
    <w:p w:rsidR="00195CA5" w:rsidRPr="00195CA5" w:rsidRDefault="00195CA5" w:rsidP="00195CA5">
      <w:r w:rsidRPr="00195CA5">
        <w:rPr>
          <w:bCs/>
        </w:rPr>
        <w:t>Resource Limitations:</w:t>
      </w:r>
      <w:r w:rsidRPr="00195CA5">
        <w:t xml:space="preserve"> Restriction in funding and volunteers could be a setback to the provision of the programs.</w:t>
      </w:r>
    </w:p>
    <w:p w:rsidR="00195CA5" w:rsidRPr="00195CA5" w:rsidRDefault="00195CA5" w:rsidP="00195CA5">
      <w:r w:rsidRPr="00195CA5">
        <w:rPr>
          <w:bCs/>
        </w:rPr>
        <w:t>Engagement:</w:t>
      </w:r>
      <w:r w:rsidRPr="00195CA5">
        <w:t xml:space="preserve"> It can be somewhat difficult to maintain the members of a community continually involved.</w:t>
      </w:r>
    </w:p>
    <w:p w:rsidR="00195CA5" w:rsidRPr="00195CA5" w:rsidRDefault="00195CA5" w:rsidP="00195CA5">
      <w:r w:rsidRPr="00195CA5">
        <w:rPr>
          <w:bCs/>
        </w:rPr>
        <w:t>Mitigation Strategies</w:t>
      </w:r>
      <w:r w:rsidRPr="00195CA5">
        <w:t>:</w:t>
      </w:r>
    </w:p>
    <w:p w:rsidR="00195CA5" w:rsidRPr="00195CA5" w:rsidRDefault="00195CA5" w:rsidP="00195CA5">
      <w:r w:rsidRPr="00195CA5">
        <w:rPr>
          <w:bCs/>
        </w:rPr>
        <w:t>Cultural Barriers:</w:t>
      </w:r>
      <w:r w:rsidRPr="00195CA5">
        <w:t xml:space="preserve"> Hire and train cultural mediators and provide cultural sensitivity education to employees and other workers.</w:t>
      </w:r>
    </w:p>
    <w:p w:rsidR="00195CA5" w:rsidRPr="00195CA5" w:rsidRDefault="00195CA5" w:rsidP="00195CA5">
      <w:r w:rsidRPr="00195CA5">
        <w:rPr>
          <w:bCs/>
        </w:rPr>
        <w:t>Resource Limitations:</w:t>
      </w:r>
      <w:r w:rsidRPr="00195CA5">
        <w:t xml:space="preserve"> Seek more financial resources; develop the volunteer recruitment and volunteer retention system.</w:t>
      </w:r>
    </w:p>
    <w:p w:rsidR="00195CA5" w:rsidRDefault="00195CA5" w:rsidP="00195CA5">
      <w:r w:rsidRPr="00195CA5">
        <w:rPr>
          <w:bCs/>
        </w:rPr>
        <w:t>Engagement:</w:t>
      </w:r>
      <w:r w:rsidRPr="00195CA5">
        <w:t xml:space="preserve"> Establish a strong communication channel by creating an active social media presence, tab at community functions and local media (Steinmetz et al, 2021).</w:t>
      </w:r>
    </w:p>
    <w:p w:rsidR="00195CA5" w:rsidRPr="00195CA5" w:rsidRDefault="00195CA5" w:rsidP="00195CA5">
      <w:r>
        <w:t>Slide 8</w:t>
      </w:r>
    </w:p>
    <w:p w:rsidR="00195CA5" w:rsidRDefault="00195CA5" w:rsidP="00195CA5">
      <w:pPr>
        <w:rPr>
          <w:b/>
        </w:rPr>
      </w:pPr>
      <w:r w:rsidRPr="00195CA5">
        <w:rPr>
          <w:b/>
          <w:noProof/>
        </w:rPr>
        <w:drawing>
          <wp:inline distT="0" distB="0" distL="0" distR="0" wp14:anchorId="090268AB" wp14:editId="4C0BB64A">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195CA5" w:rsidRDefault="00195CA5" w:rsidP="00195CA5">
      <w:r w:rsidRPr="00195CA5">
        <w:t xml:space="preserve">Notes: </w:t>
      </w:r>
      <w:r w:rsidRPr="00195CA5">
        <w:br/>
        <w:t xml:space="preserve">There will be an annual analysis to identify overall progress and to make informed decisions regarding modifications to strategies and programs. To this end, this effectively developed community engagement plan for Birmingham Settlement seeks to make a positive and progressive environment in the community. </w:t>
      </w:r>
    </w:p>
    <w:p w:rsidR="00195CA5" w:rsidRDefault="00195CA5" w:rsidP="00195CA5"/>
    <w:p w:rsidR="00195CA5" w:rsidRDefault="00195CA5" w:rsidP="00195CA5"/>
    <w:p w:rsidR="00195CA5" w:rsidRDefault="00195CA5" w:rsidP="00195CA5"/>
    <w:p w:rsidR="00195CA5" w:rsidRDefault="00195CA5" w:rsidP="00195CA5"/>
    <w:p w:rsidR="00195CA5" w:rsidRDefault="00195CA5" w:rsidP="00195CA5"/>
    <w:p w:rsidR="00195CA5" w:rsidRDefault="00195CA5" w:rsidP="00195CA5"/>
    <w:p w:rsidR="00195CA5" w:rsidRPr="00195CA5" w:rsidRDefault="00195CA5" w:rsidP="00195CA5">
      <w:r>
        <w:t>Slide 9</w:t>
      </w:r>
    </w:p>
    <w:p w:rsidR="00195CA5" w:rsidRDefault="00195CA5" w:rsidP="00195CA5">
      <w:r w:rsidRPr="00195CA5">
        <w:rPr>
          <w:noProof/>
        </w:rPr>
        <w:drawing>
          <wp:inline distT="0" distB="0" distL="0" distR="0" wp14:anchorId="1216A9C9" wp14:editId="3E3FE981">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195CA5" w:rsidRDefault="00195CA5" w:rsidP="00195CA5">
      <w:r>
        <w:t>Slide 10</w:t>
      </w:r>
    </w:p>
    <w:p w:rsidR="00D51C4A" w:rsidRPr="00195CA5" w:rsidRDefault="00195CA5" w:rsidP="00195CA5">
      <w:r w:rsidRPr="00195CA5">
        <w:rPr>
          <w:noProof/>
        </w:rPr>
        <w:drawing>
          <wp:inline distT="0" distB="0" distL="0" distR="0" wp14:anchorId="0B964CBD" wp14:editId="0716B60B">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r w:rsidR="00D51C4A" w:rsidRPr="00195CA5">
        <w:br w:type="page"/>
      </w:r>
    </w:p>
    <w:p w:rsidR="00996139" w:rsidRPr="00996139" w:rsidRDefault="00996139" w:rsidP="003A74CA">
      <w:pPr>
        <w:rPr>
          <w:b/>
          <w:sz w:val="40"/>
          <w:szCs w:val="40"/>
        </w:rPr>
      </w:pPr>
    </w:p>
    <w:p w:rsidR="00DB7701" w:rsidRPr="00DB7701" w:rsidRDefault="00DB7701" w:rsidP="00DB7701">
      <w:pPr>
        <w:pStyle w:val="Heading2"/>
      </w:pPr>
      <w:bookmarkStart w:id="4" w:name="_Toc173921135"/>
      <w:r w:rsidRPr="00DB7701">
        <w:t>Practical Discussion</w:t>
      </w:r>
      <w:bookmarkEnd w:id="4"/>
    </w:p>
    <w:p w:rsidR="00DB7701" w:rsidRPr="00DB7701" w:rsidRDefault="00DB7701" w:rsidP="00DB7701">
      <w:r w:rsidRPr="00DB7701">
        <w:rPr>
          <w:b/>
          <w:bCs/>
        </w:rPr>
        <w:t>Key Findings from Community Outreach and Stakeholder Mapping</w:t>
      </w:r>
    </w:p>
    <w:p w:rsidR="00DB7701" w:rsidRPr="00DB7701" w:rsidRDefault="003A74CA" w:rsidP="00DB7701">
      <w:r w:rsidRPr="003A74CA">
        <w:t>Analysis from community outreach as well as stakeholder mapping provided the research study with the following important findings regarding Birmingham Settlement and its surrounding society</w:t>
      </w:r>
      <w:r w:rsidR="008955C0">
        <w:t xml:space="preserve"> (</w:t>
      </w:r>
      <w:r w:rsidR="008955C0" w:rsidRPr="008955C0">
        <w:t>Hassan</w:t>
      </w:r>
      <w:r w:rsidR="008955C0">
        <w:t xml:space="preserve"> et al,</w:t>
      </w:r>
      <w:r w:rsidR="008955C0" w:rsidRPr="008955C0">
        <w:t xml:space="preserve"> 2023</w:t>
      </w:r>
      <w:r w:rsidR="008955C0">
        <w:t>)</w:t>
      </w:r>
      <w:r w:rsidRPr="003A74CA">
        <w:t>. These activities included the exposure of several social economical vices such as; Leakage of funds, Lack of necessary education and job provisions, and community recluse among others. Local people, volunteers, local firms, the state, and other NGOs were described during stakeholder mapping as essentia</w:t>
      </w:r>
      <w:r>
        <w:t>l actors in the community’s web</w:t>
      </w:r>
      <w:r w:rsidR="00DB7701" w:rsidRPr="00DB7701">
        <w:t>.</w:t>
      </w:r>
    </w:p>
    <w:p w:rsidR="00DB7701" w:rsidRPr="00DB7701" w:rsidRDefault="00DB7701" w:rsidP="00DB7701">
      <w:r w:rsidRPr="00DB7701">
        <w:rPr>
          <w:b/>
          <w:bCs/>
        </w:rPr>
        <w:t>Benefits of Actively Engaging with Stakeholders</w:t>
      </w:r>
    </w:p>
    <w:p w:rsidR="00DB7701" w:rsidRPr="00DB7701" w:rsidRDefault="003A74CA" w:rsidP="00DB7701">
      <w:r w:rsidRPr="003A74CA">
        <w:t xml:space="preserve">Various surveys and research activities with stakeholders also demonstrated the following advantages. The studies highlighted that community participation and trust was boosted and that the citizens felt their opinions were valued. Direct feedback helped enhance service delivery and resource utilization, since it meant that programs were aligned with the most relevant concerns. </w:t>
      </w:r>
    </w:p>
    <w:p w:rsidR="00DB7701" w:rsidRPr="00DB7701" w:rsidRDefault="00DB7701" w:rsidP="00DB7701">
      <w:r w:rsidRPr="00DB7701">
        <w:rPr>
          <w:b/>
          <w:bCs/>
        </w:rPr>
        <w:t>Personal Experiences and Reflections</w:t>
      </w:r>
    </w:p>
    <w:p w:rsidR="00DB7701" w:rsidRPr="00DB7701" w:rsidRDefault="003A74CA" w:rsidP="00DB7701">
      <w:r w:rsidRPr="003A74CA">
        <w:t xml:space="preserve">Interaction with the BCS helped to gain important lessons. Among the outcomes was to better appreciate the spiritual and social sensitivity within clients’ communities. Issues that included language and culture were managed by the use of interpreters and materials that was culturally sensitive. </w:t>
      </w:r>
    </w:p>
    <w:p w:rsidR="00DB7701" w:rsidRPr="00DB7701" w:rsidRDefault="00DB7701" w:rsidP="00DB7701">
      <w:r w:rsidRPr="00DB7701">
        <w:rPr>
          <w:b/>
          <w:bCs/>
        </w:rPr>
        <w:t>Practical Techniques and Principles for Community Engagement</w:t>
      </w:r>
    </w:p>
    <w:p w:rsidR="00DB7701" w:rsidRPr="00DB7701" w:rsidRDefault="00DB7701" w:rsidP="00DB7701">
      <w:r w:rsidRPr="00DB7701">
        <w:t>Effective community engagement relies on several practical techniques and principles:</w:t>
      </w:r>
    </w:p>
    <w:p w:rsidR="003A74CA" w:rsidRPr="003A74CA" w:rsidRDefault="003A74CA" w:rsidP="003A74CA">
      <w:pPr>
        <w:numPr>
          <w:ilvl w:val="0"/>
          <w:numId w:val="8"/>
        </w:numPr>
        <w:rPr>
          <w:bCs/>
        </w:rPr>
      </w:pPr>
      <w:r w:rsidRPr="003A74CA">
        <w:rPr>
          <w:b/>
          <w:bCs/>
        </w:rPr>
        <w:t>Stakeholder Analysis:</w:t>
      </w:r>
      <w:r w:rsidRPr="003A74CA">
        <w:rPr>
          <w:bCs/>
        </w:rPr>
        <w:t xml:space="preserve"> The stakeholders’ map, including the roles, interests and power, should be </w:t>
      </w:r>
      <w:r w:rsidR="00E233ED" w:rsidRPr="003A74CA">
        <w:rPr>
          <w:bCs/>
        </w:rPr>
        <w:t>analyzed</w:t>
      </w:r>
      <w:r w:rsidRPr="003A74CA">
        <w:rPr>
          <w:bCs/>
        </w:rPr>
        <w:t>. This it ensures that engagement strategies address the needs of the various groups of clients as expected of the hospital.</w:t>
      </w:r>
    </w:p>
    <w:p w:rsidR="003A74CA" w:rsidRPr="003A74CA" w:rsidRDefault="003A74CA" w:rsidP="008955C0">
      <w:pPr>
        <w:numPr>
          <w:ilvl w:val="0"/>
          <w:numId w:val="8"/>
        </w:numPr>
        <w:rPr>
          <w:bCs/>
        </w:rPr>
      </w:pPr>
      <w:r w:rsidRPr="003A74CA">
        <w:rPr>
          <w:b/>
          <w:bCs/>
        </w:rPr>
        <w:t>Participatory Planning and Decision-Making:</w:t>
      </w:r>
      <w:r w:rsidRPr="003A74CA">
        <w:rPr>
          <w:bCs/>
        </w:rPr>
        <w:t xml:space="preserve"> People feel that they own what is being planned and decided upon hence are more committed towards such plans</w:t>
      </w:r>
      <w:r w:rsidR="008955C0">
        <w:rPr>
          <w:bCs/>
        </w:rPr>
        <w:t xml:space="preserve"> (</w:t>
      </w:r>
      <w:r w:rsidR="008955C0" w:rsidRPr="008955C0">
        <w:rPr>
          <w:bCs/>
        </w:rPr>
        <w:t>Hassan</w:t>
      </w:r>
      <w:r w:rsidR="008955C0">
        <w:rPr>
          <w:bCs/>
        </w:rPr>
        <w:t xml:space="preserve"> et al,</w:t>
      </w:r>
      <w:r w:rsidR="008955C0" w:rsidRPr="008955C0">
        <w:rPr>
          <w:bCs/>
        </w:rPr>
        <w:t xml:space="preserve"> 2023</w:t>
      </w:r>
      <w:r w:rsidR="008955C0">
        <w:rPr>
          <w:bCs/>
        </w:rPr>
        <w:t>)</w:t>
      </w:r>
      <w:r w:rsidRPr="003A74CA">
        <w:rPr>
          <w:bCs/>
        </w:rPr>
        <w:t>. Strategies such as Town Hall meetings, focus group discussions, and community participatory meetings ensure that all attendees have a say.</w:t>
      </w:r>
    </w:p>
    <w:p w:rsidR="00DB7701" w:rsidRPr="00DB7701" w:rsidRDefault="003A74CA" w:rsidP="003A74CA">
      <w:pPr>
        <w:numPr>
          <w:ilvl w:val="0"/>
          <w:numId w:val="8"/>
        </w:numPr>
      </w:pPr>
      <w:r w:rsidRPr="003A74CA">
        <w:rPr>
          <w:b/>
          <w:bCs/>
        </w:rPr>
        <w:t>Use of Digital Tools and Platforms:</w:t>
      </w:r>
      <w:r w:rsidRPr="003A74CA">
        <w:rPr>
          <w:bCs/>
        </w:rPr>
        <w:t xml:space="preserve"> The use of technological advances in the areas of communication and media improves or increases meaningful interaction. These include social media, online surveys, and the community portal, which enables real-time engagement, thus increasing the scope of engagement.</w:t>
      </w:r>
    </w:p>
    <w:p w:rsidR="00DB7701" w:rsidRPr="00DB7701" w:rsidRDefault="00DB7701" w:rsidP="00DB7701">
      <w:r w:rsidRPr="00DB7701">
        <w:rPr>
          <w:b/>
          <w:bCs/>
        </w:rPr>
        <w:t>Recommendations for Improving Community Engagement</w:t>
      </w:r>
    </w:p>
    <w:p w:rsidR="00DB7701" w:rsidRPr="00DB7701" w:rsidRDefault="00DB7701" w:rsidP="00DB7701">
      <w:r w:rsidRPr="00DB7701">
        <w:t>To further enhance community engagement, several recommendations can be implemented:</w:t>
      </w:r>
    </w:p>
    <w:p w:rsidR="00E770DC" w:rsidRPr="00E770DC" w:rsidRDefault="00E770DC" w:rsidP="00E770DC">
      <w:pPr>
        <w:numPr>
          <w:ilvl w:val="0"/>
          <w:numId w:val="9"/>
        </w:numPr>
        <w:rPr>
          <w:bCs/>
        </w:rPr>
      </w:pPr>
      <w:r w:rsidRPr="00E770DC">
        <w:rPr>
          <w:b/>
          <w:bCs/>
        </w:rPr>
        <w:t>Tailored Engagement Strategies:</w:t>
      </w:r>
      <w:r w:rsidRPr="00E770DC">
        <w:rPr>
          <w:bCs/>
        </w:rPr>
        <w:t xml:space="preserve"> There is always a difference in the need and expectation levels of different stakeholders. A well-designed engagement matrix is also used to ensure that each and every group is addressed adequately. For instance, whilst younger people may wish to engage online; senior citizens may need a more direct form of interaction.</w:t>
      </w:r>
    </w:p>
    <w:p w:rsidR="00E770DC" w:rsidRPr="00E770DC" w:rsidRDefault="00E770DC" w:rsidP="00E770DC">
      <w:pPr>
        <w:numPr>
          <w:ilvl w:val="0"/>
          <w:numId w:val="9"/>
        </w:numPr>
        <w:rPr>
          <w:bCs/>
        </w:rPr>
      </w:pPr>
      <w:r w:rsidRPr="00E770DC">
        <w:rPr>
          <w:b/>
          <w:bCs/>
        </w:rPr>
        <w:t>Continuous Feedback and Adaptive Planning:</w:t>
      </w:r>
      <w:r w:rsidRPr="00E770DC">
        <w:rPr>
          <w:bCs/>
        </w:rPr>
        <w:t xml:space="preserve"> It is recommendable to maintain consistent feedback processes, for instance, daily, weekly or monthly feedback questionnaires and feedback meetings ensure that there is constant check on the effectiveness of applied engagement techniques. It allows programs to be modified as the society evolves but still remain relevant and efficient in service delivery.</w:t>
      </w:r>
    </w:p>
    <w:p w:rsidR="00DB7701" w:rsidRPr="00DB7701" w:rsidRDefault="00E770DC" w:rsidP="008955C0">
      <w:pPr>
        <w:numPr>
          <w:ilvl w:val="0"/>
          <w:numId w:val="9"/>
        </w:numPr>
      </w:pPr>
      <w:r w:rsidRPr="00E770DC">
        <w:rPr>
          <w:b/>
          <w:bCs/>
        </w:rPr>
        <w:t>Leveraging Local Knowledge and Resources:</w:t>
      </w:r>
      <w:r w:rsidRPr="00E770DC">
        <w:rPr>
          <w:bCs/>
        </w:rPr>
        <w:t xml:space="preserve"> Community engagement also involves the use of local assets which ensures that the engagement activities developed and implemented are relevant to that community and hence sustainable</w:t>
      </w:r>
      <w:r w:rsidR="008955C0">
        <w:rPr>
          <w:bCs/>
        </w:rPr>
        <w:t xml:space="preserve"> (Anthony Jr,</w:t>
      </w:r>
      <w:r w:rsidR="008955C0" w:rsidRPr="008955C0">
        <w:rPr>
          <w:bCs/>
        </w:rPr>
        <w:t xml:space="preserve"> 2024</w:t>
      </w:r>
      <w:r w:rsidR="008955C0">
        <w:rPr>
          <w:bCs/>
        </w:rPr>
        <w:t>)</w:t>
      </w:r>
      <w:r w:rsidRPr="00E770DC">
        <w:rPr>
          <w:bCs/>
        </w:rPr>
        <w:t>. Working with the local stakeholders is considerate and helpful since it fosters good relations with the community as well as access to useful information and resources.</w:t>
      </w:r>
    </w:p>
    <w:p w:rsidR="00DB7701" w:rsidRPr="00DB7701" w:rsidRDefault="00E233ED" w:rsidP="00DB7701">
      <w:r>
        <w:tab/>
      </w:r>
      <w:r w:rsidR="00E770DC" w:rsidRPr="00E770DC">
        <w:t xml:space="preserve">Pertinently, the most theoretical and least practical aspect of the paper is the focus on the indispensability of stakeholder engagement in the process of creating a better community. Outreach and stakeholder mapping findings underpin improvements to trust, participation, and resilience in and for the Birmingham population. Lastly, Common defining factors highlighted on personal experiences include culture, flexibility, and feedback in engagement activities. </w:t>
      </w:r>
    </w:p>
    <w:p w:rsidR="00DB7701" w:rsidRPr="00DB7701" w:rsidRDefault="00DB7701" w:rsidP="00DB7701">
      <w:pPr>
        <w:pStyle w:val="Heading1"/>
      </w:pPr>
      <w:bookmarkStart w:id="5" w:name="_Toc173921136"/>
      <w:r>
        <w:t>CONCLUSION</w:t>
      </w:r>
      <w:bookmarkEnd w:id="5"/>
    </w:p>
    <w:p w:rsidR="00DB7701" w:rsidRPr="00DB7701" w:rsidRDefault="00E233ED" w:rsidP="00DB7701">
      <w:r>
        <w:tab/>
      </w:r>
      <w:r w:rsidR="00E770DC" w:rsidRPr="00E770DC">
        <w:t>In conclusion, the community engagement activities of Birmingham Settlement have consequently promoted social integration in Birmingham and so reduced the prevalence of socio-economic issues in the region. The community outreach engagement and the stakeholder analysis identified needs and aspects that made the programs more targeted and sensitive. These experiences make it sobering to promote cultural consciousness, versatility, and consistent feedback to elicit effective interaction. However, maintaining them throughout the generalization of these approaches and the utilization of existing local resources will have to be vital for future progression. All in all, community engagement has been a useful strategy for ensuring the positive and healthy development of the multiple subgroups of the people of Birmingham.</w:t>
      </w:r>
    </w:p>
    <w:p w:rsidR="00DB7701" w:rsidRDefault="00DB7701">
      <w:pPr>
        <w:spacing w:line="259" w:lineRule="auto"/>
        <w:jc w:val="left"/>
      </w:pPr>
      <w:r>
        <w:br w:type="page"/>
      </w:r>
    </w:p>
    <w:p w:rsidR="0064333C" w:rsidRDefault="00DB7701" w:rsidP="00DB7701">
      <w:pPr>
        <w:pStyle w:val="Heading1"/>
      </w:pPr>
      <w:bookmarkStart w:id="6" w:name="_Toc173921137"/>
      <w:r>
        <w:t>REFERENCES</w:t>
      </w:r>
      <w:bookmarkEnd w:id="6"/>
    </w:p>
    <w:p w:rsidR="00220136" w:rsidRPr="00220136" w:rsidRDefault="00DB7701" w:rsidP="00220136">
      <w:pPr>
        <w:rPr>
          <w:u w:val="single"/>
        </w:rPr>
      </w:pPr>
      <w:r w:rsidRPr="00DB7701">
        <w:rPr>
          <w:u w:val="single"/>
        </w:rPr>
        <w:t>Books and journals</w:t>
      </w:r>
    </w:p>
    <w:p w:rsidR="00220136" w:rsidRDefault="00220136" w:rsidP="00220136">
      <w:pPr>
        <w:spacing w:line="240" w:lineRule="auto"/>
        <w:ind w:left="720" w:hanging="720"/>
      </w:pPr>
      <w:r>
        <w:t>Anthony Jr, B., 2024. The role of community engagement in urban innovation towards the co-creation of smart sustainable cities. Journal of the Knowledge Economy, 15(1), pp.1592-1624.</w:t>
      </w:r>
    </w:p>
    <w:p w:rsidR="00220136" w:rsidRDefault="00220136" w:rsidP="00220136">
      <w:pPr>
        <w:spacing w:line="240" w:lineRule="auto"/>
        <w:ind w:left="720" w:hanging="720"/>
      </w:pPr>
      <w:r>
        <w:t>Bouras, M.A., Lu, Q., Zhang, F., Wan, Y., Zhang, T. and Ning, H., 2020. Distributed ledger technology for eHealth identity privacy: State of the art and future perspective. Sensors, 20(2), p.483.</w:t>
      </w:r>
    </w:p>
    <w:p w:rsidR="00220136" w:rsidRDefault="00220136" w:rsidP="00220136">
      <w:pPr>
        <w:spacing w:line="240" w:lineRule="auto"/>
        <w:ind w:left="720" w:hanging="720"/>
      </w:pPr>
      <w:r>
        <w:t>Campion, K., 2021. Mapping Black mixed-race Birmingham: Place, locality and identity. The Sociological Review, 69(5), pp.937-955.</w:t>
      </w:r>
    </w:p>
    <w:p w:rsidR="00220136" w:rsidRDefault="00220136" w:rsidP="00220136">
      <w:pPr>
        <w:spacing w:line="240" w:lineRule="auto"/>
        <w:ind w:left="720" w:hanging="720"/>
      </w:pPr>
      <w:r>
        <w:t>Hassan, S. and O'Farrell, L., 2023. Co-production and the pedagogy of exchange: lessons from community research training in Birmingham.</w:t>
      </w:r>
    </w:p>
    <w:p w:rsidR="00220136" w:rsidRDefault="00220136" w:rsidP="00220136">
      <w:pPr>
        <w:spacing w:line="240" w:lineRule="auto"/>
        <w:ind w:left="720" w:hanging="720"/>
      </w:pPr>
      <w:r>
        <w:t>Hassan, S. and O'Farrell, L., 2023. Co-production and the pedagogy of exchange: lessons from community research training in Birmingham.</w:t>
      </w:r>
    </w:p>
    <w:p w:rsidR="00220136" w:rsidRDefault="00220136" w:rsidP="00220136">
      <w:pPr>
        <w:spacing w:line="240" w:lineRule="auto"/>
        <w:ind w:left="720" w:hanging="720"/>
      </w:pPr>
      <w:r>
        <w:t>Hassan, S. and O'Farrell, L., 2023. Co-production and the pedagogy of exchange: lessons from community research training in Birmingham.</w:t>
      </w:r>
    </w:p>
    <w:p w:rsidR="00220136" w:rsidRDefault="00220136" w:rsidP="00220136">
      <w:pPr>
        <w:spacing w:line="240" w:lineRule="auto"/>
        <w:ind w:left="720" w:hanging="720"/>
      </w:pPr>
      <w:r>
        <w:t>Steer, R.A., 2020. Children in Care, 1834–1929: The Lives of Destitute, Orphaned and Deserted Children. Pen and Sword History.</w:t>
      </w:r>
    </w:p>
    <w:sectPr w:rsidR="002201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85F33"/>
    <w:multiLevelType w:val="multilevel"/>
    <w:tmpl w:val="02D4D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725D33"/>
    <w:multiLevelType w:val="multilevel"/>
    <w:tmpl w:val="94AE3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CD20E1"/>
    <w:multiLevelType w:val="multilevel"/>
    <w:tmpl w:val="16DEA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6E4B00"/>
    <w:multiLevelType w:val="multilevel"/>
    <w:tmpl w:val="1BE2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922311"/>
    <w:multiLevelType w:val="multilevel"/>
    <w:tmpl w:val="D5DA8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9443BE"/>
    <w:multiLevelType w:val="multilevel"/>
    <w:tmpl w:val="135AD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1F0447D"/>
    <w:multiLevelType w:val="multilevel"/>
    <w:tmpl w:val="7B8AC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5907D7"/>
    <w:multiLevelType w:val="multilevel"/>
    <w:tmpl w:val="DED08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D61B01"/>
    <w:multiLevelType w:val="multilevel"/>
    <w:tmpl w:val="5310E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3313741">
    <w:abstractNumId w:val="1"/>
  </w:num>
  <w:num w:numId="2" w16cid:durableId="1296372092">
    <w:abstractNumId w:val="6"/>
  </w:num>
  <w:num w:numId="3" w16cid:durableId="1731920161">
    <w:abstractNumId w:val="4"/>
  </w:num>
  <w:num w:numId="4" w16cid:durableId="1205941960">
    <w:abstractNumId w:val="7"/>
  </w:num>
  <w:num w:numId="5" w16cid:durableId="599724620">
    <w:abstractNumId w:val="2"/>
  </w:num>
  <w:num w:numId="6" w16cid:durableId="1430391774">
    <w:abstractNumId w:val="0"/>
  </w:num>
  <w:num w:numId="7" w16cid:durableId="687410486">
    <w:abstractNumId w:val="5"/>
  </w:num>
  <w:num w:numId="8" w16cid:durableId="1571696629">
    <w:abstractNumId w:val="8"/>
  </w:num>
  <w:num w:numId="9" w16cid:durableId="2732457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701"/>
    <w:rsid w:val="0001733C"/>
    <w:rsid w:val="000A0CF5"/>
    <w:rsid w:val="00110427"/>
    <w:rsid w:val="00167A14"/>
    <w:rsid w:val="00195CA5"/>
    <w:rsid w:val="001A7644"/>
    <w:rsid w:val="00212EB8"/>
    <w:rsid w:val="00220136"/>
    <w:rsid w:val="003A74CA"/>
    <w:rsid w:val="003C5325"/>
    <w:rsid w:val="00522A4A"/>
    <w:rsid w:val="00577B26"/>
    <w:rsid w:val="005B660E"/>
    <w:rsid w:val="005C61E5"/>
    <w:rsid w:val="00602E07"/>
    <w:rsid w:val="00637A5C"/>
    <w:rsid w:val="0064333C"/>
    <w:rsid w:val="006B0ACA"/>
    <w:rsid w:val="0072510E"/>
    <w:rsid w:val="008955C0"/>
    <w:rsid w:val="00996139"/>
    <w:rsid w:val="00AA7065"/>
    <w:rsid w:val="00B04E1B"/>
    <w:rsid w:val="00C11F21"/>
    <w:rsid w:val="00D34CE8"/>
    <w:rsid w:val="00D51C4A"/>
    <w:rsid w:val="00DB7701"/>
    <w:rsid w:val="00E233ED"/>
    <w:rsid w:val="00E770DC"/>
    <w:rsid w:val="00FC6A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FFD99"/>
  <w15:chartTrackingRefBased/>
  <w15:docId w15:val="{BE037AD6-BBF8-4E96-978D-405599B31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644"/>
    <w:pPr>
      <w:spacing w:line="360" w:lineRule="auto"/>
      <w:jc w:val="both"/>
    </w:pPr>
  </w:style>
  <w:style w:type="paragraph" w:styleId="Heading1">
    <w:name w:val="heading 1"/>
    <w:basedOn w:val="Normal"/>
    <w:next w:val="Normal"/>
    <w:link w:val="Heading1Char"/>
    <w:autoRedefine/>
    <w:uiPriority w:val="9"/>
    <w:qFormat/>
    <w:rsid w:val="00DB7701"/>
    <w:pPr>
      <w:keepNext/>
      <w:keepLines/>
      <w:spacing w:before="360" w:after="120"/>
      <w:outlineLvl w:val="0"/>
    </w:pPr>
    <w:rPr>
      <w:rFonts w:eastAsiaTheme="majorEastAsia" w:cstheme="majorBidi"/>
      <w:b/>
      <w:color w:val="000000" w:themeColor="text1"/>
      <w:sz w:val="28"/>
      <w:szCs w:val="32"/>
      <w:lang w:val="en-GB"/>
    </w:rPr>
  </w:style>
  <w:style w:type="paragraph" w:styleId="Heading2">
    <w:name w:val="heading 2"/>
    <w:basedOn w:val="Normal"/>
    <w:next w:val="Normal"/>
    <w:link w:val="Heading2Char"/>
    <w:uiPriority w:val="9"/>
    <w:unhideWhenUsed/>
    <w:qFormat/>
    <w:rsid w:val="00DB7701"/>
    <w:pPr>
      <w:keepNext/>
      <w:keepLines/>
      <w:widowControl w:val="0"/>
      <w:autoSpaceDE w:val="0"/>
      <w:autoSpaceDN w:val="0"/>
      <w:spacing w:before="160" w:after="120"/>
      <w:outlineLvl w:val="1"/>
    </w:pPr>
    <w:rPr>
      <w:rFonts w:eastAsiaTheme="majorEastAsia" w:cstheme="majorBidi"/>
      <w:b/>
      <w:color w:val="000000" w:themeColor="text1"/>
      <w:szCs w:val="26"/>
      <w:u w:val="single"/>
    </w:rPr>
  </w:style>
  <w:style w:type="paragraph" w:styleId="Heading3">
    <w:name w:val="heading 3"/>
    <w:basedOn w:val="Normal"/>
    <w:next w:val="Normal"/>
    <w:link w:val="Heading3Char"/>
    <w:uiPriority w:val="9"/>
    <w:unhideWhenUsed/>
    <w:qFormat/>
    <w:rsid w:val="006B0ACA"/>
    <w:pPr>
      <w:keepNext/>
      <w:keepLines/>
      <w:spacing w:before="40" w:after="0"/>
      <w:outlineLvl w:val="2"/>
    </w:pPr>
    <w:rPr>
      <w:rFonts w:eastAsiaTheme="majorEastAsia" w:cstheme="majorBidi"/>
      <w:b/>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B7701"/>
    <w:rPr>
      <w:rFonts w:eastAsiaTheme="majorEastAsia" w:cstheme="majorBidi"/>
      <w:b/>
      <w:color w:val="000000" w:themeColor="text1"/>
      <w:szCs w:val="26"/>
      <w:u w:val="single"/>
    </w:rPr>
  </w:style>
  <w:style w:type="character" w:customStyle="1" w:styleId="Heading1Char">
    <w:name w:val="Heading 1 Char"/>
    <w:basedOn w:val="DefaultParagraphFont"/>
    <w:link w:val="Heading1"/>
    <w:uiPriority w:val="9"/>
    <w:rsid w:val="00DB7701"/>
    <w:rPr>
      <w:rFonts w:eastAsiaTheme="majorEastAsia" w:cstheme="majorBidi"/>
      <w:b/>
      <w:color w:val="000000" w:themeColor="text1"/>
      <w:sz w:val="28"/>
      <w:szCs w:val="32"/>
      <w:lang w:val="en-GB"/>
    </w:rPr>
  </w:style>
  <w:style w:type="character" w:customStyle="1" w:styleId="Heading3Char">
    <w:name w:val="Heading 3 Char"/>
    <w:basedOn w:val="DefaultParagraphFont"/>
    <w:link w:val="Heading3"/>
    <w:uiPriority w:val="9"/>
    <w:rsid w:val="006B0ACA"/>
    <w:rPr>
      <w:rFonts w:eastAsiaTheme="majorEastAsia" w:cstheme="majorBidi"/>
      <w:b/>
      <w:i/>
      <w:color w:val="000000" w:themeColor="text1"/>
    </w:rPr>
  </w:style>
  <w:style w:type="paragraph" w:styleId="TOCHeading">
    <w:name w:val="TOC Heading"/>
    <w:basedOn w:val="Heading1"/>
    <w:next w:val="Normal"/>
    <w:uiPriority w:val="39"/>
    <w:unhideWhenUsed/>
    <w:qFormat/>
    <w:rsid w:val="00DB7701"/>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B7701"/>
    <w:pPr>
      <w:spacing w:after="100"/>
    </w:pPr>
  </w:style>
  <w:style w:type="paragraph" w:styleId="TOC2">
    <w:name w:val="toc 2"/>
    <w:basedOn w:val="Normal"/>
    <w:next w:val="Normal"/>
    <w:autoRedefine/>
    <w:uiPriority w:val="39"/>
    <w:unhideWhenUsed/>
    <w:rsid w:val="00DB7701"/>
    <w:pPr>
      <w:spacing w:after="100"/>
      <w:ind w:left="240"/>
    </w:pPr>
  </w:style>
  <w:style w:type="character" w:styleId="Hyperlink">
    <w:name w:val="Hyperlink"/>
    <w:basedOn w:val="DefaultParagraphFont"/>
    <w:uiPriority w:val="99"/>
    <w:unhideWhenUsed/>
    <w:rsid w:val="00DB7701"/>
    <w:rPr>
      <w:color w:val="0563C1" w:themeColor="hyperlink"/>
      <w:u w:val="single"/>
    </w:rPr>
  </w:style>
  <w:style w:type="paragraph" w:styleId="ListParagraph">
    <w:name w:val="List Paragraph"/>
    <w:basedOn w:val="Normal"/>
    <w:uiPriority w:val="34"/>
    <w:qFormat/>
    <w:rsid w:val="00637A5C"/>
    <w:pPr>
      <w:ind w:left="720"/>
      <w:contextualSpacing/>
    </w:pPr>
  </w:style>
  <w:style w:type="paragraph" w:styleId="NormalWeb">
    <w:name w:val="Normal (Web)"/>
    <w:basedOn w:val="Normal"/>
    <w:uiPriority w:val="99"/>
    <w:semiHidden/>
    <w:unhideWhenUsed/>
    <w:rsid w:val="00195CA5"/>
    <w:pPr>
      <w:spacing w:before="100" w:beforeAutospacing="1" w:after="100" w:afterAutospacing="1" w:line="240" w:lineRule="auto"/>
      <w:jc w:val="left"/>
    </w:pPr>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084530">
      <w:bodyDiv w:val="1"/>
      <w:marLeft w:val="0"/>
      <w:marRight w:val="0"/>
      <w:marTop w:val="0"/>
      <w:marBottom w:val="0"/>
      <w:divBdr>
        <w:top w:val="none" w:sz="0" w:space="0" w:color="auto"/>
        <w:left w:val="none" w:sz="0" w:space="0" w:color="auto"/>
        <w:bottom w:val="none" w:sz="0" w:space="0" w:color="auto"/>
        <w:right w:val="none" w:sz="0" w:space="0" w:color="auto"/>
      </w:divBdr>
    </w:div>
    <w:div w:id="466239594">
      <w:bodyDiv w:val="1"/>
      <w:marLeft w:val="0"/>
      <w:marRight w:val="0"/>
      <w:marTop w:val="0"/>
      <w:marBottom w:val="0"/>
      <w:divBdr>
        <w:top w:val="none" w:sz="0" w:space="0" w:color="auto"/>
        <w:left w:val="none" w:sz="0" w:space="0" w:color="auto"/>
        <w:bottom w:val="none" w:sz="0" w:space="0" w:color="auto"/>
        <w:right w:val="none" w:sz="0" w:space="0" w:color="auto"/>
      </w:divBdr>
    </w:div>
    <w:div w:id="484054145">
      <w:bodyDiv w:val="1"/>
      <w:marLeft w:val="0"/>
      <w:marRight w:val="0"/>
      <w:marTop w:val="0"/>
      <w:marBottom w:val="0"/>
      <w:divBdr>
        <w:top w:val="none" w:sz="0" w:space="0" w:color="auto"/>
        <w:left w:val="none" w:sz="0" w:space="0" w:color="auto"/>
        <w:bottom w:val="none" w:sz="0" w:space="0" w:color="auto"/>
        <w:right w:val="none" w:sz="0" w:space="0" w:color="auto"/>
      </w:divBdr>
    </w:div>
    <w:div w:id="498540125">
      <w:bodyDiv w:val="1"/>
      <w:marLeft w:val="0"/>
      <w:marRight w:val="0"/>
      <w:marTop w:val="0"/>
      <w:marBottom w:val="0"/>
      <w:divBdr>
        <w:top w:val="none" w:sz="0" w:space="0" w:color="auto"/>
        <w:left w:val="none" w:sz="0" w:space="0" w:color="auto"/>
        <w:bottom w:val="none" w:sz="0" w:space="0" w:color="auto"/>
        <w:right w:val="none" w:sz="0" w:space="0" w:color="auto"/>
      </w:divBdr>
    </w:div>
    <w:div w:id="1215317932">
      <w:bodyDiv w:val="1"/>
      <w:marLeft w:val="0"/>
      <w:marRight w:val="0"/>
      <w:marTop w:val="0"/>
      <w:marBottom w:val="0"/>
      <w:divBdr>
        <w:top w:val="none" w:sz="0" w:space="0" w:color="auto"/>
        <w:left w:val="none" w:sz="0" w:space="0" w:color="auto"/>
        <w:bottom w:val="none" w:sz="0" w:space="0" w:color="auto"/>
        <w:right w:val="none" w:sz="0" w:space="0" w:color="auto"/>
      </w:divBdr>
    </w:div>
    <w:div w:id="1311327909">
      <w:bodyDiv w:val="1"/>
      <w:marLeft w:val="0"/>
      <w:marRight w:val="0"/>
      <w:marTop w:val="0"/>
      <w:marBottom w:val="0"/>
      <w:divBdr>
        <w:top w:val="none" w:sz="0" w:space="0" w:color="auto"/>
        <w:left w:val="none" w:sz="0" w:space="0" w:color="auto"/>
        <w:bottom w:val="none" w:sz="0" w:space="0" w:color="auto"/>
        <w:right w:val="none" w:sz="0" w:space="0" w:color="auto"/>
      </w:divBdr>
    </w:div>
    <w:div w:id="1552762104">
      <w:bodyDiv w:val="1"/>
      <w:marLeft w:val="0"/>
      <w:marRight w:val="0"/>
      <w:marTop w:val="0"/>
      <w:marBottom w:val="0"/>
      <w:divBdr>
        <w:top w:val="none" w:sz="0" w:space="0" w:color="auto"/>
        <w:left w:val="none" w:sz="0" w:space="0" w:color="auto"/>
        <w:bottom w:val="none" w:sz="0" w:space="0" w:color="auto"/>
        <w:right w:val="none" w:sz="0" w:space="0" w:color="auto"/>
      </w:divBdr>
    </w:div>
    <w:div w:id="1590918836">
      <w:bodyDiv w:val="1"/>
      <w:marLeft w:val="0"/>
      <w:marRight w:val="0"/>
      <w:marTop w:val="0"/>
      <w:marBottom w:val="0"/>
      <w:divBdr>
        <w:top w:val="none" w:sz="0" w:space="0" w:color="auto"/>
        <w:left w:val="none" w:sz="0" w:space="0" w:color="auto"/>
        <w:bottom w:val="none" w:sz="0" w:space="0" w:color="auto"/>
        <w:right w:val="none" w:sz="0" w:space="0" w:color="auto"/>
      </w:divBdr>
    </w:div>
    <w:div w:id="1696229945">
      <w:bodyDiv w:val="1"/>
      <w:marLeft w:val="0"/>
      <w:marRight w:val="0"/>
      <w:marTop w:val="0"/>
      <w:marBottom w:val="0"/>
      <w:divBdr>
        <w:top w:val="none" w:sz="0" w:space="0" w:color="auto"/>
        <w:left w:val="none" w:sz="0" w:space="0" w:color="auto"/>
        <w:bottom w:val="none" w:sz="0" w:space="0" w:color="auto"/>
        <w:right w:val="none" w:sz="0" w:space="0" w:color="auto"/>
      </w:divBdr>
    </w:div>
    <w:div w:id="1737894820">
      <w:bodyDiv w:val="1"/>
      <w:marLeft w:val="0"/>
      <w:marRight w:val="0"/>
      <w:marTop w:val="0"/>
      <w:marBottom w:val="0"/>
      <w:divBdr>
        <w:top w:val="none" w:sz="0" w:space="0" w:color="auto"/>
        <w:left w:val="none" w:sz="0" w:space="0" w:color="auto"/>
        <w:bottom w:val="none" w:sz="0" w:space="0" w:color="auto"/>
        <w:right w:val="none" w:sz="0" w:space="0" w:color="auto"/>
      </w:divBdr>
    </w:div>
    <w:div w:id="1779718340">
      <w:bodyDiv w:val="1"/>
      <w:marLeft w:val="0"/>
      <w:marRight w:val="0"/>
      <w:marTop w:val="0"/>
      <w:marBottom w:val="0"/>
      <w:divBdr>
        <w:top w:val="none" w:sz="0" w:space="0" w:color="auto"/>
        <w:left w:val="none" w:sz="0" w:space="0" w:color="auto"/>
        <w:bottom w:val="none" w:sz="0" w:space="0" w:color="auto"/>
        <w:right w:val="none" w:sz="0" w:space="0" w:color="auto"/>
      </w:divBdr>
    </w:div>
    <w:div w:id="1819348111">
      <w:bodyDiv w:val="1"/>
      <w:marLeft w:val="0"/>
      <w:marRight w:val="0"/>
      <w:marTop w:val="0"/>
      <w:marBottom w:val="0"/>
      <w:divBdr>
        <w:top w:val="none" w:sz="0" w:space="0" w:color="auto"/>
        <w:left w:val="none" w:sz="0" w:space="0" w:color="auto"/>
        <w:bottom w:val="none" w:sz="0" w:space="0" w:color="auto"/>
        <w:right w:val="none" w:sz="0" w:space="0" w:color="auto"/>
      </w:divBdr>
      <w:divsChild>
        <w:div w:id="542520789">
          <w:marLeft w:val="0"/>
          <w:marRight w:val="0"/>
          <w:marTop w:val="0"/>
          <w:marBottom w:val="0"/>
          <w:divBdr>
            <w:top w:val="none" w:sz="0" w:space="0" w:color="auto"/>
            <w:left w:val="none" w:sz="0" w:space="0" w:color="auto"/>
            <w:bottom w:val="none" w:sz="0" w:space="0" w:color="auto"/>
            <w:right w:val="none" w:sz="0" w:space="0" w:color="auto"/>
          </w:divBdr>
          <w:divsChild>
            <w:div w:id="1442535371">
              <w:marLeft w:val="0"/>
              <w:marRight w:val="0"/>
              <w:marTop w:val="0"/>
              <w:marBottom w:val="0"/>
              <w:divBdr>
                <w:top w:val="none" w:sz="0" w:space="0" w:color="auto"/>
                <w:left w:val="none" w:sz="0" w:space="0" w:color="auto"/>
                <w:bottom w:val="none" w:sz="0" w:space="0" w:color="auto"/>
                <w:right w:val="none" w:sz="0" w:space="0" w:color="auto"/>
              </w:divBdr>
              <w:divsChild>
                <w:div w:id="1532105641">
                  <w:marLeft w:val="0"/>
                  <w:marRight w:val="0"/>
                  <w:marTop w:val="0"/>
                  <w:marBottom w:val="0"/>
                  <w:divBdr>
                    <w:top w:val="none" w:sz="0" w:space="0" w:color="auto"/>
                    <w:left w:val="none" w:sz="0" w:space="0" w:color="auto"/>
                    <w:bottom w:val="none" w:sz="0" w:space="0" w:color="auto"/>
                    <w:right w:val="none" w:sz="0" w:space="0" w:color="auto"/>
                  </w:divBdr>
                  <w:divsChild>
                    <w:div w:id="154594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371258">
          <w:marLeft w:val="0"/>
          <w:marRight w:val="0"/>
          <w:marTop w:val="0"/>
          <w:marBottom w:val="0"/>
          <w:divBdr>
            <w:top w:val="none" w:sz="0" w:space="0" w:color="auto"/>
            <w:left w:val="none" w:sz="0" w:space="0" w:color="auto"/>
            <w:bottom w:val="none" w:sz="0" w:space="0" w:color="auto"/>
            <w:right w:val="none" w:sz="0" w:space="0" w:color="auto"/>
          </w:divBdr>
          <w:divsChild>
            <w:div w:id="624770486">
              <w:marLeft w:val="0"/>
              <w:marRight w:val="0"/>
              <w:marTop w:val="0"/>
              <w:marBottom w:val="0"/>
              <w:divBdr>
                <w:top w:val="none" w:sz="0" w:space="0" w:color="auto"/>
                <w:left w:val="none" w:sz="0" w:space="0" w:color="auto"/>
                <w:bottom w:val="none" w:sz="0" w:space="0" w:color="auto"/>
                <w:right w:val="none" w:sz="0" w:space="0" w:color="auto"/>
              </w:divBdr>
              <w:divsChild>
                <w:div w:id="1346132896">
                  <w:marLeft w:val="0"/>
                  <w:marRight w:val="0"/>
                  <w:marTop w:val="0"/>
                  <w:marBottom w:val="0"/>
                  <w:divBdr>
                    <w:top w:val="none" w:sz="0" w:space="0" w:color="auto"/>
                    <w:left w:val="none" w:sz="0" w:space="0" w:color="auto"/>
                    <w:bottom w:val="none" w:sz="0" w:space="0" w:color="auto"/>
                    <w:right w:val="none" w:sz="0" w:space="0" w:color="auto"/>
                  </w:divBdr>
                  <w:divsChild>
                    <w:div w:id="84509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11.png"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webSettings" Target="webSettings.xml" /><Relationship Id="rId15" Type="http://schemas.openxmlformats.org/officeDocument/2006/relationships/image" Target="media/image10.png"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C4D39-8477-4B95-866E-E30FBE28E3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2402</Words>
  <Characters>13692</Characters>
  <Application>Microsoft Office Word</Application>
  <DocSecurity>0</DocSecurity>
  <Lines>114</Lines>
  <Paragraphs>32</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    Community Outreach</vt:lpstr>
      <vt:lpstr>    Stakeholder Mapping Exercise</vt:lpstr>
      <vt:lpstr>    Community Engagement Plan</vt:lpstr>
      <vt:lpstr>    Practical Discussion</vt:lpstr>
      <vt:lpstr>CONCLUSION</vt:lpstr>
      <vt:lpstr>REFERENCES</vt:lpstr>
    </vt:vector>
  </TitlesOfParts>
  <Company/>
  <LinksUpToDate>false</LinksUpToDate>
  <CharactersWithSpaces>16062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 Valentin Ungureanu (2125720)</cp:lastModifiedBy>
  <cp:revision>2</cp:revision>
  <dcterms:created xsi:type="dcterms:W3CDTF">2024-08-19T10:39:00Z</dcterms:created>
  <dcterms:modified xsi:type="dcterms:W3CDTF">2024-08-19T10:39:00Z</dcterms:modified>
</cp:coreProperties>
</file>