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9348039"/>
        <w:docPartObj>
          <w:docPartGallery w:val="Cover Pages"/>
          <w:docPartUnique/>
        </w:docPartObj>
      </w:sdtPr>
      <w:sdtEndPr>
        <w:rPr>
          <w:b/>
          <w:bCs/>
          <w:sz w:val="24"/>
          <w:szCs w:val="24"/>
        </w:rPr>
      </w:sdtEndPr>
      <w:sdtContent>
        <w:p w14:paraId="2D16A21F" w14:textId="0CCB7D41" w:rsidR="0099306B" w:rsidRPr="00030181" w:rsidRDefault="0099306B" w:rsidP="005C5EBA">
          <w:pPr>
            <w:spacing w:line="360" w:lineRule="auto"/>
            <w:rPr>
              <w:rFonts w:ascii="Arial" w:hAnsi="Arial" w:cs="Arial"/>
            </w:rPr>
          </w:pPr>
        </w:p>
        <w:p w14:paraId="7608DCB3" w14:textId="77777777" w:rsidR="0099306B" w:rsidRPr="00030181" w:rsidRDefault="0099306B" w:rsidP="005C5EBA">
          <w:pPr>
            <w:spacing w:line="360" w:lineRule="auto"/>
            <w:jc w:val="both"/>
            <w:rPr>
              <w:rFonts w:ascii="Arial" w:hAnsi="Arial" w:cs="Arial"/>
              <w:b/>
              <w:bCs/>
              <w:sz w:val="24"/>
              <w:szCs w:val="24"/>
            </w:rPr>
          </w:pPr>
        </w:p>
        <w:p w14:paraId="397A37A2" w14:textId="77777777" w:rsidR="0099306B" w:rsidRPr="00030181" w:rsidRDefault="0099306B" w:rsidP="005C5EBA">
          <w:pPr>
            <w:spacing w:line="360" w:lineRule="auto"/>
            <w:jc w:val="both"/>
            <w:rPr>
              <w:rFonts w:ascii="Arial" w:hAnsi="Arial" w:cs="Arial"/>
              <w:b/>
              <w:bCs/>
              <w:sz w:val="24"/>
              <w:szCs w:val="24"/>
            </w:rPr>
          </w:pPr>
        </w:p>
        <w:p w14:paraId="60783583" w14:textId="5C8140DA" w:rsidR="0099306B" w:rsidRPr="00030181" w:rsidRDefault="009A4FE2" w:rsidP="009A4FE2">
          <w:pPr>
            <w:spacing w:line="360" w:lineRule="auto"/>
            <w:jc w:val="center"/>
            <w:rPr>
              <w:rFonts w:ascii="Arial" w:hAnsi="Arial" w:cs="Arial"/>
              <w:b/>
              <w:bCs/>
              <w:sz w:val="24"/>
              <w:szCs w:val="24"/>
            </w:rPr>
          </w:pPr>
          <w:r w:rsidRPr="00030181">
            <w:rPr>
              <w:rFonts w:ascii="Arial" w:hAnsi="Arial" w:cs="Arial"/>
              <w:noProof/>
            </w:rPr>
            <w:drawing>
              <wp:anchor distT="0" distB="0" distL="114300" distR="114300" simplePos="0" relativeHeight="251753984" behindDoc="0" locked="0" layoutInCell="1" allowOverlap="1" wp14:anchorId="65A1E254" wp14:editId="4138A787">
                <wp:simplePos x="0" y="0"/>
                <wp:positionH relativeFrom="column">
                  <wp:posOffset>1871330</wp:posOffset>
                </wp:positionH>
                <wp:positionV relativeFrom="paragraph">
                  <wp:posOffset>-1964</wp:posOffset>
                </wp:positionV>
                <wp:extent cx="1980000" cy="824400"/>
                <wp:effectExtent l="0" t="0" r="127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0000" cy="824400"/>
                        </a:xfrm>
                        <a:prstGeom prst="rect">
                          <a:avLst/>
                        </a:prstGeom>
                        <a:noFill/>
                      </pic:spPr>
                    </pic:pic>
                  </a:graphicData>
                </a:graphic>
              </wp:anchor>
            </w:drawing>
          </w:r>
        </w:p>
        <w:p w14:paraId="537A596E" w14:textId="77777777" w:rsidR="0099306B" w:rsidRPr="00030181" w:rsidRDefault="0099306B" w:rsidP="005C5EBA">
          <w:pPr>
            <w:spacing w:line="360" w:lineRule="auto"/>
            <w:jc w:val="both"/>
            <w:rPr>
              <w:rFonts w:ascii="Arial" w:hAnsi="Arial" w:cs="Arial"/>
              <w:b/>
              <w:bCs/>
              <w:sz w:val="24"/>
              <w:szCs w:val="24"/>
            </w:rPr>
          </w:pPr>
        </w:p>
        <w:p w14:paraId="69109BB0" w14:textId="77777777" w:rsidR="009A4FE2" w:rsidRPr="00030181" w:rsidRDefault="009A4FE2" w:rsidP="005C5EBA">
          <w:pPr>
            <w:spacing w:line="360" w:lineRule="auto"/>
            <w:jc w:val="both"/>
            <w:rPr>
              <w:rFonts w:ascii="Arial" w:hAnsi="Arial" w:cs="Arial"/>
              <w:b/>
              <w:bCs/>
              <w:sz w:val="24"/>
              <w:szCs w:val="24"/>
            </w:rPr>
          </w:pPr>
        </w:p>
        <w:p w14:paraId="56845127" w14:textId="2B886FE6" w:rsidR="00A40BFB" w:rsidRPr="00030181" w:rsidRDefault="00A40BFB" w:rsidP="009A4FE2">
          <w:pPr>
            <w:spacing w:line="360" w:lineRule="auto"/>
            <w:jc w:val="center"/>
            <w:rPr>
              <w:rFonts w:ascii="Arial" w:hAnsi="Arial" w:cs="Arial"/>
              <w:b/>
              <w:bCs/>
              <w:sz w:val="26"/>
              <w:szCs w:val="26"/>
            </w:rPr>
          </w:pPr>
          <w:r w:rsidRPr="00030181">
            <w:rPr>
              <w:rFonts w:ascii="Arial" w:hAnsi="Arial" w:cs="Arial"/>
              <w:b/>
              <w:bCs/>
              <w:sz w:val="26"/>
              <w:szCs w:val="26"/>
            </w:rPr>
            <w:t>FOOD SAFETY AND NUTRITIONAL CARE PRACTICES IN UK CARE HOMES AND THEIR INFLUENCE ON HEALTH OUTCOMES AMONG OLDER ADULTS WITH TYPE 2 DIABETES</w:t>
          </w:r>
        </w:p>
        <w:p w14:paraId="2440E663" w14:textId="77777777" w:rsidR="0099306B" w:rsidRPr="00030181" w:rsidRDefault="0099306B" w:rsidP="009A4FE2">
          <w:pPr>
            <w:spacing w:line="360" w:lineRule="auto"/>
            <w:jc w:val="center"/>
            <w:rPr>
              <w:rFonts w:ascii="Arial" w:hAnsi="Arial" w:cs="Arial"/>
            </w:rPr>
          </w:pPr>
          <w:r w:rsidRPr="00030181">
            <w:rPr>
              <w:rFonts w:ascii="Arial" w:hAnsi="Arial" w:cs="Arial"/>
            </w:rPr>
            <w:t>by</w:t>
          </w:r>
        </w:p>
        <w:p w14:paraId="68D31989" w14:textId="50D79DB5" w:rsidR="0099306B" w:rsidRPr="00030181" w:rsidRDefault="0099306B" w:rsidP="009A4FE2">
          <w:pPr>
            <w:spacing w:line="360" w:lineRule="auto"/>
            <w:jc w:val="center"/>
            <w:rPr>
              <w:rFonts w:ascii="Arial" w:hAnsi="Arial" w:cs="Arial"/>
              <w:b/>
              <w:bCs/>
              <w:sz w:val="24"/>
              <w:szCs w:val="24"/>
            </w:rPr>
          </w:pPr>
          <w:r w:rsidRPr="00030181">
            <w:rPr>
              <w:rFonts w:ascii="Arial" w:hAnsi="Arial" w:cs="Arial"/>
              <w:b/>
              <w:bCs/>
              <w:sz w:val="24"/>
              <w:szCs w:val="24"/>
            </w:rPr>
            <w:t>Dhartiben Chauhan</w:t>
          </w:r>
          <w:r w:rsidR="003E3370" w:rsidRPr="00030181">
            <w:rPr>
              <w:rFonts w:ascii="Arial" w:hAnsi="Arial" w:cs="Arial"/>
              <w:b/>
              <w:bCs/>
              <w:sz w:val="24"/>
              <w:szCs w:val="24"/>
            </w:rPr>
            <w:t xml:space="preserve"> (2431584)</w:t>
          </w:r>
        </w:p>
        <w:p w14:paraId="0587981B" w14:textId="77777777" w:rsidR="0099306B" w:rsidRPr="00030181" w:rsidRDefault="0099306B" w:rsidP="009A4FE2">
          <w:pPr>
            <w:spacing w:line="360" w:lineRule="auto"/>
            <w:jc w:val="center"/>
            <w:rPr>
              <w:rFonts w:ascii="Arial" w:hAnsi="Arial" w:cs="Arial"/>
            </w:rPr>
          </w:pPr>
        </w:p>
        <w:p w14:paraId="5AC5C150" w14:textId="77777777" w:rsidR="009A4FE2" w:rsidRPr="00030181" w:rsidRDefault="009A4FE2" w:rsidP="009A4FE2">
          <w:pPr>
            <w:spacing w:line="360" w:lineRule="auto"/>
            <w:jc w:val="center"/>
            <w:rPr>
              <w:rFonts w:ascii="Arial" w:hAnsi="Arial" w:cs="Arial"/>
              <w:sz w:val="24"/>
              <w:szCs w:val="24"/>
            </w:rPr>
          </w:pPr>
        </w:p>
        <w:p w14:paraId="3DE2F689" w14:textId="77777777" w:rsidR="0099306B" w:rsidRPr="00030181" w:rsidRDefault="0099306B" w:rsidP="009A4FE2">
          <w:pPr>
            <w:spacing w:line="360" w:lineRule="auto"/>
            <w:jc w:val="center"/>
            <w:rPr>
              <w:rFonts w:ascii="Arial" w:hAnsi="Arial" w:cs="Arial"/>
              <w:sz w:val="24"/>
              <w:szCs w:val="24"/>
            </w:rPr>
          </w:pPr>
          <w:r w:rsidRPr="00030181">
            <w:rPr>
              <w:rFonts w:ascii="Arial" w:hAnsi="Arial" w:cs="Arial"/>
              <w:sz w:val="24"/>
              <w:szCs w:val="24"/>
            </w:rPr>
            <w:t>A Dissertation submitted in partial fulfilment of the requirements for the degree of</w:t>
          </w:r>
        </w:p>
        <w:p w14:paraId="4718BE7C" w14:textId="77777777" w:rsidR="0099306B" w:rsidRPr="00030181" w:rsidRDefault="0099306B" w:rsidP="009A4FE2">
          <w:pPr>
            <w:spacing w:line="360" w:lineRule="auto"/>
            <w:jc w:val="center"/>
            <w:rPr>
              <w:rFonts w:ascii="Arial" w:hAnsi="Arial" w:cs="Arial"/>
              <w:b/>
              <w:bCs/>
              <w:sz w:val="24"/>
              <w:szCs w:val="24"/>
            </w:rPr>
          </w:pPr>
          <w:r w:rsidRPr="00030181">
            <w:rPr>
              <w:rFonts w:ascii="Arial" w:hAnsi="Arial" w:cs="Arial"/>
              <w:b/>
              <w:bCs/>
              <w:sz w:val="24"/>
              <w:szCs w:val="24"/>
            </w:rPr>
            <w:t>Master of Science in Public Health and Social Care in Practice</w:t>
          </w:r>
        </w:p>
        <w:p w14:paraId="1B507749" w14:textId="77777777" w:rsidR="0099306B" w:rsidRPr="00030181" w:rsidRDefault="0099306B" w:rsidP="009A4FE2">
          <w:pPr>
            <w:spacing w:line="360" w:lineRule="auto"/>
            <w:jc w:val="center"/>
            <w:rPr>
              <w:rFonts w:ascii="Arial" w:hAnsi="Arial" w:cs="Arial"/>
              <w:sz w:val="24"/>
              <w:szCs w:val="24"/>
            </w:rPr>
          </w:pPr>
          <w:r w:rsidRPr="00030181">
            <w:rPr>
              <w:rFonts w:ascii="Arial" w:hAnsi="Arial" w:cs="Arial"/>
              <w:sz w:val="24"/>
              <w:szCs w:val="24"/>
            </w:rPr>
            <w:t>The Institute of Inner-City Learning</w:t>
          </w:r>
        </w:p>
        <w:p w14:paraId="78FCF5FF" w14:textId="77777777" w:rsidR="0099306B" w:rsidRPr="00030181" w:rsidRDefault="0099306B" w:rsidP="009A4FE2">
          <w:pPr>
            <w:spacing w:line="360" w:lineRule="auto"/>
            <w:jc w:val="center"/>
            <w:rPr>
              <w:rFonts w:ascii="Arial" w:hAnsi="Arial" w:cs="Arial"/>
              <w:b/>
              <w:bCs/>
              <w:sz w:val="24"/>
              <w:szCs w:val="24"/>
            </w:rPr>
          </w:pPr>
          <w:r w:rsidRPr="00030181">
            <w:rPr>
              <w:rFonts w:ascii="Arial" w:hAnsi="Arial" w:cs="Arial"/>
              <w:b/>
              <w:bCs/>
              <w:sz w:val="24"/>
              <w:szCs w:val="24"/>
            </w:rPr>
            <w:t>University of Wales Trinity Saint David – London Campus</w:t>
          </w:r>
        </w:p>
        <w:p w14:paraId="15F828ED" w14:textId="77777777" w:rsidR="009A4FE2" w:rsidRPr="00030181" w:rsidRDefault="009A4FE2" w:rsidP="009A4FE2">
          <w:pPr>
            <w:spacing w:line="360" w:lineRule="auto"/>
            <w:rPr>
              <w:rFonts w:ascii="Arial" w:hAnsi="Arial" w:cs="Arial"/>
              <w:sz w:val="24"/>
              <w:szCs w:val="24"/>
            </w:rPr>
          </w:pPr>
        </w:p>
        <w:p w14:paraId="1B76269C" w14:textId="7E9E0D8A" w:rsidR="0099306B" w:rsidRPr="00030181" w:rsidRDefault="009A4FE2" w:rsidP="009A4FE2">
          <w:pPr>
            <w:spacing w:line="360" w:lineRule="auto"/>
            <w:jc w:val="center"/>
            <w:rPr>
              <w:rFonts w:ascii="Arial" w:hAnsi="Arial" w:cs="Arial"/>
              <w:b/>
              <w:bCs/>
              <w:sz w:val="24"/>
              <w:szCs w:val="24"/>
            </w:rPr>
          </w:pPr>
          <w:r w:rsidRPr="00030181">
            <w:rPr>
              <w:rFonts w:ascii="Arial" w:hAnsi="Arial" w:cs="Arial"/>
              <w:b/>
              <w:bCs/>
              <w:sz w:val="24"/>
              <w:szCs w:val="24"/>
            </w:rPr>
            <w:t>June 2026</w:t>
          </w:r>
        </w:p>
        <w:p w14:paraId="30BD49CE" w14:textId="50A5E798" w:rsidR="0099306B" w:rsidRPr="00030181" w:rsidRDefault="0099306B" w:rsidP="005C5EBA">
          <w:pPr>
            <w:spacing w:line="360" w:lineRule="auto"/>
            <w:rPr>
              <w:rFonts w:ascii="Arial" w:hAnsi="Arial" w:cs="Arial"/>
              <w:b/>
              <w:bCs/>
              <w:sz w:val="24"/>
              <w:szCs w:val="24"/>
            </w:rPr>
          </w:pPr>
          <w:r w:rsidRPr="00030181">
            <w:rPr>
              <w:rFonts w:ascii="Arial" w:hAnsi="Arial" w:cs="Arial"/>
              <w:b/>
              <w:bCs/>
              <w:sz w:val="28"/>
              <w:szCs w:val="28"/>
            </w:rPr>
            <w:br w:type="page"/>
          </w:r>
        </w:p>
      </w:sdtContent>
    </w:sdt>
    <w:p w14:paraId="27626B03" w14:textId="6FBB7681" w:rsidR="0099306B" w:rsidRPr="00030181" w:rsidRDefault="003E3370" w:rsidP="005C5EBA">
      <w:pPr>
        <w:spacing w:line="360" w:lineRule="auto"/>
        <w:jc w:val="both"/>
        <w:rPr>
          <w:rFonts w:ascii="Arial" w:hAnsi="Arial" w:cs="Arial"/>
          <w:b/>
          <w:bCs/>
          <w:sz w:val="28"/>
          <w:szCs w:val="28"/>
        </w:rPr>
      </w:pPr>
      <w:r w:rsidRPr="00030181">
        <w:rPr>
          <w:rFonts w:ascii="Arial" w:hAnsi="Arial" w:cs="Arial"/>
          <w:b/>
          <w:bCs/>
          <w:sz w:val="28"/>
          <w:szCs w:val="28"/>
        </w:rPr>
        <w:lastRenderedPageBreak/>
        <w:t>DECLARATION</w:t>
      </w:r>
    </w:p>
    <w:p w14:paraId="05B00EA3" w14:textId="539BA58C" w:rsidR="0099306B" w:rsidRPr="00030181" w:rsidRDefault="0099306B" w:rsidP="005C5EBA">
      <w:pPr>
        <w:spacing w:line="360" w:lineRule="auto"/>
        <w:jc w:val="both"/>
        <w:rPr>
          <w:rFonts w:ascii="Arial" w:hAnsi="Arial" w:cs="Arial"/>
        </w:rPr>
      </w:pPr>
      <w:r w:rsidRPr="00030181">
        <w:rPr>
          <w:rFonts w:ascii="Arial" w:hAnsi="Arial" w:cs="Arial"/>
        </w:rPr>
        <w:t>I, Dhartiben Chauhan, declare that this dissertation has been composed by myself and that the work contained herein is entirely my own except where explicitly stated otherwise in the text. This dissertation has not been submitted for any other degree or qualification, in whole or in part, except where stated.</w:t>
      </w:r>
    </w:p>
    <w:p w14:paraId="169ABC1C" w14:textId="77777777" w:rsidR="0099306B" w:rsidRPr="00030181" w:rsidRDefault="0099306B" w:rsidP="005C5EBA">
      <w:pPr>
        <w:spacing w:line="360" w:lineRule="auto"/>
        <w:jc w:val="both"/>
        <w:rPr>
          <w:rFonts w:ascii="Arial" w:hAnsi="Arial" w:cs="Arial"/>
        </w:rPr>
      </w:pPr>
    </w:p>
    <w:p w14:paraId="4E2E2DB3" w14:textId="6559F23B" w:rsidR="0099306B" w:rsidRPr="00030181" w:rsidRDefault="0099306B" w:rsidP="005C5EBA">
      <w:pPr>
        <w:spacing w:line="360" w:lineRule="auto"/>
        <w:jc w:val="both"/>
        <w:rPr>
          <w:rFonts w:ascii="Arial" w:hAnsi="Arial" w:cs="Arial"/>
        </w:rPr>
      </w:pPr>
      <w:r w:rsidRPr="00030181">
        <w:rPr>
          <w:rFonts w:ascii="Arial" w:hAnsi="Arial" w:cs="Arial"/>
        </w:rPr>
        <w:t xml:space="preserve">Signed: </w:t>
      </w:r>
      <w:r w:rsidR="00013C63" w:rsidRPr="00030181">
        <w:rPr>
          <w:rFonts w:ascii="Arial" w:hAnsi="Arial" w:cs="Arial"/>
        </w:rPr>
        <w:t>D.B.Chauhan</w:t>
      </w:r>
    </w:p>
    <w:p w14:paraId="5C9C057E" w14:textId="590C2033" w:rsidR="0099306B" w:rsidRPr="00030181" w:rsidRDefault="0099306B" w:rsidP="005C5EBA">
      <w:pPr>
        <w:spacing w:line="360" w:lineRule="auto"/>
        <w:jc w:val="both"/>
        <w:rPr>
          <w:rFonts w:ascii="Arial" w:hAnsi="Arial" w:cs="Arial"/>
        </w:rPr>
      </w:pPr>
      <w:r w:rsidRPr="00030181">
        <w:rPr>
          <w:rFonts w:ascii="Arial" w:hAnsi="Arial" w:cs="Arial"/>
        </w:rPr>
        <w:t xml:space="preserve">Date: </w:t>
      </w:r>
      <w:r w:rsidR="00013C63" w:rsidRPr="00030181">
        <w:rPr>
          <w:rFonts w:ascii="Arial" w:hAnsi="Arial" w:cs="Arial"/>
        </w:rPr>
        <w:t>10</w:t>
      </w:r>
      <w:r w:rsidR="00013C63" w:rsidRPr="00030181">
        <w:rPr>
          <w:rFonts w:ascii="Arial" w:hAnsi="Arial" w:cs="Arial"/>
          <w:vertAlign w:val="superscript"/>
        </w:rPr>
        <w:t>th</w:t>
      </w:r>
      <w:r w:rsidR="00013C63" w:rsidRPr="00030181">
        <w:rPr>
          <w:rFonts w:ascii="Arial" w:hAnsi="Arial" w:cs="Arial"/>
        </w:rPr>
        <w:t xml:space="preserve"> June 2026</w:t>
      </w:r>
    </w:p>
    <w:p w14:paraId="7EED7BDC" w14:textId="77777777" w:rsidR="00A33DAA" w:rsidRPr="00030181" w:rsidRDefault="00A33DAA" w:rsidP="005C5EBA">
      <w:pPr>
        <w:spacing w:line="360" w:lineRule="auto"/>
        <w:jc w:val="both"/>
        <w:rPr>
          <w:rFonts w:ascii="Arial" w:hAnsi="Arial" w:cs="Arial"/>
          <w:sz w:val="28"/>
          <w:szCs w:val="28"/>
        </w:rPr>
      </w:pPr>
    </w:p>
    <w:p w14:paraId="2F76FC35" w14:textId="77777777" w:rsidR="0099306B" w:rsidRPr="00030181" w:rsidRDefault="0099306B" w:rsidP="005C5EBA">
      <w:pPr>
        <w:spacing w:line="360" w:lineRule="auto"/>
        <w:jc w:val="both"/>
        <w:rPr>
          <w:rFonts w:ascii="Arial" w:hAnsi="Arial" w:cs="Arial"/>
          <w:sz w:val="28"/>
          <w:szCs w:val="28"/>
        </w:rPr>
      </w:pPr>
    </w:p>
    <w:p w14:paraId="2441530B" w14:textId="77777777" w:rsidR="0099306B" w:rsidRPr="00030181" w:rsidRDefault="0099306B" w:rsidP="005C5EBA">
      <w:pPr>
        <w:spacing w:line="360" w:lineRule="auto"/>
        <w:jc w:val="both"/>
        <w:rPr>
          <w:rFonts w:ascii="Arial" w:hAnsi="Arial" w:cs="Arial"/>
          <w:sz w:val="28"/>
          <w:szCs w:val="28"/>
        </w:rPr>
      </w:pPr>
    </w:p>
    <w:p w14:paraId="34552E7F" w14:textId="77777777" w:rsidR="0099306B" w:rsidRPr="00030181" w:rsidRDefault="0099306B" w:rsidP="005C5EBA">
      <w:pPr>
        <w:spacing w:line="360" w:lineRule="auto"/>
        <w:jc w:val="both"/>
        <w:rPr>
          <w:rFonts w:ascii="Arial" w:hAnsi="Arial" w:cs="Arial"/>
          <w:sz w:val="28"/>
          <w:szCs w:val="28"/>
        </w:rPr>
      </w:pPr>
    </w:p>
    <w:p w14:paraId="7BE4B06C" w14:textId="77777777" w:rsidR="0099306B" w:rsidRPr="00030181" w:rsidRDefault="0099306B" w:rsidP="005C5EBA">
      <w:pPr>
        <w:spacing w:line="360" w:lineRule="auto"/>
        <w:jc w:val="both"/>
        <w:rPr>
          <w:rFonts w:ascii="Arial" w:hAnsi="Arial" w:cs="Arial"/>
          <w:sz w:val="28"/>
          <w:szCs w:val="28"/>
        </w:rPr>
      </w:pPr>
    </w:p>
    <w:p w14:paraId="34A32F48" w14:textId="77777777" w:rsidR="0099306B" w:rsidRPr="00030181" w:rsidRDefault="0099306B" w:rsidP="005C5EBA">
      <w:pPr>
        <w:spacing w:line="360" w:lineRule="auto"/>
        <w:jc w:val="both"/>
        <w:rPr>
          <w:rFonts w:ascii="Arial" w:hAnsi="Arial" w:cs="Arial"/>
          <w:sz w:val="28"/>
          <w:szCs w:val="28"/>
        </w:rPr>
      </w:pPr>
    </w:p>
    <w:p w14:paraId="53C586B2" w14:textId="77777777" w:rsidR="0099306B" w:rsidRPr="00030181" w:rsidRDefault="0099306B" w:rsidP="005C5EBA">
      <w:pPr>
        <w:spacing w:line="360" w:lineRule="auto"/>
        <w:jc w:val="both"/>
        <w:rPr>
          <w:rFonts w:ascii="Arial" w:hAnsi="Arial" w:cs="Arial"/>
          <w:sz w:val="28"/>
          <w:szCs w:val="28"/>
        </w:rPr>
      </w:pPr>
    </w:p>
    <w:p w14:paraId="6C2FF5D7" w14:textId="77777777" w:rsidR="0099306B" w:rsidRPr="00030181" w:rsidRDefault="0099306B" w:rsidP="005C5EBA">
      <w:pPr>
        <w:spacing w:line="360" w:lineRule="auto"/>
        <w:jc w:val="both"/>
        <w:rPr>
          <w:rFonts w:ascii="Arial" w:hAnsi="Arial" w:cs="Arial"/>
          <w:sz w:val="28"/>
          <w:szCs w:val="28"/>
        </w:rPr>
      </w:pPr>
    </w:p>
    <w:p w14:paraId="54392AA3" w14:textId="77777777" w:rsidR="0099306B" w:rsidRPr="00030181" w:rsidRDefault="0099306B" w:rsidP="005C5EBA">
      <w:pPr>
        <w:spacing w:line="360" w:lineRule="auto"/>
        <w:jc w:val="both"/>
        <w:rPr>
          <w:rFonts w:ascii="Arial" w:hAnsi="Arial" w:cs="Arial"/>
          <w:sz w:val="28"/>
          <w:szCs w:val="28"/>
        </w:rPr>
      </w:pPr>
    </w:p>
    <w:p w14:paraId="2BC2875A" w14:textId="77777777" w:rsidR="0099306B" w:rsidRPr="00030181" w:rsidRDefault="0099306B" w:rsidP="005C5EBA">
      <w:pPr>
        <w:spacing w:line="360" w:lineRule="auto"/>
        <w:jc w:val="both"/>
        <w:rPr>
          <w:rFonts w:ascii="Arial" w:hAnsi="Arial" w:cs="Arial"/>
          <w:sz w:val="28"/>
          <w:szCs w:val="28"/>
        </w:rPr>
      </w:pPr>
    </w:p>
    <w:p w14:paraId="0EE6360F" w14:textId="77777777" w:rsidR="0099306B" w:rsidRPr="00030181" w:rsidRDefault="0099306B" w:rsidP="005C5EBA">
      <w:pPr>
        <w:spacing w:line="360" w:lineRule="auto"/>
        <w:jc w:val="both"/>
        <w:rPr>
          <w:rFonts w:ascii="Arial" w:hAnsi="Arial" w:cs="Arial"/>
          <w:sz w:val="28"/>
          <w:szCs w:val="28"/>
        </w:rPr>
      </w:pPr>
    </w:p>
    <w:p w14:paraId="183D1BE3" w14:textId="77777777" w:rsidR="0099306B" w:rsidRPr="00030181" w:rsidRDefault="0099306B" w:rsidP="005C5EBA">
      <w:pPr>
        <w:spacing w:line="360" w:lineRule="auto"/>
        <w:jc w:val="both"/>
        <w:rPr>
          <w:rFonts w:ascii="Arial" w:hAnsi="Arial" w:cs="Arial"/>
          <w:sz w:val="28"/>
          <w:szCs w:val="28"/>
        </w:rPr>
      </w:pPr>
    </w:p>
    <w:p w14:paraId="364AA58F" w14:textId="77777777" w:rsidR="0099306B" w:rsidRPr="00030181" w:rsidRDefault="0099306B" w:rsidP="005C5EBA">
      <w:pPr>
        <w:spacing w:line="360" w:lineRule="auto"/>
        <w:jc w:val="both"/>
        <w:rPr>
          <w:rFonts w:ascii="Arial" w:hAnsi="Arial" w:cs="Arial"/>
          <w:sz w:val="28"/>
          <w:szCs w:val="28"/>
        </w:rPr>
      </w:pPr>
    </w:p>
    <w:p w14:paraId="31DE8F06" w14:textId="77777777" w:rsidR="003E3370" w:rsidRPr="00030181" w:rsidRDefault="003E3370" w:rsidP="005C5EBA">
      <w:pPr>
        <w:spacing w:line="360" w:lineRule="auto"/>
        <w:jc w:val="both"/>
        <w:rPr>
          <w:rFonts w:ascii="Arial" w:hAnsi="Arial" w:cs="Arial"/>
          <w:sz w:val="28"/>
          <w:szCs w:val="28"/>
        </w:rPr>
      </w:pPr>
    </w:p>
    <w:p w14:paraId="1D432484" w14:textId="77777777" w:rsidR="003E3370" w:rsidRPr="00030181" w:rsidRDefault="003E3370" w:rsidP="005C5EBA">
      <w:pPr>
        <w:spacing w:line="360" w:lineRule="auto"/>
        <w:jc w:val="both"/>
        <w:rPr>
          <w:rFonts w:ascii="Arial" w:hAnsi="Arial" w:cs="Arial"/>
          <w:sz w:val="28"/>
          <w:szCs w:val="28"/>
        </w:rPr>
      </w:pPr>
    </w:p>
    <w:p w14:paraId="47877B46" w14:textId="77777777" w:rsidR="003E3370" w:rsidRPr="00030181" w:rsidRDefault="003E3370" w:rsidP="005C5EBA">
      <w:pPr>
        <w:spacing w:line="360" w:lineRule="auto"/>
        <w:jc w:val="both"/>
        <w:rPr>
          <w:rFonts w:ascii="Arial" w:hAnsi="Arial" w:cs="Arial"/>
          <w:sz w:val="28"/>
          <w:szCs w:val="28"/>
        </w:rPr>
      </w:pPr>
    </w:p>
    <w:p w14:paraId="6BFD77BD" w14:textId="5EE9B9BD" w:rsidR="0099306B" w:rsidRPr="00030181" w:rsidRDefault="003E3370" w:rsidP="005C5EBA">
      <w:pPr>
        <w:spacing w:line="360" w:lineRule="auto"/>
        <w:jc w:val="both"/>
        <w:rPr>
          <w:rFonts w:ascii="Arial" w:hAnsi="Arial" w:cs="Arial"/>
          <w:b/>
          <w:bCs/>
          <w:sz w:val="28"/>
          <w:szCs w:val="28"/>
        </w:rPr>
      </w:pPr>
      <w:r w:rsidRPr="00030181">
        <w:rPr>
          <w:rFonts w:ascii="Arial" w:hAnsi="Arial" w:cs="Arial"/>
          <w:b/>
          <w:bCs/>
          <w:sz w:val="28"/>
          <w:szCs w:val="28"/>
        </w:rPr>
        <w:lastRenderedPageBreak/>
        <w:t>ACKNOWLEDGEMENTS</w:t>
      </w:r>
    </w:p>
    <w:p w14:paraId="75E7805F" w14:textId="401E94C3" w:rsidR="0099306B" w:rsidRPr="00030181" w:rsidRDefault="0099306B" w:rsidP="005C5EBA">
      <w:pPr>
        <w:spacing w:line="360" w:lineRule="auto"/>
        <w:jc w:val="both"/>
        <w:rPr>
          <w:rFonts w:ascii="Arial" w:hAnsi="Arial" w:cs="Arial"/>
          <w:sz w:val="24"/>
          <w:szCs w:val="24"/>
        </w:rPr>
      </w:pPr>
      <w:r w:rsidRPr="00030181">
        <w:rPr>
          <w:rFonts w:ascii="Arial" w:hAnsi="Arial" w:cs="Arial"/>
          <w:sz w:val="24"/>
          <w:szCs w:val="24"/>
        </w:rPr>
        <w:t xml:space="preserve">I </w:t>
      </w:r>
      <w:r w:rsidR="005F2B50" w:rsidRPr="00030181">
        <w:rPr>
          <w:rFonts w:ascii="Arial" w:hAnsi="Arial" w:cs="Arial"/>
          <w:sz w:val="24"/>
          <w:szCs w:val="24"/>
        </w:rPr>
        <w:t xml:space="preserve">wish to convey my sincere appreciation to my dissertation supervisor for their </w:t>
      </w:r>
      <w:r w:rsidR="005F2B50" w:rsidRPr="00030181">
        <w:rPr>
          <w:rFonts w:ascii="Arial" w:hAnsi="Arial" w:cs="Arial"/>
          <w:sz w:val="24"/>
          <w:szCs w:val="24"/>
        </w:rPr>
        <w:t>assistance</w:t>
      </w:r>
      <w:r w:rsidRPr="00030181">
        <w:rPr>
          <w:rFonts w:ascii="Arial" w:hAnsi="Arial" w:cs="Arial"/>
          <w:sz w:val="24"/>
          <w:szCs w:val="24"/>
        </w:rPr>
        <w:t xml:space="preserve">, encouragement, and valuable </w:t>
      </w:r>
      <w:r w:rsidR="005F2B50" w:rsidRPr="00030181">
        <w:rPr>
          <w:rFonts w:ascii="Arial" w:hAnsi="Arial" w:cs="Arial"/>
          <w:sz w:val="24"/>
          <w:szCs w:val="24"/>
        </w:rPr>
        <w:t xml:space="preserve">guidance throughout </w:t>
      </w:r>
      <w:r w:rsidRPr="00030181">
        <w:rPr>
          <w:rFonts w:ascii="Arial" w:hAnsi="Arial" w:cs="Arial"/>
          <w:sz w:val="24"/>
          <w:szCs w:val="24"/>
        </w:rPr>
        <w:t>the completion of this study.</w:t>
      </w:r>
    </w:p>
    <w:p w14:paraId="0C2BC6F9" w14:textId="1D7EF340" w:rsidR="0072034F" w:rsidRPr="00030181" w:rsidRDefault="005F2B50" w:rsidP="005C5EBA">
      <w:pPr>
        <w:spacing w:line="360" w:lineRule="auto"/>
        <w:jc w:val="both"/>
        <w:rPr>
          <w:rFonts w:ascii="Arial" w:hAnsi="Arial" w:cs="Arial"/>
          <w:sz w:val="24"/>
          <w:szCs w:val="24"/>
        </w:rPr>
      </w:pPr>
      <w:r w:rsidRPr="00030181">
        <w:rPr>
          <w:rFonts w:ascii="Arial" w:hAnsi="Arial" w:cs="Arial"/>
          <w:sz w:val="24"/>
          <w:szCs w:val="24"/>
        </w:rPr>
        <w:t>My appreciation goes to the academic staff of the University of Wales Trinity Saint David, London Campus</w:t>
      </w:r>
      <w:r w:rsidR="0072034F" w:rsidRPr="00030181">
        <w:rPr>
          <w:rFonts w:ascii="Arial" w:hAnsi="Arial" w:cs="Arial"/>
          <w:sz w:val="24"/>
          <w:szCs w:val="24"/>
        </w:rPr>
        <w:t>, whose expertise, support, and commitment to teaching have significantly enhanced my learning journey and academic progress.</w:t>
      </w:r>
    </w:p>
    <w:p w14:paraId="4063685C" w14:textId="7D5778C0" w:rsidR="001E5323" w:rsidRPr="00030181" w:rsidRDefault="001E5323" w:rsidP="005C5EBA">
      <w:pPr>
        <w:spacing w:line="360" w:lineRule="auto"/>
        <w:jc w:val="both"/>
        <w:rPr>
          <w:rFonts w:ascii="Arial" w:hAnsi="Arial" w:cs="Arial"/>
          <w:sz w:val="24"/>
          <w:szCs w:val="24"/>
        </w:rPr>
      </w:pPr>
      <w:r w:rsidRPr="00030181">
        <w:rPr>
          <w:rFonts w:ascii="Arial" w:hAnsi="Arial" w:cs="Arial"/>
          <w:sz w:val="24"/>
          <w:szCs w:val="24"/>
          <w:lang w:val="en-US"/>
        </w:rPr>
        <w:t xml:space="preserve">My sincere gratitude goes to my family and friends for their understanding and </w:t>
      </w:r>
      <w:r w:rsidR="005F2B50" w:rsidRPr="00030181">
        <w:rPr>
          <w:rFonts w:ascii="Arial" w:hAnsi="Arial" w:cs="Arial"/>
          <w:sz w:val="24"/>
          <w:szCs w:val="24"/>
        </w:rPr>
        <w:t>forbearance</w:t>
      </w:r>
      <w:r w:rsidRPr="00030181">
        <w:rPr>
          <w:rFonts w:ascii="Arial" w:hAnsi="Arial" w:cs="Arial"/>
          <w:sz w:val="24"/>
          <w:szCs w:val="24"/>
          <w:lang w:val="en-US"/>
        </w:rPr>
        <w:t>,</w:t>
      </w:r>
      <w:r w:rsidR="005F2B50" w:rsidRPr="00030181">
        <w:rPr>
          <w:rFonts w:ascii="Arial" w:hAnsi="Arial" w:cs="Arial"/>
          <w:sz w:val="24"/>
          <w:szCs w:val="24"/>
          <w:lang w:val="en-US"/>
        </w:rPr>
        <w:t xml:space="preserve"> </w:t>
      </w:r>
      <w:r w:rsidR="005F2B50" w:rsidRPr="00030181">
        <w:rPr>
          <w:rFonts w:ascii="Arial" w:hAnsi="Arial" w:cs="Arial"/>
          <w:sz w:val="24"/>
          <w:szCs w:val="24"/>
        </w:rPr>
        <w:t>inspiration</w:t>
      </w:r>
      <w:r w:rsidR="0099306B" w:rsidRPr="00030181">
        <w:rPr>
          <w:rFonts w:ascii="Arial" w:hAnsi="Arial" w:cs="Arial"/>
          <w:sz w:val="24"/>
          <w:szCs w:val="24"/>
        </w:rPr>
        <w:t xml:space="preserve">, and continuous </w:t>
      </w:r>
      <w:r w:rsidRPr="00030181">
        <w:rPr>
          <w:rFonts w:ascii="Arial" w:hAnsi="Arial" w:cs="Arial"/>
          <w:sz w:val="24"/>
          <w:szCs w:val="24"/>
        </w:rPr>
        <w:t xml:space="preserve">assistance </w:t>
      </w:r>
      <w:r w:rsidR="005F2B50" w:rsidRPr="00030181">
        <w:rPr>
          <w:rFonts w:ascii="Arial" w:hAnsi="Arial" w:cs="Arial"/>
          <w:sz w:val="24"/>
          <w:szCs w:val="24"/>
        </w:rPr>
        <w:t>during my studies</w:t>
      </w:r>
      <w:r w:rsidR="005F2B50" w:rsidRPr="00030181">
        <w:rPr>
          <w:rFonts w:ascii="Arial" w:hAnsi="Arial" w:cs="Arial"/>
          <w:sz w:val="24"/>
          <w:szCs w:val="24"/>
        </w:rPr>
        <w:t xml:space="preserve">. </w:t>
      </w:r>
      <w:r w:rsidR="0099306B" w:rsidRPr="00030181">
        <w:rPr>
          <w:rFonts w:ascii="Arial" w:hAnsi="Arial" w:cs="Arial"/>
          <w:sz w:val="24"/>
          <w:szCs w:val="24"/>
        </w:rPr>
        <w:t xml:space="preserve">Their motivation </w:t>
      </w:r>
      <w:r w:rsidR="00F72364" w:rsidRPr="00030181">
        <w:rPr>
          <w:rFonts w:ascii="Arial" w:hAnsi="Arial" w:cs="Arial"/>
          <w:sz w:val="24"/>
          <w:szCs w:val="24"/>
        </w:rPr>
        <w:t>along with</w:t>
      </w:r>
      <w:r w:rsidR="0099306B" w:rsidRPr="00030181">
        <w:rPr>
          <w:rFonts w:ascii="Arial" w:hAnsi="Arial" w:cs="Arial"/>
          <w:sz w:val="24"/>
          <w:szCs w:val="24"/>
        </w:rPr>
        <w:t xml:space="preserve"> understanding have been </w:t>
      </w:r>
      <w:r w:rsidRPr="00030181">
        <w:rPr>
          <w:rFonts w:ascii="Arial" w:hAnsi="Arial" w:cs="Arial"/>
          <w:sz w:val="24"/>
          <w:szCs w:val="24"/>
        </w:rPr>
        <w:t>immensely valuable throughout this process.</w:t>
      </w:r>
    </w:p>
    <w:p w14:paraId="1454F886" w14:textId="77777777" w:rsidR="001E5323" w:rsidRPr="00030181" w:rsidRDefault="001E5323" w:rsidP="005C5EBA">
      <w:pPr>
        <w:spacing w:line="360" w:lineRule="auto"/>
        <w:jc w:val="both"/>
        <w:rPr>
          <w:rFonts w:ascii="Arial" w:hAnsi="Arial" w:cs="Arial"/>
          <w:sz w:val="24"/>
          <w:szCs w:val="24"/>
        </w:rPr>
      </w:pPr>
      <w:r w:rsidRPr="00030181">
        <w:rPr>
          <w:rFonts w:ascii="Arial" w:hAnsi="Arial" w:cs="Arial"/>
          <w:sz w:val="24"/>
          <w:szCs w:val="24"/>
          <w:lang w:val="en-US"/>
        </w:rPr>
        <w:t>Lastly, I would like to recognize all scholars,</w:t>
      </w:r>
      <w:r w:rsidR="0099306B" w:rsidRPr="00030181">
        <w:rPr>
          <w:rFonts w:ascii="Arial" w:hAnsi="Arial" w:cs="Arial"/>
          <w:sz w:val="24"/>
          <w:szCs w:val="24"/>
        </w:rPr>
        <w:t xml:space="preserve"> healthcare organisations, </w:t>
      </w:r>
      <w:r w:rsidRPr="00030181">
        <w:rPr>
          <w:rFonts w:ascii="Arial" w:hAnsi="Arial" w:cs="Arial"/>
          <w:sz w:val="24"/>
          <w:szCs w:val="24"/>
        </w:rPr>
        <w:t xml:space="preserve">and professional bodies whose published work informed this dissertation. </w:t>
      </w:r>
    </w:p>
    <w:p w14:paraId="370E56F3" w14:textId="37514F27" w:rsidR="0099306B" w:rsidRPr="00030181" w:rsidRDefault="0099306B" w:rsidP="005C5EBA">
      <w:pPr>
        <w:spacing w:line="360" w:lineRule="auto"/>
        <w:jc w:val="both"/>
        <w:rPr>
          <w:rFonts w:ascii="Arial" w:hAnsi="Arial" w:cs="Arial"/>
          <w:sz w:val="24"/>
          <w:szCs w:val="24"/>
        </w:rPr>
      </w:pPr>
      <w:r w:rsidRPr="00030181">
        <w:rPr>
          <w:rFonts w:ascii="Arial" w:hAnsi="Arial" w:cs="Arial"/>
          <w:sz w:val="24"/>
          <w:szCs w:val="24"/>
        </w:rPr>
        <w:t xml:space="preserve">Thank you to everyone who supported me </w:t>
      </w:r>
      <w:r w:rsidR="001E5323" w:rsidRPr="00030181">
        <w:rPr>
          <w:rFonts w:ascii="Arial" w:hAnsi="Arial" w:cs="Arial"/>
          <w:sz w:val="24"/>
          <w:szCs w:val="24"/>
        </w:rPr>
        <w:t xml:space="preserve">during the completion of this MSc </w:t>
      </w:r>
      <w:r w:rsidRPr="00030181">
        <w:rPr>
          <w:rFonts w:ascii="Arial" w:hAnsi="Arial" w:cs="Arial"/>
          <w:sz w:val="24"/>
          <w:szCs w:val="24"/>
        </w:rPr>
        <w:t>dissertation.</w:t>
      </w:r>
    </w:p>
    <w:p w14:paraId="50165ADD" w14:textId="77777777" w:rsidR="00F72364" w:rsidRPr="00030181" w:rsidRDefault="00F72364" w:rsidP="005C5EBA">
      <w:pPr>
        <w:spacing w:line="360" w:lineRule="auto"/>
        <w:jc w:val="both"/>
        <w:rPr>
          <w:rFonts w:ascii="Arial" w:hAnsi="Arial" w:cs="Arial"/>
          <w:sz w:val="20"/>
          <w:szCs w:val="20"/>
        </w:rPr>
      </w:pPr>
    </w:p>
    <w:p w14:paraId="5D0586C1" w14:textId="28790536" w:rsidR="0099306B" w:rsidRPr="00030181" w:rsidRDefault="00F72364" w:rsidP="005C5EBA">
      <w:pPr>
        <w:spacing w:line="360" w:lineRule="auto"/>
        <w:jc w:val="both"/>
        <w:rPr>
          <w:rFonts w:ascii="Arial" w:hAnsi="Arial" w:cs="Arial"/>
        </w:rPr>
      </w:pPr>
      <w:r w:rsidRPr="00030181">
        <w:rPr>
          <w:rFonts w:ascii="Arial" w:hAnsi="Arial" w:cs="Arial"/>
        </w:rPr>
        <w:t>Dhartiben Chauhan</w:t>
      </w:r>
    </w:p>
    <w:p w14:paraId="634DACB0" w14:textId="2A22A320" w:rsidR="00F72364" w:rsidRPr="00030181" w:rsidRDefault="00F72364" w:rsidP="005C5EBA">
      <w:pPr>
        <w:spacing w:line="360" w:lineRule="auto"/>
        <w:jc w:val="both"/>
        <w:rPr>
          <w:rFonts w:ascii="Arial" w:hAnsi="Arial" w:cs="Arial"/>
        </w:rPr>
      </w:pPr>
      <w:r w:rsidRPr="00030181">
        <w:rPr>
          <w:rFonts w:ascii="Arial" w:hAnsi="Arial" w:cs="Arial"/>
        </w:rPr>
        <w:t>June, 2026</w:t>
      </w:r>
    </w:p>
    <w:p w14:paraId="46F0E602" w14:textId="77777777" w:rsidR="0099306B" w:rsidRPr="00030181" w:rsidRDefault="0099306B" w:rsidP="005C5EBA">
      <w:pPr>
        <w:spacing w:line="360" w:lineRule="auto"/>
        <w:jc w:val="both"/>
        <w:rPr>
          <w:rFonts w:ascii="Arial" w:hAnsi="Arial" w:cs="Arial"/>
          <w:sz w:val="28"/>
          <w:szCs w:val="28"/>
        </w:rPr>
      </w:pPr>
    </w:p>
    <w:p w14:paraId="078EA6BA" w14:textId="77777777" w:rsidR="0099306B" w:rsidRPr="00030181" w:rsidRDefault="0099306B" w:rsidP="005C5EBA">
      <w:pPr>
        <w:spacing w:line="360" w:lineRule="auto"/>
        <w:jc w:val="both"/>
        <w:rPr>
          <w:rFonts w:ascii="Arial" w:hAnsi="Arial" w:cs="Arial"/>
          <w:sz w:val="28"/>
          <w:szCs w:val="28"/>
        </w:rPr>
      </w:pPr>
    </w:p>
    <w:p w14:paraId="51B4646E" w14:textId="77777777" w:rsidR="0099306B" w:rsidRPr="00030181" w:rsidRDefault="0099306B" w:rsidP="005C5EBA">
      <w:pPr>
        <w:spacing w:line="360" w:lineRule="auto"/>
        <w:jc w:val="both"/>
        <w:rPr>
          <w:rFonts w:ascii="Arial" w:hAnsi="Arial" w:cs="Arial"/>
          <w:sz w:val="28"/>
          <w:szCs w:val="28"/>
        </w:rPr>
      </w:pPr>
    </w:p>
    <w:p w14:paraId="6637A90D" w14:textId="77777777" w:rsidR="003E3370" w:rsidRPr="00030181" w:rsidRDefault="003E3370" w:rsidP="005C5EBA">
      <w:pPr>
        <w:spacing w:line="360" w:lineRule="auto"/>
        <w:jc w:val="both"/>
        <w:rPr>
          <w:rFonts w:ascii="Arial" w:hAnsi="Arial" w:cs="Arial"/>
          <w:sz w:val="28"/>
          <w:szCs w:val="28"/>
        </w:rPr>
      </w:pPr>
    </w:p>
    <w:p w14:paraId="3E57411F" w14:textId="77777777" w:rsidR="003E3370" w:rsidRPr="00030181" w:rsidRDefault="003E3370" w:rsidP="005C5EBA">
      <w:pPr>
        <w:spacing w:line="360" w:lineRule="auto"/>
        <w:jc w:val="both"/>
        <w:rPr>
          <w:rFonts w:ascii="Arial" w:hAnsi="Arial" w:cs="Arial"/>
          <w:sz w:val="28"/>
          <w:szCs w:val="28"/>
        </w:rPr>
      </w:pPr>
    </w:p>
    <w:p w14:paraId="137F64C3" w14:textId="77777777" w:rsidR="003E3370" w:rsidRPr="00030181" w:rsidRDefault="003E3370" w:rsidP="005C5EBA">
      <w:pPr>
        <w:spacing w:line="360" w:lineRule="auto"/>
        <w:jc w:val="both"/>
        <w:rPr>
          <w:rFonts w:ascii="Arial" w:hAnsi="Arial" w:cs="Arial"/>
          <w:sz w:val="28"/>
          <w:szCs w:val="28"/>
        </w:rPr>
      </w:pPr>
    </w:p>
    <w:p w14:paraId="2B323816" w14:textId="77777777" w:rsidR="003E3370" w:rsidRPr="00030181" w:rsidRDefault="003E3370" w:rsidP="005C5EBA">
      <w:pPr>
        <w:spacing w:line="360" w:lineRule="auto"/>
        <w:jc w:val="both"/>
        <w:rPr>
          <w:rFonts w:ascii="Arial" w:hAnsi="Arial" w:cs="Arial"/>
          <w:sz w:val="28"/>
          <w:szCs w:val="28"/>
        </w:rPr>
      </w:pPr>
    </w:p>
    <w:p w14:paraId="0E4F6877" w14:textId="77777777" w:rsidR="003E3370" w:rsidRPr="00030181" w:rsidRDefault="003E3370" w:rsidP="005C5EBA">
      <w:pPr>
        <w:spacing w:line="360" w:lineRule="auto"/>
        <w:jc w:val="both"/>
        <w:rPr>
          <w:rFonts w:ascii="Arial" w:hAnsi="Arial" w:cs="Arial"/>
          <w:sz w:val="28"/>
          <w:szCs w:val="28"/>
        </w:rPr>
      </w:pPr>
    </w:p>
    <w:p w14:paraId="16290C34" w14:textId="3FB7EEC2" w:rsidR="0099306B" w:rsidRPr="00030181" w:rsidRDefault="003E3370" w:rsidP="005C5EBA">
      <w:pPr>
        <w:spacing w:line="360" w:lineRule="auto"/>
        <w:jc w:val="both"/>
        <w:rPr>
          <w:rFonts w:ascii="Arial" w:hAnsi="Arial" w:cs="Arial"/>
          <w:sz w:val="28"/>
          <w:szCs w:val="28"/>
        </w:rPr>
      </w:pPr>
      <w:r w:rsidRPr="00030181">
        <w:rPr>
          <w:rFonts w:ascii="Arial" w:hAnsi="Arial" w:cs="Arial"/>
          <w:b/>
          <w:bCs/>
          <w:sz w:val="28"/>
          <w:szCs w:val="28"/>
        </w:rPr>
        <w:lastRenderedPageBreak/>
        <w:t>ABSTRACT</w:t>
      </w:r>
    </w:p>
    <w:p w14:paraId="6D596D23" w14:textId="6F8D8954" w:rsidR="005025A9" w:rsidRPr="00030181" w:rsidRDefault="001E5323" w:rsidP="005C5EBA">
      <w:pPr>
        <w:spacing w:line="360" w:lineRule="auto"/>
        <w:jc w:val="both"/>
        <w:rPr>
          <w:rFonts w:ascii="Arial" w:hAnsi="Arial" w:cs="Arial"/>
          <w:lang w:val="en-US"/>
        </w:rPr>
      </w:pPr>
      <w:r w:rsidRPr="00030181">
        <w:rPr>
          <w:rFonts w:ascii="Arial" w:hAnsi="Arial" w:cs="Arial"/>
          <w:lang w:val="en-US"/>
        </w:rPr>
        <w:t xml:space="preserve">This study </w:t>
      </w:r>
      <w:r w:rsidR="00A10246" w:rsidRPr="00030181">
        <w:rPr>
          <w:rFonts w:ascii="Arial" w:hAnsi="Arial" w:cs="Arial"/>
        </w:rPr>
        <w:t>examines the impact of</w:t>
      </w:r>
      <w:r w:rsidR="00A10246" w:rsidRPr="00030181">
        <w:rPr>
          <w:rFonts w:ascii="Arial" w:hAnsi="Arial" w:cs="Arial"/>
        </w:rPr>
        <w:t xml:space="preserve"> </w:t>
      </w:r>
      <w:r w:rsidRPr="00030181">
        <w:rPr>
          <w:rFonts w:ascii="Arial" w:hAnsi="Arial" w:cs="Arial"/>
          <w:lang w:val="en-US"/>
        </w:rPr>
        <w:t xml:space="preserve">food safety and nutritional </w:t>
      </w:r>
      <w:r w:rsidR="00A10246" w:rsidRPr="00030181">
        <w:rPr>
          <w:rFonts w:ascii="Arial" w:hAnsi="Arial" w:cs="Arial"/>
          <w:lang w:val="en-US"/>
        </w:rPr>
        <w:t xml:space="preserve">care </w:t>
      </w:r>
      <w:r w:rsidRPr="00030181">
        <w:rPr>
          <w:rFonts w:ascii="Arial" w:hAnsi="Arial" w:cs="Arial"/>
          <w:lang w:val="en-US"/>
        </w:rPr>
        <w:t xml:space="preserve">practices in UK care homes on the health outcomes of older adults, </w:t>
      </w:r>
      <w:r w:rsidR="00A10246" w:rsidRPr="00030181">
        <w:rPr>
          <w:rFonts w:ascii="Arial" w:hAnsi="Arial" w:cs="Arial"/>
        </w:rPr>
        <w:t xml:space="preserve">especially </w:t>
      </w:r>
      <w:r w:rsidR="006B1415" w:rsidRPr="00030181">
        <w:rPr>
          <w:rFonts w:ascii="Arial" w:hAnsi="Arial" w:cs="Arial"/>
        </w:rPr>
        <w:t xml:space="preserve">those </w:t>
      </w:r>
      <w:r w:rsidR="006B1415" w:rsidRPr="00030181">
        <w:rPr>
          <w:rFonts w:ascii="Arial" w:hAnsi="Arial" w:cs="Arial"/>
        </w:rPr>
        <w:t>individuals managing type 2 diabetes</w:t>
      </w:r>
      <w:r w:rsidR="005025A9" w:rsidRPr="00030181">
        <w:rPr>
          <w:rFonts w:ascii="Arial" w:hAnsi="Arial" w:cs="Arial"/>
        </w:rPr>
        <w:t xml:space="preserve">. </w:t>
      </w:r>
      <w:r w:rsidRPr="00030181">
        <w:rPr>
          <w:rFonts w:ascii="Arial" w:hAnsi="Arial" w:cs="Arial"/>
          <w:lang w:val="en-US"/>
        </w:rPr>
        <w:t>Residents of care homes are susceptible to malnutrition</w:t>
      </w:r>
      <w:r w:rsidR="005025A9" w:rsidRPr="00030181">
        <w:rPr>
          <w:rFonts w:ascii="Arial" w:hAnsi="Arial" w:cs="Arial"/>
        </w:rPr>
        <w:t>, dehydration, foodborne illness, and complications associated with chronic conditions, making effective nutritional and food safety practices essential for maintaining health and wellbeing.</w:t>
      </w:r>
    </w:p>
    <w:p w14:paraId="1ABCC9AF" w14:textId="08887564" w:rsidR="005025A9" w:rsidRPr="00030181" w:rsidRDefault="005025A9" w:rsidP="005C5EBA">
      <w:pPr>
        <w:spacing w:line="360" w:lineRule="auto"/>
        <w:jc w:val="both"/>
        <w:rPr>
          <w:rFonts w:ascii="Arial" w:hAnsi="Arial" w:cs="Arial"/>
        </w:rPr>
      </w:pPr>
      <w:r w:rsidRPr="00030181">
        <w:rPr>
          <w:rFonts w:ascii="Arial" w:hAnsi="Arial" w:cs="Arial"/>
        </w:rPr>
        <w:t xml:space="preserve">A qualitative systematic literature review was undertaken to synthesise evidence on food safety, nutritional care, chronic disease management, and health outcomes in care-home settings. Relevant studies were </w:t>
      </w:r>
      <w:r w:rsidR="006B1415" w:rsidRPr="00030181">
        <w:rPr>
          <w:rFonts w:ascii="Arial" w:hAnsi="Arial" w:cs="Arial"/>
        </w:rPr>
        <w:t>located through database searches and grey-literature resources</w:t>
      </w:r>
      <w:r w:rsidR="006B1415" w:rsidRPr="00030181">
        <w:rPr>
          <w:rFonts w:ascii="Arial" w:hAnsi="Arial" w:cs="Arial"/>
        </w:rPr>
        <w:t xml:space="preserve">. </w:t>
      </w:r>
      <w:r w:rsidRPr="00030181">
        <w:rPr>
          <w:rFonts w:ascii="Arial" w:hAnsi="Arial" w:cs="Arial"/>
        </w:rPr>
        <w:t xml:space="preserve">The review followed PRISMA guidelines, with study quality </w:t>
      </w:r>
      <w:r w:rsidR="006B1415" w:rsidRPr="00030181">
        <w:rPr>
          <w:rFonts w:ascii="Arial" w:hAnsi="Arial" w:cs="Arial"/>
        </w:rPr>
        <w:t>evaluated using the CASP checklist and Joanna Briggs Institute critical appraisal</w:t>
      </w:r>
      <w:r w:rsidR="006B1415" w:rsidRPr="00030181">
        <w:rPr>
          <w:rFonts w:ascii="Arial" w:hAnsi="Arial" w:cs="Arial"/>
        </w:rPr>
        <w:t xml:space="preserve"> </w:t>
      </w:r>
      <w:r w:rsidRPr="00030181">
        <w:rPr>
          <w:rFonts w:ascii="Arial" w:hAnsi="Arial" w:cs="Arial"/>
        </w:rPr>
        <w:t xml:space="preserve">tools. Data were </w:t>
      </w:r>
      <w:r w:rsidR="006B1415" w:rsidRPr="00030181">
        <w:rPr>
          <w:rFonts w:ascii="Arial" w:hAnsi="Arial" w:cs="Arial"/>
        </w:rPr>
        <w:t>examined using Braun and Clarke's six-stage thematic analysis approach</w:t>
      </w:r>
      <w:r w:rsidRPr="00030181">
        <w:rPr>
          <w:rFonts w:ascii="Arial" w:hAnsi="Arial" w:cs="Arial"/>
        </w:rPr>
        <w:t>.</w:t>
      </w:r>
    </w:p>
    <w:p w14:paraId="5791FCB0" w14:textId="5E219379" w:rsidR="005025A9" w:rsidRPr="00030181" w:rsidRDefault="006B1415" w:rsidP="005C5EBA">
      <w:pPr>
        <w:spacing w:line="360" w:lineRule="auto"/>
        <w:jc w:val="both"/>
        <w:rPr>
          <w:rFonts w:ascii="Arial" w:hAnsi="Arial" w:cs="Arial"/>
          <w:lang w:val="en-US"/>
        </w:rPr>
      </w:pPr>
      <w:r w:rsidRPr="00030181">
        <w:rPr>
          <w:rFonts w:ascii="Arial" w:hAnsi="Arial" w:cs="Arial"/>
        </w:rPr>
        <w:t>F</w:t>
      </w:r>
      <w:r w:rsidRPr="00030181">
        <w:rPr>
          <w:rFonts w:ascii="Arial" w:hAnsi="Arial" w:cs="Arial"/>
        </w:rPr>
        <w:t>our principal themes emerged</w:t>
      </w:r>
      <w:r w:rsidR="005025A9" w:rsidRPr="00030181">
        <w:rPr>
          <w:rFonts w:ascii="Arial" w:hAnsi="Arial" w:cs="Arial"/>
        </w:rPr>
        <w:t xml:space="preserve">: food safety </w:t>
      </w:r>
      <w:r w:rsidR="00E45459" w:rsidRPr="00030181">
        <w:rPr>
          <w:rFonts w:ascii="Arial" w:hAnsi="Arial" w:cs="Arial"/>
          <w:lang w:val="en-US"/>
        </w:rPr>
        <w:t xml:space="preserve">practices within care homes, the association between food safety and health </w:t>
      </w:r>
      <w:r w:rsidR="005025A9" w:rsidRPr="00030181">
        <w:rPr>
          <w:rFonts w:ascii="Arial" w:hAnsi="Arial" w:cs="Arial"/>
        </w:rPr>
        <w:t>outcomes, the impact of suboptimal food and nutrition practices on residents with type 2 diabetes, and best practices for improving care. The findings showed that nutritional screening, hydration monitoring, staff training, person-centred care, and effective food hygiene practices support positive health outcomes. In contrast, poor practices were associated with malnutrition, dehydration, infection risk, unstable glycaemic control, and increased diabetes-related complications.</w:t>
      </w:r>
    </w:p>
    <w:p w14:paraId="1697DC08" w14:textId="6E0DFC16" w:rsidR="005025A9" w:rsidRPr="00030181" w:rsidRDefault="005025A9" w:rsidP="005C5EBA">
      <w:pPr>
        <w:spacing w:line="360" w:lineRule="auto"/>
        <w:jc w:val="both"/>
        <w:rPr>
          <w:rFonts w:ascii="Arial" w:hAnsi="Arial" w:cs="Arial"/>
          <w:lang w:val="en-US"/>
        </w:rPr>
      </w:pPr>
      <w:r w:rsidRPr="00030181">
        <w:rPr>
          <w:rFonts w:ascii="Arial" w:hAnsi="Arial" w:cs="Arial"/>
        </w:rPr>
        <w:t xml:space="preserve">The review concludes that food safety and nutrition are closely interconnected and should be addressed through integrated approaches. Strengthening staff training, multidisciplinary collaboration, nutritional monitoring, and organisational governance may </w:t>
      </w:r>
      <w:r w:rsidR="006B1415" w:rsidRPr="00030181">
        <w:rPr>
          <w:rFonts w:ascii="Arial" w:hAnsi="Arial" w:cs="Arial"/>
        </w:rPr>
        <w:t xml:space="preserve">enhance </w:t>
      </w:r>
      <w:r w:rsidR="00E45459" w:rsidRPr="00030181">
        <w:rPr>
          <w:rFonts w:ascii="Arial" w:hAnsi="Arial" w:cs="Arial"/>
          <w:lang w:val="en-US"/>
        </w:rPr>
        <w:t xml:space="preserve">health outcomes and the </w:t>
      </w:r>
      <w:r w:rsidR="006B1415" w:rsidRPr="00030181">
        <w:rPr>
          <w:rFonts w:ascii="Arial" w:hAnsi="Arial" w:cs="Arial"/>
        </w:rPr>
        <w:t>standard of care provided to older adults living in UK care homes</w:t>
      </w:r>
      <w:r w:rsidRPr="00030181">
        <w:rPr>
          <w:rFonts w:ascii="Arial" w:hAnsi="Arial" w:cs="Arial"/>
        </w:rPr>
        <w:t>.</w:t>
      </w:r>
    </w:p>
    <w:p w14:paraId="2802693B" w14:textId="77777777" w:rsidR="0099306B" w:rsidRPr="00030181" w:rsidRDefault="0099306B" w:rsidP="005C5EBA">
      <w:pPr>
        <w:spacing w:line="360" w:lineRule="auto"/>
        <w:jc w:val="both"/>
        <w:rPr>
          <w:rFonts w:ascii="Arial" w:hAnsi="Arial" w:cs="Arial"/>
          <w:sz w:val="28"/>
          <w:szCs w:val="28"/>
        </w:rPr>
      </w:pPr>
    </w:p>
    <w:p w14:paraId="43E06338" w14:textId="77777777" w:rsidR="00A33DAA" w:rsidRPr="00030181" w:rsidRDefault="00A33DAA" w:rsidP="005C5EBA">
      <w:pPr>
        <w:spacing w:line="360" w:lineRule="auto"/>
        <w:jc w:val="both"/>
        <w:rPr>
          <w:rFonts w:ascii="Arial" w:hAnsi="Arial" w:cs="Arial"/>
          <w:b/>
          <w:bCs/>
          <w:sz w:val="28"/>
          <w:szCs w:val="28"/>
        </w:rPr>
      </w:pPr>
    </w:p>
    <w:p w14:paraId="38092EB9" w14:textId="73C68089" w:rsidR="003221A0" w:rsidRPr="00030181" w:rsidRDefault="003221A0" w:rsidP="005C5EBA">
      <w:pPr>
        <w:pStyle w:val="TOCHeading"/>
        <w:spacing w:line="360" w:lineRule="auto"/>
        <w:rPr>
          <w:rFonts w:ascii="Arial" w:hAnsi="Arial" w:cs="Arial"/>
        </w:rPr>
      </w:pPr>
    </w:p>
    <w:p w14:paraId="64F83F70" w14:textId="77777777" w:rsidR="003221A0" w:rsidRPr="00030181" w:rsidRDefault="003221A0" w:rsidP="005C5EBA">
      <w:pPr>
        <w:spacing w:line="360" w:lineRule="auto"/>
        <w:rPr>
          <w:rFonts w:ascii="Arial" w:hAnsi="Arial" w:cs="Arial"/>
          <w:lang w:val="en-US"/>
        </w:rPr>
      </w:pPr>
    </w:p>
    <w:p w14:paraId="6E4B44F0" w14:textId="77777777" w:rsidR="003221A0" w:rsidRPr="00030181" w:rsidRDefault="003221A0" w:rsidP="005C5EBA">
      <w:pPr>
        <w:spacing w:line="360" w:lineRule="auto"/>
        <w:rPr>
          <w:rFonts w:ascii="Arial" w:hAnsi="Arial" w:cs="Arial"/>
          <w:lang w:val="en-US"/>
        </w:rPr>
      </w:pPr>
    </w:p>
    <w:p w14:paraId="25E1D841" w14:textId="77777777" w:rsidR="003221A0" w:rsidRPr="00030181" w:rsidRDefault="003221A0" w:rsidP="005C5EBA">
      <w:pPr>
        <w:spacing w:line="360" w:lineRule="auto"/>
        <w:rPr>
          <w:rFonts w:ascii="Arial" w:hAnsi="Arial" w:cs="Arial"/>
          <w:lang w:val="en-US"/>
        </w:rPr>
      </w:pPr>
    </w:p>
    <w:p w14:paraId="67AE544C" w14:textId="77777777" w:rsidR="003221A0" w:rsidRPr="00030181" w:rsidRDefault="003221A0" w:rsidP="005C5EBA">
      <w:pPr>
        <w:spacing w:line="360" w:lineRule="auto"/>
        <w:rPr>
          <w:rFonts w:ascii="Arial" w:hAnsi="Arial" w:cs="Arial"/>
          <w:lang w:val="en-US"/>
        </w:rPr>
      </w:pPr>
    </w:p>
    <w:sdt>
      <w:sdtPr>
        <w:rPr>
          <w:rFonts w:ascii="Arial" w:eastAsiaTheme="minorHAnsi" w:hAnsi="Arial" w:cs="Arial"/>
          <w:b w:val="0"/>
          <w:bCs w:val="0"/>
          <w:color w:val="auto"/>
          <w:kern w:val="2"/>
          <w:sz w:val="22"/>
          <w:szCs w:val="22"/>
          <w:lang w:val="en-IN"/>
          <w14:ligatures w14:val="standardContextual"/>
        </w:rPr>
        <w:id w:val="-1083990244"/>
        <w:docPartObj>
          <w:docPartGallery w:val="Table of Contents"/>
          <w:docPartUnique/>
        </w:docPartObj>
      </w:sdtPr>
      <w:sdtEndPr>
        <w:rPr>
          <w:noProof/>
        </w:rPr>
      </w:sdtEndPr>
      <w:sdtContent>
        <w:p w14:paraId="7724952B" w14:textId="6131F538" w:rsidR="008177B4" w:rsidRPr="00030181" w:rsidRDefault="008177B4" w:rsidP="005C5EBA">
          <w:pPr>
            <w:pStyle w:val="TOCHeading"/>
            <w:spacing w:line="360" w:lineRule="auto"/>
            <w:rPr>
              <w:rFonts w:ascii="Arial" w:hAnsi="Arial" w:cs="Arial"/>
            </w:rPr>
          </w:pPr>
          <w:r w:rsidRPr="00030181">
            <w:rPr>
              <w:rFonts w:ascii="Arial" w:hAnsi="Arial" w:cs="Arial"/>
            </w:rPr>
            <w:t>Table of Contents</w:t>
          </w:r>
        </w:p>
        <w:p w14:paraId="6E13AC3F" w14:textId="44479C0F" w:rsidR="00A94F44" w:rsidRPr="00030181" w:rsidRDefault="008177B4">
          <w:pPr>
            <w:pStyle w:val="TOC1"/>
            <w:tabs>
              <w:tab w:val="right" w:leader="dot" w:pos="9016"/>
            </w:tabs>
            <w:rPr>
              <w:rFonts w:ascii="Arial" w:eastAsiaTheme="minorEastAsia" w:hAnsi="Arial" w:cs="Arial"/>
              <w:noProof/>
              <w:sz w:val="24"/>
              <w:szCs w:val="24"/>
              <w:lang w:eastAsia="en-IN"/>
            </w:rPr>
          </w:pPr>
          <w:r w:rsidRPr="00030181">
            <w:rPr>
              <w:rFonts w:ascii="Arial" w:hAnsi="Arial" w:cs="Arial"/>
            </w:rPr>
            <w:fldChar w:fldCharType="begin"/>
          </w:r>
          <w:r w:rsidRPr="00030181">
            <w:rPr>
              <w:rFonts w:ascii="Arial" w:hAnsi="Arial" w:cs="Arial"/>
            </w:rPr>
            <w:instrText xml:space="preserve"> TOC \o "1-3" \h \z \u </w:instrText>
          </w:r>
          <w:r w:rsidRPr="00030181">
            <w:rPr>
              <w:rFonts w:ascii="Arial" w:hAnsi="Arial" w:cs="Arial"/>
            </w:rPr>
            <w:fldChar w:fldCharType="separate"/>
          </w:r>
          <w:hyperlink w:anchor="_Toc231947530" w:history="1">
            <w:r w:rsidR="00A94F44" w:rsidRPr="00030181">
              <w:rPr>
                <w:rStyle w:val="Hyperlink"/>
                <w:rFonts w:ascii="Arial" w:hAnsi="Arial" w:cs="Arial"/>
                <w:b/>
                <w:bCs/>
                <w:noProof/>
              </w:rPr>
              <w:t>CHAPTER 1 – INTRODUCTION</w:t>
            </w:r>
            <w:r w:rsidR="00A94F44" w:rsidRPr="00030181">
              <w:rPr>
                <w:rFonts w:ascii="Arial" w:hAnsi="Arial" w:cs="Arial"/>
                <w:noProof/>
                <w:webHidden/>
              </w:rPr>
              <w:tab/>
            </w:r>
            <w:r w:rsidR="00A94F44" w:rsidRPr="00030181">
              <w:rPr>
                <w:rFonts w:ascii="Arial" w:hAnsi="Arial" w:cs="Arial"/>
                <w:noProof/>
                <w:webHidden/>
              </w:rPr>
              <w:fldChar w:fldCharType="begin"/>
            </w:r>
            <w:r w:rsidR="00A94F44" w:rsidRPr="00030181">
              <w:rPr>
                <w:rFonts w:ascii="Arial" w:hAnsi="Arial" w:cs="Arial"/>
                <w:noProof/>
                <w:webHidden/>
              </w:rPr>
              <w:instrText xml:space="preserve"> PAGEREF _Toc231947530 \h </w:instrText>
            </w:r>
            <w:r w:rsidR="00A94F44" w:rsidRPr="00030181">
              <w:rPr>
                <w:rFonts w:ascii="Arial" w:hAnsi="Arial" w:cs="Arial"/>
                <w:noProof/>
                <w:webHidden/>
              </w:rPr>
            </w:r>
            <w:r w:rsidR="00A94F44" w:rsidRPr="00030181">
              <w:rPr>
                <w:rFonts w:ascii="Arial" w:hAnsi="Arial" w:cs="Arial"/>
                <w:noProof/>
                <w:webHidden/>
              </w:rPr>
              <w:fldChar w:fldCharType="separate"/>
            </w:r>
            <w:r w:rsidR="00030181">
              <w:rPr>
                <w:rFonts w:ascii="Arial" w:hAnsi="Arial" w:cs="Arial"/>
                <w:noProof/>
                <w:webHidden/>
              </w:rPr>
              <w:t>10</w:t>
            </w:r>
            <w:r w:rsidR="00A94F44" w:rsidRPr="00030181">
              <w:rPr>
                <w:rFonts w:ascii="Arial" w:hAnsi="Arial" w:cs="Arial"/>
                <w:noProof/>
                <w:webHidden/>
              </w:rPr>
              <w:fldChar w:fldCharType="end"/>
            </w:r>
          </w:hyperlink>
        </w:p>
        <w:p w14:paraId="03C3E48D" w14:textId="09BB5010"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31" w:history="1">
            <w:r w:rsidRPr="00030181">
              <w:rPr>
                <w:rStyle w:val="Hyperlink"/>
                <w:rFonts w:ascii="Arial" w:hAnsi="Arial" w:cs="Arial"/>
                <w:b/>
                <w:bCs/>
                <w:noProof/>
              </w:rPr>
              <w:t>1.1 Background and Context</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_Toc231947531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10</w:t>
            </w:r>
            <w:r w:rsidRPr="00030181">
              <w:rPr>
                <w:rFonts w:ascii="Arial" w:hAnsi="Arial" w:cs="Arial"/>
                <w:noProof/>
                <w:webHidden/>
              </w:rPr>
              <w:fldChar w:fldCharType="end"/>
            </w:r>
          </w:hyperlink>
        </w:p>
        <w:p w14:paraId="0D23ABD9" w14:textId="499462C4"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32" w:history="1">
            <w:r w:rsidRPr="00030181">
              <w:rPr>
                <w:rStyle w:val="Hyperlink"/>
                <w:rFonts w:ascii="Arial" w:hAnsi="Arial" w:cs="Arial"/>
                <w:b/>
                <w:bCs/>
                <w:noProof/>
              </w:rPr>
              <w:t>1.2 Food Safety and Nutrition Practices in Care Homes</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_Toc231947532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12</w:t>
            </w:r>
            <w:r w:rsidRPr="00030181">
              <w:rPr>
                <w:rFonts w:ascii="Arial" w:hAnsi="Arial" w:cs="Arial"/>
                <w:noProof/>
                <w:webHidden/>
              </w:rPr>
              <w:fldChar w:fldCharType="end"/>
            </w:r>
          </w:hyperlink>
        </w:p>
        <w:p w14:paraId="2C846745" w14:textId="2B773889"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33" w:history="1">
            <w:r w:rsidRPr="00030181">
              <w:rPr>
                <w:rStyle w:val="Hyperlink"/>
                <w:rFonts w:ascii="Arial" w:hAnsi="Arial" w:cs="Arial"/>
                <w:b/>
                <w:bCs/>
                <w:noProof/>
              </w:rPr>
              <w:t>1.3 Chronic Conditions and Nutritional Vulnerability</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_Toc231947533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13</w:t>
            </w:r>
            <w:r w:rsidRPr="00030181">
              <w:rPr>
                <w:rFonts w:ascii="Arial" w:hAnsi="Arial" w:cs="Arial"/>
                <w:noProof/>
                <w:webHidden/>
              </w:rPr>
              <w:fldChar w:fldCharType="end"/>
            </w:r>
          </w:hyperlink>
        </w:p>
        <w:p w14:paraId="6E7A87D2" w14:textId="54954A43"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34" w:history="1">
            <w:r w:rsidRPr="00030181">
              <w:rPr>
                <w:rStyle w:val="Hyperlink"/>
                <w:rFonts w:ascii="Arial" w:hAnsi="Arial" w:cs="Arial"/>
                <w:b/>
                <w:bCs/>
                <w:noProof/>
              </w:rPr>
              <w:t>1.4 Research Gap</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_Toc231947534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13</w:t>
            </w:r>
            <w:r w:rsidRPr="00030181">
              <w:rPr>
                <w:rFonts w:ascii="Arial" w:hAnsi="Arial" w:cs="Arial"/>
                <w:noProof/>
                <w:webHidden/>
              </w:rPr>
              <w:fldChar w:fldCharType="end"/>
            </w:r>
          </w:hyperlink>
        </w:p>
        <w:p w14:paraId="6DB9879C" w14:textId="2F0A24E7"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35" w:history="1">
            <w:r w:rsidRPr="00030181">
              <w:rPr>
                <w:rStyle w:val="Hyperlink"/>
                <w:rFonts w:ascii="Arial" w:hAnsi="Arial" w:cs="Arial"/>
                <w:b/>
                <w:bCs/>
                <w:noProof/>
              </w:rPr>
              <w:t>1.5 Rationale for the Study</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_Toc231947535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14</w:t>
            </w:r>
            <w:r w:rsidRPr="00030181">
              <w:rPr>
                <w:rFonts w:ascii="Arial" w:hAnsi="Arial" w:cs="Arial"/>
                <w:noProof/>
                <w:webHidden/>
              </w:rPr>
              <w:fldChar w:fldCharType="end"/>
            </w:r>
          </w:hyperlink>
        </w:p>
        <w:p w14:paraId="0194637D" w14:textId="4B49896E"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36" w:history="1">
            <w:r w:rsidRPr="00030181">
              <w:rPr>
                <w:rStyle w:val="Hyperlink"/>
                <w:rFonts w:ascii="Arial" w:hAnsi="Arial" w:cs="Arial"/>
                <w:b/>
                <w:bCs/>
                <w:noProof/>
              </w:rPr>
              <w:t>CHAPTER 2 – LITERATURE REVIEW</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_Toc231947536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16</w:t>
            </w:r>
            <w:r w:rsidRPr="00030181">
              <w:rPr>
                <w:rFonts w:ascii="Arial" w:hAnsi="Arial" w:cs="Arial"/>
                <w:noProof/>
                <w:webHidden/>
              </w:rPr>
              <w:fldChar w:fldCharType="end"/>
            </w:r>
          </w:hyperlink>
        </w:p>
        <w:p w14:paraId="34B9509B" w14:textId="6C16CA5E"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37" w:history="1">
            <w:r w:rsidRPr="00030181">
              <w:rPr>
                <w:rStyle w:val="Hyperlink"/>
                <w:rFonts w:ascii="Arial" w:hAnsi="Arial" w:cs="Arial"/>
                <w:b/>
                <w:bCs/>
                <w:noProof/>
              </w:rPr>
              <w:t>2.1 Introduction</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_Toc231947537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16</w:t>
            </w:r>
            <w:r w:rsidRPr="00030181">
              <w:rPr>
                <w:rFonts w:ascii="Arial" w:hAnsi="Arial" w:cs="Arial"/>
                <w:noProof/>
                <w:webHidden/>
              </w:rPr>
              <w:fldChar w:fldCharType="end"/>
            </w:r>
          </w:hyperlink>
        </w:p>
        <w:p w14:paraId="44562BDE" w14:textId="5F1C7360"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38" w:history="1">
            <w:r w:rsidRPr="00030181">
              <w:rPr>
                <w:rStyle w:val="Hyperlink"/>
                <w:rFonts w:ascii="Arial" w:hAnsi="Arial" w:cs="Arial"/>
                <w:b/>
                <w:bCs/>
                <w:noProof/>
              </w:rPr>
              <w:t>2.2 Nutritional Care in UK Care Homes</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_Toc231947538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17</w:t>
            </w:r>
            <w:r w:rsidRPr="00030181">
              <w:rPr>
                <w:rFonts w:ascii="Arial" w:hAnsi="Arial" w:cs="Arial"/>
                <w:noProof/>
                <w:webHidden/>
              </w:rPr>
              <w:fldChar w:fldCharType="end"/>
            </w:r>
          </w:hyperlink>
        </w:p>
        <w:p w14:paraId="38DDB5A9" w14:textId="79B0FAF8"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39" w:history="1">
            <w:r w:rsidRPr="00030181">
              <w:rPr>
                <w:rStyle w:val="Hyperlink"/>
                <w:rFonts w:ascii="Arial" w:hAnsi="Arial" w:cs="Arial"/>
                <w:b/>
                <w:bCs/>
                <w:noProof/>
              </w:rPr>
              <w:t>2.3 Food Safety Practices in UK Care Homes</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_Toc231947539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19</w:t>
            </w:r>
            <w:r w:rsidRPr="00030181">
              <w:rPr>
                <w:rFonts w:ascii="Arial" w:hAnsi="Arial" w:cs="Arial"/>
                <w:noProof/>
                <w:webHidden/>
              </w:rPr>
              <w:fldChar w:fldCharType="end"/>
            </w:r>
          </w:hyperlink>
        </w:p>
        <w:p w14:paraId="2C8ED3A3" w14:textId="280E2D0D"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40" w:history="1">
            <w:r w:rsidRPr="00030181">
              <w:rPr>
                <w:rStyle w:val="Hyperlink"/>
                <w:rFonts w:ascii="Arial" w:hAnsi="Arial" w:cs="Arial"/>
                <w:b/>
                <w:noProof/>
              </w:rPr>
              <w:t>2.4 Chronic Conditions and Nutritional Vulnerability</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_Toc231947540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21</w:t>
            </w:r>
            <w:r w:rsidRPr="00030181">
              <w:rPr>
                <w:rFonts w:ascii="Arial" w:hAnsi="Arial" w:cs="Arial"/>
                <w:noProof/>
                <w:webHidden/>
              </w:rPr>
              <w:fldChar w:fldCharType="end"/>
            </w:r>
          </w:hyperlink>
        </w:p>
        <w:p w14:paraId="7E59D360" w14:textId="1DC906A3"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41" w:history="1">
            <w:r w:rsidRPr="00030181">
              <w:rPr>
                <w:rStyle w:val="Hyperlink"/>
                <w:rFonts w:ascii="Arial" w:hAnsi="Arial" w:cs="Arial"/>
                <w:b/>
                <w:bCs/>
                <w:noProof/>
              </w:rPr>
              <w:t>2.5 Integration of Food Safety and Nutrition Practices in UK Care Homes</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_Toc231947541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22</w:t>
            </w:r>
            <w:r w:rsidRPr="00030181">
              <w:rPr>
                <w:rFonts w:ascii="Arial" w:hAnsi="Arial" w:cs="Arial"/>
                <w:noProof/>
                <w:webHidden/>
              </w:rPr>
              <w:fldChar w:fldCharType="end"/>
            </w:r>
          </w:hyperlink>
        </w:p>
        <w:p w14:paraId="570F0ECC" w14:textId="40938EE1"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42" w:history="1">
            <w:r w:rsidRPr="00030181">
              <w:rPr>
                <w:rStyle w:val="Hyperlink"/>
                <w:rFonts w:ascii="Arial" w:hAnsi="Arial" w:cs="Arial"/>
                <w:b/>
                <w:bCs/>
                <w:noProof/>
              </w:rPr>
              <w:t>2.6 Theoretical Framework</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_Toc231947542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23</w:t>
            </w:r>
            <w:r w:rsidRPr="00030181">
              <w:rPr>
                <w:rFonts w:ascii="Arial" w:hAnsi="Arial" w:cs="Arial"/>
                <w:noProof/>
                <w:webHidden/>
              </w:rPr>
              <w:fldChar w:fldCharType="end"/>
            </w:r>
          </w:hyperlink>
        </w:p>
        <w:p w14:paraId="77B78AF0" w14:textId="78C5DBA2"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43" w:history="1">
            <w:r w:rsidRPr="00030181">
              <w:rPr>
                <w:rStyle w:val="Hyperlink"/>
                <w:rFonts w:ascii="Arial" w:hAnsi="Arial" w:cs="Arial"/>
                <w:b/>
                <w:bCs/>
                <w:noProof/>
              </w:rPr>
              <w:t>2.6.1 Introduction to Theoretical Framework</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_Toc231947543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23</w:t>
            </w:r>
            <w:r w:rsidRPr="00030181">
              <w:rPr>
                <w:rFonts w:ascii="Arial" w:hAnsi="Arial" w:cs="Arial"/>
                <w:noProof/>
                <w:webHidden/>
              </w:rPr>
              <w:fldChar w:fldCharType="end"/>
            </w:r>
          </w:hyperlink>
        </w:p>
        <w:p w14:paraId="575A096E" w14:textId="4CC3D678"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44" w:history="1">
            <w:r w:rsidRPr="00030181">
              <w:rPr>
                <w:rStyle w:val="Hyperlink"/>
                <w:rFonts w:ascii="Arial" w:hAnsi="Arial" w:cs="Arial"/>
                <w:b/>
                <w:bCs/>
                <w:noProof/>
              </w:rPr>
              <w:t>2.6.2 Social Ecological Model</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_Toc231947544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24</w:t>
            </w:r>
            <w:r w:rsidRPr="00030181">
              <w:rPr>
                <w:rFonts w:ascii="Arial" w:hAnsi="Arial" w:cs="Arial"/>
                <w:noProof/>
                <w:webHidden/>
              </w:rPr>
              <w:fldChar w:fldCharType="end"/>
            </w:r>
          </w:hyperlink>
        </w:p>
        <w:p w14:paraId="34289EB3" w14:textId="0D34408F"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45" w:history="1">
            <w:r w:rsidRPr="00030181">
              <w:rPr>
                <w:rStyle w:val="Hyperlink"/>
                <w:rFonts w:ascii="Arial" w:hAnsi="Arial" w:cs="Arial"/>
                <w:b/>
                <w:bCs/>
                <w:noProof/>
              </w:rPr>
              <w:t>2.6.3 Person-Centred Care Model</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_Toc231947545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25</w:t>
            </w:r>
            <w:r w:rsidRPr="00030181">
              <w:rPr>
                <w:rFonts w:ascii="Arial" w:hAnsi="Arial" w:cs="Arial"/>
                <w:noProof/>
                <w:webHidden/>
              </w:rPr>
              <w:fldChar w:fldCharType="end"/>
            </w:r>
          </w:hyperlink>
        </w:p>
        <w:p w14:paraId="155CF56C" w14:textId="3C2D5C0D"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46" w:history="1">
            <w:r w:rsidRPr="00030181">
              <w:rPr>
                <w:rStyle w:val="Hyperlink"/>
                <w:rFonts w:ascii="Arial" w:hAnsi="Arial" w:cs="Arial"/>
                <w:b/>
                <w:bCs/>
                <w:noProof/>
              </w:rPr>
              <w:t>2.6.4 Application of Frameworks to This Study</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_Toc231947546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26</w:t>
            </w:r>
            <w:r w:rsidRPr="00030181">
              <w:rPr>
                <w:rFonts w:ascii="Arial" w:hAnsi="Arial" w:cs="Arial"/>
                <w:noProof/>
                <w:webHidden/>
              </w:rPr>
              <w:fldChar w:fldCharType="end"/>
            </w:r>
          </w:hyperlink>
        </w:p>
        <w:p w14:paraId="2A3FF326" w14:textId="7FE9B9C9"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47" w:history="1">
            <w:r w:rsidRPr="00030181">
              <w:rPr>
                <w:rStyle w:val="Hyperlink"/>
                <w:rFonts w:ascii="Arial" w:hAnsi="Arial" w:cs="Arial"/>
                <w:b/>
                <w:bCs/>
                <w:noProof/>
              </w:rPr>
              <w:t>2.7 Summary</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_Toc231947547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26</w:t>
            </w:r>
            <w:r w:rsidRPr="00030181">
              <w:rPr>
                <w:rFonts w:ascii="Arial" w:hAnsi="Arial" w:cs="Arial"/>
                <w:noProof/>
                <w:webHidden/>
              </w:rPr>
              <w:fldChar w:fldCharType="end"/>
            </w:r>
          </w:hyperlink>
        </w:p>
        <w:p w14:paraId="725FB425" w14:textId="63EC7AF7"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48" w:history="1">
            <w:r w:rsidRPr="00030181">
              <w:rPr>
                <w:rStyle w:val="Hyperlink"/>
                <w:rFonts w:ascii="Arial" w:hAnsi="Arial" w:cs="Arial"/>
                <w:b/>
                <w:bCs/>
                <w:noProof/>
              </w:rPr>
              <w:t>CHAPTER 3 - RESEARCH METHODOLOGY</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_Toc231947548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27</w:t>
            </w:r>
            <w:r w:rsidRPr="00030181">
              <w:rPr>
                <w:rFonts w:ascii="Arial" w:hAnsi="Arial" w:cs="Arial"/>
                <w:noProof/>
                <w:webHidden/>
              </w:rPr>
              <w:fldChar w:fldCharType="end"/>
            </w:r>
          </w:hyperlink>
        </w:p>
        <w:p w14:paraId="5C8EEA3F" w14:textId="7801B536"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49" w:history="1">
            <w:r w:rsidRPr="00030181">
              <w:rPr>
                <w:rStyle w:val="Hyperlink"/>
                <w:rFonts w:ascii="Arial" w:hAnsi="Arial" w:cs="Arial"/>
                <w:b/>
                <w:bCs/>
                <w:noProof/>
              </w:rPr>
              <w:t>3.1 Introduction</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_Toc231947549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27</w:t>
            </w:r>
            <w:r w:rsidRPr="00030181">
              <w:rPr>
                <w:rFonts w:ascii="Arial" w:hAnsi="Arial" w:cs="Arial"/>
                <w:noProof/>
                <w:webHidden/>
              </w:rPr>
              <w:fldChar w:fldCharType="end"/>
            </w:r>
          </w:hyperlink>
        </w:p>
        <w:p w14:paraId="71BD67FF" w14:textId="1885CC92"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50" w:history="1">
            <w:r w:rsidRPr="00030181">
              <w:rPr>
                <w:rStyle w:val="Hyperlink"/>
                <w:rFonts w:ascii="Arial" w:hAnsi="Arial" w:cs="Arial"/>
                <w:b/>
                <w:bCs/>
                <w:noProof/>
              </w:rPr>
              <w:t>3.2 Research Philosophy and Research Approach</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_Toc231947550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27</w:t>
            </w:r>
            <w:r w:rsidRPr="00030181">
              <w:rPr>
                <w:rFonts w:ascii="Arial" w:hAnsi="Arial" w:cs="Arial"/>
                <w:noProof/>
                <w:webHidden/>
              </w:rPr>
              <w:fldChar w:fldCharType="end"/>
            </w:r>
          </w:hyperlink>
        </w:p>
        <w:p w14:paraId="0A4B9E2C" w14:textId="56377F47"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51" w:history="1">
            <w:r w:rsidRPr="00030181">
              <w:rPr>
                <w:rStyle w:val="Hyperlink"/>
                <w:rFonts w:ascii="Arial" w:hAnsi="Arial" w:cs="Arial"/>
                <w:b/>
                <w:bCs/>
                <w:noProof/>
              </w:rPr>
              <w:t>3.3 Research Design</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_Toc231947551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28</w:t>
            </w:r>
            <w:r w:rsidRPr="00030181">
              <w:rPr>
                <w:rFonts w:ascii="Arial" w:hAnsi="Arial" w:cs="Arial"/>
                <w:noProof/>
                <w:webHidden/>
              </w:rPr>
              <w:fldChar w:fldCharType="end"/>
            </w:r>
          </w:hyperlink>
        </w:p>
        <w:p w14:paraId="11FFAD44" w14:textId="5CD5DE66"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52" w:history="1">
            <w:r w:rsidRPr="00030181">
              <w:rPr>
                <w:rStyle w:val="Hyperlink"/>
                <w:rFonts w:ascii="Arial" w:hAnsi="Arial" w:cs="Arial"/>
                <w:b/>
                <w:bCs/>
                <w:noProof/>
              </w:rPr>
              <w:t>3.4 Search Strategy</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_Toc231947552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28</w:t>
            </w:r>
            <w:r w:rsidRPr="00030181">
              <w:rPr>
                <w:rFonts w:ascii="Arial" w:hAnsi="Arial" w:cs="Arial"/>
                <w:noProof/>
                <w:webHidden/>
              </w:rPr>
              <w:fldChar w:fldCharType="end"/>
            </w:r>
          </w:hyperlink>
        </w:p>
        <w:p w14:paraId="18A6D4C9" w14:textId="0DEE37BA"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53" w:history="1">
            <w:r w:rsidRPr="00030181">
              <w:rPr>
                <w:rStyle w:val="Hyperlink"/>
                <w:rFonts w:ascii="Arial" w:hAnsi="Arial" w:cs="Arial"/>
                <w:b/>
                <w:bCs/>
                <w:noProof/>
              </w:rPr>
              <w:t>3.5 Inclusion and Exclusion Criteria</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_Toc231947553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29</w:t>
            </w:r>
            <w:r w:rsidRPr="00030181">
              <w:rPr>
                <w:rFonts w:ascii="Arial" w:hAnsi="Arial" w:cs="Arial"/>
                <w:noProof/>
                <w:webHidden/>
              </w:rPr>
              <w:fldChar w:fldCharType="end"/>
            </w:r>
          </w:hyperlink>
        </w:p>
        <w:p w14:paraId="533DD6A5" w14:textId="56C66E15"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54" w:history="1">
            <w:r w:rsidRPr="00030181">
              <w:rPr>
                <w:rStyle w:val="Hyperlink"/>
                <w:rFonts w:ascii="Arial" w:hAnsi="Arial" w:cs="Arial"/>
                <w:b/>
                <w:bCs/>
                <w:noProof/>
              </w:rPr>
              <w:t>3.6 Study Selection and PRISMA Process</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_Toc231947554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30</w:t>
            </w:r>
            <w:r w:rsidRPr="00030181">
              <w:rPr>
                <w:rFonts w:ascii="Arial" w:hAnsi="Arial" w:cs="Arial"/>
                <w:noProof/>
                <w:webHidden/>
              </w:rPr>
              <w:fldChar w:fldCharType="end"/>
            </w:r>
          </w:hyperlink>
        </w:p>
        <w:p w14:paraId="0660578E" w14:textId="030FCB2A"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55" w:history="1">
            <w:r w:rsidRPr="00030181">
              <w:rPr>
                <w:rStyle w:val="Hyperlink"/>
                <w:rFonts w:ascii="Arial" w:hAnsi="Arial" w:cs="Arial"/>
                <w:b/>
                <w:noProof/>
              </w:rPr>
              <w:t>3.7 Data Extraction</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_Toc231947555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32</w:t>
            </w:r>
            <w:r w:rsidRPr="00030181">
              <w:rPr>
                <w:rFonts w:ascii="Arial" w:hAnsi="Arial" w:cs="Arial"/>
                <w:noProof/>
                <w:webHidden/>
              </w:rPr>
              <w:fldChar w:fldCharType="end"/>
            </w:r>
          </w:hyperlink>
        </w:p>
        <w:p w14:paraId="390B8D5F" w14:textId="4A644BD0"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56" w:history="1">
            <w:r w:rsidRPr="00030181">
              <w:rPr>
                <w:rStyle w:val="Hyperlink"/>
                <w:rFonts w:ascii="Arial" w:hAnsi="Arial" w:cs="Arial"/>
                <w:b/>
                <w:bCs/>
                <w:noProof/>
              </w:rPr>
              <w:t>3.8 Quality Appraisal</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_Toc231947556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32</w:t>
            </w:r>
            <w:r w:rsidRPr="00030181">
              <w:rPr>
                <w:rFonts w:ascii="Arial" w:hAnsi="Arial" w:cs="Arial"/>
                <w:noProof/>
                <w:webHidden/>
              </w:rPr>
              <w:fldChar w:fldCharType="end"/>
            </w:r>
          </w:hyperlink>
        </w:p>
        <w:p w14:paraId="0B3B447D" w14:textId="6C211326"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57" w:history="1">
            <w:r w:rsidRPr="00030181">
              <w:rPr>
                <w:rStyle w:val="Hyperlink"/>
                <w:rFonts w:ascii="Arial" w:hAnsi="Arial" w:cs="Arial"/>
                <w:b/>
                <w:bCs/>
                <w:noProof/>
              </w:rPr>
              <w:t>3.9 Data Analysis</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_Toc231947557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33</w:t>
            </w:r>
            <w:r w:rsidRPr="00030181">
              <w:rPr>
                <w:rFonts w:ascii="Arial" w:hAnsi="Arial" w:cs="Arial"/>
                <w:noProof/>
                <w:webHidden/>
              </w:rPr>
              <w:fldChar w:fldCharType="end"/>
            </w:r>
          </w:hyperlink>
        </w:p>
        <w:p w14:paraId="7BBF341E" w14:textId="31ADBCA8"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58" w:history="1">
            <w:r w:rsidRPr="00030181">
              <w:rPr>
                <w:rStyle w:val="Hyperlink"/>
                <w:rFonts w:ascii="Arial" w:hAnsi="Arial" w:cs="Arial"/>
                <w:b/>
                <w:bCs/>
                <w:noProof/>
              </w:rPr>
              <w:t>3.10 Ethical Considerations</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_Toc231947558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34</w:t>
            </w:r>
            <w:r w:rsidRPr="00030181">
              <w:rPr>
                <w:rFonts w:ascii="Arial" w:hAnsi="Arial" w:cs="Arial"/>
                <w:noProof/>
                <w:webHidden/>
              </w:rPr>
              <w:fldChar w:fldCharType="end"/>
            </w:r>
          </w:hyperlink>
        </w:p>
        <w:p w14:paraId="713F5264" w14:textId="21CFD7F5"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59" w:history="1">
            <w:r w:rsidRPr="00030181">
              <w:rPr>
                <w:rStyle w:val="Hyperlink"/>
                <w:rFonts w:ascii="Arial" w:hAnsi="Arial" w:cs="Arial"/>
                <w:b/>
                <w:bCs/>
                <w:noProof/>
              </w:rPr>
              <w:t>3.11 Limitations</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_Toc231947559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35</w:t>
            </w:r>
            <w:r w:rsidRPr="00030181">
              <w:rPr>
                <w:rFonts w:ascii="Arial" w:hAnsi="Arial" w:cs="Arial"/>
                <w:noProof/>
                <w:webHidden/>
              </w:rPr>
              <w:fldChar w:fldCharType="end"/>
            </w:r>
          </w:hyperlink>
        </w:p>
        <w:p w14:paraId="2548AAF5" w14:textId="3E009493"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60" w:history="1">
            <w:r w:rsidRPr="00030181">
              <w:rPr>
                <w:rStyle w:val="Hyperlink"/>
                <w:rFonts w:ascii="Arial" w:hAnsi="Arial" w:cs="Arial"/>
                <w:b/>
                <w:bCs/>
                <w:noProof/>
              </w:rPr>
              <w:t>3.12 Summary</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_Toc231947560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35</w:t>
            </w:r>
            <w:r w:rsidRPr="00030181">
              <w:rPr>
                <w:rFonts w:ascii="Arial" w:hAnsi="Arial" w:cs="Arial"/>
                <w:noProof/>
                <w:webHidden/>
              </w:rPr>
              <w:fldChar w:fldCharType="end"/>
            </w:r>
          </w:hyperlink>
        </w:p>
        <w:p w14:paraId="6FD350BE" w14:textId="29002E4E"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61" w:history="1">
            <w:r w:rsidRPr="00030181">
              <w:rPr>
                <w:rStyle w:val="Hyperlink"/>
                <w:rFonts w:ascii="Arial" w:hAnsi="Arial" w:cs="Arial"/>
                <w:b/>
                <w:bCs/>
                <w:noProof/>
              </w:rPr>
              <w:t>CHAPTER- 4 FINDINGS</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_Toc231947561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36</w:t>
            </w:r>
            <w:r w:rsidRPr="00030181">
              <w:rPr>
                <w:rFonts w:ascii="Arial" w:hAnsi="Arial" w:cs="Arial"/>
                <w:noProof/>
                <w:webHidden/>
              </w:rPr>
              <w:fldChar w:fldCharType="end"/>
            </w:r>
          </w:hyperlink>
        </w:p>
        <w:p w14:paraId="18CD7DC4" w14:textId="39A2B1E7"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62" w:history="1">
            <w:r w:rsidRPr="00030181">
              <w:rPr>
                <w:rStyle w:val="Hyperlink"/>
                <w:rFonts w:ascii="Arial" w:hAnsi="Arial" w:cs="Arial"/>
                <w:b/>
                <w:bCs/>
                <w:noProof/>
              </w:rPr>
              <w:t>4.0 Introduction</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_Toc231947562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36</w:t>
            </w:r>
            <w:r w:rsidRPr="00030181">
              <w:rPr>
                <w:rFonts w:ascii="Arial" w:hAnsi="Arial" w:cs="Arial"/>
                <w:noProof/>
                <w:webHidden/>
              </w:rPr>
              <w:fldChar w:fldCharType="end"/>
            </w:r>
          </w:hyperlink>
        </w:p>
        <w:p w14:paraId="1E5E7BAE" w14:textId="743F8F5A"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63" w:history="1">
            <w:r w:rsidRPr="00030181">
              <w:rPr>
                <w:rStyle w:val="Hyperlink"/>
                <w:rFonts w:ascii="Arial" w:hAnsi="Arial" w:cs="Arial"/>
                <w:b/>
                <w:bCs/>
                <w:noProof/>
              </w:rPr>
              <w:t>4.1 Food Safety Practices in Care Homes</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_Toc231947563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37</w:t>
            </w:r>
            <w:r w:rsidRPr="00030181">
              <w:rPr>
                <w:rFonts w:ascii="Arial" w:hAnsi="Arial" w:cs="Arial"/>
                <w:noProof/>
                <w:webHidden/>
              </w:rPr>
              <w:fldChar w:fldCharType="end"/>
            </w:r>
          </w:hyperlink>
        </w:p>
        <w:p w14:paraId="29BB93E2" w14:textId="43DEF141"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64" w:history="1">
            <w:r w:rsidRPr="00030181">
              <w:rPr>
                <w:rStyle w:val="Hyperlink"/>
                <w:rFonts w:ascii="Arial" w:hAnsi="Arial" w:cs="Arial"/>
                <w:b/>
                <w:bCs/>
                <w:noProof/>
              </w:rPr>
              <w:t>4.1.1 Nutritional Risk and Malnutrition Among Older Residents</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_Toc231947564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37</w:t>
            </w:r>
            <w:r w:rsidRPr="00030181">
              <w:rPr>
                <w:rFonts w:ascii="Arial" w:hAnsi="Arial" w:cs="Arial"/>
                <w:noProof/>
                <w:webHidden/>
              </w:rPr>
              <w:fldChar w:fldCharType="end"/>
            </w:r>
          </w:hyperlink>
        </w:p>
        <w:p w14:paraId="1C251E7E" w14:textId="7B3FC422"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65" w:history="1">
            <w:r w:rsidRPr="00030181">
              <w:rPr>
                <w:rStyle w:val="Hyperlink"/>
                <w:rFonts w:ascii="Arial" w:hAnsi="Arial" w:cs="Arial"/>
                <w:b/>
                <w:bCs/>
                <w:noProof/>
              </w:rPr>
              <w:t>4.1.2 Mealtime Environment and Person-Centred Nutritional Care</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_Toc231947565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39</w:t>
            </w:r>
            <w:r w:rsidRPr="00030181">
              <w:rPr>
                <w:rFonts w:ascii="Arial" w:hAnsi="Arial" w:cs="Arial"/>
                <w:noProof/>
                <w:webHidden/>
              </w:rPr>
              <w:fldChar w:fldCharType="end"/>
            </w:r>
          </w:hyperlink>
        </w:p>
        <w:p w14:paraId="570F95FF" w14:textId="323DF59C"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66" w:history="1">
            <w:r w:rsidRPr="00030181">
              <w:rPr>
                <w:rStyle w:val="Hyperlink"/>
                <w:rFonts w:ascii="Arial" w:hAnsi="Arial" w:cs="Arial"/>
                <w:b/>
                <w:bCs/>
                <w:noProof/>
              </w:rPr>
              <w:t>4.1.3 Organisational Practices, Food Safety and Quality of Nutritional Care</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_Toc231947566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40</w:t>
            </w:r>
            <w:r w:rsidRPr="00030181">
              <w:rPr>
                <w:rFonts w:ascii="Arial" w:hAnsi="Arial" w:cs="Arial"/>
                <w:noProof/>
                <w:webHidden/>
              </w:rPr>
              <w:fldChar w:fldCharType="end"/>
            </w:r>
          </w:hyperlink>
        </w:p>
        <w:p w14:paraId="0BFA49C2" w14:textId="53FE7BAA"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67" w:history="1">
            <w:r w:rsidRPr="00030181">
              <w:rPr>
                <w:rStyle w:val="Hyperlink"/>
                <w:rFonts w:ascii="Arial" w:hAnsi="Arial" w:cs="Arial"/>
                <w:b/>
                <w:bCs/>
                <w:noProof/>
              </w:rPr>
              <w:t>4.2 Relationship Between Food Safety Practices and Health Outcomes in Care Homes</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_Toc231947567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41</w:t>
            </w:r>
            <w:r w:rsidRPr="00030181">
              <w:rPr>
                <w:rFonts w:ascii="Arial" w:hAnsi="Arial" w:cs="Arial"/>
                <w:noProof/>
                <w:webHidden/>
              </w:rPr>
              <w:fldChar w:fldCharType="end"/>
            </w:r>
          </w:hyperlink>
        </w:p>
        <w:p w14:paraId="1BEC3D18" w14:textId="43EDB780"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68" w:history="1">
            <w:r w:rsidRPr="00030181">
              <w:rPr>
                <w:rStyle w:val="Hyperlink"/>
                <w:rFonts w:ascii="Arial" w:hAnsi="Arial" w:cs="Arial"/>
                <w:b/>
                <w:bCs/>
                <w:noProof/>
              </w:rPr>
              <w:t>4.2.1 Nutritional Status and Health Outcomes</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_Toc231947568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41</w:t>
            </w:r>
            <w:r w:rsidRPr="00030181">
              <w:rPr>
                <w:rFonts w:ascii="Arial" w:hAnsi="Arial" w:cs="Arial"/>
                <w:noProof/>
                <w:webHidden/>
              </w:rPr>
              <w:fldChar w:fldCharType="end"/>
            </w:r>
          </w:hyperlink>
        </w:p>
        <w:p w14:paraId="50F07C3D" w14:textId="15649583"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69" w:history="1">
            <w:r w:rsidRPr="00030181">
              <w:rPr>
                <w:rStyle w:val="Hyperlink"/>
                <w:rFonts w:ascii="Arial" w:hAnsi="Arial" w:cs="Arial"/>
                <w:b/>
                <w:bCs/>
                <w:noProof/>
              </w:rPr>
              <w:t>4.2.2 Organisational Influences on Health Outcomes</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_Toc231947569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43</w:t>
            </w:r>
            <w:r w:rsidRPr="00030181">
              <w:rPr>
                <w:rFonts w:ascii="Arial" w:hAnsi="Arial" w:cs="Arial"/>
                <w:noProof/>
                <w:webHidden/>
              </w:rPr>
              <w:fldChar w:fldCharType="end"/>
            </w:r>
          </w:hyperlink>
        </w:p>
        <w:p w14:paraId="34DB04AE" w14:textId="7F45EF3A"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70" w:history="1">
            <w:r w:rsidRPr="00030181">
              <w:rPr>
                <w:rStyle w:val="Hyperlink"/>
                <w:rFonts w:ascii="Arial" w:hAnsi="Arial" w:cs="Arial"/>
                <w:b/>
                <w:bCs/>
                <w:noProof/>
              </w:rPr>
              <w:t>4.2.3 Management of Type 2 Diabetes</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_Toc231947570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43</w:t>
            </w:r>
            <w:r w:rsidRPr="00030181">
              <w:rPr>
                <w:rFonts w:ascii="Arial" w:hAnsi="Arial" w:cs="Arial"/>
                <w:noProof/>
                <w:webHidden/>
              </w:rPr>
              <w:fldChar w:fldCharType="end"/>
            </w:r>
          </w:hyperlink>
        </w:p>
        <w:p w14:paraId="514F5CDA" w14:textId="0A2FE80A"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71" w:history="1">
            <w:r w:rsidRPr="00030181">
              <w:rPr>
                <w:rStyle w:val="Hyperlink"/>
                <w:rFonts w:ascii="Arial" w:hAnsi="Arial" w:cs="Arial"/>
                <w:b/>
                <w:bCs/>
                <w:noProof/>
              </w:rPr>
              <w:t>4.3 Impact of Sub-Optimal Food and Nutrition Safety on Type 2 Diabetic Residents in Care Homes</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_Toc231947571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44</w:t>
            </w:r>
            <w:r w:rsidRPr="00030181">
              <w:rPr>
                <w:rFonts w:ascii="Arial" w:hAnsi="Arial" w:cs="Arial"/>
                <w:noProof/>
                <w:webHidden/>
              </w:rPr>
              <w:fldChar w:fldCharType="end"/>
            </w:r>
          </w:hyperlink>
        </w:p>
        <w:p w14:paraId="6CAA08A2" w14:textId="0290BD40"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72" w:history="1">
            <w:r w:rsidRPr="00030181">
              <w:rPr>
                <w:rStyle w:val="Hyperlink"/>
                <w:rFonts w:ascii="Arial" w:hAnsi="Arial" w:cs="Arial"/>
                <w:b/>
                <w:bCs/>
                <w:noProof/>
              </w:rPr>
              <w:t>4.3.1 Glycaemic Instability</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_Toc231947572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44</w:t>
            </w:r>
            <w:r w:rsidRPr="00030181">
              <w:rPr>
                <w:rFonts w:ascii="Arial" w:hAnsi="Arial" w:cs="Arial"/>
                <w:noProof/>
                <w:webHidden/>
              </w:rPr>
              <w:fldChar w:fldCharType="end"/>
            </w:r>
          </w:hyperlink>
        </w:p>
        <w:p w14:paraId="521A2F34" w14:textId="23B5B4E2"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73" w:history="1">
            <w:r w:rsidRPr="00030181">
              <w:rPr>
                <w:rStyle w:val="Hyperlink"/>
                <w:rFonts w:ascii="Arial" w:hAnsi="Arial" w:cs="Arial"/>
                <w:b/>
                <w:bCs/>
                <w:noProof/>
              </w:rPr>
              <w:t>4.3.2 Increased Risk of Complications</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_Toc231947573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45</w:t>
            </w:r>
            <w:r w:rsidRPr="00030181">
              <w:rPr>
                <w:rFonts w:ascii="Arial" w:hAnsi="Arial" w:cs="Arial"/>
                <w:noProof/>
                <w:webHidden/>
              </w:rPr>
              <w:fldChar w:fldCharType="end"/>
            </w:r>
          </w:hyperlink>
        </w:p>
        <w:p w14:paraId="5191BD93" w14:textId="64B38FD3"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74" w:history="1">
            <w:r w:rsidRPr="00030181">
              <w:rPr>
                <w:rStyle w:val="Hyperlink"/>
                <w:rFonts w:ascii="Arial" w:hAnsi="Arial" w:cs="Arial"/>
                <w:b/>
                <w:bCs/>
                <w:noProof/>
              </w:rPr>
              <w:t>4.4 Identified Best Practices in Improving Food and Nutrition Safety in Care Homes</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_Toc231947574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46</w:t>
            </w:r>
            <w:r w:rsidRPr="00030181">
              <w:rPr>
                <w:rFonts w:ascii="Arial" w:hAnsi="Arial" w:cs="Arial"/>
                <w:noProof/>
                <w:webHidden/>
              </w:rPr>
              <w:fldChar w:fldCharType="end"/>
            </w:r>
          </w:hyperlink>
        </w:p>
        <w:p w14:paraId="5F228884" w14:textId="6B446D43"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75" w:history="1">
            <w:r w:rsidRPr="00030181">
              <w:rPr>
                <w:rStyle w:val="Hyperlink"/>
                <w:rFonts w:ascii="Arial" w:hAnsi="Arial" w:cs="Arial"/>
                <w:b/>
                <w:bCs/>
                <w:noProof/>
              </w:rPr>
              <w:t>4.4.1 Staff Education and Competency Development</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_Toc231947575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47</w:t>
            </w:r>
            <w:r w:rsidRPr="00030181">
              <w:rPr>
                <w:rFonts w:ascii="Arial" w:hAnsi="Arial" w:cs="Arial"/>
                <w:noProof/>
                <w:webHidden/>
              </w:rPr>
              <w:fldChar w:fldCharType="end"/>
            </w:r>
          </w:hyperlink>
        </w:p>
        <w:p w14:paraId="4ADC212B" w14:textId="6D76E584"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76" w:history="1">
            <w:r w:rsidRPr="00030181">
              <w:rPr>
                <w:rStyle w:val="Hyperlink"/>
                <w:rFonts w:ascii="Arial" w:hAnsi="Arial" w:cs="Arial"/>
                <w:b/>
                <w:bCs/>
                <w:noProof/>
              </w:rPr>
              <w:t>4.4.2 Nutritional Screening and Monitoring</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_Toc231947576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47</w:t>
            </w:r>
            <w:r w:rsidRPr="00030181">
              <w:rPr>
                <w:rFonts w:ascii="Arial" w:hAnsi="Arial" w:cs="Arial"/>
                <w:noProof/>
                <w:webHidden/>
              </w:rPr>
              <w:fldChar w:fldCharType="end"/>
            </w:r>
          </w:hyperlink>
        </w:p>
        <w:p w14:paraId="79F15A11" w14:textId="68586260"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77" w:history="1">
            <w:r w:rsidRPr="00030181">
              <w:rPr>
                <w:rStyle w:val="Hyperlink"/>
                <w:rFonts w:ascii="Arial" w:hAnsi="Arial" w:cs="Arial"/>
                <w:b/>
                <w:bCs/>
                <w:noProof/>
              </w:rPr>
              <w:t>4.4.3 Multidisciplinary Collaboration and Professional Support</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_Toc231947577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48</w:t>
            </w:r>
            <w:r w:rsidRPr="00030181">
              <w:rPr>
                <w:rFonts w:ascii="Arial" w:hAnsi="Arial" w:cs="Arial"/>
                <w:noProof/>
                <w:webHidden/>
              </w:rPr>
              <w:fldChar w:fldCharType="end"/>
            </w:r>
          </w:hyperlink>
        </w:p>
        <w:p w14:paraId="3B192A26" w14:textId="4FC461D3"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78" w:history="1">
            <w:r w:rsidRPr="00030181">
              <w:rPr>
                <w:rStyle w:val="Hyperlink"/>
                <w:rFonts w:ascii="Arial" w:hAnsi="Arial" w:cs="Arial"/>
                <w:b/>
                <w:bCs/>
                <w:noProof/>
              </w:rPr>
              <w:t>4.4.4 Organisational Support and Food Safety Governance</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_Toc231947578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48</w:t>
            </w:r>
            <w:r w:rsidRPr="00030181">
              <w:rPr>
                <w:rFonts w:ascii="Arial" w:hAnsi="Arial" w:cs="Arial"/>
                <w:noProof/>
                <w:webHidden/>
              </w:rPr>
              <w:fldChar w:fldCharType="end"/>
            </w:r>
          </w:hyperlink>
        </w:p>
        <w:p w14:paraId="4F72C3E7" w14:textId="1300B0A0"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79" w:history="1">
            <w:r w:rsidRPr="00030181">
              <w:rPr>
                <w:rStyle w:val="Hyperlink"/>
                <w:rFonts w:ascii="Arial" w:hAnsi="Arial" w:cs="Arial"/>
                <w:b/>
                <w:bCs/>
                <w:noProof/>
              </w:rPr>
              <w:t>4.5 Summary</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_Toc231947579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49</w:t>
            </w:r>
            <w:r w:rsidRPr="00030181">
              <w:rPr>
                <w:rFonts w:ascii="Arial" w:hAnsi="Arial" w:cs="Arial"/>
                <w:noProof/>
                <w:webHidden/>
              </w:rPr>
              <w:fldChar w:fldCharType="end"/>
            </w:r>
          </w:hyperlink>
        </w:p>
        <w:p w14:paraId="00D2556E" w14:textId="27F4FF3B"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80" w:history="1">
            <w:r w:rsidRPr="00030181">
              <w:rPr>
                <w:rStyle w:val="Hyperlink"/>
                <w:rFonts w:ascii="Arial" w:hAnsi="Arial" w:cs="Arial"/>
                <w:b/>
                <w:bCs/>
                <w:noProof/>
              </w:rPr>
              <w:t>CHAPTER 5 - DISCUSSION</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_Toc231947580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50</w:t>
            </w:r>
            <w:r w:rsidRPr="00030181">
              <w:rPr>
                <w:rFonts w:ascii="Arial" w:hAnsi="Arial" w:cs="Arial"/>
                <w:noProof/>
                <w:webHidden/>
              </w:rPr>
              <w:fldChar w:fldCharType="end"/>
            </w:r>
          </w:hyperlink>
        </w:p>
        <w:p w14:paraId="20240EA4" w14:textId="264BE7BD"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81" w:history="1">
            <w:r w:rsidRPr="00030181">
              <w:rPr>
                <w:rStyle w:val="Hyperlink"/>
                <w:rFonts w:ascii="Arial" w:hAnsi="Arial" w:cs="Arial"/>
                <w:b/>
                <w:bCs/>
                <w:noProof/>
              </w:rPr>
              <w:t>5.0 Introduction</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_Toc231947581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50</w:t>
            </w:r>
            <w:r w:rsidRPr="00030181">
              <w:rPr>
                <w:rFonts w:ascii="Arial" w:hAnsi="Arial" w:cs="Arial"/>
                <w:noProof/>
                <w:webHidden/>
              </w:rPr>
              <w:fldChar w:fldCharType="end"/>
            </w:r>
          </w:hyperlink>
        </w:p>
        <w:p w14:paraId="22526D77" w14:textId="0816EE51"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82" w:history="1">
            <w:r w:rsidRPr="00030181">
              <w:rPr>
                <w:rStyle w:val="Hyperlink"/>
                <w:rFonts w:ascii="Arial" w:hAnsi="Arial" w:cs="Arial"/>
                <w:b/>
                <w:bCs/>
                <w:noProof/>
              </w:rPr>
              <w:t>5.1 Discussion of Objective 1: Food Safety and Nutrition Practices in Care Homes</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_Toc231947582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50</w:t>
            </w:r>
            <w:r w:rsidRPr="00030181">
              <w:rPr>
                <w:rFonts w:ascii="Arial" w:hAnsi="Arial" w:cs="Arial"/>
                <w:noProof/>
                <w:webHidden/>
              </w:rPr>
              <w:fldChar w:fldCharType="end"/>
            </w:r>
          </w:hyperlink>
        </w:p>
        <w:p w14:paraId="4F3E42F0" w14:textId="7C095316"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83" w:history="1">
            <w:r w:rsidRPr="00030181">
              <w:rPr>
                <w:rStyle w:val="Hyperlink"/>
                <w:rFonts w:ascii="Arial" w:hAnsi="Arial" w:cs="Arial"/>
                <w:b/>
                <w:bCs/>
                <w:noProof/>
              </w:rPr>
              <w:t>5.2 Discussion of Objective 2: Relationship Between Food Safety and Nutrition Practices and Health Outcomes</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_Toc231947583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51</w:t>
            </w:r>
            <w:r w:rsidRPr="00030181">
              <w:rPr>
                <w:rFonts w:ascii="Arial" w:hAnsi="Arial" w:cs="Arial"/>
                <w:noProof/>
                <w:webHidden/>
              </w:rPr>
              <w:fldChar w:fldCharType="end"/>
            </w:r>
          </w:hyperlink>
        </w:p>
        <w:p w14:paraId="229AC512" w14:textId="0F23086E"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84" w:history="1">
            <w:r w:rsidRPr="00030181">
              <w:rPr>
                <w:rStyle w:val="Hyperlink"/>
                <w:rFonts w:ascii="Arial" w:hAnsi="Arial" w:cs="Arial"/>
                <w:b/>
                <w:bCs/>
                <w:noProof/>
              </w:rPr>
              <w:t>5.3 Discussion of Objective 3: Vulnerability of Residents with Type 2 Diabetes</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_Toc231947584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52</w:t>
            </w:r>
            <w:r w:rsidRPr="00030181">
              <w:rPr>
                <w:rFonts w:ascii="Arial" w:hAnsi="Arial" w:cs="Arial"/>
                <w:noProof/>
                <w:webHidden/>
              </w:rPr>
              <w:fldChar w:fldCharType="end"/>
            </w:r>
          </w:hyperlink>
        </w:p>
        <w:p w14:paraId="26871776" w14:textId="01E70C2E"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85" w:history="1">
            <w:r w:rsidRPr="00030181">
              <w:rPr>
                <w:rStyle w:val="Hyperlink"/>
                <w:rFonts w:ascii="Arial" w:hAnsi="Arial" w:cs="Arial"/>
                <w:b/>
                <w:bCs/>
                <w:noProof/>
              </w:rPr>
              <w:t>5.4 Discussion of Objective 4: Best Practices and Recommendations</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_Toc231947585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53</w:t>
            </w:r>
            <w:r w:rsidRPr="00030181">
              <w:rPr>
                <w:rFonts w:ascii="Arial" w:hAnsi="Arial" w:cs="Arial"/>
                <w:noProof/>
                <w:webHidden/>
              </w:rPr>
              <w:fldChar w:fldCharType="end"/>
            </w:r>
          </w:hyperlink>
        </w:p>
        <w:p w14:paraId="279BCE21" w14:textId="621A6F2F"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86" w:history="1">
            <w:r w:rsidRPr="00030181">
              <w:rPr>
                <w:rStyle w:val="Hyperlink"/>
                <w:rFonts w:ascii="Arial" w:hAnsi="Arial" w:cs="Arial"/>
                <w:b/>
                <w:bCs/>
                <w:noProof/>
              </w:rPr>
              <w:t>5.5 Linking Findings to the Theoretical Framework</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_Toc231947586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55</w:t>
            </w:r>
            <w:r w:rsidRPr="00030181">
              <w:rPr>
                <w:rFonts w:ascii="Arial" w:hAnsi="Arial" w:cs="Arial"/>
                <w:noProof/>
                <w:webHidden/>
              </w:rPr>
              <w:fldChar w:fldCharType="end"/>
            </w:r>
          </w:hyperlink>
        </w:p>
        <w:p w14:paraId="1F3F8DAD" w14:textId="4511EE59"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87" w:history="1">
            <w:r w:rsidRPr="00030181">
              <w:rPr>
                <w:rStyle w:val="Hyperlink"/>
                <w:rFonts w:ascii="Arial" w:hAnsi="Arial" w:cs="Arial"/>
                <w:b/>
                <w:bCs/>
                <w:noProof/>
              </w:rPr>
              <w:t>5.6 Critical Appraisal of Included Studies</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_Toc231947587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55</w:t>
            </w:r>
            <w:r w:rsidRPr="00030181">
              <w:rPr>
                <w:rFonts w:ascii="Arial" w:hAnsi="Arial" w:cs="Arial"/>
                <w:noProof/>
                <w:webHidden/>
              </w:rPr>
              <w:fldChar w:fldCharType="end"/>
            </w:r>
          </w:hyperlink>
        </w:p>
        <w:p w14:paraId="642AD679" w14:textId="5E9DCD62"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88" w:history="1">
            <w:r w:rsidRPr="00030181">
              <w:rPr>
                <w:rStyle w:val="Hyperlink"/>
                <w:rFonts w:ascii="Arial" w:hAnsi="Arial" w:cs="Arial"/>
                <w:b/>
                <w:bCs/>
                <w:noProof/>
              </w:rPr>
              <w:t>5.7 Strengths and Limitations of the Systematic Literature Review</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_Toc231947588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56</w:t>
            </w:r>
            <w:r w:rsidRPr="00030181">
              <w:rPr>
                <w:rFonts w:ascii="Arial" w:hAnsi="Arial" w:cs="Arial"/>
                <w:noProof/>
                <w:webHidden/>
              </w:rPr>
              <w:fldChar w:fldCharType="end"/>
            </w:r>
          </w:hyperlink>
        </w:p>
        <w:p w14:paraId="5A72DBBD" w14:textId="47E73865"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89" w:history="1">
            <w:r w:rsidRPr="00030181">
              <w:rPr>
                <w:rStyle w:val="Hyperlink"/>
                <w:rFonts w:ascii="Arial" w:hAnsi="Arial" w:cs="Arial"/>
                <w:b/>
                <w:bCs/>
                <w:noProof/>
              </w:rPr>
              <w:t>5.8 Implications for Practice and Policy</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_Toc231947589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57</w:t>
            </w:r>
            <w:r w:rsidRPr="00030181">
              <w:rPr>
                <w:rFonts w:ascii="Arial" w:hAnsi="Arial" w:cs="Arial"/>
                <w:noProof/>
                <w:webHidden/>
              </w:rPr>
              <w:fldChar w:fldCharType="end"/>
            </w:r>
          </w:hyperlink>
        </w:p>
        <w:p w14:paraId="0364BE33" w14:textId="0CE73376"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90" w:history="1">
            <w:r w:rsidRPr="00030181">
              <w:rPr>
                <w:rStyle w:val="Hyperlink"/>
                <w:rFonts w:ascii="Arial" w:hAnsi="Arial" w:cs="Arial"/>
                <w:b/>
                <w:bCs/>
                <w:noProof/>
              </w:rPr>
              <w:t>5.9 Summary</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_Toc231947590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57</w:t>
            </w:r>
            <w:r w:rsidRPr="00030181">
              <w:rPr>
                <w:rFonts w:ascii="Arial" w:hAnsi="Arial" w:cs="Arial"/>
                <w:noProof/>
                <w:webHidden/>
              </w:rPr>
              <w:fldChar w:fldCharType="end"/>
            </w:r>
          </w:hyperlink>
        </w:p>
        <w:p w14:paraId="4AE16A84" w14:textId="56C0E7EF"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91" w:history="1">
            <w:r w:rsidRPr="00030181">
              <w:rPr>
                <w:rStyle w:val="Hyperlink"/>
                <w:rFonts w:ascii="Arial" w:hAnsi="Arial" w:cs="Arial"/>
                <w:b/>
                <w:bCs/>
                <w:noProof/>
              </w:rPr>
              <w:t>CHAPTER 6 – CONCLUSION AND RECOMMENDATIONS</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_Toc231947591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58</w:t>
            </w:r>
            <w:r w:rsidRPr="00030181">
              <w:rPr>
                <w:rFonts w:ascii="Arial" w:hAnsi="Arial" w:cs="Arial"/>
                <w:noProof/>
                <w:webHidden/>
              </w:rPr>
              <w:fldChar w:fldCharType="end"/>
            </w:r>
          </w:hyperlink>
        </w:p>
        <w:p w14:paraId="44C02870" w14:textId="166C684B"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92" w:history="1">
            <w:r w:rsidRPr="00030181">
              <w:rPr>
                <w:rStyle w:val="Hyperlink"/>
                <w:rFonts w:ascii="Arial" w:hAnsi="Arial" w:cs="Arial"/>
                <w:b/>
                <w:bCs/>
                <w:noProof/>
              </w:rPr>
              <w:t>6.1 Conclusion</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_Toc231947592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58</w:t>
            </w:r>
            <w:r w:rsidRPr="00030181">
              <w:rPr>
                <w:rFonts w:ascii="Arial" w:hAnsi="Arial" w:cs="Arial"/>
                <w:noProof/>
                <w:webHidden/>
              </w:rPr>
              <w:fldChar w:fldCharType="end"/>
            </w:r>
          </w:hyperlink>
        </w:p>
        <w:p w14:paraId="1ADC2C67" w14:textId="3F8AFE69"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93" w:history="1">
            <w:r w:rsidRPr="00030181">
              <w:rPr>
                <w:rStyle w:val="Hyperlink"/>
                <w:rFonts w:ascii="Arial" w:hAnsi="Arial" w:cs="Arial"/>
                <w:b/>
                <w:bCs/>
                <w:noProof/>
              </w:rPr>
              <w:t>6.2 Recommendations</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_Toc231947593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59</w:t>
            </w:r>
            <w:r w:rsidRPr="00030181">
              <w:rPr>
                <w:rFonts w:ascii="Arial" w:hAnsi="Arial" w:cs="Arial"/>
                <w:noProof/>
                <w:webHidden/>
              </w:rPr>
              <w:fldChar w:fldCharType="end"/>
            </w:r>
          </w:hyperlink>
        </w:p>
        <w:p w14:paraId="0BA02B7C" w14:textId="3499B865"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94" w:history="1">
            <w:r w:rsidRPr="00030181">
              <w:rPr>
                <w:rStyle w:val="Hyperlink"/>
                <w:rFonts w:ascii="Arial" w:hAnsi="Arial" w:cs="Arial"/>
                <w:b/>
                <w:bCs/>
                <w:noProof/>
              </w:rPr>
              <w:t>6.2.1 Recommendations for Practice</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_Toc231947594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59</w:t>
            </w:r>
            <w:r w:rsidRPr="00030181">
              <w:rPr>
                <w:rFonts w:ascii="Arial" w:hAnsi="Arial" w:cs="Arial"/>
                <w:noProof/>
                <w:webHidden/>
              </w:rPr>
              <w:fldChar w:fldCharType="end"/>
            </w:r>
          </w:hyperlink>
        </w:p>
        <w:p w14:paraId="1AB0F324" w14:textId="2BC787E4"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95" w:history="1">
            <w:r w:rsidRPr="00030181">
              <w:rPr>
                <w:rStyle w:val="Hyperlink"/>
                <w:rFonts w:ascii="Arial" w:hAnsi="Arial" w:cs="Arial"/>
                <w:b/>
                <w:bCs/>
                <w:noProof/>
              </w:rPr>
              <w:t>6.2.2 Recommendations for Future Research</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_Toc231947595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60</w:t>
            </w:r>
            <w:r w:rsidRPr="00030181">
              <w:rPr>
                <w:rFonts w:ascii="Arial" w:hAnsi="Arial" w:cs="Arial"/>
                <w:noProof/>
                <w:webHidden/>
              </w:rPr>
              <w:fldChar w:fldCharType="end"/>
            </w:r>
          </w:hyperlink>
        </w:p>
        <w:p w14:paraId="116C5D4F" w14:textId="5CE1E7E5"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96" w:history="1">
            <w:r w:rsidRPr="00030181">
              <w:rPr>
                <w:rStyle w:val="Hyperlink"/>
                <w:rFonts w:ascii="Arial" w:hAnsi="Arial" w:cs="Arial"/>
                <w:b/>
                <w:bCs/>
                <w:noProof/>
              </w:rPr>
              <w:t>REFERENCE:</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_Toc231947596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61</w:t>
            </w:r>
            <w:r w:rsidRPr="00030181">
              <w:rPr>
                <w:rFonts w:ascii="Arial" w:hAnsi="Arial" w:cs="Arial"/>
                <w:noProof/>
                <w:webHidden/>
              </w:rPr>
              <w:fldChar w:fldCharType="end"/>
            </w:r>
          </w:hyperlink>
        </w:p>
        <w:p w14:paraId="05446024" w14:textId="0CBD9D14"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97" w:history="1">
            <w:r w:rsidRPr="00030181">
              <w:rPr>
                <w:rStyle w:val="Hyperlink"/>
                <w:rFonts w:ascii="Arial" w:hAnsi="Arial" w:cs="Arial"/>
                <w:b/>
                <w:bCs/>
                <w:noProof/>
              </w:rPr>
              <w:t>APPENDIX 1 –Table 3.7.1 Data Extraction Framework</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_Toc231947597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78</w:t>
            </w:r>
            <w:r w:rsidRPr="00030181">
              <w:rPr>
                <w:rFonts w:ascii="Arial" w:hAnsi="Arial" w:cs="Arial"/>
                <w:noProof/>
                <w:webHidden/>
              </w:rPr>
              <w:fldChar w:fldCharType="end"/>
            </w:r>
          </w:hyperlink>
        </w:p>
        <w:p w14:paraId="2B2900A6" w14:textId="6420C48F" w:rsidR="00A94F44" w:rsidRPr="00030181" w:rsidRDefault="00A94F44">
          <w:pPr>
            <w:pStyle w:val="TOC1"/>
            <w:tabs>
              <w:tab w:val="right" w:leader="dot" w:pos="9016"/>
            </w:tabs>
            <w:rPr>
              <w:rFonts w:ascii="Arial" w:eastAsiaTheme="minorEastAsia" w:hAnsi="Arial" w:cs="Arial"/>
              <w:noProof/>
              <w:sz w:val="24"/>
              <w:szCs w:val="24"/>
              <w:lang w:eastAsia="en-IN"/>
            </w:rPr>
          </w:pPr>
          <w:hyperlink w:anchor="_Toc231947598" w:history="1">
            <w:r w:rsidRPr="00030181">
              <w:rPr>
                <w:rStyle w:val="Hyperlink"/>
                <w:rFonts w:ascii="Arial" w:hAnsi="Arial" w:cs="Arial"/>
                <w:b/>
                <w:bCs/>
                <w:noProof/>
              </w:rPr>
              <w:t>APPENDIX 2 – Critical Appraisal</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_Toc231947598 \h </w:instrText>
            </w:r>
            <w:r w:rsidRPr="00030181">
              <w:rPr>
                <w:rFonts w:ascii="Arial" w:hAnsi="Arial" w:cs="Arial"/>
                <w:noProof/>
                <w:webHidden/>
              </w:rPr>
            </w:r>
            <w:r w:rsidRPr="00030181">
              <w:rPr>
                <w:rFonts w:ascii="Arial" w:hAnsi="Arial" w:cs="Arial"/>
                <w:noProof/>
                <w:webHidden/>
              </w:rPr>
              <w:fldChar w:fldCharType="separate"/>
            </w:r>
            <w:r w:rsidR="00030181">
              <w:rPr>
                <w:rFonts w:ascii="Arial" w:hAnsi="Arial" w:cs="Arial"/>
                <w:noProof/>
                <w:webHidden/>
              </w:rPr>
              <w:t>84</w:t>
            </w:r>
            <w:r w:rsidRPr="00030181">
              <w:rPr>
                <w:rFonts w:ascii="Arial" w:hAnsi="Arial" w:cs="Arial"/>
                <w:noProof/>
                <w:webHidden/>
              </w:rPr>
              <w:fldChar w:fldCharType="end"/>
            </w:r>
          </w:hyperlink>
        </w:p>
        <w:p w14:paraId="267C2377" w14:textId="5F0AA34A" w:rsidR="008177B4" w:rsidRPr="00030181" w:rsidRDefault="008177B4" w:rsidP="005C5EBA">
          <w:pPr>
            <w:spacing w:line="360" w:lineRule="auto"/>
            <w:rPr>
              <w:rFonts w:ascii="Arial" w:hAnsi="Arial" w:cs="Arial"/>
            </w:rPr>
          </w:pPr>
          <w:r w:rsidRPr="00030181">
            <w:rPr>
              <w:rFonts w:ascii="Arial" w:hAnsi="Arial" w:cs="Arial"/>
              <w:b/>
              <w:bCs/>
              <w:noProof/>
            </w:rPr>
            <w:fldChar w:fldCharType="end"/>
          </w:r>
        </w:p>
      </w:sdtContent>
    </w:sdt>
    <w:p w14:paraId="70E03970" w14:textId="77777777" w:rsidR="005C5EBA" w:rsidRPr="00030181" w:rsidRDefault="005C5EBA" w:rsidP="005C5EBA">
      <w:pPr>
        <w:spacing w:line="360" w:lineRule="auto"/>
        <w:rPr>
          <w:rFonts w:ascii="Arial" w:hAnsi="Arial" w:cs="Arial"/>
          <w:b/>
          <w:bCs/>
          <w:sz w:val="28"/>
          <w:szCs w:val="28"/>
        </w:rPr>
      </w:pPr>
    </w:p>
    <w:p w14:paraId="0DFE31C1" w14:textId="77777777" w:rsidR="005C5EBA" w:rsidRPr="00030181" w:rsidRDefault="005C5EBA" w:rsidP="005C5EBA">
      <w:pPr>
        <w:spacing w:line="360" w:lineRule="auto"/>
        <w:rPr>
          <w:rFonts w:ascii="Arial" w:hAnsi="Arial" w:cs="Arial"/>
          <w:b/>
          <w:bCs/>
          <w:sz w:val="28"/>
          <w:szCs w:val="28"/>
        </w:rPr>
      </w:pPr>
    </w:p>
    <w:p w14:paraId="5C83CFB1" w14:textId="77777777" w:rsidR="005C5EBA" w:rsidRPr="00030181" w:rsidRDefault="005C5EBA" w:rsidP="005C5EBA">
      <w:pPr>
        <w:spacing w:line="360" w:lineRule="auto"/>
        <w:rPr>
          <w:rFonts w:ascii="Arial" w:hAnsi="Arial" w:cs="Arial"/>
          <w:b/>
          <w:bCs/>
          <w:sz w:val="28"/>
          <w:szCs w:val="28"/>
        </w:rPr>
      </w:pPr>
    </w:p>
    <w:p w14:paraId="34B16099" w14:textId="77777777" w:rsidR="005C5EBA" w:rsidRPr="00030181" w:rsidRDefault="005C5EBA" w:rsidP="005C5EBA">
      <w:pPr>
        <w:spacing w:line="360" w:lineRule="auto"/>
        <w:rPr>
          <w:rFonts w:ascii="Arial" w:hAnsi="Arial" w:cs="Arial"/>
          <w:b/>
          <w:bCs/>
          <w:sz w:val="28"/>
          <w:szCs w:val="28"/>
        </w:rPr>
      </w:pPr>
    </w:p>
    <w:p w14:paraId="361056D8" w14:textId="77777777" w:rsidR="005C5EBA" w:rsidRPr="00030181" w:rsidRDefault="005C5EBA" w:rsidP="005C5EBA">
      <w:pPr>
        <w:spacing w:line="360" w:lineRule="auto"/>
        <w:rPr>
          <w:rFonts w:ascii="Arial" w:hAnsi="Arial" w:cs="Arial"/>
          <w:b/>
          <w:bCs/>
          <w:sz w:val="28"/>
          <w:szCs w:val="28"/>
        </w:rPr>
      </w:pPr>
    </w:p>
    <w:p w14:paraId="5B27DD64" w14:textId="77777777" w:rsidR="005C5EBA" w:rsidRPr="00030181" w:rsidRDefault="005C5EBA" w:rsidP="005C5EBA">
      <w:pPr>
        <w:spacing w:line="360" w:lineRule="auto"/>
        <w:rPr>
          <w:rFonts w:ascii="Arial" w:hAnsi="Arial" w:cs="Arial"/>
          <w:b/>
          <w:bCs/>
          <w:sz w:val="28"/>
          <w:szCs w:val="28"/>
        </w:rPr>
      </w:pPr>
    </w:p>
    <w:p w14:paraId="69F337FD" w14:textId="1288C84C" w:rsidR="003B4C3F" w:rsidRPr="00030181" w:rsidRDefault="003B4C3F" w:rsidP="005C5EBA">
      <w:pPr>
        <w:spacing w:line="360" w:lineRule="auto"/>
        <w:rPr>
          <w:rFonts w:ascii="Arial" w:hAnsi="Arial" w:cs="Arial"/>
          <w:b/>
          <w:bCs/>
          <w:sz w:val="28"/>
          <w:szCs w:val="28"/>
        </w:rPr>
      </w:pPr>
    </w:p>
    <w:p w14:paraId="2478D185" w14:textId="77777777" w:rsidR="003B4C3F" w:rsidRPr="00030181" w:rsidRDefault="003B4C3F">
      <w:pPr>
        <w:rPr>
          <w:rFonts w:ascii="Arial" w:hAnsi="Arial" w:cs="Arial"/>
          <w:b/>
          <w:bCs/>
          <w:sz w:val="28"/>
          <w:szCs w:val="28"/>
        </w:rPr>
      </w:pPr>
      <w:r w:rsidRPr="00030181">
        <w:rPr>
          <w:rFonts w:ascii="Arial" w:hAnsi="Arial" w:cs="Arial"/>
          <w:b/>
          <w:bCs/>
          <w:sz w:val="28"/>
          <w:szCs w:val="28"/>
        </w:rPr>
        <w:br w:type="page"/>
      </w:r>
    </w:p>
    <w:p w14:paraId="1E4685D4" w14:textId="0AF257DC" w:rsidR="005C5EBA" w:rsidRPr="00030181" w:rsidRDefault="003B4C3F" w:rsidP="003B4C3F">
      <w:pPr>
        <w:spacing w:line="360" w:lineRule="auto"/>
        <w:jc w:val="center"/>
        <w:rPr>
          <w:rFonts w:ascii="Arial" w:hAnsi="Arial" w:cs="Arial"/>
          <w:b/>
          <w:bCs/>
          <w:sz w:val="28"/>
          <w:szCs w:val="28"/>
        </w:rPr>
      </w:pPr>
      <w:r w:rsidRPr="00030181">
        <w:rPr>
          <w:rFonts w:ascii="Arial" w:hAnsi="Arial" w:cs="Arial"/>
          <w:b/>
          <w:bCs/>
          <w:sz w:val="28"/>
          <w:szCs w:val="28"/>
        </w:rPr>
        <w:lastRenderedPageBreak/>
        <w:t>List Of Figures</w:t>
      </w:r>
    </w:p>
    <w:p w14:paraId="14C99441" w14:textId="77777777" w:rsidR="003B4C3F" w:rsidRPr="00030181" w:rsidRDefault="003B4C3F" w:rsidP="005C5EBA">
      <w:pPr>
        <w:spacing w:line="360" w:lineRule="auto"/>
        <w:rPr>
          <w:rFonts w:ascii="Arial" w:hAnsi="Arial" w:cs="Arial"/>
          <w:b/>
          <w:bCs/>
          <w:sz w:val="28"/>
          <w:szCs w:val="28"/>
        </w:rPr>
      </w:pPr>
    </w:p>
    <w:p w14:paraId="78E96059" w14:textId="7A223928" w:rsidR="007A05DD" w:rsidRPr="00030181" w:rsidRDefault="007A05DD">
      <w:pPr>
        <w:pStyle w:val="TableofFigures"/>
        <w:tabs>
          <w:tab w:val="right" w:leader="dot" w:pos="9016"/>
        </w:tabs>
        <w:rPr>
          <w:rFonts w:ascii="Arial" w:eastAsiaTheme="minorEastAsia" w:hAnsi="Arial" w:cs="Arial"/>
          <w:noProof/>
          <w:sz w:val="24"/>
          <w:szCs w:val="24"/>
          <w:lang w:eastAsia="en-IN"/>
        </w:rPr>
      </w:pPr>
      <w:r w:rsidRPr="00030181">
        <w:rPr>
          <w:rFonts w:ascii="Arial" w:hAnsi="Arial" w:cs="Arial"/>
          <w:b/>
          <w:bCs/>
          <w:sz w:val="28"/>
          <w:szCs w:val="28"/>
        </w:rPr>
        <w:fldChar w:fldCharType="begin"/>
      </w:r>
      <w:r w:rsidRPr="00030181">
        <w:rPr>
          <w:rFonts w:ascii="Arial" w:hAnsi="Arial" w:cs="Arial"/>
          <w:b/>
          <w:bCs/>
          <w:sz w:val="28"/>
          <w:szCs w:val="28"/>
        </w:rPr>
        <w:instrText xml:space="preserve"> TOC \h \z \c "Figure 1.1: DALYs per 100,000 Population" </w:instrText>
      </w:r>
      <w:r w:rsidRPr="00030181">
        <w:rPr>
          <w:rFonts w:ascii="Arial" w:hAnsi="Arial" w:cs="Arial"/>
          <w:b/>
          <w:bCs/>
          <w:sz w:val="28"/>
          <w:szCs w:val="28"/>
        </w:rPr>
        <w:fldChar w:fldCharType="separate"/>
      </w:r>
      <w:hyperlink w:anchor="_Toc231948032" w:history="1">
        <w:r w:rsidRPr="00030181">
          <w:rPr>
            <w:rStyle w:val="Hyperlink"/>
            <w:rFonts w:ascii="Arial" w:hAnsi="Arial" w:cs="Arial"/>
            <w:noProof/>
          </w:rPr>
          <w:t>Figure 1.1: DALYs per 100,000 Population 1</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_Toc231948032 \h </w:instrText>
        </w:r>
        <w:r w:rsidRPr="00030181">
          <w:rPr>
            <w:rFonts w:ascii="Arial" w:hAnsi="Arial" w:cs="Arial"/>
            <w:noProof/>
            <w:webHidden/>
          </w:rPr>
        </w:r>
        <w:r w:rsidRPr="00030181">
          <w:rPr>
            <w:rFonts w:ascii="Arial" w:hAnsi="Arial" w:cs="Arial"/>
            <w:noProof/>
            <w:webHidden/>
          </w:rPr>
          <w:fldChar w:fldCharType="separate"/>
        </w:r>
        <w:r w:rsidR="00F57DD2" w:rsidRPr="00030181">
          <w:rPr>
            <w:rFonts w:ascii="Arial" w:hAnsi="Arial" w:cs="Arial"/>
            <w:noProof/>
            <w:webHidden/>
          </w:rPr>
          <w:t>10</w:t>
        </w:r>
        <w:r w:rsidRPr="00030181">
          <w:rPr>
            <w:rFonts w:ascii="Arial" w:hAnsi="Arial" w:cs="Arial"/>
            <w:noProof/>
            <w:webHidden/>
          </w:rPr>
          <w:fldChar w:fldCharType="end"/>
        </w:r>
      </w:hyperlink>
    </w:p>
    <w:p w14:paraId="58191E6E" w14:textId="2C2240A7" w:rsidR="003B4C3F" w:rsidRPr="00030181" w:rsidRDefault="007A05DD" w:rsidP="005C5EBA">
      <w:pPr>
        <w:spacing w:line="360" w:lineRule="auto"/>
        <w:rPr>
          <w:rFonts w:ascii="Arial" w:hAnsi="Arial" w:cs="Arial"/>
          <w:b/>
          <w:bCs/>
          <w:sz w:val="28"/>
          <w:szCs w:val="28"/>
        </w:rPr>
      </w:pPr>
      <w:r w:rsidRPr="00030181">
        <w:rPr>
          <w:rFonts w:ascii="Arial" w:hAnsi="Arial" w:cs="Arial"/>
          <w:b/>
          <w:bCs/>
          <w:sz w:val="28"/>
          <w:szCs w:val="28"/>
        </w:rPr>
        <w:fldChar w:fldCharType="end"/>
      </w:r>
    </w:p>
    <w:p w14:paraId="4ABFF6EC" w14:textId="1084A775" w:rsidR="009235A9" w:rsidRPr="00030181" w:rsidRDefault="009235A9">
      <w:pPr>
        <w:pStyle w:val="TableofFigures"/>
        <w:tabs>
          <w:tab w:val="right" w:leader="dot" w:pos="9016"/>
        </w:tabs>
        <w:rPr>
          <w:rFonts w:ascii="Arial" w:eastAsiaTheme="minorEastAsia" w:hAnsi="Arial" w:cs="Arial"/>
          <w:noProof/>
          <w:sz w:val="24"/>
          <w:szCs w:val="24"/>
          <w:lang w:eastAsia="en-IN"/>
        </w:rPr>
      </w:pPr>
      <w:r w:rsidRPr="00030181">
        <w:rPr>
          <w:rFonts w:ascii="Arial" w:hAnsi="Arial" w:cs="Arial"/>
          <w:b/>
          <w:bCs/>
          <w:sz w:val="28"/>
          <w:szCs w:val="28"/>
        </w:rPr>
        <w:fldChar w:fldCharType="begin"/>
      </w:r>
      <w:r w:rsidRPr="00030181">
        <w:rPr>
          <w:rFonts w:ascii="Arial" w:hAnsi="Arial" w:cs="Arial"/>
          <w:b/>
          <w:bCs/>
          <w:sz w:val="28"/>
          <w:szCs w:val="28"/>
        </w:rPr>
        <w:instrText xml:space="preserve"> TOC \h \z \c "Figure 2.1: UK Care Home Malnutrition" </w:instrText>
      </w:r>
      <w:r w:rsidRPr="00030181">
        <w:rPr>
          <w:rFonts w:ascii="Arial" w:hAnsi="Arial" w:cs="Arial"/>
          <w:b/>
          <w:bCs/>
          <w:sz w:val="28"/>
          <w:szCs w:val="28"/>
        </w:rPr>
        <w:fldChar w:fldCharType="separate"/>
      </w:r>
      <w:hyperlink w:anchor="_Toc232097084" w:history="1">
        <w:r w:rsidRPr="00030181">
          <w:rPr>
            <w:rStyle w:val="Hyperlink"/>
            <w:rFonts w:ascii="Arial" w:hAnsi="Arial" w:cs="Arial"/>
            <w:noProof/>
          </w:rPr>
          <w:t>Figure 2.1: UK Care Home Malnutrition 1</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_Toc232097084 \h </w:instrText>
        </w:r>
        <w:r w:rsidRPr="00030181">
          <w:rPr>
            <w:rFonts w:ascii="Arial" w:hAnsi="Arial" w:cs="Arial"/>
            <w:noProof/>
            <w:webHidden/>
          </w:rPr>
        </w:r>
        <w:r w:rsidRPr="00030181">
          <w:rPr>
            <w:rFonts w:ascii="Arial" w:hAnsi="Arial" w:cs="Arial"/>
            <w:noProof/>
            <w:webHidden/>
          </w:rPr>
          <w:fldChar w:fldCharType="separate"/>
        </w:r>
        <w:r w:rsidRPr="00030181">
          <w:rPr>
            <w:rFonts w:ascii="Arial" w:hAnsi="Arial" w:cs="Arial"/>
            <w:noProof/>
            <w:webHidden/>
          </w:rPr>
          <w:t>17</w:t>
        </w:r>
        <w:r w:rsidRPr="00030181">
          <w:rPr>
            <w:rFonts w:ascii="Arial" w:hAnsi="Arial" w:cs="Arial"/>
            <w:noProof/>
            <w:webHidden/>
          </w:rPr>
          <w:fldChar w:fldCharType="end"/>
        </w:r>
      </w:hyperlink>
    </w:p>
    <w:p w14:paraId="6B3E3763" w14:textId="41709D37" w:rsidR="003B4C3F" w:rsidRPr="00030181" w:rsidRDefault="009235A9" w:rsidP="005C5EBA">
      <w:pPr>
        <w:spacing w:line="360" w:lineRule="auto"/>
        <w:rPr>
          <w:rFonts w:ascii="Arial" w:hAnsi="Arial" w:cs="Arial"/>
          <w:b/>
          <w:bCs/>
          <w:sz w:val="28"/>
          <w:szCs w:val="28"/>
        </w:rPr>
      </w:pPr>
      <w:r w:rsidRPr="00030181">
        <w:rPr>
          <w:rFonts w:ascii="Arial" w:hAnsi="Arial" w:cs="Arial"/>
          <w:b/>
          <w:bCs/>
          <w:sz w:val="28"/>
          <w:szCs w:val="28"/>
        </w:rPr>
        <w:fldChar w:fldCharType="end"/>
      </w:r>
    </w:p>
    <w:p w14:paraId="0168C60E" w14:textId="36235E05" w:rsidR="003B4C3F" w:rsidRPr="00030181" w:rsidRDefault="003B4C3F">
      <w:pPr>
        <w:pStyle w:val="TableofFigures"/>
        <w:tabs>
          <w:tab w:val="right" w:leader="dot" w:pos="9016"/>
        </w:tabs>
        <w:rPr>
          <w:rFonts w:ascii="Arial" w:eastAsiaTheme="minorEastAsia" w:hAnsi="Arial" w:cs="Arial"/>
          <w:noProof/>
          <w:sz w:val="24"/>
          <w:szCs w:val="24"/>
          <w:lang w:val="en-US"/>
        </w:rPr>
      </w:pPr>
      <w:r w:rsidRPr="00030181">
        <w:rPr>
          <w:rFonts w:ascii="Arial" w:hAnsi="Arial" w:cs="Arial"/>
          <w:b/>
          <w:bCs/>
          <w:sz w:val="28"/>
          <w:szCs w:val="28"/>
        </w:rPr>
        <w:fldChar w:fldCharType="begin"/>
      </w:r>
      <w:r w:rsidRPr="00030181">
        <w:rPr>
          <w:rFonts w:ascii="Arial" w:hAnsi="Arial" w:cs="Arial"/>
          <w:b/>
          <w:bCs/>
          <w:sz w:val="28"/>
          <w:szCs w:val="28"/>
        </w:rPr>
        <w:instrText xml:space="preserve"> TOC \h \z \c "Figure 2.2: MUST Care Pathway" </w:instrText>
      </w:r>
      <w:r w:rsidRPr="00030181">
        <w:rPr>
          <w:rFonts w:ascii="Arial" w:hAnsi="Arial" w:cs="Arial"/>
          <w:b/>
          <w:bCs/>
          <w:sz w:val="28"/>
          <w:szCs w:val="28"/>
        </w:rPr>
        <w:fldChar w:fldCharType="separate"/>
      </w:r>
      <w:hyperlink w:anchor="_Toc231928910" w:history="1">
        <w:r w:rsidRPr="00030181">
          <w:rPr>
            <w:rStyle w:val="Hyperlink"/>
            <w:rFonts w:ascii="Arial" w:hAnsi="Arial" w:cs="Arial"/>
            <w:noProof/>
          </w:rPr>
          <w:t>Figure 2.2: MUST Care Pathway 1</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_Toc231928910 \h </w:instrText>
        </w:r>
        <w:r w:rsidRPr="00030181">
          <w:rPr>
            <w:rFonts w:ascii="Arial" w:hAnsi="Arial" w:cs="Arial"/>
            <w:noProof/>
            <w:webHidden/>
          </w:rPr>
        </w:r>
        <w:r w:rsidRPr="00030181">
          <w:rPr>
            <w:rFonts w:ascii="Arial" w:hAnsi="Arial" w:cs="Arial"/>
            <w:noProof/>
            <w:webHidden/>
          </w:rPr>
          <w:fldChar w:fldCharType="separate"/>
        </w:r>
        <w:r w:rsidR="00A94F44" w:rsidRPr="00030181">
          <w:rPr>
            <w:rFonts w:ascii="Arial" w:hAnsi="Arial" w:cs="Arial"/>
            <w:noProof/>
            <w:webHidden/>
          </w:rPr>
          <w:t>18</w:t>
        </w:r>
        <w:r w:rsidRPr="00030181">
          <w:rPr>
            <w:rFonts w:ascii="Arial" w:hAnsi="Arial" w:cs="Arial"/>
            <w:noProof/>
            <w:webHidden/>
          </w:rPr>
          <w:fldChar w:fldCharType="end"/>
        </w:r>
      </w:hyperlink>
    </w:p>
    <w:p w14:paraId="726ABF8A" w14:textId="0442F5D7" w:rsidR="003B4C3F" w:rsidRPr="00030181" w:rsidRDefault="003B4C3F" w:rsidP="005C5EBA">
      <w:pPr>
        <w:spacing w:line="360" w:lineRule="auto"/>
        <w:rPr>
          <w:rFonts w:ascii="Arial" w:hAnsi="Arial" w:cs="Arial"/>
          <w:b/>
          <w:bCs/>
          <w:sz w:val="28"/>
          <w:szCs w:val="28"/>
        </w:rPr>
      </w:pPr>
      <w:r w:rsidRPr="00030181">
        <w:rPr>
          <w:rFonts w:ascii="Arial" w:hAnsi="Arial" w:cs="Arial"/>
          <w:b/>
          <w:bCs/>
          <w:sz w:val="28"/>
          <w:szCs w:val="28"/>
        </w:rPr>
        <w:fldChar w:fldCharType="end"/>
      </w:r>
    </w:p>
    <w:p w14:paraId="7D559FF8" w14:textId="43CFE331" w:rsidR="003B4C3F" w:rsidRPr="00030181" w:rsidRDefault="003B4C3F">
      <w:pPr>
        <w:pStyle w:val="TableofFigures"/>
        <w:tabs>
          <w:tab w:val="right" w:leader="dot" w:pos="9016"/>
        </w:tabs>
        <w:rPr>
          <w:rFonts w:ascii="Arial" w:eastAsiaTheme="minorEastAsia" w:hAnsi="Arial" w:cs="Arial"/>
          <w:noProof/>
          <w:sz w:val="24"/>
          <w:szCs w:val="24"/>
          <w:lang w:val="en-US"/>
        </w:rPr>
      </w:pPr>
      <w:r w:rsidRPr="00030181">
        <w:rPr>
          <w:rFonts w:ascii="Arial" w:hAnsi="Arial" w:cs="Arial"/>
          <w:b/>
          <w:bCs/>
          <w:sz w:val="28"/>
          <w:szCs w:val="28"/>
        </w:rPr>
        <w:fldChar w:fldCharType="begin"/>
      </w:r>
      <w:r w:rsidRPr="00030181">
        <w:rPr>
          <w:rFonts w:ascii="Arial" w:hAnsi="Arial" w:cs="Arial"/>
          <w:b/>
          <w:bCs/>
          <w:sz w:val="28"/>
          <w:szCs w:val="28"/>
        </w:rPr>
        <w:instrText xml:space="preserve"> TOC \h \z \c "Figure 2.3: Food Poisoning by Age Group" </w:instrText>
      </w:r>
      <w:r w:rsidRPr="00030181">
        <w:rPr>
          <w:rFonts w:ascii="Arial" w:hAnsi="Arial" w:cs="Arial"/>
          <w:b/>
          <w:bCs/>
          <w:sz w:val="28"/>
          <w:szCs w:val="28"/>
        </w:rPr>
        <w:fldChar w:fldCharType="separate"/>
      </w:r>
      <w:hyperlink w:anchor="_Toc231929003" w:history="1">
        <w:r w:rsidRPr="00030181">
          <w:rPr>
            <w:rStyle w:val="Hyperlink"/>
            <w:rFonts w:ascii="Arial" w:hAnsi="Arial" w:cs="Arial"/>
            <w:noProof/>
          </w:rPr>
          <w:t>Figure 2.3: Food Poisoning by Age Group 1</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_Toc231929003 \h </w:instrText>
        </w:r>
        <w:r w:rsidRPr="00030181">
          <w:rPr>
            <w:rFonts w:ascii="Arial" w:hAnsi="Arial" w:cs="Arial"/>
            <w:noProof/>
            <w:webHidden/>
          </w:rPr>
        </w:r>
        <w:r w:rsidRPr="00030181">
          <w:rPr>
            <w:rFonts w:ascii="Arial" w:hAnsi="Arial" w:cs="Arial"/>
            <w:noProof/>
            <w:webHidden/>
          </w:rPr>
          <w:fldChar w:fldCharType="separate"/>
        </w:r>
        <w:r w:rsidR="00A94F44" w:rsidRPr="00030181">
          <w:rPr>
            <w:rFonts w:ascii="Arial" w:hAnsi="Arial" w:cs="Arial"/>
            <w:noProof/>
            <w:webHidden/>
          </w:rPr>
          <w:t>20</w:t>
        </w:r>
        <w:r w:rsidRPr="00030181">
          <w:rPr>
            <w:rFonts w:ascii="Arial" w:hAnsi="Arial" w:cs="Arial"/>
            <w:noProof/>
            <w:webHidden/>
          </w:rPr>
          <w:fldChar w:fldCharType="end"/>
        </w:r>
      </w:hyperlink>
    </w:p>
    <w:p w14:paraId="3881D986" w14:textId="58E6D5F4" w:rsidR="003B4C3F" w:rsidRPr="00030181" w:rsidRDefault="003B4C3F" w:rsidP="005C5EBA">
      <w:pPr>
        <w:spacing w:line="360" w:lineRule="auto"/>
        <w:rPr>
          <w:rFonts w:ascii="Arial" w:hAnsi="Arial" w:cs="Arial"/>
          <w:b/>
          <w:bCs/>
          <w:sz w:val="28"/>
          <w:szCs w:val="28"/>
        </w:rPr>
      </w:pPr>
      <w:r w:rsidRPr="00030181">
        <w:rPr>
          <w:rFonts w:ascii="Arial" w:hAnsi="Arial" w:cs="Arial"/>
          <w:b/>
          <w:bCs/>
          <w:sz w:val="28"/>
          <w:szCs w:val="28"/>
        </w:rPr>
        <w:fldChar w:fldCharType="end"/>
      </w:r>
    </w:p>
    <w:p w14:paraId="6390539F" w14:textId="684DC3ED" w:rsidR="003B4C3F" w:rsidRPr="00030181" w:rsidRDefault="003B4C3F">
      <w:pPr>
        <w:pStyle w:val="TableofFigures"/>
        <w:tabs>
          <w:tab w:val="right" w:leader="dot" w:pos="9016"/>
        </w:tabs>
        <w:rPr>
          <w:rFonts w:ascii="Arial" w:eastAsiaTheme="minorEastAsia" w:hAnsi="Arial" w:cs="Arial"/>
          <w:noProof/>
          <w:sz w:val="24"/>
          <w:szCs w:val="24"/>
          <w:lang w:val="en-US"/>
        </w:rPr>
      </w:pPr>
      <w:r w:rsidRPr="00030181">
        <w:rPr>
          <w:rFonts w:ascii="Arial" w:hAnsi="Arial" w:cs="Arial"/>
          <w:b/>
          <w:bCs/>
          <w:sz w:val="28"/>
          <w:szCs w:val="28"/>
        </w:rPr>
        <w:fldChar w:fldCharType="begin"/>
      </w:r>
      <w:r w:rsidRPr="00030181">
        <w:rPr>
          <w:rFonts w:ascii="Arial" w:hAnsi="Arial" w:cs="Arial"/>
          <w:b/>
          <w:bCs/>
          <w:sz w:val="28"/>
          <w:szCs w:val="28"/>
        </w:rPr>
        <w:instrText xml:space="preserve"> TOC \h \z \c "Figure 2.4: Person-Centred Care Model" </w:instrText>
      </w:r>
      <w:r w:rsidRPr="00030181">
        <w:rPr>
          <w:rFonts w:ascii="Arial" w:hAnsi="Arial" w:cs="Arial"/>
          <w:b/>
          <w:bCs/>
          <w:sz w:val="28"/>
          <w:szCs w:val="28"/>
        </w:rPr>
        <w:fldChar w:fldCharType="separate"/>
      </w:r>
      <w:hyperlink w:anchor="_Toc231929101" w:history="1">
        <w:r w:rsidRPr="00030181">
          <w:rPr>
            <w:rStyle w:val="Hyperlink"/>
            <w:rFonts w:ascii="Arial" w:hAnsi="Arial" w:cs="Arial"/>
            <w:noProof/>
          </w:rPr>
          <w:t>Figure 2.4: Person-Centred Care Model 1</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_Toc231929101 \h </w:instrText>
        </w:r>
        <w:r w:rsidRPr="00030181">
          <w:rPr>
            <w:rFonts w:ascii="Arial" w:hAnsi="Arial" w:cs="Arial"/>
            <w:noProof/>
            <w:webHidden/>
          </w:rPr>
        </w:r>
        <w:r w:rsidRPr="00030181">
          <w:rPr>
            <w:rFonts w:ascii="Arial" w:hAnsi="Arial" w:cs="Arial"/>
            <w:noProof/>
            <w:webHidden/>
          </w:rPr>
          <w:fldChar w:fldCharType="separate"/>
        </w:r>
        <w:r w:rsidR="00A94F44" w:rsidRPr="00030181">
          <w:rPr>
            <w:rFonts w:ascii="Arial" w:hAnsi="Arial" w:cs="Arial"/>
            <w:noProof/>
            <w:webHidden/>
          </w:rPr>
          <w:t>25</w:t>
        </w:r>
        <w:r w:rsidRPr="00030181">
          <w:rPr>
            <w:rFonts w:ascii="Arial" w:hAnsi="Arial" w:cs="Arial"/>
            <w:noProof/>
            <w:webHidden/>
          </w:rPr>
          <w:fldChar w:fldCharType="end"/>
        </w:r>
      </w:hyperlink>
    </w:p>
    <w:p w14:paraId="53FA3850" w14:textId="7F7CB8FE" w:rsidR="003B4C3F" w:rsidRPr="00030181" w:rsidRDefault="003B4C3F" w:rsidP="005C5EBA">
      <w:pPr>
        <w:spacing w:line="360" w:lineRule="auto"/>
        <w:rPr>
          <w:rFonts w:ascii="Arial" w:hAnsi="Arial" w:cs="Arial"/>
          <w:b/>
          <w:bCs/>
          <w:sz w:val="28"/>
          <w:szCs w:val="28"/>
        </w:rPr>
      </w:pPr>
      <w:r w:rsidRPr="00030181">
        <w:rPr>
          <w:rFonts w:ascii="Arial" w:hAnsi="Arial" w:cs="Arial"/>
          <w:b/>
          <w:bCs/>
          <w:sz w:val="28"/>
          <w:szCs w:val="28"/>
        </w:rPr>
        <w:fldChar w:fldCharType="end"/>
      </w:r>
      <w:r w:rsidR="007A05DD" w:rsidRPr="00030181">
        <w:rPr>
          <w:rFonts w:ascii="Arial" w:hAnsi="Arial" w:cs="Arial"/>
          <w:b/>
          <w:bCs/>
          <w:sz w:val="28"/>
          <w:szCs w:val="28"/>
        </w:rPr>
        <w:t xml:space="preserve"> </w:t>
      </w:r>
    </w:p>
    <w:p w14:paraId="7FF20E10" w14:textId="4105AE15" w:rsidR="007A05DD" w:rsidRPr="00030181" w:rsidRDefault="007A05DD">
      <w:pPr>
        <w:pStyle w:val="TableofFigures"/>
        <w:tabs>
          <w:tab w:val="right" w:leader="dot" w:pos="9016"/>
        </w:tabs>
        <w:rPr>
          <w:rFonts w:ascii="Arial" w:eastAsiaTheme="minorEastAsia" w:hAnsi="Arial" w:cs="Arial"/>
          <w:noProof/>
          <w:sz w:val="24"/>
          <w:szCs w:val="24"/>
          <w:lang w:eastAsia="en-IN"/>
        </w:rPr>
      </w:pPr>
      <w:r w:rsidRPr="00030181">
        <w:rPr>
          <w:rFonts w:ascii="Arial" w:hAnsi="Arial" w:cs="Arial"/>
          <w:b/>
          <w:bCs/>
          <w:sz w:val="28"/>
          <w:szCs w:val="28"/>
        </w:rPr>
        <w:fldChar w:fldCharType="begin"/>
      </w:r>
      <w:r w:rsidRPr="00030181">
        <w:rPr>
          <w:rFonts w:ascii="Arial" w:hAnsi="Arial" w:cs="Arial"/>
          <w:b/>
          <w:bCs/>
          <w:sz w:val="28"/>
          <w:szCs w:val="28"/>
        </w:rPr>
        <w:instrText xml:space="preserve"> TOC \h \z \c "Figure 3.6.1 PRISMA Flow Diagram " </w:instrText>
      </w:r>
      <w:r w:rsidRPr="00030181">
        <w:rPr>
          <w:rFonts w:ascii="Arial" w:hAnsi="Arial" w:cs="Arial"/>
          <w:b/>
          <w:bCs/>
          <w:sz w:val="28"/>
          <w:szCs w:val="28"/>
        </w:rPr>
        <w:fldChar w:fldCharType="separate"/>
      </w:r>
      <w:hyperlink w:anchor="_Toc231948328" w:history="1">
        <w:r w:rsidRPr="00030181">
          <w:rPr>
            <w:rStyle w:val="Hyperlink"/>
            <w:rFonts w:ascii="Arial" w:hAnsi="Arial" w:cs="Arial"/>
            <w:noProof/>
          </w:rPr>
          <w:t>Figure 3.6.1 PRISMA Flow Diagram  1</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_Toc231948328 \h </w:instrText>
        </w:r>
        <w:r w:rsidRPr="00030181">
          <w:rPr>
            <w:rFonts w:ascii="Arial" w:hAnsi="Arial" w:cs="Arial"/>
            <w:noProof/>
            <w:webHidden/>
          </w:rPr>
        </w:r>
        <w:r w:rsidRPr="00030181">
          <w:rPr>
            <w:rFonts w:ascii="Arial" w:hAnsi="Arial" w:cs="Arial"/>
            <w:noProof/>
            <w:webHidden/>
          </w:rPr>
          <w:fldChar w:fldCharType="separate"/>
        </w:r>
        <w:r w:rsidRPr="00030181">
          <w:rPr>
            <w:rFonts w:ascii="Arial" w:hAnsi="Arial" w:cs="Arial"/>
            <w:noProof/>
            <w:webHidden/>
          </w:rPr>
          <w:t>33</w:t>
        </w:r>
        <w:r w:rsidRPr="00030181">
          <w:rPr>
            <w:rFonts w:ascii="Arial" w:hAnsi="Arial" w:cs="Arial"/>
            <w:noProof/>
            <w:webHidden/>
          </w:rPr>
          <w:fldChar w:fldCharType="end"/>
        </w:r>
      </w:hyperlink>
    </w:p>
    <w:p w14:paraId="05D621D0" w14:textId="04128802" w:rsidR="007A05DD" w:rsidRPr="00030181" w:rsidRDefault="007A05DD" w:rsidP="005C5EBA">
      <w:pPr>
        <w:spacing w:line="360" w:lineRule="auto"/>
        <w:rPr>
          <w:rFonts w:ascii="Arial" w:hAnsi="Arial" w:cs="Arial"/>
          <w:b/>
          <w:bCs/>
          <w:sz w:val="28"/>
          <w:szCs w:val="28"/>
        </w:rPr>
      </w:pPr>
      <w:r w:rsidRPr="00030181">
        <w:rPr>
          <w:rFonts w:ascii="Arial" w:hAnsi="Arial" w:cs="Arial"/>
          <w:b/>
          <w:bCs/>
          <w:sz w:val="28"/>
          <w:szCs w:val="28"/>
        </w:rPr>
        <w:fldChar w:fldCharType="end"/>
      </w:r>
    </w:p>
    <w:p w14:paraId="1881BD2B" w14:textId="77777777" w:rsidR="003B4C3F" w:rsidRPr="00030181" w:rsidRDefault="003B4C3F" w:rsidP="005C5EBA">
      <w:pPr>
        <w:spacing w:line="360" w:lineRule="auto"/>
        <w:rPr>
          <w:rFonts w:ascii="Arial" w:hAnsi="Arial" w:cs="Arial"/>
          <w:b/>
          <w:bCs/>
          <w:sz w:val="28"/>
          <w:szCs w:val="28"/>
        </w:rPr>
      </w:pPr>
    </w:p>
    <w:p w14:paraId="55A3BBD1" w14:textId="77777777" w:rsidR="003B4C3F" w:rsidRPr="00030181" w:rsidRDefault="003B4C3F" w:rsidP="005C5EBA">
      <w:pPr>
        <w:spacing w:line="360" w:lineRule="auto"/>
        <w:rPr>
          <w:rFonts w:ascii="Arial" w:hAnsi="Arial" w:cs="Arial"/>
          <w:b/>
          <w:bCs/>
          <w:sz w:val="28"/>
          <w:szCs w:val="28"/>
        </w:rPr>
      </w:pPr>
    </w:p>
    <w:p w14:paraId="2E11CD69" w14:textId="77777777" w:rsidR="003B4C3F" w:rsidRPr="00030181" w:rsidRDefault="003B4C3F" w:rsidP="005C5EBA">
      <w:pPr>
        <w:spacing w:line="360" w:lineRule="auto"/>
        <w:rPr>
          <w:rFonts w:ascii="Arial" w:hAnsi="Arial" w:cs="Arial"/>
          <w:b/>
          <w:bCs/>
          <w:sz w:val="28"/>
          <w:szCs w:val="28"/>
        </w:rPr>
      </w:pPr>
    </w:p>
    <w:p w14:paraId="712BE316" w14:textId="77777777" w:rsidR="003B4C3F" w:rsidRPr="00030181" w:rsidRDefault="003B4C3F" w:rsidP="005C5EBA">
      <w:pPr>
        <w:spacing w:line="360" w:lineRule="auto"/>
        <w:rPr>
          <w:rFonts w:ascii="Arial" w:hAnsi="Arial" w:cs="Arial"/>
          <w:b/>
          <w:bCs/>
          <w:sz w:val="28"/>
          <w:szCs w:val="28"/>
        </w:rPr>
      </w:pPr>
    </w:p>
    <w:p w14:paraId="76DECEBD" w14:textId="77777777" w:rsidR="003B4C3F" w:rsidRPr="00030181" w:rsidRDefault="003B4C3F" w:rsidP="005C5EBA">
      <w:pPr>
        <w:spacing w:line="360" w:lineRule="auto"/>
        <w:rPr>
          <w:rFonts w:ascii="Arial" w:hAnsi="Arial" w:cs="Arial"/>
          <w:b/>
          <w:bCs/>
          <w:sz w:val="28"/>
          <w:szCs w:val="28"/>
        </w:rPr>
      </w:pPr>
    </w:p>
    <w:p w14:paraId="21DB072B" w14:textId="77777777" w:rsidR="003B4C3F" w:rsidRPr="00030181" w:rsidRDefault="003B4C3F" w:rsidP="005C5EBA">
      <w:pPr>
        <w:spacing w:line="360" w:lineRule="auto"/>
        <w:rPr>
          <w:rFonts w:ascii="Arial" w:hAnsi="Arial" w:cs="Arial"/>
          <w:b/>
          <w:bCs/>
          <w:sz w:val="28"/>
          <w:szCs w:val="28"/>
        </w:rPr>
      </w:pPr>
    </w:p>
    <w:p w14:paraId="4C418E43" w14:textId="77777777" w:rsidR="003B4C3F" w:rsidRPr="00030181" w:rsidRDefault="003B4C3F" w:rsidP="005C5EBA">
      <w:pPr>
        <w:spacing w:line="360" w:lineRule="auto"/>
        <w:rPr>
          <w:rFonts w:ascii="Arial" w:hAnsi="Arial" w:cs="Arial"/>
          <w:b/>
          <w:bCs/>
          <w:sz w:val="28"/>
          <w:szCs w:val="28"/>
        </w:rPr>
      </w:pPr>
    </w:p>
    <w:p w14:paraId="0D660116" w14:textId="77777777" w:rsidR="003B4C3F" w:rsidRPr="00030181" w:rsidRDefault="003B4C3F" w:rsidP="005C5EBA">
      <w:pPr>
        <w:spacing w:line="360" w:lineRule="auto"/>
        <w:rPr>
          <w:rFonts w:ascii="Arial" w:hAnsi="Arial" w:cs="Arial"/>
          <w:b/>
          <w:bCs/>
          <w:sz w:val="28"/>
          <w:szCs w:val="28"/>
        </w:rPr>
      </w:pPr>
    </w:p>
    <w:p w14:paraId="6584B7C5" w14:textId="77777777" w:rsidR="003B4C3F" w:rsidRPr="00030181" w:rsidRDefault="003B4C3F" w:rsidP="005C5EBA">
      <w:pPr>
        <w:spacing w:line="360" w:lineRule="auto"/>
        <w:rPr>
          <w:rFonts w:ascii="Arial" w:hAnsi="Arial" w:cs="Arial"/>
          <w:b/>
          <w:bCs/>
          <w:sz w:val="28"/>
          <w:szCs w:val="28"/>
        </w:rPr>
      </w:pPr>
    </w:p>
    <w:p w14:paraId="0AE2FDD7" w14:textId="77777777" w:rsidR="00AD38E2" w:rsidRPr="00030181" w:rsidRDefault="00AD38E2" w:rsidP="005C5EBA">
      <w:pPr>
        <w:spacing w:line="360" w:lineRule="auto"/>
        <w:rPr>
          <w:rFonts w:ascii="Arial" w:hAnsi="Arial" w:cs="Arial"/>
          <w:b/>
          <w:bCs/>
          <w:sz w:val="28"/>
          <w:szCs w:val="28"/>
        </w:rPr>
      </w:pPr>
    </w:p>
    <w:p w14:paraId="7DDDEE75" w14:textId="77777777" w:rsidR="003B4C3F" w:rsidRPr="00030181" w:rsidRDefault="003B4C3F" w:rsidP="005C5EBA">
      <w:pPr>
        <w:spacing w:line="360" w:lineRule="auto"/>
        <w:rPr>
          <w:rFonts w:ascii="Arial" w:hAnsi="Arial" w:cs="Arial"/>
          <w:b/>
          <w:bCs/>
          <w:sz w:val="28"/>
          <w:szCs w:val="28"/>
        </w:rPr>
      </w:pPr>
    </w:p>
    <w:p w14:paraId="3A936104" w14:textId="3D3BFC46" w:rsidR="003B4C3F" w:rsidRPr="00030181" w:rsidRDefault="003B4C3F" w:rsidP="005C5EBA">
      <w:pPr>
        <w:spacing w:line="360" w:lineRule="auto"/>
        <w:rPr>
          <w:rFonts w:ascii="Arial" w:hAnsi="Arial" w:cs="Arial"/>
          <w:b/>
          <w:bCs/>
          <w:sz w:val="28"/>
          <w:szCs w:val="28"/>
        </w:rPr>
      </w:pPr>
      <w:r w:rsidRPr="00030181">
        <w:rPr>
          <w:rFonts w:ascii="Arial" w:hAnsi="Arial" w:cs="Arial"/>
          <w:b/>
          <w:bCs/>
          <w:sz w:val="28"/>
          <w:szCs w:val="28"/>
        </w:rPr>
        <w:lastRenderedPageBreak/>
        <w:t>List Of Tables</w:t>
      </w:r>
    </w:p>
    <w:p w14:paraId="307EFD2F" w14:textId="77777777" w:rsidR="003B4C3F" w:rsidRPr="00030181" w:rsidRDefault="003B4C3F" w:rsidP="005C5EBA">
      <w:pPr>
        <w:spacing w:line="360" w:lineRule="auto"/>
        <w:rPr>
          <w:rFonts w:ascii="Arial" w:hAnsi="Arial" w:cs="Arial"/>
          <w:b/>
          <w:bCs/>
          <w:sz w:val="28"/>
          <w:szCs w:val="28"/>
        </w:rPr>
      </w:pPr>
    </w:p>
    <w:p w14:paraId="18FAAF32" w14:textId="6DA77028" w:rsidR="00F16C2A" w:rsidRPr="00030181" w:rsidRDefault="00F16C2A">
      <w:pPr>
        <w:pStyle w:val="TableofFigures"/>
        <w:tabs>
          <w:tab w:val="right" w:leader="dot" w:pos="9016"/>
        </w:tabs>
        <w:rPr>
          <w:rFonts w:ascii="Arial" w:eastAsiaTheme="minorEastAsia" w:hAnsi="Arial" w:cs="Arial"/>
          <w:noProof/>
          <w:sz w:val="24"/>
          <w:szCs w:val="24"/>
          <w:lang w:val="en-US"/>
        </w:rPr>
      </w:pPr>
      <w:r w:rsidRPr="00030181">
        <w:rPr>
          <w:rFonts w:ascii="Arial" w:hAnsi="Arial" w:cs="Arial"/>
          <w:b/>
          <w:bCs/>
          <w:sz w:val="28"/>
          <w:szCs w:val="28"/>
        </w:rPr>
        <w:fldChar w:fldCharType="begin"/>
      </w:r>
      <w:r w:rsidRPr="00030181">
        <w:rPr>
          <w:rFonts w:ascii="Arial" w:hAnsi="Arial" w:cs="Arial"/>
          <w:b/>
          <w:bCs/>
          <w:sz w:val="28"/>
          <w:szCs w:val="28"/>
        </w:rPr>
        <w:instrText xml:space="preserve"> TOC \h \z \c "Table 3.5.1: Inclusion and Exclusion" </w:instrText>
      </w:r>
      <w:r w:rsidRPr="00030181">
        <w:rPr>
          <w:rFonts w:ascii="Arial" w:hAnsi="Arial" w:cs="Arial"/>
          <w:b/>
          <w:bCs/>
          <w:sz w:val="28"/>
          <w:szCs w:val="28"/>
        </w:rPr>
        <w:fldChar w:fldCharType="separate"/>
      </w:r>
      <w:hyperlink w:anchor="_Toc231929302" w:history="1">
        <w:r w:rsidRPr="00030181">
          <w:rPr>
            <w:rStyle w:val="Hyperlink"/>
            <w:rFonts w:ascii="Arial" w:hAnsi="Arial" w:cs="Arial"/>
            <w:noProof/>
          </w:rPr>
          <w:t>Table 3.5.1: Inclusion and Exclusion 1</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_Toc231929302 \h </w:instrText>
        </w:r>
        <w:r w:rsidRPr="00030181">
          <w:rPr>
            <w:rFonts w:ascii="Arial" w:hAnsi="Arial" w:cs="Arial"/>
            <w:noProof/>
            <w:webHidden/>
          </w:rPr>
        </w:r>
        <w:r w:rsidRPr="00030181">
          <w:rPr>
            <w:rFonts w:ascii="Arial" w:hAnsi="Arial" w:cs="Arial"/>
            <w:noProof/>
            <w:webHidden/>
          </w:rPr>
          <w:fldChar w:fldCharType="separate"/>
        </w:r>
        <w:r w:rsidR="00A94F44" w:rsidRPr="00030181">
          <w:rPr>
            <w:rFonts w:ascii="Arial" w:hAnsi="Arial" w:cs="Arial"/>
            <w:noProof/>
            <w:webHidden/>
          </w:rPr>
          <w:t>30</w:t>
        </w:r>
        <w:r w:rsidRPr="00030181">
          <w:rPr>
            <w:rFonts w:ascii="Arial" w:hAnsi="Arial" w:cs="Arial"/>
            <w:noProof/>
            <w:webHidden/>
          </w:rPr>
          <w:fldChar w:fldCharType="end"/>
        </w:r>
      </w:hyperlink>
    </w:p>
    <w:p w14:paraId="793024AC" w14:textId="641FDCFD" w:rsidR="003B4C3F" w:rsidRPr="00030181" w:rsidRDefault="00F16C2A" w:rsidP="005C5EBA">
      <w:pPr>
        <w:spacing w:line="360" w:lineRule="auto"/>
        <w:rPr>
          <w:rFonts w:ascii="Arial" w:hAnsi="Arial" w:cs="Arial"/>
          <w:b/>
          <w:bCs/>
          <w:sz w:val="28"/>
          <w:szCs w:val="28"/>
        </w:rPr>
      </w:pPr>
      <w:r w:rsidRPr="00030181">
        <w:rPr>
          <w:rFonts w:ascii="Arial" w:hAnsi="Arial" w:cs="Arial"/>
          <w:b/>
          <w:bCs/>
          <w:sz w:val="28"/>
          <w:szCs w:val="28"/>
        </w:rPr>
        <w:fldChar w:fldCharType="end"/>
      </w:r>
    </w:p>
    <w:p w14:paraId="560557C3" w14:textId="462F53DA" w:rsidR="00F16C2A" w:rsidRPr="00030181" w:rsidRDefault="00F16C2A">
      <w:pPr>
        <w:pStyle w:val="TableofFigures"/>
        <w:tabs>
          <w:tab w:val="right" w:leader="dot" w:pos="9016"/>
        </w:tabs>
        <w:rPr>
          <w:rFonts w:ascii="Arial" w:eastAsiaTheme="minorEastAsia" w:hAnsi="Arial" w:cs="Arial"/>
          <w:noProof/>
          <w:sz w:val="24"/>
          <w:szCs w:val="24"/>
          <w:lang w:val="en-US"/>
        </w:rPr>
      </w:pPr>
      <w:r w:rsidRPr="00030181">
        <w:rPr>
          <w:rFonts w:ascii="Arial" w:hAnsi="Arial" w:cs="Arial"/>
          <w:b/>
          <w:bCs/>
          <w:sz w:val="28"/>
          <w:szCs w:val="28"/>
        </w:rPr>
        <w:fldChar w:fldCharType="begin"/>
      </w:r>
      <w:r w:rsidRPr="00030181">
        <w:rPr>
          <w:rFonts w:ascii="Arial" w:hAnsi="Arial" w:cs="Arial"/>
          <w:b/>
          <w:bCs/>
          <w:sz w:val="28"/>
          <w:szCs w:val="28"/>
        </w:rPr>
        <w:instrText xml:space="preserve"> TOC \h \z \c "Table 4.1: Thematic Findings" </w:instrText>
      </w:r>
      <w:r w:rsidRPr="00030181">
        <w:rPr>
          <w:rFonts w:ascii="Arial" w:hAnsi="Arial" w:cs="Arial"/>
          <w:b/>
          <w:bCs/>
          <w:sz w:val="28"/>
          <w:szCs w:val="28"/>
        </w:rPr>
        <w:fldChar w:fldCharType="separate"/>
      </w:r>
      <w:hyperlink w:anchor="_Toc231929383" w:history="1">
        <w:r w:rsidRPr="00030181">
          <w:rPr>
            <w:rStyle w:val="Hyperlink"/>
            <w:rFonts w:ascii="Arial" w:hAnsi="Arial" w:cs="Arial"/>
            <w:noProof/>
          </w:rPr>
          <w:t>Table 4.1: Thematic Findings 1</w:t>
        </w:r>
        <w:r w:rsidRPr="00030181">
          <w:rPr>
            <w:rFonts w:ascii="Arial" w:hAnsi="Arial" w:cs="Arial"/>
            <w:noProof/>
            <w:webHidden/>
          </w:rPr>
          <w:tab/>
        </w:r>
        <w:r w:rsidRPr="00030181">
          <w:rPr>
            <w:rFonts w:ascii="Arial" w:hAnsi="Arial" w:cs="Arial"/>
            <w:noProof/>
            <w:webHidden/>
          </w:rPr>
          <w:fldChar w:fldCharType="begin"/>
        </w:r>
        <w:r w:rsidRPr="00030181">
          <w:rPr>
            <w:rFonts w:ascii="Arial" w:hAnsi="Arial" w:cs="Arial"/>
            <w:noProof/>
            <w:webHidden/>
          </w:rPr>
          <w:instrText xml:space="preserve"> PAGEREF _Toc231929383 \h </w:instrText>
        </w:r>
        <w:r w:rsidRPr="00030181">
          <w:rPr>
            <w:rFonts w:ascii="Arial" w:hAnsi="Arial" w:cs="Arial"/>
            <w:noProof/>
            <w:webHidden/>
          </w:rPr>
        </w:r>
        <w:r w:rsidRPr="00030181">
          <w:rPr>
            <w:rFonts w:ascii="Arial" w:hAnsi="Arial" w:cs="Arial"/>
            <w:noProof/>
            <w:webHidden/>
          </w:rPr>
          <w:fldChar w:fldCharType="separate"/>
        </w:r>
        <w:r w:rsidR="00A94F44" w:rsidRPr="00030181">
          <w:rPr>
            <w:rFonts w:ascii="Arial" w:hAnsi="Arial" w:cs="Arial"/>
            <w:noProof/>
            <w:webHidden/>
          </w:rPr>
          <w:t>37</w:t>
        </w:r>
        <w:r w:rsidRPr="00030181">
          <w:rPr>
            <w:rFonts w:ascii="Arial" w:hAnsi="Arial" w:cs="Arial"/>
            <w:noProof/>
            <w:webHidden/>
          </w:rPr>
          <w:fldChar w:fldCharType="end"/>
        </w:r>
      </w:hyperlink>
    </w:p>
    <w:p w14:paraId="473DC0E5" w14:textId="2604BC5E" w:rsidR="003B4C3F" w:rsidRPr="00030181" w:rsidRDefault="00F16C2A" w:rsidP="005C5EBA">
      <w:pPr>
        <w:spacing w:line="360" w:lineRule="auto"/>
        <w:rPr>
          <w:rFonts w:ascii="Arial" w:hAnsi="Arial" w:cs="Arial"/>
          <w:b/>
          <w:bCs/>
          <w:sz w:val="28"/>
          <w:szCs w:val="28"/>
        </w:rPr>
      </w:pPr>
      <w:r w:rsidRPr="00030181">
        <w:rPr>
          <w:rFonts w:ascii="Arial" w:hAnsi="Arial" w:cs="Arial"/>
          <w:b/>
          <w:bCs/>
          <w:sz w:val="28"/>
          <w:szCs w:val="28"/>
        </w:rPr>
        <w:fldChar w:fldCharType="end"/>
      </w:r>
    </w:p>
    <w:p w14:paraId="4044954C" w14:textId="77777777" w:rsidR="003B4C3F" w:rsidRPr="00030181" w:rsidRDefault="003B4C3F" w:rsidP="005C5EBA">
      <w:pPr>
        <w:spacing w:line="360" w:lineRule="auto"/>
        <w:rPr>
          <w:rFonts w:ascii="Arial" w:hAnsi="Arial" w:cs="Arial"/>
          <w:b/>
          <w:bCs/>
          <w:sz w:val="28"/>
          <w:szCs w:val="28"/>
        </w:rPr>
      </w:pPr>
    </w:p>
    <w:p w14:paraId="4D2226FA" w14:textId="77777777" w:rsidR="003B4C3F" w:rsidRPr="00030181" w:rsidRDefault="003B4C3F" w:rsidP="005C5EBA">
      <w:pPr>
        <w:spacing w:line="360" w:lineRule="auto"/>
        <w:rPr>
          <w:rFonts w:ascii="Arial" w:hAnsi="Arial" w:cs="Arial"/>
          <w:b/>
          <w:bCs/>
          <w:sz w:val="28"/>
          <w:szCs w:val="28"/>
        </w:rPr>
      </w:pPr>
    </w:p>
    <w:p w14:paraId="155E9D3B" w14:textId="77777777" w:rsidR="003B4C3F" w:rsidRPr="00030181" w:rsidRDefault="003B4C3F" w:rsidP="005C5EBA">
      <w:pPr>
        <w:spacing w:line="360" w:lineRule="auto"/>
        <w:rPr>
          <w:rFonts w:ascii="Arial" w:hAnsi="Arial" w:cs="Arial"/>
          <w:b/>
          <w:bCs/>
          <w:sz w:val="28"/>
          <w:szCs w:val="28"/>
        </w:rPr>
      </w:pPr>
    </w:p>
    <w:p w14:paraId="6B886298" w14:textId="77777777" w:rsidR="003B4C3F" w:rsidRPr="00030181" w:rsidRDefault="003B4C3F" w:rsidP="005C5EBA">
      <w:pPr>
        <w:spacing w:line="360" w:lineRule="auto"/>
        <w:rPr>
          <w:rFonts w:ascii="Arial" w:hAnsi="Arial" w:cs="Arial"/>
          <w:b/>
          <w:bCs/>
          <w:sz w:val="28"/>
          <w:szCs w:val="28"/>
        </w:rPr>
      </w:pPr>
    </w:p>
    <w:p w14:paraId="01FE6A9B" w14:textId="77777777" w:rsidR="003B4C3F" w:rsidRPr="00030181" w:rsidRDefault="003B4C3F" w:rsidP="005C5EBA">
      <w:pPr>
        <w:spacing w:line="360" w:lineRule="auto"/>
        <w:rPr>
          <w:rFonts w:ascii="Arial" w:hAnsi="Arial" w:cs="Arial"/>
          <w:b/>
          <w:bCs/>
          <w:sz w:val="28"/>
          <w:szCs w:val="28"/>
        </w:rPr>
      </w:pPr>
    </w:p>
    <w:p w14:paraId="4618F2D3" w14:textId="77777777" w:rsidR="003B4C3F" w:rsidRPr="00030181" w:rsidRDefault="003B4C3F" w:rsidP="005C5EBA">
      <w:pPr>
        <w:spacing w:line="360" w:lineRule="auto"/>
        <w:rPr>
          <w:rFonts w:ascii="Arial" w:hAnsi="Arial" w:cs="Arial"/>
          <w:b/>
          <w:bCs/>
          <w:sz w:val="28"/>
          <w:szCs w:val="28"/>
        </w:rPr>
      </w:pPr>
    </w:p>
    <w:p w14:paraId="173D431A" w14:textId="77777777" w:rsidR="003B4C3F" w:rsidRPr="00030181" w:rsidRDefault="003B4C3F" w:rsidP="005C5EBA">
      <w:pPr>
        <w:spacing w:line="360" w:lineRule="auto"/>
        <w:rPr>
          <w:rFonts w:ascii="Arial" w:hAnsi="Arial" w:cs="Arial"/>
          <w:b/>
          <w:bCs/>
          <w:sz w:val="28"/>
          <w:szCs w:val="28"/>
        </w:rPr>
      </w:pPr>
    </w:p>
    <w:p w14:paraId="5F9CA848" w14:textId="77777777" w:rsidR="003B4C3F" w:rsidRPr="00030181" w:rsidRDefault="003B4C3F" w:rsidP="005C5EBA">
      <w:pPr>
        <w:spacing w:line="360" w:lineRule="auto"/>
        <w:rPr>
          <w:rFonts w:ascii="Arial" w:hAnsi="Arial" w:cs="Arial"/>
          <w:b/>
          <w:bCs/>
          <w:sz w:val="28"/>
          <w:szCs w:val="28"/>
        </w:rPr>
      </w:pPr>
    </w:p>
    <w:p w14:paraId="08AC942C" w14:textId="77777777" w:rsidR="003B4C3F" w:rsidRPr="00030181" w:rsidRDefault="003B4C3F" w:rsidP="005C5EBA">
      <w:pPr>
        <w:spacing w:line="360" w:lineRule="auto"/>
        <w:rPr>
          <w:rFonts w:ascii="Arial" w:hAnsi="Arial" w:cs="Arial"/>
          <w:b/>
          <w:bCs/>
          <w:sz w:val="28"/>
          <w:szCs w:val="28"/>
        </w:rPr>
      </w:pPr>
    </w:p>
    <w:p w14:paraId="738B2D96" w14:textId="77777777" w:rsidR="003B4C3F" w:rsidRPr="00030181" w:rsidRDefault="003B4C3F" w:rsidP="005C5EBA">
      <w:pPr>
        <w:spacing w:line="360" w:lineRule="auto"/>
        <w:rPr>
          <w:rFonts w:ascii="Arial" w:hAnsi="Arial" w:cs="Arial"/>
          <w:b/>
          <w:bCs/>
          <w:sz w:val="28"/>
          <w:szCs w:val="28"/>
        </w:rPr>
      </w:pPr>
    </w:p>
    <w:p w14:paraId="46EB224F" w14:textId="77777777" w:rsidR="003B4C3F" w:rsidRPr="00030181" w:rsidRDefault="003B4C3F" w:rsidP="005C5EBA">
      <w:pPr>
        <w:spacing w:line="360" w:lineRule="auto"/>
        <w:rPr>
          <w:rFonts w:ascii="Arial" w:hAnsi="Arial" w:cs="Arial"/>
          <w:b/>
          <w:bCs/>
          <w:sz w:val="28"/>
          <w:szCs w:val="28"/>
        </w:rPr>
      </w:pPr>
    </w:p>
    <w:p w14:paraId="3F985CD6" w14:textId="77777777" w:rsidR="003B4C3F" w:rsidRPr="00030181" w:rsidRDefault="003B4C3F" w:rsidP="005C5EBA">
      <w:pPr>
        <w:spacing w:line="360" w:lineRule="auto"/>
        <w:rPr>
          <w:rFonts w:ascii="Arial" w:hAnsi="Arial" w:cs="Arial"/>
          <w:b/>
          <w:bCs/>
          <w:sz w:val="28"/>
          <w:szCs w:val="28"/>
        </w:rPr>
      </w:pPr>
    </w:p>
    <w:p w14:paraId="30A9C5EB" w14:textId="77777777" w:rsidR="003B4C3F" w:rsidRPr="00030181" w:rsidRDefault="003B4C3F" w:rsidP="005C5EBA">
      <w:pPr>
        <w:spacing w:line="360" w:lineRule="auto"/>
        <w:rPr>
          <w:rFonts w:ascii="Arial" w:hAnsi="Arial" w:cs="Arial"/>
          <w:b/>
          <w:bCs/>
          <w:sz w:val="28"/>
          <w:szCs w:val="28"/>
        </w:rPr>
      </w:pPr>
    </w:p>
    <w:p w14:paraId="23C26F52" w14:textId="77777777" w:rsidR="003B4C3F" w:rsidRPr="00030181" w:rsidRDefault="003B4C3F" w:rsidP="005C5EBA">
      <w:pPr>
        <w:spacing w:line="360" w:lineRule="auto"/>
        <w:rPr>
          <w:rFonts w:ascii="Arial" w:hAnsi="Arial" w:cs="Arial"/>
          <w:b/>
          <w:bCs/>
          <w:sz w:val="28"/>
          <w:szCs w:val="28"/>
        </w:rPr>
      </w:pPr>
    </w:p>
    <w:p w14:paraId="193853AC" w14:textId="77777777" w:rsidR="003B4C3F" w:rsidRPr="00030181" w:rsidRDefault="003B4C3F" w:rsidP="005C5EBA">
      <w:pPr>
        <w:spacing w:line="360" w:lineRule="auto"/>
        <w:rPr>
          <w:rFonts w:ascii="Arial" w:hAnsi="Arial" w:cs="Arial"/>
          <w:b/>
          <w:bCs/>
          <w:sz w:val="28"/>
          <w:szCs w:val="28"/>
        </w:rPr>
      </w:pPr>
    </w:p>
    <w:p w14:paraId="1A7D921E" w14:textId="77777777" w:rsidR="003B4C3F" w:rsidRPr="00030181" w:rsidRDefault="003B4C3F" w:rsidP="005C5EBA">
      <w:pPr>
        <w:spacing w:line="360" w:lineRule="auto"/>
        <w:rPr>
          <w:rFonts w:ascii="Arial" w:hAnsi="Arial" w:cs="Arial"/>
          <w:b/>
          <w:bCs/>
          <w:sz w:val="28"/>
          <w:szCs w:val="28"/>
        </w:rPr>
      </w:pPr>
    </w:p>
    <w:p w14:paraId="7A0A7F0C" w14:textId="77777777" w:rsidR="005C5EBA" w:rsidRPr="00030181" w:rsidRDefault="005C5EBA" w:rsidP="005C5EBA">
      <w:pPr>
        <w:spacing w:line="360" w:lineRule="auto"/>
        <w:rPr>
          <w:rFonts w:ascii="Arial" w:hAnsi="Arial" w:cs="Arial"/>
          <w:b/>
          <w:bCs/>
          <w:sz w:val="28"/>
          <w:szCs w:val="28"/>
        </w:rPr>
      </w:pPr>
    </w:p>
    <w:p w14:paraId="1D0297D3" w14:textId="2B7F0A6A" w:rsidR="005816FB" w:rsidRPr="00030181" w:rsidRDefault="005816FB" w:rsidP="005C5EBA">
      <w:pPr>
        <w:spacing w:line="360" w:lineRule="auto"/>
        <w:rPr>
          <w:rFonts w:ascii="Arial" w:hAnsi="Arial" w:cs="Arial"/>
          <w:b/>
          <w:bCs/>
          <w:sz w:val="28"/>
          <w:szCs w:val="28"/>
        </w:rPr>
      </w:pPr>
      <w:r w:rsidRPr="00030181">
        <w:rPr>
          <w:rFonts w:ascii="Arial" w:hAnsi="Arial" w:cs="Arial"/>
          <w:b/>
          <w:bCs/>
          <w:sz w:val="28"/>
          <w:szCs w:val="28"/>
        </w:rPr>
        <w:lastRenderedPageBreak/>
        <w:t xml:space="preserve">LIST OF ABBREVIATIONS </w:t>
      </w:r>
    </w:p>
    <w:p w14:paraId="6B5ED42E" w14:textId="77777777" w:rsidR="005816FB" w:rsidRPr="00030181" w:rsidRDefault="005816FB" w:rsidP="005C5EBA">
      <w:pPr>
        <w:numPr>
          <w:ilvl w:val="0"/>
          <w:numId w:val="30"/>
        </w:numPr>
        <w:spacing w:line="360" w:lineRule="auto"/>
        <w:rPr>
          <w:rFonts w:ascii="Arial" w:hAnsi="Arial" w:cs="Arial"/>
        </w:rPr>
      </w:pPr>
      <w:r w:rsidRPr="00030181">
        <w:rPr>
          <w:rFonts w:ascii="Arial" w:hAnsi="Arial" w:cs="Arial"/>
        </w:rPr>
        <w:t xml:space="preserve">BAPEN – British Association for Parenteral and Enteral Nutrition </w:t>
      </w:r>
    </w:p>
    <w:p w14:paraId="2FFED090" w14:textId="77777777" w:rsidR="005816FB" w:rsidRPr="00030181" w:rsidRDefault="005816FB" w:rsidP="005C5EBA">
      <w:pPr>
        <w:numPr>
          <w:ilvl w:val="0"/>
          <w:numId w:val="30"/>
        </w:numPr>
        <w:spacing w:line="360" w:lineRule="auto"/>
        <w:rPr>
          <w:rFonts w:ascii="Arial" w:hAnsi="Arial" w:cs="Arial"/>
        </w:rPr>
      </w:pPr>
      <w:r w:rsidRPr="00030181">
        <w:rPr>
          <w:rFonts w:ascii="Arial" w:hAnsi="Arial" w:cs="Arial"/>
        </w:rPr>
        <w:t xml:space="preserve">BMI – Body Mass Index </w:t>
      </w:r>
    </w:p>
    <w:p w14:paraId="5D93F4DC" w14:textId="77777777" w:rsidR="005816FB" w:rsidRPr="00030181" w:rsidRDefault="005816FB" w:rsidP="005C5EBA">
      <w:pPr>
        <w:numPr>
          <w:ilvl w:val="0"/>
          <w:numId w:val="30"/>
        </w:numPr>
        <w:spacing w:line="360" w:lineRule="auto"/>
        <w:rPr>
          <w:rFonts w:ascii="Arial" w:hAnsi="Arial" w:cs="Arial"/>
        </w:rPr>
      </w:pPr>
      <w:r w:rsidRPr="00030181">
        <w:rPr>
          <w:rFonts w:ascii="Arial" w:hAnsi="Arial" w:cs="Arial"/>
        </w:rPr>
        <w:t xml:space="preserve">CASP – Critical Appraisal Skills Programme </w:t>
      </w:r>
    </w:p>
    <w:p w14:paraId="10257FE1" w14:textId="77777777" w:rsidR="005816FB" w:rsidRPr="00030181" w:rsidRDefault="005816FB" w:rsidP="005C5EBA">
      <w:pPr>
        <w:numPr>
          <w:ilvl w:val="0"/>
          <w:numId w:val="30"/>
        </w:numPr>
        <w:spacing w:line="360" w:lineRule="auto"/>
        <w:rPr>
          <w:rFonts w:ascii="Arial" w:hAnsi="Arial" w:cs="Arial"/>
        </w:rPr>
      </w:pPr>
      <w:r w:rsidRPr="00030181">
        <w:rPr>
          <w:rFonts w:ascii="Arial" w:hAnsi="Arial" w:cs="Arial"/>
        </w:rPr>
        <w:t xml:space="preserve">CQC – Care Quality Commission </w:t>
      </w:r>
    </w:p>
    <w:p w14:paraId="09A79A0E" w14:textId="77777777" w:rsidR="005816FB" w:rsidRPr="00030181" w:rsidRDefault="005816FB" w:rsidP="005C5EBA">
      <w:pPr>
        <w:numPr>
          <w:ilvl w:val="0"/>
          <w:numId w:val="30"/>
        </w:numPr>
        <w:spacing w:line="360" w:lineRule="auto"/>
        <w:rPr>
          <w:rFonts w:ascii="Arial" w:hAnsi="Arial" w:cs="Arial"/>
        </w:rPr>
      </w:pPr>
      <w:r w:rsidRPr="00030181">
        <w:rPr>
          <w:rFonts w:ascii="Arial" w:hAnsi="Arial" w:cs="Arial"/>
        </w:rPr>
        <w:t xml:space="preserve">DALYs – Disability-Adjusted Life Years </w:t>
      </w:r>
    </w:p>
    <w:p w14:paraId="7DCDD137" w14:textId="77777777" w:rsidR="005816FB" w:rsidRPr="00030181" w:rsidRDefault="005816FB" w:rsidP="005C5EBA">
      <w:pPr>
        <w:numPr>
          <w:ilvl w:val="0"/>
          <w:numId w:val="30"/>
        </w:numPr>
        <w:spacing w:line="360" w:lineRule="auto"/>
        <w:rPr>
          <w:rFonts w:ascii="Arial" w:hAnsi="Arial" w:cs="Arial"/>
        </w:rPr>
      </w:pPr>
      <w:r w:rsidRPr="00030181">
        <w:rPr>
          <w:rFonts w:ascii="Arial" w:hAnsi="Arial" w:cs="Arial"/>
        </w:rPr>
        <w:t xml:space="preserve">GBD – Global Burden of Disease </w:t>
      </w:r>
    </w:p>
    <w:p w14:paraId="5BE02BC8" w14:textId="77777777" w:rsidR="005816FB" w:rsidRPr="00030181" w:rsidRDefault="005816FB" w:rsidP="005C5EBA">
      <w:pPr>
        <w:numPr>
          <w:ilvl w:val="0"/>
          <w:numId w:val="30"/>
        </w:numPr>
        <w:spacing w:line="360" w:lineRule="auto"/>
        <w:rPr>
          <w:rFonts w:ascii="Arial" w:hAnsi="Arial" w:cs="Arial"/>
        </w:rPr>
      </w:pPr>
      <w:r w:rsidRPr="00030181">
        <w:rPr>
          <w:rFonts w:ascii="Arial" w:hAnsi="Arial" w:cs="Arial"/>
        </w:rPr>
        <w:t xml:space="preserve">HACCP – Hazard Analysis and Critical Control Points </w:t>
      </w:r>
    </w:p>
    <w:p w14:paraId="41FC7AC9" w14:textId="77777777" w:rsidR="005816FB" w:rsidRPr="00030181" w:rsidRDefault="005816FB" w:rsidP="005C5EBA">
      <w:pPr>
        <w:numPr>
          <w:ilvl w:val="0"/>
          <w:numId w:val="30"/>
        </w:numPr>
        <w:spacing w:line="360" w:lineRule="auto"/>
        <w:rPr>
          <w:rFonts w:ascii="Arial" w:hAnsi="Arial" w:cs="Arial"/>
        </w:rPr>
      </w:pPr>
      <w:r w:rsidRPr="00030181">
        <w:rPr>
          <w:rFonts w:ascii="Arial" w:hAnsi="Arial" w:cs="Arial"/>
        </w:rPr>
        <w:t xml:space="preserve">JBI – Joanna Briggs Institute </w:t>
      </w:r>
    </w:p>
    <w:p w14:paraId="0DFF56C7" w14:textId="77777777" w:rsidR="005816FB" w:rsidRPr="00030181" w:rsidRDefault="005816FB" w:rsidP="005C5EBA">
      <w:pPr>
        <w:numPr>
          <w:ilvl w:val="0"/>
          <w:numId w:val="30"/>
        </w:numPr>
        <w:spacing w:line="360" w:lineRule="auto"/>
        <w:rPr>
          <w:rFonts w:ascii="Arial" w:hAnsi="Arial" w:cs="Arial"/>
        </w:rPr>
      </w:pPr>
      <w:r w:rsidRPr="00030181">
        <w:rPr>
          <w:rFonts w:ascii="Arial" w:hAnsi="Arial" w:cs="Arial"/>
        </w:rPr>
        <w:t xml:space="preserve">MNA – Mini Nutritional Assessment </w:t>
      </w:r>
    </w:p>
    <w:p w14:paraId="17B0B709" w14:textId="77777777" w:rsidR="005816FB" w:rsidRPr="00030181" w:rsidRDefault="005816FB" w:rsidP="005C5EBA">
      <w:pPr>
        <w:numPr>
          <w:ilvl w:val="0"/>
          <w:numId w:val="30"/>
        </w:numPr>
        <w:spacing w:line="360" w:lineRule="auto"/>
        <w:rPr>
          <w:rFonts w:ascii="Arial" w:hAnsi="Arial" w:cs="Arial"/>
        </w:rPr>
      </w:pPr>
      <w:r w:rsidRPr="00030181">
        <w:rPr>
          <w:rFonts w:ascii="Arial" w:hAnsi="Arial" w:cs="Arial"/>
        </w:rPr>
        <w:t xml:space="preserve">MUST – Malnutrition Universal Screening Tool </w:t>
      </w:r>
    </w:p>
    <w:p w14:paraId="716A8439" w14:textId="77777777" w:rsidR="005816FB" w:rsidRPr="00030181" w:rsidRDefault="005816FB" w:rsidP="005C5EBA">
      <w:pPr>
        <w:numPr>
          <w:ilvl w:val="0"/>
          <w:numId w:val="30"/>
        </w:numPr>
        <w:spacing w:line="360" w:lineRule="auto"/>
        <w:rPr>
          <w:rFonts w:ascii="Arial" w:hAnsi="Arial" w:cs="Arial"/>
        </w:rPr>
      </w:pPr>
      <w:r w:rsidRPr="00030181">
        <w:rPr>
          <w:rFonts w:ascii="Arial" w:hAnsi="Arial" w:cs="Arial"/>
        </w:rPr>
        <w:t xml:space="preserve">NCDs – Non-Communicable Diseases </w:t>
      </w:r>
    </w:p>
    <w:p w14:paraId="02BC40AD" w14:textId="77777777" w:rsidR="005816FB" w:rsidRPr="00030181" w:rsidRDefault="005816FB" w:rsidP="005C5EBA">
      <w:pPr>
        <w:numPr>
          <w:ilvl w:val="0"/>
          <w:numId w:val="30"/>
        </w:numPr>
        <w:spacing w:line="360" w:lineRule="auto"/>
        <w:rPr>
          <w:rFonts w:ascii="Arial" w:hAnsi="Arial" w:cs="Arial"/>
        </w:rPr>
      </w:pPr>
      <w:r w:rsidRPr="00030181">
        <w:rPr>
          <w:rFonts w:ascii="Arial" w:hAnsi="Arial" w:cs="Arial"/>
        </w:rPr>
        <w:t xml:space="preserve">PCC – Person-Centred Care </w:t>
      </w:r>
    </w:p>
    <w:p w14:paraId="0B09DA2F" w14:textId="77777777" w:rsidR="005816FB" w:rsidRPr="00030181" w:rsidRDefault="005816FB" w:rsidP="005C5EBA">
      <w:pPr>
        <w:numPr>
          <w:ilvl w:val="0"/>
          <w:numId w:val="30"/>
        </w:numPr>
        <w:spacing w:line="360" w:lineRule="auto"/>
        <w:rPr>
          <w:rFonts w:ascii="Arial" w:hAnsi="Arial" w:cs="Arial"/>
        </w:rPr>
      </w:pPr>
      <w:r w:rsidRPr="00030181">
        <w:rPr>
          <w:rFonts w:ascii="Arial" w:hAnsi="Arial" w:cs="Arial"/>
        </w:rPr>
        <w:t xml:space="preserve">PICO – Population, Intervention, Comparison and Outcome </w:t>
      </w:r>
    </w:p>
    <w:p w14:paraId="1403EC6F" w14:textId="77777777" w:rsidR="005816FB" w:rsidRPr="00030181" w:rsidRDefault="005816FB" w:rsidP="005C5EBA">
      <w:pPr>
        <w:numPr>
          <w:ilvl w:val="0"/>
          <w:numId w:val="30"/>
        </w:numPr>
        <w:spacing w:line="360" w:lineRule="auto"/>
        <w:rPr>
          <w:rFonts w:ascii="Arial" w:hAnsi="Arial" w:cs="Arial"/>
        </w:rPr>
      </w:pPr>
      <w:r w:rsidRPr="00030181">
        <w:rPr>
          <w:rFonts w:ascii="Arial" w:hAnsi="Arial" w:cs="Arial"/>
        </w:rPr>
        <w:t xml:space="preserve">PRISMA – Preferred Reporting Items for Systematic Reviews and Meta-Analyses </w:t>
      </w:r>
    </w:p>
    <w:p w14:paraId="76B1F5B9" w14:textId="77777777" w:rsidR="005816FB" w:rsidRPr="00030181" w:rsidRDefault="005816FB" w:rsidP="005C5EBA">
      <w:pPr>
        <w:spacing w:line="360" w:lineRule="auto"/>
        <w:rPr>
          <w:rFonts w:ascii="Arial" w:hAnsi="Arial" w:cs="Arial"/>
          <w:lang w:val="en-US"/>
        </w:rPr>
      </w:pPr>
    </w:p>
    <w:p w14:paraId="12900EE3" w14:textId="77777777" w:rsidR="005816FB" w:rsidRPr="00030181" w:rsidRDefault="005816FB" w:rsidP="005C5EBA">
      <w:pPr>
        <w:spacing w:line="360" w:lineRule="auto"/>
        <w:rPr>
          <w:rFonts w:ascii="Arial" w:hAnsi="Arial" w:cs="Arial"/>
          <w:lang w:val="en-US"/>
        </w:rPr>
      </w:pPr>
    </w:p>
    <w:p w14:paraId="4AC43CB6" w14:textId="77777777" w:rsidR="005816FB" w:rsidRPr="00030181" w:rsidRDefault="005816FB" w:rsidP="005C5EBA">
      <w:pPr>
        <w:spacing w:line="360" w:lineRule="auto"/>
        <w:rPr>
          <w:rFonts w:ascii="Arial" w:hAnsi="Arial" w:cs="Arial"/>
          <w:lang w:val="en-US"/>
        </w:rPr>
      </w:pPr>
    </w:p>
    <w:p w14:paraId="48336B5A" w14:textId="77777777" w:rsidR="005816FB" w:rsidRPr="00030181" w:rsidRDefault="005816FB" w:rsidP="005C5EBA">
      <w:pPr>
        <w:spacing w:line="360" w:lineRule="auto"/>
        <w:rPr>
          <w:rFonts w:ascii="Arial" w:hAnsi="Arial" w:cs="Arial"/>
          <w:lang w:val="en-US"/>
        </w:rPr>
      </w:pPr>
    </w:p>
    <w:p w14:paraId="5A7DDBCA" w14:textId="77777777" w:rsidR="005816FB" w:rsidRPr="00030181" w:rsidRDefault="005816FB" w:rsidP="005C5EBA">
      <w:pPr>
        <w:spacing w:line="360" w:lineRule="auto"/>
        <w:rPr>
          <w:rFonts w:ascii="Arial" w:hAnsi="Arial" w:cs="Arial"/>
          <w:lang w:val="en-US"/>
        </w:rPr>
      </w:pPr>
    </w:p>
    <w:p w14:paraId="73986EE3" w14:textId="77777777" w:rsidR="009235A9" w:rsidRPr="00030181" w:rsidRDefault="009235A9" w:rsidP="005C5EBA">
      <w:pPr>
        <w:spacing w:line="360" w:lineRule="auto"/>
        <w:rPr>
          <w:rFonts w:ascii="Arial" w:hAnsi="Arial" w:cs="Arial"/>
          <w:lang w:val="en-US"/>
        </w:rPr>
      </w:pPr>
    </w:p>
    <w:p w14:paraId="5030AC7A" w14:textId="77777777" w:rsidR="009235A9" w:rsidRPr="00030181" w:rsidRDefault="009235A9" w:rsidP="005C5EBA">
      <w:pPr>
        <w:spacing w:line="360" w:lineRule="auto"/>
        <w:rPr>
          <w:rFonts w:ascii="Arial" w:hAnsi="Arial" w:cs="Arial"/>
          <w:lang w:val="en-US"/>
        </w:rPr>
      </w:pPr>
    </w:p>
    <w:p w14:paraId="23D2F3B8" w14:textId="5F39E4C3" w:rsidR="000E7FB8" w:rsidRPr="00030181" w:rsidRDefault="003E3370" w:rsidP="005C5EBA">
      <w:pPr>
        <w:pStyle w:val="Heading1"/>
        <w:spacing w:line="360" w:lineRule="auto"/>
        <w:rPr>
          <w:rFonts w:ascii="Arial" w:hAnsi="Arial" w:cs="Arial"/>
          <w:b/>
          <w:bCs/>
          <w:color w:val="000000" w:themeColor="text1"/>
          <w:sz w:val="28"/>
          <w:szCs w:val="28"/>
        </w:rPr>
      </w:pPr>
      <w:bookmarkStart w:id="0" w:name="_Toc231947530"/>
      <w:r w:rsidRPr="00030181">
        <w:rPr>
          <w:rFonts w:ascii="Arial" w:hAnsi="Arial" w:cs="Arial"/>
          <w:b/>
          <w:bCs/>
          <w:color w:val="000000" w:themeColor="text1"/>
          <w:sz w:val="28"/>
          <w:szCs w:val="28"/>
        </w:rPr>
        <w:lastRenderedPageBreak/>
        <w:t>CHAPTER 1 – INTRODUCTION</w:t>
      </w:r>
      <w:bookmarkEnd w:id="0"/>
    </w:p>
    <w:p w14:paraId="241E1FD7" w14:textId="77777777" w:rsidR="006C3281" w:rsidRPr="00030181" w:rsidRDefault="006C3281" w:rsidP="005C5EBA">
      <w:pPr>
        <w:pStyle w:val="Heading1"/>
        <w:spacing w:line="360" w:lineRule="auto"/>
        <w:rPr>
          <w:rFonts w:ascii="Arial" w:hAnsi="Arial" w:cs="Arial"/>
          <w:b/>
          <w:bCs/>
          <w:color w:val="000000" w:themeColor="text1"/>
          <w:sz w:val="22"/>
          <w:szCs w:val="22"/>
        </w:rPr>
      </w:pPr>
      <w:bookmarkStart w:id="1" w:name="_Toc231947531"/>
      <w:r w:rsidRPr="00030181">
        <w:rPr>
          <w:rFonts w:ascii="Arial" w:hAnsi="Arial" w:cs="Arial"/>
          <w:b/>
          <w:bCs/>
          <w:color w:val="000000" w:themeColor="text1"/>
          <w:sz w:val="22"/>
          <w:szCs w:val="22"/>
        </w:rPr>
        <w:t>1.1 Background and Context</w:t>
      </w:r>
      <w:bookmarkEnd w:id="1"/>
    </w:p>
    <w:p w14:paraId="02E1D2CD" w14:textId="0ADBBA8E" w:rsidR="006C3281" w:rsidRPr="00030181" w:rsidRDefault="008217D5" w:rsidP="005C5EBA">
      <w:pPr>
        <w:spacing w:line="360" w:lineRule="auto"/>
        <w:jc w:val="both"/>
        <w:rPr>
          <w:rFonts w:ascii="Arial" w:hAnsi="Arial" w:cs="Arial"/>
          <w:lang w:val="en-US"/>
        </w:rPr>
      </w:pPr>
      <w:r w:rsidRPr="00030181">
        <w:rPr>
          <w:rFonts w:ascii="Arial" w:hAnsi="Arial" w:cs="Arial"/>
          <w:noProof/>
        </w:rPr>
        <mc:AlternateContent>
          <mc:Choice Requires="wps">
            <w:drawing>
              <wp:anchor distT="0" distB="0" distL="114300" distR="114300" simplePos="0" relativeHeight="251756032" behindDoc="0" locked="0" layoutInCell="1" allowOverlap="1" wp14:anchorId="246FA2BB" wp14:editId="2A9088CB">
                <wp:simplePos x="0" y="0"/>
                <wp:positionH relativeFrom="margin">
                  <wp:align>right</wp:align>
                </wp:positionH>
                <wp:positionV relativeFrom="paragraph">
                  <wp:posOffset>5441315</wp:posOffset>
                </wp:positionV>
                <wp:extent cx="5731510" cy="635"/>
                <wp:effectExtent l="0" t="0" r="2540" b="0"/>
                <wp:wrapTopAndBottom/>
                <wp:docPr id="1782071414"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B4D4116" w14:textId="5A09AD6E" w:rsidR="007A05DD" w:rsidRPr="007A05DD" w:rsidRDefault="007A05DD" w:rsidP="007A05DD">
                            <w:pPr>
                              <w:pStyle w:val="Caption"/>
                              <w:jc w:val="center"/>
                              <w:rPr>
                                <w:rFonts w:ascii="Arial" w:hAnsi="Arial" w:cs="Arial"/>
                                <w:b w:val="0"/>
                                <w:bCs w:val="0"/>
                                <w:color w:val="000000" w:themeColor="text1"/>
                                <w:sz w:val="22"/>
                                <w:szCs w:val="22"/>
                              </w:rPr>
                            </w:pPr>
                            <w:bookmarkStart w:id="2" w:name="_Toc231948032"/>
                            <w:r w:rsidRPr="007A05DD">
                              <w:rPr>
                                <w:rFonts w:ascii="Arial" w:hAnsi="Arial" w:cs="Arial"/>
                                <w:b w:val="0"/>
                                <w:bCs w:val="0"/>
                                <w:color w:val="000000" w:themeColor="text1"/>
                                <w:sz w:val="22"/>
                                <w:szCs w:val="22"/>
                              </w:rPr>
                              <w:t xml:space="preserve">Figure 1.1: DALYs per 100,000 Population </w:t>
                            </w:r>
                            <w:r w:rsidRPr="007A05DD">
                              <w:rPr>
                                <w:rFonts w:ascii="Arial" w:hAnsi="Arial" w:cs="Arial"/>
                                <w:b w:val="0"/>
                                <w:bCs w:val="0"/>
                                <w:color w:val="000000" w:themeColor="text1"/>
                                <w:sz w:val="22"/>
                                <w:szCs w:val="22"/>
                              </w:rPr>
                              <w:fldChar w:fldCharType="begin"/>
                            </w:r>
                            <w:r w:rsidRPr="007A05DD">
                              <w:rPr>
                                <w:rFonts w:ascii="Arial" w:hAnsi="Arial" w:cs="Arial"/>
                                <w:b w:val="0"/>
                                <w:bCs w:val="0"/>
                                <w:color w:val="000000" w:themeColor="text1"/>
                                <w:sz w:val="22"/>
                                <w:szCs w:val="22"/>
                              </w:rPr>
                              <w:instrText xml:space="preserve"> SEQ Figure_1.1:_DALYs_per_100,000_Population \* ARABIC </w:instrText>
                            </w:r>
                            <w:r w:rsidRPr="007A05DD">
                              <w:rPr>
                                <w:rFonts w:ascii="Arial" w:hAnsi="Arial" w:cs="Arial"/>
                                <w:b w:val="0"/>
                                <w:bCs w:val="0"/>
                                <w:color w:val="000000" w:themeColor="text1"/>
                                <w:sz w:val="22"/>
                                <w:szCs w:val="22"/>
                              </w:rPr>
                              <w:fldChar w:fldCharType="separate"/>
                            </w:r>
                            <w:r w:rsidRPr="007A05DD">
                              <w:rPr>
                                <w:rFonts w:ascii="Arial" w:hAnsi="Arial" w:cs="Arial"/>
                                <w:b w:val="0"/>
                                <w:bCs w:val="0"/>
                                <w:noProof/>
                                <w:color w:val="000000" w:themeColor="text1"/>
                                <w:sz w:val="22"/>
                                <w:szCs w:val="22"/>
                              </w:rPr>
                              <w:t>1</w:t>
                            </w:r>
                            <w:bookmarkEnd w:id="2"/>
                            <w:r w:rsidRPr="007A05DD">
                              <w:rPr>
                                <w:rFonts w:ascii="Arial" w:hAnsi="Arial" w:cs="Arial"/>
                                <w:b w:val="0"/>
                                <w:bCs w:val="0"/>
                                <w:color w:val="000000" w:themeColor="text1"/>
                                <w:sz w:val="22"/>
                                <w:szCs w:val="22"/>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46FA2BB" id="_x0000_t202" coordsize="21600,21600" o:spt="202" path="m,l,21600r21600,l21600,xe">
                <v:stroke joinstyle="miter"/>
                <v:path gradientshapeok="t" o:connecttype="rect"/>
              </v:shapetype>
              <v:shape id="Text Box 1" o:spid="_x0000_s1026" type="#_x0000_t202" style="position:absolute;left:0;text-align:left;margin-left:400.1pt;margin-top:428.45pt;width:451.3pt;height:.05pt;z-index:25175603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" stroked="f">
                <v:textbox style="mso-fit-shape-to-text:t" inset="0,0,0,0">
                  <w:txbxContent>
                    <w:p w14:paraId="4B4D4116" w14:textId="5A09AD6E" w:rsidR="007A05DD" w:rsidRPr="007A05DD" w:rsidRDefault="007A05DD" w:rsidP="007A05DD">
                      <w:pPr>
                        <w:pStyle w:val="Caption"/>
                        <w:jc w:val="center"/>
                        <w:rPr>
                          <w:rFonts w:ascii="Arial" w:hAnsi="Arial" w:cs="Arial"/>
                          <w:b w:val="0"/>
                          <w:bCs w:val="0"/>
                          <w:color w:val="000000" w:themeColor="text1"/>
                          <w:sz w:val="22"/>
                          <w:szCs w:val="22"/>
                        </w:rPr>
                      </w:pPr>
                      <w:bookmarkStart w:id="3" w:name="_Toc231948032"/>
                      <w:r w:rsidRPr="007A05DD">
                        <w:rPr>
                          <w:rFonts w:ascii="Arial" w:hAnsi="Arial" w:cs="Arial"/>
                          <w:b w:val="0"/>
                          <w:bCs w:val="0"/>
                          <w:color w:val="000000" w:themeColor="text1"/>
                          <w:sz w:val="22"/>
                          <w:szCs w:val="22"/>
                        </w:rPr>
                        <w:t xml:space="preserve">Figure 1.1: DALYs per 100,000 Population </w:t>
                      </w:r>
                      <w:r w:rsidRPr="007A05DD">
                        <w:rPr>
                          <w:rFonts w:ascii="Arial" w:hAnsi="Arial" w:cs="Arial"/>
                          <w:b w:val="0"/>
                          <w:bCs w:val="0"/>
                          <w:color w:val="000000" w:themeColor="text1"/>
                          <w:sz w:val="22"/>
                          <w:szCs w:val="22"/>
                        </w:rPr>
                        <w:fldChar w:fldCharType="begin"/>
                      </w:r>
                      <w:r w:rsidRPr="007A05DD">
                        <w:rPr>
                          <w:rFonts w:ascii="Arial" w:hAnsi="Arial" w:cs="Arial"/>
                          <w:b w:val="0"/>
                          <w:bCs w:val="0"/>
                          <w:color w:val="000000" w:themeColor="text1"/>
                          <w:sz w:val="22"/>
                          <w:szCs w:val="22"/>
                        </w:rPr>
                        <w:instrText xml:space="preserve"> SEQ Figure_1.1:_DALYs_per_100,000_Population \* ARABIC </w:instrText>
                      </w:r>
                      <w:r w:rsidRPr="007A05DD">
                        <w:rPr>
                          <w:rFonts w:ascii="Arial" w:hAnsi="Arial" w:cs="Arial"/>
                          <w:b w:val="0"/>
                          <w:bCs w:val="0"/>
                          <w:color w:val="000000" w:themeColor="text1"/>
                          <w:sz w:val="22"/>
                          <w:szCs w:val="22"/>
                        </w:rPr>
                        <w:fldChar w:fldCharType="separate"/>
                      </w:r>
                      <w:r w:rsidRPr="007A05DD">
                        <w:rPr>
                          <w:rFonts w:ascii="Arial" w:hAnsi="Arial" w:cs="Arial"/>
                          <w:b w:val="0"/>
                          <w:bCs w:val="0"/>
                          <w:noProof/>
                          <w:color w:val="000000" w:themeColor="text1"/>
                          <w:sz w:val="22"/>
                          <w:szCs w:val="22"/>
                        </w:rPr>
                        <w:t>1</w:t>
                      </w:r>
                      <w:bookmarkEnd w:id="3"/>
                      <w:r w:rsidRPr="007A05DD">
                        <w:rPr>
                          <w:rFonts w:ascii="Arial" w:hAnsi="Arial" w:cs="Arial"/>
                          <w:b w:val="0"/>
                          <w:bCs w:val="0"/>
                          <w:color w:val="000000" w:themeColor="text1"/>
                          <w:sz w:val="22"/>
                          <w:szCs w:val="22"/>
                        </w:rPr>
                        <w:fldChar w:fldCharType="end"/>
                      </w:r>
                    </w:p>
                  </w:txbxContent>
                </v:textbox>
                <w10:wrap type="topAndBottom" anchorx="margin"/>
              </v:shape>
            </w:pict>
          </mc:Fallback>
        </mc:AlternateContent>
      </w:r>
      <w:r w:rsidR="006C3281" w:rsidRPr="00030181">
        <w:rPr>
          <w:rFonts w:ascii="Arial" w:hAnsi="Arial" w:cs="Arial"/>
        </w:rPr>
        <w:t xml:space="preserve">Population ageing is a major global demographic trend, with </w:t>
      </w:r>
      <w:r w:rsidR="009235A9" w:rsidRPr="00030181">
        <w:rPr>
          <w:rFonts w:ascii="Arial" w:hAnsi="Arial" w:cs="Arial"/>
        </w:rPr>
        <w:t xml:space="preserve">the population aged 60 years and </w:t>
      </w:r>
      <w:r w:rsidR="00E45459" w:rsidRPr="00030181">
        <w:rPr>
          <w:rFonts w:ascii="Arial" w:hAnsi="Arial" w:cs="Arial"/>
          <w:lang w:val="en-US"/>
        </w:rPr>
        <w:t xml:space="preserve">over, </w:t>
      </w:r>
      <w:r w:rsidRPr="00030181">
        <w:rPr>
          <w:rFonts w:ascii="Arial" w:hAnsi="Arial" w:cs="Arial"/>
        </w:rPr>
        <w:t xml:space="preserve">forecast to rise to 2.1 billion by 2050 </w:t>
      </w:r>
      <w:r w:rsidR="006C3281" w:rsidRPr="00030181">
        <w:rPr>
          <w:rFonts w:ascii="Arial" w:hAnsi="Arial" w:cs="Arial"/>
        </w:rPr>
        <w:t xml:space="preserve">(World Health Organization, 2022). This shift is strongly associated </w:t>
      </w:r>
      <w:r w:rsidR="00E45459" w:rsidRPr="00030181">
        <w:rPr>
          <w:rFonts w:ascii="Arial" w:hAnsi="Arial" w:cs="Arial"/>
          <w:lang w:val="en-US"/>
        </w:rPr>
        <w:t>alongside the increasing occurrence of non-communicable diseases (NCDs)</w:t>
      </w:r>
      <w:r w:rsidR="006C3281" w:rsidRPr="00030181">
        <w:rPr>
          <w:rFonts w:ascii="Arial" w:hAnsi="Arial" w:cs="Arial"/>
        </w:rPr>
        <w:t xml:space="preserve">, </w:t>
      </w:r>
      <w:r w:rsidRPr="00030181">
        <w:rPr>
          <w:rFonts w:ascii="Arial" w:hAnsi="Arial" w:cs="Arial"/>
        </w:rPr>
        <w:t>continues to increase, contributing to nearly three-quarters of deaths worldwide</w:t>
      </w:r>
      <w:r w:rsidRPr="00030181">
        <w:rPr>
          <w:rFonts w:ascii="Arial" w:hAnsi="Arial" w:cs="Arial"/>
        </w:rPr>
        <w:t>,</w:t>
      </w:r>
      <w:r w:rsidR="006C3281" w:rsidRPr="00030181">
        <w:rPr>
          <w:rFonts w:ascii="Arial" w:hAnsi="Arial" w:cs="Arial"/>
        </w:rPr>
        <w:t xml:space="preserve"> </w:t>
      </w:r>
      <w:r w:rsidRPr="00030181">
        <w:rPr>
          <w:rFonts w:ascii="Arial" w:hAnsi="Arial" w:cs="Arial"/>
        </w:rPr>
        <w:t>largely resulting from heart and circulatory diseases, cancer, long-term respiratory illnesses, and diabetes</w:t>
      </w:r>
      <w:r w:rsidRPr="00030181">
        <w:rPr>
          <w:rFonts w:ascii="Arial" w:hAnsi="Arial" w:cs="Arial"/>
        </w:rPr>
        <w:t xml:space="preserve"> </w:t>
      </w:r>
      <w:r w:rsidR="006C3281" w:rsidRPr="00030181">
        <w:rPr>
          <w:rFonts w:ascii="Arial" w:hAnsi="Arial" w:cs="Arial"/>
        </w:rPr>
        <w:t>(</w:t>
      </w:r>
      <w:r w:rsidRPr="00030181">
        <w:rPr>
          <w:rFonts w:ascii="Arial" w:hAnsi="Arial" w:cs="Arial"/>
        </w:rPr>
        <w:t>WHO</w:t>
      </w:r>
      <w:r w:rsidR="006C3281" w:rsidRPr="00030181">
        <w:rPr>
          <w:rFonts w:ascii="Arial" w:hAnsi="Arial" w:cs="Arial"/>
        </w:rPr>
        <w:t>, 2022; Institute for Health Metrics and Evaluation, 2025).</w:t>
      </w:r>
      <w:r w:rsidR="006C3281" w:rsidRPr="00030181">
        <w:rPr>
          <w:rFonts w:ascii="Arial" w:hAnsi="Arial" w:cs="Arial"/>
          <w:noProof/>
        </w:rPr>
        <w:drawing>
          <wp:anchor distT="0" distB="0" distL="114300" distR="114300" simplePos="0" relativeHeight="251562496" behindDoc="0" locked="0" layoutInCell="1" allowOverlap="1" wp14:anchorId="4AF4D1D6" wp14:editId="0F657578">
            <wp:simplePos x="0" y="0"/>
            <wp:positionH relativeFrom="column">
              <wp:posOffset>0</wp:posOffset>
            </wp:positionH>
            <wp:positionV relativeFrom="paragraph">
              <wp:posOffset>1442085</wp:posOffset>
            </wp:positionV>
            <wp:extent cx="5731510" cy="3927475"/>
            <wp:effectExtent l="0" t="0" r="2540" b="0"/>
            <wp:wrapTopAndBottom/>
            <wp:docPr id="1376335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335583" name="Picture 137633558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927475"/>
                    </a:xfrm>
                    <a:prstGeom prst="rect">
                      <a:avLst/>
                    </a:prstGeom>
                  </pic:spPr>
                </pic:pic>
              </a:graphicData>
            </a:graphic>
          </wp:anchor>
        </w:drawing>
      </w:r>
    </w:p>
    <w:p w14:paraId="7EC1E106" w14:textId="5CA1FC86" w:rsidR="006C3281" w:rsidRPr="00030181" w:rsidRDefault="006C3281" w:rsidP="005C5EBA">
      <w:pPr>
        <w:spacing w:line="360" w:lineRule="auto"/>
        <w:jc w:val="center"/>
        <w:rPr>
          <w:rFonts w:ascii="Arial" w:hAnsi="Arial" w:cs="Arial"/>
        </w:rPr>
      </w:pPr>
      <w:r w:rsidRPr="00030181">
        <w:rPr>
          <w:rFonts w:ascii="Arial" w:hAnsi="Arial" w:cs="Arial"/>
        </w:rPr>
        <w:t>(Source</w:t>
      </w:r>
      <w:r w:rsidRPr="00030181">
        <w:rPr>
          <w:rFonts w:ascii="Arial" w:hAnsi="Arial" w:cs="Arial"/>
          <w:b/>
          <w:bCs/>
        </w:rPr>
        <w:t>:</w:t>
      </w:r>
      <w:r w:rsidRPr="00030181">
        <w:rPr>
          <w:rFonts w:ascii="Arial" w:hAnsi="Arial" w:cs="Arial"/>
        </w:rPr>
        <w:t xml:space="preserve"> Our World in Data, 2026)</w:t>
      </w:r>
    </w:p>
    <w:p w14:paraId="7C1FF105" w14:textId="7F090BF2" w:rsidR="00952525" w:rsidRPr="00030181" w:rsidRDefault="00952525" w:rsidP="005C5EBA">
      <w:pPr>
        <w:spacing w:line="360" w:lineRule="auto"/>
        <w:jc w:val="both"/>
        <w:rPr>
          <w:rFonts w:ascii="Arial" w:hAnsi="Arial" w:cs="Arial"/>
          <w:lang w:val="en-US"/>
        </w:rPr>
      </w:pPr>
      <w:r w:rsidRPr="00030181">
        <w:rPr>
          <w:rFonts w:ascii="Arial" w:hAnsi="Arial" w:cs="Arial"/>
        </w:rPr>
        <w:t xml:space="preserve">Figure 1.1 shows the global </w:t>
      </w:r>
      <w:r w:rsidR="00E45459" w:rsidRPr="00030181">
        <w:rPr>
          <w:rFonts w:ascii="Arial" w:hAnsi="Arial" w:cs="Arial"/>
          <w:lang w:val="en-US"/>
        </w:rPr>
        <w:t>disease burden in 2023, measured in Disability-Adjusted Life Years (DALYs) per 100,000 people</w:t>
      </w:r>
      <w:r w:rsidRPr="00030181">
        <w:rPr>
          <w:rFonts w:ascii="Arial" w:hAnsi="Arial" w:cs="Arial"/>
        </w:rPr>
        <w:t xml:space="preserve">. </w:t>
      </w:r>
      <w:r w:rsidR="00DD2950" w:rsidRPr="00030181">
        <w:rPr>
          <w:rFonts w:ascii="Arial" w:hAnsi="Arial" w:cs="Arial"/>
        </w:rPr>
        <w:t>N</w:t>
      </w:r>
      <w:r w:rsidR="00DD2950" w:rsidRPr="00030181">
        <w:rPr>
          <w:rFonts w:ascii="Arial" w:hAnsi="Arial" w:cs="Arial"/>
        </w:rPr>
        <w:t>ations across Sub-Saharan Africa</w:t>
      </w:r>
      <w:r w:rsidR="00DD2950" w:rsidRPr="00030181">
        <w:rPr>
          <w:rFonts w:ascii="Arial" w:hAnsi="Arial" w:cs="Arial"/>
        </w:rPr>
        <w:t xml:space="preserve"> </w:t>
      </w:r>
      <w:r w:rsidRPr="00030181">
        <w:rPr>
          <w:rFonts w:ascii="Arial" w:hAnsi="Arial" w:cs="Arial"/>
        </w:rPr>
        <w:t xml:space="preserve">have the highest burden, while lower rates are seen in high-income regions such as North America and Western Europe. The figure highlights global health inequalities linked to healthcare access, living conditions, and disease </w:t>
      </w:r>
      <w:r w:rsidR="00DD2950" w:rsidRPr="00030181">
        <w:rPr>
          <w:rFonts w:ascii="Arial" w:hAnsi="Arial" w:cs="Arial"/>
        </w:rPr>
        <w:t>rate</w:t>
      </w:r>
      <w:r w:rsidRPr="00030181">
        <w:rPr>
          <w:rFonts w:ascii="Arial" w:hAnsi="Arial" w:cs="Arial"/>
        </w:rPr>
        <w:t>.</w:t>
      </w:r>
    </w:p>
    <w:p w14:paraId="2C60A1B8" w14:textId="07FE55CA" w:rsidR="006C3281" w:rsidRPr="00030181" w:rsidRDefault="00AA5CE2" w:rsidP="005C5EBA">
      <w:pPr>
        <w:spacing w:line="360" w:lineRule="auto"/>
        <w:jc w:val="both"/>
        <w:rPr>
          <w:rFonts w:ascii="Arial" w:hAnsi="Arial" w:cs="Arial"/>
          <w:lang w:val="en-US"/>
        </w:rPr>
      </w:pPr>
      <w:r w:rsidRPr="00030181">
        <w:rPr>
          <w:rFonts w:ascii="Arial" w:hAnsi="Arial" w:cs="Arial"/>
          <w:lang w:val="en-US"/>
        </w:rPr>
        <w:t xml:space="preserve">The worldwide </w:t>
      </w:r>
      <w:r w:rsidR="0073487A" w:rsidRPr="00030181">
        <w:rPr>
          <w:rFonts w:ascii="Arial" w:hAnsi="Arial" w:cs="Arial"/>
        </w:rPr>
        <w:t>disease impact</w:t>
      </w:r>
      <w:r w:rsidRPr="00030181">
        <w:rPr>
          <w:rFonts w:ascii="Arial" w:hAnsi="Arial" w:cs="Arial"/>
          <w:lang w:val="en-US"/>
        </w:rPr>
        <w:t xml:space="preserve"> is </w:t>
      </w:r>
      <w:r w:rsidR="0073487A" w:rsidRPr="00030181">
        <w:rPr>
          <w:rFonts w:ascii="Arial" w:hAnsi="Arial" w:cs="Arial"/>
        </w:rPr>
        <w:t>measured using</w:t>
      </w:r>
      <w:r w:rsidR="0073487A" w:rsidRPr="00030181">
        <w:rPr>
          <w:rFonts w:ascii="Arial" w:hAnsi="Arial" w:cs="Arial"/>
        </w:rPr>
        <w:t xml:space="preserve"> </w:t>
      </w:r>
      <w:r w:rsidRPr="00030181">
        <w:rPr>
          <w:rFonts w:ascii="Arial" w:hAnsi="Arial" w:cs="Arial"/>
          <w:lang w:val="en-US"/>
        </w:rPr>
        <w:t xml:space="preserve">disability-adjusted life years (DALYs), which </w:t>
      </w:r>
      <w:r w:rsidR="0073487A" w:rsidRPr="00030181">
        <w:rPr>
          <w:rFonts w:ascii="Arial" w:hAnsi="Arial" w:cs="Arial"/>
        </w:rPr>
        <w:t>integrate years lost from premature mortality with years lived with disability</w:t>
      </w:r>
      <w:r w:rsidR="0073487A" w:rsidRPr="00030181">
        <w:rPr>
          <w:rFonts w:ascii="Arial" w:hAnsi="Arial" w:cs="Arial"/>
        </w:rPr>
        <w:t xml:space="preserve"> </w:t>
      </w:r>
      <w:r w:rsidR="006C3281" w:rsidRPr="00030181">
        <w:rPr>
          <w:rFonts w:ascii="Arial" w:hAnsi="Arial" w:cs="Arial"/>
        </w:rPr>
        <w:t xml:space="preserve">(Institute for Health Metrics and Evaluation, 2025). The Global Burden of Disease (GBD) 2023 study shows that </w:t>
      </w:r>
      <w:r w:rsidR="006C3281" w:rsidRPr="00030181">
        <w:rPr>
          <w:rFonts w:ascii="Arial" w:hAnsi="Arial" w:cs="Arial"/>
        </w:rPr>
        <w:lastRenderedPageBreak/>
        <w:t xml:space="preserve">half of the top </w:t>
      </w:r>
      <w:r w:rsidR="0073487A" w:rsidRPr="00030181">
        <w:rPr>
          <w:rFonts w:ascii="Arial" w:hAnsi="Arial" w:cs="Arial"/>
        </w:rPr>
        <w:t>10</w:t>
      </w:r>
      <w:r w:rsidR="006C3281" w:rsidRPr="00030181">
        <w:rPr>
          <w:rFonts w:ascii="Arial" w:hAnsi="Arial" w:cs="Arial"/>
        </w:rPr>
        <w:t xml:space="preserve"> </w:t>
      </w:r>
      <w:r w:rsidR="0073487A" w:rsidRPr="00030181">
        <w:rPr>
          <w:rFonts w:ascii="Arial" w:hAnsi="Arial" w:cs="Arial"/>
        </w:rPr>
        <w:t xml:space="preserve">causes of </w:t>
      </w:r>
      <w:r w:rsidR="0073487A" w:rsidRPr="00030181">
        <w:rPr>
          <w:rFonts w:ascii="Arial" w:hAnsi="Arial" w:cs="Arial"/>
        </w:rPr>
        <w:t>early</w:t>
      </w:r>
      <w:r w:rsidR="0073487A" w:rsidRPr="00030181">
        <w:rPr>
          <w:rFonts w:ascii="Arial" w:hAnsi="Arial" w:cs="Arial"/>
        </w:rPr>
        <w:t xml:space="preserve"> mortality and disability</w:t>
      </w:r>
      <w:r w:rsidR="0073487A" w:rsidRPr="00030181">
        <w:rPr>
          <w:rFonts w:ascii="Arial" w:hAnsi="Arial" w:cs="Arial"/>
        </w:rPr>
        <w:t xml:space="preserve"> are, </w:t>
      </w:r>
      <w:r w:rsidR="006C3281" w:rsidRPr="00030181">
        <w:rPr>
          <w:rFonts w:ascii="Arial" w:hAnsi="Arial" w:cs="Arial"/>
        </w:rPr>
        <w:t xml:space="preserve">NCDs, including ischaemic heart disease, stroke, and diabetes (Institute for Health Metrics and Evaluation, 2025). Diabetes is a rapidly increasing contributor, with approximately a 3% annual rise in mortality and growing </w:t>
      </w:r>
      <w:r w:rsidR="0073487A" w:rsidRPr="00030181">
        <w:rPr>
          <w:rFonts w:ascii="Arial" w:hAnsi="Arial" w:cs="Arial"/>
        </w:rPr>
        <w:t>years experienced with disability</w:t>
      </w:r>
      <w:r w:rsidR="0073487A" w:rsidRPr="00030181">
        <w:rPr>
          <w:rFonts w:ascii="Arial" w:hAnsi="Arial" w:cs="Arial"/>
        </w:rPr>
        <w:t xml:space="preserve"> </w:t>
      </w:r>
      <w:r w:rsidR="006C3281" w:rsidRPr="00030181">
        <w:rPr>
          <w:rFonts w:ascii="Arial" w:hAnsi="Arial" w:cs="Arial"/>
        </w:rPr>
        <w:t>(Institute for Health Metrics and Evaluation, 2025).</w:t>
      </w:r>
    </w:p>
    <w:p w14:paraId="4F9CC92D" w14:textId="0CEA0164" w:rsidR="008674D1" w:rsidRPr="00030181" w:rsidRDefault="008674D1" w:rsidP="005C5EBA">
      <w:pPr>
        <w:spacing w:line="360" w:lineRule="auto"/>
        <w:jc w:val="both"/>
        <w:rPr>
          <w:rFonts w:ascii="Arial" w:hAnsi="Arial" w:cs="Arial"/>
          <w:lang w:val="en-US"/>
        </w:rPr>
      </w:pPr>
      <w:r w:rsidRPr="00030181">
        <w:rPr>
          <w:rFonts w:ascii="Arial" w:hAnsi="Arial" w:cs="Arial"/>
        </w:rPr>
        <w:t xml:space="preserve">The </w:t>
      </w:r>
      <w:r w:rsidR="0073487A" w:rsidRPr="00030181">
        <w:rPr>
          <w:rFonts w:ascii="Arial" w:hAnsi="Arial" w:cs="Arial"/>
        </w:rPr>
        <w:t>impact of</w:t>
      </w:r>
      <w:r w:rsidR="0073487A" w:rsidRPr="00030181">
        <w:rPr>
          <w:rFonts w:ascii="Arial" w:hAnsi="Arial" w:cs="Arial"/>
        </w:rPr>
        <w:t xml:space="preserve"> </w:t>
      </w:r>
      <w:r w:rsidRPr="00030181">
        <w:rPr>
          <w:rFonts w:ascii="Arial" w:hAnsi="Arial" w:cs="Arial"/>
        </w:rPr>
        <w:t xml:space="preserve">NCDs is unequally distributed, with </w:t>
      </w:r>
      <w:r w:rsidR="00AA5CE2" w:rsidRPr="00030181">
        <w:rPr>
          <w:rFonts w:ascii="Arial" w:hAnsi="Arial" w:cs="Arial"/>
          <w:lang w:val="en-US"/>
        </w:rPr>
        <w:t xml:space="preserve">lower- and middle-income nations </w:t>
      </w:r>
      <w:r w:rsidRPr="00030181">
        <w:rPr>
          <w:rFonts w:ascii="Arial" w:hAnsi="Arial" w:cs="Arial"/>
        </w:rPr>
        <w:t>experiencing higher mortality rates and earlier disease onset due to disparities in healthcare access and exposure to risk factors (Chen et al., 2025; Institute for Health Metrics and Evaluation, 2025).</w:t>
      </w:r>
    </w:p>
    <w:p w14:paraId="45213831" w14:textId="5FEBA10B" w:rsidR="006C3281" w:rsidRPr="00030181" w:rsidRDefault="00AA5CE2" w:rsidP="005C5EBA">
      <w:pPr>
        <w:spacing w:line="360" w:lineRule="auto"/>
        <w:jc w:val="both"/>
        <w:rPr>
          <w:rFonts w:ascii="Arial" w:hAnsi="Arial" w:cs="Arial"/>
          <w:lang w:val="en-US"/>
        </w:rPr>
      </w:pPr>
      <w:r w:rsidRPr="00030181">
        <w:rPr>
          <w:rFonts w:ascii="Arial" w:hAnsi="Arial" w:cs="Arial"/>
          <w:lang w:val="en-US"/>
        </w:rPr>
        <w:t xml:space="preserve">Major </w:t>
      </w:r>
      <w:r w:rsidR="0073487A" w:rsidRPr="00030181">
        <w:rPr>
          <w:rFonts w:ascii="Arial" w:hAnsi="Arial" w:cs="Arial"/>
        </w:rPr>
        <w:t>worldwide</w:t>
      </w:r>
      <w:r w:rsidRPr="00030181">
        <w:rPr>
          <w:rFonts w:ascii="Arial" w:hAnsi="Arial" w:cs="Arial"/>
          <w:lang w:val="en-US"/>
        </w:rPr>
        <w:t xml:space="preserve"> risk factors include elevated blood pressure, air pollution, and tobacco use, together with increasing metabolic risks such as </w:t>
      </w:r>
      <w:r w:rsidR="0073487A" w:rsidRPr="00030181">
        <w:rPr>
          <w:rFonts w:ascii="Arial" w:hAnsi="Arial" w:cs="Arial"/>
        </w:rPr>
        <w:t>increased blood sugar levels</w:t>
      </w:r>
      <w:r w:rsidR="0073487A" w:rsidRPr="00030181">
        <w:rPr>
          <w:rFonts w:ascii="Arial" w:hAnsi="Arial" w:cs="Arial"/>
        </w:rPr>
        <w:t xml:space="preserve"> </w:t>
      </w:r>
      <w:r w:rsidRPr="00030181">
        <w:rPr>
          <w:rFonts w:ascii="Arial" w:hAnsi="Arial" w:cs="Arial"/>
          <w:lang w:val="en-US"/>
        </w:rPr>
        <w:t xml:space="preserve">and body mass index (BMI), which are closely associated </w:t>
      </w:r>
      <w:r w:rsidR="0073487A" w:rsidRPr="00030181">
        <w:rPr>
          <w:rFonts w:ascii="Arial" w:hAnsi="Arial" w:cs="Arial"/>
        </w:rPr>
        <w:t>linked to</w:t>
      </w:r>
      <w:r w:rsidRPr="00030181">
        <w:rPr>
          <w:rFonts w:ascii="Arial" w:hAnsi="Arial" w:cs="Arial"/>
          <w:lang w:val="en-US"/>
        </w:rPr>
        <w:t xml:space="preserve"> type 2 diabetes. </w:t>
      </w:r>
      <w:r w:rsidR="006C3281" w:rsidRPr="00030181">
        <w:rPr>
          <w:rFonts w:ascii="Arial" w:hAnsi="Arial" w:cs="Arial"/>
        </w:rPr>
        <w:t xml:space="preserve">(Institute for Health Metrics and Evaluation, 2025). Between 2010 and 2023, high BMI contributed to an 11% increase in </w:t>
      </w:r>
      <w:r w:rsidRPr="00030181">
        <w:rPr>
          <w:rFonts w:ascii="Arial" w:hAnsi="Arial" w:cs="Arial"/>
          <w:lang w:val="en-US"/>
        </w:rPr>
        <w:t xml:space="preserve">Major global risk factors include elevated blood pressure, air pollution, and tobacco use, together with increasing metabolic risks such as high blood glucose levels and body mass index (BMI), which are closely associated with type 2 diabetes </w:t>
      </w:r>
      <w:r w:rsidR="006C3281" w:rsidRPr="00030181">
        <w:rPr>
          <w:rFonts w:ascii="Arial" w:hAnsi="Arial" w:cs="Arial"/>
        </w:rPr>
        <w:t>to a 6% increase, highlighting their growing impact (Institute for Health Metrics and Evaluation, 2025).</w:t>
      </w:r>
    </w:p>
    <w:p w14:paraId="267582E6" w14:textId="363A0FD6" w:rsidR="006C3281" w:rsidRPr="00030181" w:rsidRDefault="006C3281" w:rsidP="005C5EBA">
      <w:pPr>
        <w:spacing w:line="360" w:lineRule="auto"/>
        <w:jc w:val="both"/>
        <w:rPr>
          <w:rFonts w:ascii="Arial" w:hAnsi="Arial" w:cs="Arial"/>
        </w:rPr>
      </w:pPr>
      <w:r w:rsidRPr="00030181">
        <w:rPr>
          <w:rFonts w:ascii="Arial" w:hAnsi="Arial" w:cs="Arial"/>
        </w:rPr>
        <w:t xml:space="preserve">Nutrition is a major modifiable determinant, with dietary risks responsible for approximately 11 million deaths annually (22% of adult deaths) (Afshin et al., 2019). </w:t>
      </w:r>
      <w:r w:rsidR="00927B43" w:rsidRPr="00030181">
        <w:rPr>
          <w:rFonts w:ascii="Arial" w:hAnsi="Arial" w:cs="Arial"/>
        </w:rPr>
        <w:t>Diets rich in sodium</w:t>
      </w:r>
      <w:r w:rsidRPr="00030181">
        <w:rPr>
          <w:rFonts w:ascii="Arial" w:hAnsi="Arial" w:cs="Arial"/>
        </w:rPr>
        <w:t xml:space="preserve">, </w:t>
      </w:r>
      <w:r w:rsidR="00927B43" w:rsidRPr="00030181">
        <w:rPr>
          <w:rFonts w:ascii="Arial" w:hAnsi="Arial" w:cs="Arial"/>
        </w:rPr>
        <w:t>ultra-processed food</w:t>
      </w:r>
      <w:r w:rsidR="00927B43" w:rsidRPr="00030181">
        <w:rPr>
          <w:rFonts w:ascii="Arial" w:hAnsi="Arial" w:cs="Arial"/>
        </w:rPr>
        <w:t>s</w:t>
      </w:r>
      <w:r w:rsidRPr="00030181">
        <w:rPr>
          <w:rFonts w:ascii="Arial" w:hAnsi="Arial" w:cs="Arial"/>
        </w:rPr>
        <w:t xml:space="preserve">, and </w:t>
      </w:r>
      <w:r w:rsidR="00927B43" w:rsidRPr="00030181">
        <w:rPr>
          <w:rFonts w:ascii="Arial" w:hAnsi="Arial" w:cs="Arial"/>
        </w:rPr>
        <w:t>added sugars</w:t>
      </w:r>
      <w:r w:rsidRPr="00030181">
        <w:rPr>
          <w:rFonts w:ascii="Arial" w:hAnsi="Arial" w:cs="Arial"/>
        </w:rPr>
        <w:t xml:space="preserve">, and </w:t>
      </w:r>
      <w:r w:rsidR="00927B43" w:rsidRPr="00030181">
        <w:rPr>
          <w:rFonts w:ascii="Arial" w:hAnsi="Arial" w:cs="Arial"/>
        </w:rPr>
        <w:t>deficient in</w:t>
      </w:r>
      <w:r w:rsidR="00927B43" w:rsidRPr="00030181">
        <w:rPr>
          <w:rFonts w:ascii="Arial" w:hAnsi="Arial" w:cs="Arial"/>
        </w:rPr>
        <w:t xml:space="preserve"> </w:t>
      </w:r>
      <w:r w:rsidRPr="00030181">
        <w:rPr>
          <w:rFonts w:ascii="Arial" w:hAnsi="Arial" w:cs="Arial"/>
        </w:rPr>
        <w:t xml:space="preserve">whole grains, fruits, and vegetables, contribute to obesity, hypertension, and insulin </w:t>
      </w:r>
      <w:r w:rsidR="00927B43" w:rsidRPr="00030181">
        <w:rPr>
          <w:rFonts w:ascii="Arial" w:hAnsi="Arial" w:cs="Arial"/>
        </w:rPr>
        <w:t>sensitivity</w:t>
      </w:r>
      <w:r w:rsidRPr="00030181">
        <w:rPr>
          <w:rFonts w:ascii="Arial" w:hAnsi="Arial" w:cs="Arial"/>
        </w:rPr>
        <w:t>, increasing the risk of type 2 diabetes (Afshin et al., 2019; Diabetes UK, 2023).</w:t>
      </w:r>
    </w:p>
    <w:p w14:paraId="052B75E5" w14:textId="7E695FB6" w:rsidR="006C3281" w:rsidRPr="00030181" w:rsidRDefault="00927B43" w:rsidP="005C5EBA">
      <w:pPr>
        <w:spacing w:line="360" w:lineRule="auto"/>
        <w:jc w:val="both"/>
        <w:rPr>
          <w:rFonts w:ascii="Arial" w:hAnsi="Arial" w:cs="Arial"/>
          <w:lang w:val="en-US"/>
        </w:rPr>
      </w:pPr>
      <w:r w:rsidRPr="00030181">
        <w:rPr>
          <w:rFonts w:ascii="Arial" w:hAnsi="Arial" w:cs="Arial"/>
        </w:rPr>
        <w:t>Type 2 diabetes constitutes a</w:t>
      </w:r>
      <w:r w:rsidRPr="00030181">
        <w:rPr>
          <w:rFonts w:ascii="Arial" w:hAnsi="Arial" w:cs="Arial"/>
        </w:rPr>
        <w:t>round</w:t>
      </w:r>
      <w:r w:rsidRPr="00030181">
        <w:rPr>
          <w:rFonts w:ascii="Arial" w:hAnsi="Arial" w:cs="Arial"/>
        </w:rPr>
        <w:t xml:space="preserve"> 90% of diabetes cases globally</w:t>
      </w:r>
      <w:r w:rsidR="00AA5CE2" w:rsidRPr="00030181">
        <w:rPr>
          <w:rFonts w:ascii="Arial" w:hAnsi="Arial" w:cs="Arial"/>
          <w:lang w:val="en-US"/>
        </w:rPr>
        <w:t xml:space="preserve">, affecting 537 million adults in 2021 and </w:t>
      </w:r>
      <w:r w:rsidRPr="00030181">
        <w:rPr>
          <w:rFonts w:ascii="Arial" w:hAnsi="Arial" w:cs="Arial"/>
        </w:rPr>
        <w:t>projected to</w:t>
      </w:r>
      <w:r w:rsidRPr="00030181">
        <w:rPr>
          <w:rFonts w:ascii="Arial" w:hAnsi="Arial" w:cs="Arial"/>
        </w:rPr>
        <w:t xml:space="preserve"> </w:t>
      </w:r>
      <w:r w:rsidR="00AA5CE2" w:rsidRPr="00030181">
        <w:rPr>
          <w:rFonts w:ascii="Arial" w:hAnsi="Arial" w:cs="Arial"/>
          <w:lang w:val="en-US"/>
        </w:rPr>
        <w:t xml:space="preserve">rise to 783 million by 2045 </w:t>
      </w:r>
      <w:r w:rsidR="006C3281" w:rsidRPr="00030181">
        <w:rPr>
          <w:rFonts w:ascii="Arial" w:hAnsi="Arial" w:cs="Arial"/>
        </w:rPr>
        <w:t xml:space="preserve">(International Diabetes Federation, 2021). It is </w:t>
      </w:r>
      <w:r w:rsidRPr="00030181">
        <w:rPr>
          <w:rFonts w:ascii="Arial" w:hAnsi="Arial" w:cs="Arial"/>
        </w:rPr>
        <w:t>linked to conditions including cardiovascular disease</w:t>
      </w:r>
      <w:r w:rsidRPr="00030181">
        <w:rPr>
          <w:rFonts w:ascii="Arial" w:hAnsi="Arial" w:cs="Arial"/>
        </w:rPr>
        <w:t xml:space="preserve"> </w:t>
      </w:r>
      <w:r w:rsidR="00AA5CE2" w:rsidRPr="00030181">
        <w:rPr>
          <w:rFonts w:ascii="Arial" w:hAnsi="Arial" w:cs="Arial"/>
          <w:lang w:val="en-US"/>
        </w:rPr>
        <w:t>and kidney failure,</w:t>
      </w:r>
      <w:r w:rsidR="00610E3F" w:rsidRPr="00030181">
        <w:rPr>
          <w:rFonts w:ascii="Arial" w:hAnsi="Arial" w:cs="Arial"/>
          <w:lang w:val="en-US"/>
        </w:rPr>
        <w:t xml:space="preserve"> </w:t>
      </w:r>
      <w:r w:rsidR="006C3281" w:rsidRPr="00030181">
        <w:rPr>
          <w:rFonts w:ascii="Arial" w:hAnsi="Arial" w:cs="Arial"/>
        </w:rPr>
        <w:t>neuropathy, and blindness, contributing significantly to morbidity and mortality (World Health Organization, 2022).</w:t>
      </w:r>
    </w:p>
    <w:p w14:paraId="531EB819" w14:textId="77777777" w:rsidR="006C3281" w:rsidRPr="00030181" w:rsidRDefault="006C3281" w:rsidP="005C5EBA">
      <w:pPr>
        <w:spacing w:line="360" w:lineRule="auto"/>
        <w:jc w:val="both"/>
        <w:rPr>
          <w:rFonts w:ascii="Arial" w:hAnsi="Arial" w:cs="Arial"/>
          <w:b/>
          <w:bCs/>
        </w:rPr>
      </w:pPr>
      <w:r w:rsidRPr="00030181">
        <w:rPr>
          <w:rFonts w:ascii="Arial" w:hAnsi="Arial" w:cs="Arial"/>
          <w:b/>
          <w:bCs/>
        </w:rPr>
        <w:t>UK Context and Burden of Type 2 Diabetes</w:t>
      </w:r>
    </w:p>
    <w:p w14:paraId="5C897CD5" w14:textId="1E487655" w:rsidR="006C3281" w:rsidRPr="00030181" w:rsidRDefault="006C3281" w:rsidP="005C5EBA">
      <w:pPr>
        <w:spacing w:line="360" w:lineRule="auto"/>
        <w:jc w:val="both"/>
        <w:rPr>
          <w:rFonts w:ascii="Arial" w:hAnsi="Arial" w:cs="Arial"/>
        </w:rPr>
      </w:pPr>
      <w:r w:rsidRPr="00030181">
        <w:rPr>
          <w:rFonts w:ascii="Arial" w:hAnsi="Arial" w:cs="Arial"/>
        </w:rPr>
        <w:t>In the U</w:t>
      </w:r>
      <w:r w:rsidR="00AA5CE2" w:rsidRPr="00030181">
        <w:rPr>
          <w:rFonts w:ascii="Arial" w:hAnsi="Arial" w:cs="Arial"/>
        </w:rPr>
        <w:t>K</w:t>
      </w:r>
      <w:r w:rsidRPr="00030181">
        <w:rPr>
          <w:rFonts w:ascii="Arial" w:hAnsi="Arial" w:cs="Arial"/>
        </w:rPr>
        <w:t>, population ageing is progressing rapidly, with 18.6</w:t>
      </w:r>
      <w:r w:rsidR="00AA5CE2" w:rsidRPr="00030181">
        <w:rPr>
          <w:rFonts w:ascii="Arial" w:hAnsi="Arial" w:cs="Arial"/>
        </w:rPr>
        <w:t xml:space="preserve">% of </w:t>
      </w:r>
      <w:r w:rsidR="00191834" w:rsidRPr="00030181">
        <w:rPr>
          <w:rFonts w:ascii="Arial" w:hAnsi="Arial" w:cs="Arial"/>
        </w:rPr>
        <w:t>individuals</w:t>
      </w:r>
      <w:r w:rsidR="00191834" w:rsidRPr="00030181">
        <w:rPr>
          <w:rFonts w:ascii="Arial" w:hAnsi="Arial" w:cs="Arial"/>
        </w:rPr>
        <w:t xml:space="preserve"> </w:t>
      </w:r>
      <w:r w:rsidR="00AA5CE2" w:rsidRPr="00030181">
        <w:rPr>
          <w:rFonts w:ascii="Arial" w:hAnsi="Arial" w:cs="Arial"/>
        </w:rPr>
        <w:t xml:space="preserve">aged 65 years and older in 2022, </w:t>
      </w:r>
      <w:r w:rsidR="00191834" w:rsidRPr="00030181">
        <w:rPr>
          <w:rFonts w:ascii="Arial" w:hAnsi="Arial" w:cs="Arial"/>
        </w:rPr>
        <w:t>projected to rise to</w:t>
      </w:r>
      <w:r w:rsidR="00191834" w:rsidRPr="00030181">
        <w:rPr>
          <w:rFonts w:ascii="Arial" w:hAnsi="Arial" w:cs="Arial"/>
        </w:rPr>
        <w:t xml:space="preserve"> </w:t>
      </w:r>
      <w:r w:rsidR="00AA5CE2" w:rsidRPr="00030181">
        <w:rPr>
          <w:rFonts w:ascii="Arial" w:hAnsi="Arial" w:cs="Arial"/>
        </w:rPr>
        <w:t xml:space="preserve">25% by 2050 </w:t>
      </w:r>
      <w:r w:rsidRPr="00030181">
        <w:rPr>
          <w:rFonts w:ascii="Arial" w:hAnsi="Arial" w:cs="Arial"/>
        </w:rPr>
        <w:t xml:space="preserve">(Office for National Statistics, 2019; Office for National Statistics, 2023). The </w:t>
      </w:r>
      <w:r w:rsidR="00191834" w:rsidRPr="00030181">
        <w:rPr>
          <w:rFonts w:ascii="Arial" w:hAnsi="Arial" w:cs="Arial"/>
        </w:rPr>
        <w:t xml:space="preserve">occurrence of </w:t>
      </w:r>
      <w:r w:rsidR="00191834" w:rsidRPr="00030181">
        <w:rPr>
          <w:rFonts w:ascii="Arial" w:hAnsi="Arial" w:cs="Arial"/>
        </w:rPr>
        <w:t xml:space="preserve">chronic </w:t>
      </w:r>
      <w:r w:rsidRPr="00030181">
        <w:rPr>
          <w:rFonts w:ascii="Arial" w:hAnsi="Arial" w:cs="Arial"/>
        </w:rPr>
        <w:t>conditions is high, with 74% of adults reporting at least one longstanding condition, increasing to over 85% among those aged 75 years and above (NHS Digital, 2023).</w:t>
      </w:r>
    </w:p>
    <w:p w14:paraId="2186EAD8" w14:textId="5FFEA7B6" w:rsidR="006C3281" w:rsidRPr="00030181" w:rsidRDefault="006C3281" w:rsidP="005C5EBA">
      <w:pPr>
        <w:spacing w:line="360" w:lineRule="auto"/>
        <w:jc w:val="both"/>
        <w:rPr>
          <w:rFonts w:ascii="Arial" w:hAnsi="Arial" w:cs="Arial"/>
          <w:lang w:val="en-US"/>
        </w:rPr>
      </w:pPr>
      <w:r w:rsidRPr="00030181">
        <w:rPr>
          <w:rFonts w:ascii="Arial" w:hAnsi="Arial" w:cs="Arial"/>
        </w:rPr>
        <w:t xml:space="preserve">Diabetes represents a significant public health concern </w:t>
      </w:r>
      <w:r w:rsidR="00191834" w:rsidRPr="00030181">
        <w:rPr>
          <w:rFonts w:ascii="Arial" w:hAnsi="Arial" w:cs="Arial"/>
        </w:rPr>
        <w:t>across</w:t>
      </w:r>
      <w:r w:rsidRPr="00030181">
        <w:rPr>
          <w:rFonts w:ascii="Arial" w:hAnsi="Arial" w:cs="Arial"/>
        </w:rPr>
        <w:t xml:space="preserve"> the UK, with approximately 4.3 </w:t>
      </w:r>
      <w:r w:rsidR="00810BC6" w:rsidRPr="00030181">
        <w:rPr>
          <w:rFonts w:ascii="Arial" w:hAnsi="Arial" w:cs="Arial"/>
          <w:lang w:val="en-US"/>
        </w:rPr>
        <w:t xml:space="preserve">million </w:t>
      </w:r>
      <w:r w:rsidR="00191834" w:rsidRPr="00030181">
        <w:rPr>
          <w:rFonts w:ascii="Arial" w:hAnsi="Arial" w:cs="Arial"/>
        </w:rPr>
        <w:t>individuals</w:t>
      </w:r>
      <w:r w:rsidR="00191834" w:rsidRPr="00030181">
        <w:rPr>
          <w:rFonts w:ascii="Arial" w:hAnsi="Arial" w:cs="Arial"/>
          <w:lang w:val="en-US"/>
        </w:rPr>
        <w:t xml:space="preserve"> </w:t>
      </w:r>
      <w:r w:rsidR="00810BC6" w:rsidRPr="00030181">
        <w:rPr>
          <w:rFonts w:ascii="Arial" w:hAnsi="Arial" w:cs="Arial"/>
          <w:lang w:val="en-US"/>
        </w:rPr>
        <w:t xml:space="preserve">diagnosed, with </w:t>
      </w:r>
      <w:r w:rsidR="00191834" w:rsidRPr="00030181">
        <w:rPr>
          <w:rFonts w:ascii="Arial" w:hAnsi="Arial" w:cs="Arial"/>
        </w:rPr>
        <w:t>approximately</w:t>
      </w:r>
      <w:r w:rsidR="00191834" w:rsidRPr="00030181">
        <w:rPr>
          <w:rFonts w:ascii="Arial" w:hAnsi="Arial" w:cs="Arial"/>
        </w:rPr>
        <w:t xml:space="preserve"> </w:t>
      </w:r>
      <w:r w:rsidR="00810BC6" w:rsidRPr="00030181">
        <w:rPr>
          <w:rFonts w:ascii="Arial" w:hAnsi="Arial" w:cs="Arial"/>
          <w:lang w:val="en-US"/>
        </w:rPr>
        <w:t xml:space="preserve">850,000 individuals having undiagnosed </w:t>
      </w:r>
      <w:r w:rsidR="00810BC6" w:rsidRPr="00030181">
        <w:rPr>
          <w:rFonts w:ascii="Arial" w:hAnsi="Arial" w:cs="Arial"/>
          <w:lang w:val="en-US"/>
        </w:rPr>
        <w:lastRenderedPageBreak/>
        <w:t>diabetes</w:t>
      </w:r>
      <w:r w:rsidR="000D6E1E" w:rsidRPr="00030181">
        <w:rPr>
          <w:rFonts w:ascii="Arial" w:hAnsi="Arial" w:cs="Arial"/>
          <w:lang w:val="en-US"/>
        </w:rPr>
        <w:t xml:space="preserve"> </w:t>
      </w:r>
      <w:r w:rsidRPr="00030181">
        <w:rPr>
          <w:rFonts w:ascii="Arial" w:hAnsi="Arial" w:cs="Arial"/>
        </w:rPr>
        <w:t xml:space="preserve">(Diabetes UK, 2023). </w:t>
      </w:r>
      <w:r w:rsidR="00D9791D" w:rsidRPr="00030181">
        <w:rPr>
          <w:rFonts w:ascii="Arial" w:hAnsi="Arial" w:cs="Arial"/>
        </w:rPr>
        <w:t>This disease is closely linked to changeable contributing factors</w:t>
      </w:r>
      <w:r w:rsidR="00D9791D" w:rsidRPr="00030181">
        <w:rPr>
          <w:rFonts w:ascii="Arial" w:hAnsi="Arial" w:cs="Arial"/>
        </w:rPr>
        <w:t xml:space="preserve">, </w:t>
      </w:r>
      <w:r w:rsidR="008674D1" w:rsidRPr="00030181">
        <w:rPr>
          <w:rFonts w:ascii="Arial" w:hAnsi="Arial" w:cs="Arial"/>
        </w:rPr>
        <w:t xml:space="preserve">including obesity, </w:t>
      </w:r>
      <w:r w:rsidR="00D9791D" w:rsidRPr="00030181">
        <w:rPr>
          <w:rFonts w:ascii="Arial" w:hAnsi="Arial" w:cs="Arial"/>
        </w:rPr>
        <w:t>unhealthy diet</w:t>
      </w:r>
      <w:r w:rsidR="008674D1" w:rsidRPr="00030181">
        <w:rPr>
          <w:rFonts w:ascii="Arial" w:hAnsi="Arial" w:cs="Arial"/>
        </w:rPr>
        <w:t xml:space="preserve">, and </w:t>
      </w:r>
      <w:r w:rsidR="00D9791D" w:rsidRPr="00030181">
        <w:rPr>
          <w:rFonts w:ascii="Arial" w:hAnsi="Arial" w:cs="Arial"/>
        </w:rPr>
        <w:t>sedentary behaviour</w:t>
      </w:r>
      <w:r w:rsidR="00D9791D" w:rsidRPr="00030181">
        <w:rPr>
          <w:rFonts w:ascii="Arial" w:hAnsi="Arial" w:cs="Arial"/>
        </w:rPr>
        <w:t xml:space="preserve"> </w:t>
      </w:r>
      <w:r w:rsidRPr="00030181">
        <w:rPr>
          <w:rFonts w:ascii="Arial" w:hAnsi="Arial" w:cs="Arial"/>
        </w:rPr>
        <w:t>(Diabetes UK, 2023).</w:t>
      </w:r>
    </w:p>
    <w:p w14:paraId="4FEC36C9" w14:textId="19ACD846" w:rsidR="006C3281" w:rsidRPr="00030181" w:rsidRDefault="006C3281" w:rsidP="005C5EBA">
      <w:pPr>
        <w:spacing w:line="360" w:lineRule="auto"/>
        <w:jc w:val="both"/>
        <w:rPr>
          <w:rFonts w:ascii="Arial" w:hAnsi="Arial" w:cs="Arial"/>
          <w:lang w:val="en-US"/>
        </w:rPr>
      </w:pPr>
      <w:r w:rsidRPr="00030181">
        <w:rPr>
          <w:rFonts w:ascii="Arial" w:hAnsi="Arial" w:cs="Arial"/>
        </w:rPr>
        <w:t xml:space="preserve">Obesity is a major contributing factor, with approximately 63% of adults in England classified as </w:t>
      </w:r>
      <w:r w:rsidR="00D9791D" w:rsidRPr="00030181">
        <w:rPr>
          <w:rFonts w:ascii="Arial" w:hAnsi="Arial" w:cs="Arial"/>
        </w:rPr>
        <w:t>carrying excess weight or obesity</w:t>
      </w:r>
      <w:r w:rsidRPr="00030181">
        <w:rPr>
          <w:rFonts w:ascii="Arial" w:hAnsi="Arial" w:cs="Arial"/>
        </w:rPr>
        <w:t xml:space="preserve">, significantly increasing </w:t>
      </w:r>
      <w:r w:rsidR="00D9791D" w:rsidRPr="00030181">
        <w:rPr>
          <w:rFonts w:ascii="Arial" w:hAnsi="Arial" w:cs="Arial"/>
        </w:rPr>
        <w:t>the likelihood of developing</w:t>
      </w:r>
      <w:r w:rsidR="00D9791D" w:rsidRPr="00030181">
        <w:rPr>
          <w:rFonts w:ascii="Arial" w:hAnsi="Arial" w:cs="Arial"/>
        </w:rPr>
        <w:t xml:space="preserve"> </w:t>
      </w:r>
      <w:r w:rsidRPr="00030181">
        <w:rPr>
          <w:rFonts w:ascii="Arial" w:hAnsi="Arial" w:cs="Arial"/>
        </w:rPr>
        <w:t>type 2 diabetes (NHS Digital, 2023). Additional risk factors include advancing age, ethnicity</w:t>
      </w:r>
      <w:r w:rsidR="00810BC6" w:rsidRPr="00030181">
        <w:rPr>
          <w:rFonts w:ascii="Arial" w:hAnsi="Arial" w:cs="Arial"/>
          <w:lang w:val="en-US"/>
        </w:rPr>
        <w:t xml:space="preserve">, and socioeconomic disadvantage, with greater prevalence reported among South Asian and Black communities </w:t>
      </w:r>
      <w:r w:rsidRPr="00030181">
        <w:rPr>
          <w:rFonts w:ascii="Arial" w:hAnsi="Arial" w:cs="Arial"/>
        </w:rPr>
        <w:t>and in more deprived communities (Diabetes UK, 2023).</w:t>
      </w:r>
    </w:p>
    <w:p w14:paraId="33FEA073" w14:textId="615DB31D" w:rsidR="006C3281" w:rsidRPr="00030181" w:rsidRDefault="006C3281" w:rsidP="005C5EBA">
      <w:pPr>
        <w:spacing w:line="360" w:lineRule="auto"/>
        <w:jc w:val="both"/>
        <w:rPr>
          <w:rFonts w:ascii="Arial" w:hAnsi="Arial" w:cs="Arial"/>
          <w:lang w:val="en-US"/>
        </w:rPr>
      </w:pPr>
      <w:r w:rsidRPr="00030181">
        <w:rPr>
          <w:rFonts w:ascii="Arial" w:hAnsi="Arial" w:cs="Arial"/>
        </w:rPr>
        <w:t xml:space="preserve">The economic burden of type 2 diabetes on the National Health Service (NHS) is substantial, accounting </w:t>
      </w:r>
      <w:r w:rsidR="00810BC6" w:rsidRPr="00030181">
        <w:rPr>
          <w:rFonts w:ascii="Arial" w:hAnsi="Arial" w:cs="Arial"/>
          <w:lang w:val="en-US"/>
        </w:rPr>
        <w:t xml:space="preserve">representing approximately 10% of the NHS budget, amounting to around £10 billion each year </w:t>
      </w:r>
      <w:r w:rsidRPr="00030181">
        <w:rPr>
          <w:rFonts w:ascii="Arial" w:hAnsi="Arial" w:cs="Arial"/>
        </w:rPr>
        <w:t xml:space="preserve">(Diabetes UK, 2023). A large proportion of this expenditure is related to managing </w:t>
      </w:r>
      <w:r w:rsidR="00810BC6" w:rsidRPr="00030181">
        <w:rPr>
          <w:rFonts w:ascii="Arial" w:hAnsi="Arial" w:cs="Arial"/>
          <w:lang w:val="en-US"/>
        </w:rPr>
        <w:t>conditions including cardiovascular disease, renal failure, and lower-extremity amputations</w:t>
      </w:r>
      <w:r w:rsidRPr="00030181">
        <w:rPr>
          <w:rFonts w:ascii="Arial" w:hAnsi="Arial" w:cs="Arial"/>
        </w:rPr>
        <w:t>, highlighting the cost of poor disease management (Diabetes UK, 2023).</w:t>
      </w:r>
    </w:p>
    <w:p w14:paraId="5EE6D679" w14:textId="5F5911AD" w:rsidR="006C3281" w:rsidRPr="00030181" w:rsidRDefault="00810BC6" w:rsidP="005C5EBA">
      <w:pPr>
        <w:spacing w:line="360" w:lineRule="auto"/>
        <w:jc w:val="both"/>
        <w:rPr>
          <w:rFonts w:ascii="Arial" w:hAnsi="Arial" w:cs="Arial"/>
          <w:lang w:val="en-US"/>
        </w:rPr>
      </w:pPr>
      <w:r w:rsidRPr="00030181">
        <w:rPr>
          <w:rFonts w:ascii="Arial" w:hAnsi="Arial" w:cs="Arial"/>
          <w:lang w:val="en-US"/>
        </w:rPr>
        <w:t xml:space="preserve">At the individual level, type 2 diabetes diminishes </w:t>
      </w:r>
      <w:r w:rsidR="00D9791D" w:rsidRPr="00030181">
        <w:rPr>
          <w:rFonts w:ascii="Arial" w:hAnsi="Arial" w:cs="Arial"/>
        </w:rPr>
        <w:t>overall well-being</w:t>
      </w:r>
      <w:r w:rsidR="00D9791D" w:rsidRPr="00030181">
        <w:rPr>
          <w:rFonts w:ascii="Arial" w:hAnsi="Arial" w:cs="Arial"/>
          <w:lang w:val="en-US"/>
        </w:rPr>
        <w:t xml:space="preserve"> </w:t>
      </w:r>
      <w:r w:rsidRPr="00030181">
        <w:rPr>
          <w:rFonts w:ascii="Arial" w:hAnsi="Arial" w:cs="Arial"/>
          <w:lang w:val="en-US"/>
        </w:rPr>
        <w:t xml:space="preserve">and elevates the </w:t>
      </w:r>
      <w:r w:rsidR="00D9791D" w:rsidRPr="00030181">
        <w:rPr>
          <w:rFonts w:ascii="Arial" w:hAnsi="Arial" w:cs="Arial"/>
        </w:rPr>
        <w:t>likelihood of</w:t>
      </w:r>
      <w:r w:rsidR="00D9791D" w:rsidRPr="00030181">
        <w:rPr>
          <w:rFonts w:ascii="Arial" w:hAnsi="Arial" w:cs="Arial"/>
        </w:rPr>
        <w:t xml:space="preserve"> </w:t>
      </w:r>
      <w:r w:rsidRPr="00030181">
        <w:rPr>
          <w:rFonts w:ascii="Arial" w:hAnsi="Arial" w:cs="Arial"/>
          <w:lang w:val="en-US"/>
        </w:rPr>
        <w:t xml:space="preserve">disability and early </w:t>
      </w:r>
      <w:r w:rsidR="00D9791D" w:rsidRPr="00030181">
        <w:rPr>
          <w:rFonts w:ascii="Arial" w:hAnsi="Arial" w:cs="Arial"/>
          <w:lang w:val="en-US"/>
        </w:rPr>
        <w:t>death rate</w:t>
      </w:r>
      <w:r w:rsidR="006C3281" w:rsidRPr="00030181">
        <w:rPr>
          <w:rFonts w:ascii="Arial" w:hAnsi="Arial" w:cs="Arial"/>
        </w:rPr>
        <w:t xml:space="preserve">, cardiovascular disease, and hospital admissions, leading to higher healthcare utilisation (World Health Organization, 2022; National Institute for Health and Care Excellence, 2022). As chronic conditions rise, demand for </w:t>
      </w:r>
      <w:r w:rsidR="00D8771B" w:rsidRPr="00030181">
        <w:rPr>
          <w:rFonts w:ascii="Arial" w:hAnsi="Arial" w:cs="Arial"/>
        </w:rPr>
        <w:t>ongoing care services</w:t>
      </w:r>
      <w:r w:rsidR="00D8771B" w:rsidRPr="00030181">
        <w:rPr>
          <w:rFonts w:ascii="Arial" w:hAnsi="Arial" w:cs="Arial"/>
        </w:rPr>
        <w:t xml:space="preserve"> </w:t>
      </w:r>
      <w:r w:rsidR="006C3281" w:rsidRPr="00030181">
        <w:rPr>
          <w:rFonts w:ascii="Arial" w:hAnsi="Arial" w:cs="Arial"/>
        </w:rPr>
        <w:t xml:space="preserve">is increasing, </w:t>
      </w:r>
      <w:r w:rsidR="00D9791D" w:rsidRPr="00030181">
        <w:rPr>
          <w:rFonts w:ascii="Arial" w:hAnsi="Arial" w:cs="Arial"/>
        </w:rPr>
        <w:t>especially</w:t>
      </w:r>
      <w:r w:rsidR="006C3281" w:rsidRPr="00030181">
        <w:rPr>
          <w:rFonts w:ascii="Arial" w:hAnsi="Arial" w:cs="Arial"/>
        </w:rPr>
        <w:t xml:space="preserve"> in care homes, where approximately 410,000 older adults reside and 25–30% live with diabetes, many with complex health needs requiring effective dietary and clinical management (The King’s Fund, 2023; Diabetes UK, 2023; Sinclair et al., 2020).</w:t>
      </w:r>
    </w:p>
    <w:p w14:paraId="3BCBAB8A" w14:textId="1CA772AB" w:rsidR="006C3281" w:rsidRPr="00030181" w:rsidRDefault="006C3281" w:rsidP="005C5EBA">
      <w:pPr>
        <w:pStyle w:val="Heading1"/>
        <w:spacing w:line="360" w:lineRule="auto"/>
        <w:rPr>
          <w:rFonts w:ascii="Arial" w:hAnsi="Arial" w:cs="Arial"/>
          <w:b/>
          <w:bCs/>
          <w:color w:val="000000" w:themeColor="text1"/>
        </w:rPr>
      </w:pPr>
      <w:bookmarkStart w:id="4" w:name="_Toc231947532"/>
      <w:r w:rsidRPr="00030181">
        <w:rPr>
          <w:rFonts w:ascii="Arial" w:hAnsi="Arial" w:cs="Arial"/>
          <w:b/>
          <w:bCs/>
          <w:color w:val="000000" w:themeColor="text1"/>
          <w:sz w:val="22"/>
          <w:szCs w:val="22"/>
        </w:rPr>
        <w:t>1.2 Food Safety and Nutrition Practices in Care Homes</w:t>
      </w:r>
      <w:bookmarkEnd w:id="4"/>
    </w:p>
    <w:p w14:paraId="7DEA1F21" w14:textId="6A1E43FC" w:rsidR="006C3281" w:rsidRPr="00030181" w:rsidRDefault="006C3281" w:rsidP="005C5EBA">
      <w:pPr>
        <w:spacing w:line="360" w:lineRule="auto"/>
        <w:jc w:val="both"/>
        <w:rPr>
          <w:rFonts w:ascii="Arial" w:hAnsi="Arial" w:cs="Arial"/>
          <w:lang w:val="en-US"/>
        </w:rPr>
      </w:pPr>
      <w:r w:rsidRPr="00030181">
        <w:rPr>
          <w:rFonts w:ascii="Arial" w:hAnsi="Arial" w:cs="Arial"/>
        </w:rPr>
        <w:t xml:space="preserve">Nutrition is a key determinant of health </w:t>
      </w:r>
      <w:r w:rsidR="00810BC6" w:rsidRPr="00030181">
        <w:rPr>
          <w:rFonts w:ascii="Arial" w:hAnsi="Arial" w:cs="Arial"/>
          <w:lang w:val="en-US"/>
        </w:rPr>
        <w:t xml:space="preserve">within care home settings, where residents </w:t>
      </w:r>
      <w:r w:rsidRPr="00030181">
        <w:rPr>
          <w:rFonts w:ascii="Arial" w:hAnsi="Arial" w:cs="Arial"/>
        </w:rPr>
        <w:t>depend on staff for food provision and dietary management (British Dietetic Association, 2022). Adequate nutrition supports immune function, maintains muscle mass, and aids recovery from illness (Landi et al., 2019).</w:t>
      </w:r>
    </w:p>
    <w:p w14:paraId="19B92875" w14:textId="7B66B69A" w:rsidR="006C3281" w:rsidRPr="00030181" w:rsidRDefault="006C3281" w:rsidP="005C5EBA">
      <w:pPr>
        <w:spacing w:line="360" w:lineRule="auto"/>
        <w:jc w:val="both"/>
        <w:rPr>
          <w:rFonts w:ascii="Arial" w:hAnsi="Arial" w:cs="Arial"/>
          <w:lang w:val="en-US"/>
        </w:rPr>
      </w:pPr>
      <w:r w:rsidRPr="00030181">
        <w:rPr>
          <w:rFonts w:ascii="Arial" w:hAnsi="Arial" w:cs="Arial"/>
        </w:rPr>
        <w:t xml:space="preserve">Malnutrition is highly prevalent, affecting approximately 20–30% of residents, with up to 60% at risk, and around 34% identified at </w:t>
      </w:r>
      <w:r w:rsidR="00810BC6" w:rsidRPr="00030181">
        <w:rPr>
          <w:rFonts w:ascii="Arial" w:hAnsi="Arial" w:cs="Arial"/>
          <w:lang w:val="en-US"/>
        </w:rPr>
        <w:t>risk in the UK through the Malnutrition Universal Screening Tool (MUST)</w:t>
      </w:r>
      <w:r w:rsidRPr="00030181">
        <w:rPr>
          <w:rFonts w:ascii="Arial" w:hAnsi="Arial" w:cs="Arial"/>
        </w:rPr>
        <w:t xml:space="preserve"> (Dent et al., 2023; British Association for Parenteral and Enteral Nutrition, 2021).</w:t>
      </w:r>
    </w:p>
    <w:p w14:paraId="6F51C088" w14:textId="6814DC7F" w:rsidR="006C3281" w:rsidRPr="00030181" w:rsidRDefault="006C3281" w:rsidP="005C5EBA">
      <w:pPr>
        <w:spacing w:line="360" w:lineRule="auto"/>
        <w:jc w:val="both"/>
        <w:rPr>
          <w:rFonts w:ascii="Arial" w:hAnsi="Arial" w:cs="Arial"/>
          <w:lang w:val="en-US"/>
        </w:rPr>
      </w:pPr>
      <w:r w:rsidRPr="00030181">
        <w:rPr>
          <w:rFonts w:ascii="Arial" w:hAnsi="Arial" w:cs="Arial"/>
        </w:rPr>
        <w:t xml:space="preserve">Malnutrition </w:t>
      </w:r>
      <w:r w:rsidR="00810BC6" w:rsidRPr="00030181">
        <w:rPr>
          <w:rFonts w:ascii="Arial" w:hAnsi="Arial" w:cs="Arial"/>
          <w:lang w:val="en-US"/>
        </w:rPr>
        <w:t xml:space="preserve">is linked to higher </w:t>
      </w:r>
      <w:r w:rsidRPr="00030181">
        <w:rPr>
          <w:rFonts w:ascii="Arial" w:hAnsi="Arial" w:cs="Arial"/>
        </w:rPr>
        <w:t>hospital</w:t>
      </w:r>
      <w:r w:rsidR="000D6E1E" w:rsidRPr="00030181">
        <w:rPr>
          <w:rFonts w:ascii="Arial" w:hAnsi="Arial" w:cs="Arial"/>
        </w:rPr>
        <w:t xml:space="preserve"> </w:t>
      </w:r>
      <w:r w:rsidRPr="00030181">
        <w:rPr>
          <w:rFonts w:ascii="Arial" w:hAnsi="Arial" w:cs="Arial"/>
        </w:rPr>
        <w:t>admissions, longer stays, and higher mortality (National Institute for Health and Care Excellence, 2022). In individuals with type 2 diabetes, poor nutrition leads to unstable glycaemic control</w:t>
      </w:r>
      <w:r w:rsidR="00F802CF" w:rsidRPr="00030181">
        <w:rPr>
          <w:rFonts w:ascii="Arial" w:hAnsi="Arial" w:cs="Arial"/>
          <w:lang w:val="en-US"/>
        </w:rPr>
        <w:t>, raising the likelihood of hypo</w:t>
      </w:r>
      <w:r w:rsidR="009235A9" w:rsidRPr="00030181">
        <w:rPr>
          <w:rFonts w:ascii="Arial" w:hAnsi="Arial" w:cs="Arial"/>
          <w:lang w:val="en-US"/>
        </w:rPr>
        <w:t>-</w:t>
      </w:r>
      <w:r w:rsidR="00F802CF" w:rsidRPr="00030181">
        <w:rPr>
          <w:rFonts w:ascii="Arial" w:hAnsi="Arial" w:cs="Arial"/>
          <w:lang w:val="en-US"/>
        </w:rPr>
        <w:t>glycaemia and hyper</w:t>
      </w:r>
      <w:r w:rsidR="009235A9" w:rsidRPr="00030181">
        <w:rPr>
          <w:rFonts w:ascii="Arial" w:hAnsi="Arial" w:cs="Arial"/>
          <w:lang w:val="en-US"/>
        </w:rPr>
        <w:t>-</w:t>
      </w:r>
      <w:r w:rsidR="00F802CF" w:rsidRPr="00030181">
        <w:rPr>
          <w:rFonts w:ascii="Arial" w:hAnsi="Arial" w:cs="Arial"/>
          <w:lang w:val="en-US"/>
        </w:rPr>
        <w:t xml:space="preserve">glycaemia </w:t>
      </w:r>
      <w:r w:rsidRPr="00030181">
        <w:rPr>
          <w:rFonts w:ascii="Arial" w:hAnsi="Arial" w:cs="Arial"/>
        </w:rPr>
        <w:t>(Diabetes UK, 2023; National Institute for Health and Care Excellence, 2022).</w:t>
      </w:r>
    </w:p>
    <w:p w14:paraId="2E540BCE" w14:textId="5C8A5B21" w:rsidR="006C3281" w:rsidRPr="00030181" w:rsidRDefault="006C3281" w:rsidP="005C5EBA">
      <w:pPr>
        <w:spacing w:line="360" w:lineRule="auto"/>
        <w:jc w:val="both"/>
        <w:rPr>
          <w:rFonts w:ascii="Arial" w:hAnsi="Arial" w:cs="Arial"/>
          <w:lang w:val="en-US"/>
        </w:rPr>
      </w:pPr>
      <w:r w:rsidRPr="00030181">
        <w:rPr>
          <w:rFonts w:ascii="Arial" w:hAnsi="Arial" w:cs="Arial"/>
        </w:rPr>
        <w:lastRenderedPageBreak/>
        <w:t xml:space="preserve">Food safety is critical due to age-related immune decline, as immunosenescence increases susceptibility to foodborne infections affecting </w:t>
      </w:r>
      <w:r w:rsidR="00F802CF" w:rsidRPr="00030181">
        <w:rPr>
          <w:rFonts w:ascii="Arial" w:hAnsi="Arial" w:cs="Arial"/>
          <w:lang w:val="en-US"/>
        </w:rPr>
        <w:t>around 600 million people each year and resulting in approximately 420,000 deaths worldwide</w:t>
      </w:r>
      <w:r w:rsidRPr="00030181">
        <w:rPr>
          <w:rFonts w:ascii="Arial" w:hAnsi="Arial" w:cs="Arial"/>
        </w:rPr>
        <w:t xml:space="preserve"> (Public Health England, 2020; World Health Organization, 2022).</w:t>
      </w:r>
    </w:p>
    <w:p w14:paraId="6955B4FA" w14:textId="77777777" w:rsidR="006C3281" w:rsidRPr="00030181" w:rsidRDefault="006C3281" w:rsidP="005C5EBA">
      <w:pPr>
        <w:spacing w:line="360" w:lineRule="auto"/>
        <w:jc w:val="both"/>
        <w:rPr>
          <w:rFonts w:ascii="Arial" w:hAnsi="Arial" w:cs="Arial"/>
        </w:rPr>
      </w:pPr>
      <w:r w:rsidRPr="00030181">
        <w:rPr>
          <w:rFonts w:ascii="Arial" w:hAnsi="Arial" w:cs="Arial"/>
        </w:rPr>
        <w:t>Inadequate food hygiene practices, including improper storage, cross-contamination, and insufficient cooking, increase infection risk in care homes (Food Standards Agency, 2022). For residents with type 2 diabetes, infections can worsen glycaemic control and increase complications such as sepsis and delayed wound healing (Diabetes UK, 2023).</w:t>
      </w:r>
    </w:p>
    <w:p w14:paraId="7ACBDDC1" w14:textId="77777777" w:rsidR="006C3281" w:rsidRPr="00030181" w:rsidRDefault="006C3281" w:rsidP="005C5EBA">
      <w:pPr>
        <w:pStyle w:val="Heading1"/>
        <w:spacing w:line="360" w:lineRule="auto"/>
        <w:rPr>
          <w:rFonts w:ascii="Arial" w:hAnsi="Arial" w:cs="Arial"/>
          <w:b/>
          <w:bCs/>
        </w:rPr>
      </w:pPr>
      <w:bookmarkStart w:id="5" w:name="_Toc231947533"/>
      <w:r w:rsidRPr="00030181">
        <w:rPr>
          <w:rFonts w:ascii="Arial" w:hAnsi="Arial" w:cs="Arial"/>
          <w:b/>
          <w:bCs/>
          <w:color w:val="000000" w:themeColor="text1"/>
          <w:sz w:val="22"/>
          <w:szCs w:val="22"/>
        </w:rPr>
        <w:t>1.3 Chronic Conditions and Nutritional Vulnerability</w:t>
      </w:r>
      <w:bookmarkEnd w:id="5"/>
    </w:p>
    <w:p w14:paraId="3D429000" w14:textId="3C0EF4DE" w:rsidR="006C3281" w:rsidRPr="00030181" w:rsidRDefault="006C3281" w:rsidP="005C5EBA">
      <w:pPr>
        <w:spacing w:line="360" w:lineRule="auto"/>
        <w:jc w:val="both"/>
        <w:rPr>
          <w:rFonts w:ascii="Arial" w:hAnsi="Arial" w:cs="Arial"/>
          <w:lang w:val="en-US"/>
        </w:rPr>
      </w:pPr>
      <w:r w:rsidRPr="00030181">
        <w:rPr>
          <w:rFonts w:ascii="Arial" w:hAnsi="Arial" w:cs="Arial"/>
        </w:rPr>
        <w:t xml:space="preserve">Older adults in care homes commonly experience multimorbidity, </w:t>
      </w:r>
      <w:r w:rsidR="00D8771B" w:rsidRPr="00030181">
        <w:rPr>
          <w:rFonts w:ascii="Arial" w:hAnsi="Arial" w:cs="Arial"/>
        </w:rPr>
        <w:t>involving</w:t>
      </w:r>
      <w:r w:rsidR="00D8771B" w:rsidRPr="00030181">
        <w:rPr>
          <w:rFonts w:ascii="Arial" w:hAnsi="Arial" w:cs="Arial"/>
        </w:rPr>
        <w:t xml:space="preserve"> </w:t>
      </w:r>
      <w:r w:rsidR="00F802CF" w:rsidRPr="00030181">
        <w:rPr>
          <w:rFonts w:ascii="Arial" w:hAnsi="Arial" w:cs="Arial"/>
          <w:lang w:val="en-US"/>
        </w:rPr>
        <w:t xml:space="preserve">cardiovascular </w:t>
      </w:r>
      <w:r w:rsidR="00D8771B" w:rsidRPr="00030181">
        <w:rPr>
          <w:rFonts w:ascii="Arial" w:hAnsi="Arial" w:cs="Arial"/>
        </w:rPr>
        <w:t>condition</w:t>
      </w:r>
      <w:r w:rsidR="00F802CF" w:rsidRPr="00030181">
        <w:rPr>
          <w:rFonts w:ascii="Arial" w:hAnsi="Arial" w:cs="Arial"/>
          <w:lang w:val="en-US"/>
        </w:rPr>
        <w:t xml:space="preserve">, type 2 diabetes, and </w:t>
      </w:r>
      <w:r w:rsidR="00D8771B" w:rsidRPr="00030181">
        <w:rPr>
          <w:rFonts w:ascii="Arial" w:hAnsi="Arial" w:cs="Arial"/>
        </w:rPr>
        <w:t xml:space="preserve">chronic </w:t>
      </w:r>
      <w:r w:rsidR="00F802CF" w:rsidRPr="00030181">
        <w:rPr>
          <w:rFonts w:ascii="Arial" w:hAnsi="Arial" w:cs="Arial"/>
          <w:lang w:val="en-US"/>
        </w:rPr>
        <w:t>respiratory illnesses</w:t>
      </w:r>
      <w:r w:rsidRPr="00030181">
        <w:rPr>
          <w:rFonts w:ascii="Arial" w:hAnsi="Arial" w:cs="Arial"/>
        </w:rPr>
        <w:t>, increasing vulnerability to poor nutritional status (World Health Organization, 2022; NHS Digital, 2023</w:t>
      </w:r>
      <w:r w:rsidR="00990782" w:rsidRPr="00030181">
        <w:rPr>
          <w:rFonts w:ascii="Arial" w:hAnsi="Arial" w:cs="Arial"/>
          <w:lang w:val="en-US"/>
        </w:rPr>
        <w:t xml:space="preserve">). Type 2 diabetes is common among residents of care homes </w:t>
      </w:r>
      <w:r w:rsidR="008674D1" w:rsidRPr="00030181">
        <w:rPr>
          <w:rFonts w:ascii="Arial" w:hAnsi="Arial" w:cs="Arial"/>
        </w:rPr>
        <w:t>and requires careful dietary management to maintain stable blood glucose levels (</w:t>
      </w:r>
      <w:r w:rsidRPr="00030181">
        <w:rPr>
          <w:rFonts w:ascii="Arial" w:hAnsi="Arial" w:cs="Arial"/>
        </w:rPr>
        <w:t>Diabetes UK, 2023; Sinclair et al., 2020).</w:t>
      </w:r>
    </w:p>
    <w:p w14:paraId="3D9B36F4" w14:textId="1D5814B8" w:rsidR="006C3281" w:rsidRPr="00030181" w:rsidRDefault="006C3281" w:rsidP="005C5EBA">
      <w:pPr>
        <w:spacing w:line="360" w:lineRule="auto"/>
        <w:jc w:val="both"/>
        <w:rPr>
          <w:rFonts w:ascii="Arial" w:hAnsi="Arial" w:cs="Arial"/>
        </w:rPr>
      </w:pPr>
      <w:r w:rsidRPr="00030181">
        <w:rPr>
          <w:rFonts w:ascii="Arial" w:hAnsi="Arial" w:cs="Arial"/>
        </w:rPr>
        <w:t xml:space="preserve">Poor nutrition exacerbates these conditions by contributing to unstable glycaemic control, increased infection risk, and delayed recovery (National Institute for Health and Care Excellence, 2022). Inconsistent carbohydrate intake </w:t>
      </w:r>
      <w:r w:rsidR="00D8771B" w:rsidRPr="00030181">
        <w:rPr>
          <w:rFonts w:ascii="Arial" w:hAnsi="Arial" w:cs="Arial"/>
        </w:rPr>
        <w:t>as well as</w:t>
      </w:r>
      <w:r w:rsidRPr="00030181">
        <w:rPr>
          <w:rFonts w:ascii="Arial" w:hAnsi="Arial" w:cs="Arial"/>
        </w:rPr>
        <w:t xml:space="preserve"> poor diet quality can lead to hypoglycaemia and hyperglycaemia, increasing </w:t>
      </w:r>
      <w:r w:rsidR="00D8771B" w:rsidRPr="00030181">
        <w:rPr>
          <w:rFonts w:ascii="Arial" w:hAnsi="Arial" w:cs="Arial"/>
        </w:rPr>
        <w:t>the potential for complications</w:t>
      </w:r>
      <w:r w:rsidR="00D8771B" w:rsidRPr="00030181">
        <w:rPr>
          <w:rFonts w:ascii="Arial" w:hAnsi="Arial" w:cs="Arial"/>
        </w:rPr>
        <w:t xml:space="preserve"> </w:t>
      </w:r>
      <w:r w:rsidRPr="00030181">
        <w:rPr>
          <w:rFonts w:ascii="Arial" w:hAnsi="Arial" w:cs="Arial"/>
        </w:rPr>
        <w:t xml:space="preserve">such as </w:t>
      </w:r>
      <w:r w:rsidR="008674D1" w:rsidRPr="00030181">
        <w:rPr>
          <w:rFonts w:ascii="Arial" w:hAnsi="Arial" w:cs="Arial"/>
        </w:rPr>
        <w:t xml:space="preserve">increasing the </w:t>
      </w:r>
      <w:r w:rsidR="00D8771B" w:rsidRPr="00030181">
        <w:rPr>
          <w:rFonts w:ascii="Arial" w:hAnsi="Arial" w:cs="Arial"/>
        </w:rPr>
        <w:t xml:space="preserve">elevating </w:t>
      </w:r>
      <w:r w:rsidR="008674D1" w:rsidRPr="00030181">
        <w:rPr>
          <w:rFonts w:ascii="Arial" w:hAnsi="Arial" w:cs="Arial"/>
        </w:rPr>
        <w:t xml:space="preserve">long-term diabetes-related complications </w:t>
      </w:r>
      <w:r w:rsidRPr="00030181">
        <w:rPr>
          <w:rFonts w:ascii="Arial" w:hAnsi="Arial" w:cs="Arial"/>
        </w:rPr>
        <w:t>(Diabetes UK, 2023).</w:t>
      </w:r>
    </w:p>
    <w:p w14:paraId="06980F27" w14:textId="49099CB7" w:rsidR="006C3281" w:rsidRPr="00030181" w:rsidRDefault="006C3281" w:rsidP="005C5EBA">
      <w:pPr>
        <w:spacing w:line="360" w:lineRule="auto"/>
        <w:jc w:val="both"/>
        <w:rPr>
          <w:rFonts w:ascii="Arial" w:hAnsi="Arial" w:cs="Arial"/>
        </w:rPr>
      </w:pPr>
      <w:r w:rsidRPr="00030181">
        <w:rPr>
          <w:rFonts w:ascii="Arial" w:hAnsi="Arial" w:cs="Arial"/>
        </w:rPr>
        <w:t xml:space="preserve">Conditions such as dysphagia and sarcopenia further increase vulnerability by reducing food intake and nutrient absorption, with sarcopenia </w:t>
      </w:r>
      <w:r w:rsidR="00D8771B" w:rsidRPr="00030181">
        <w:rPr>
          <w:rFonts w:ascii="Arial" w:hAnsi="Arial" w:cs="Arial"/>
        </w:rPr>
        <w:t>impacting up to</w:t>
      </w:r>
      <w:r w:rsidR="00D8771B" w:rsidRPr="00030181">
        <w:rPr>
          <w:rFonts w:ascii="Arial" w:hAnsi="Arial" w:cs="Arial"/>
        </w:rPr>
        <w:t xml:space="preserve"> </w:t>
      </w:r>
      <w:r w:rsidRPr="00030181">
        <w:rPr>
          <w:rFonts w:ascii="Arial" w:hAnsi="Arial" w:cs="Arial"/>
        </w:rPr>
        <w:t xml:space="preserve">50% of </w:t>
      </w:r>
      <w:r w:rsidR="00F4444C" w:rsidRPr="00030181">
        <w:rPr>
          <w:rFonts w:ascii="Arial" w:hAnsi="Arial" w:cs="Arial"/>
        </w:rPr>
        <w:t xml:space="preserve">people </w:t>
      </w:r>
      <w:r w:rsidR="00F4444C" w:rsidRPr="00030181">
        <w:rPr>
          <w:rFonts w:ascii="Arial" w:hAnsi="Arial" w:cs="Arial"/>
        </w:rPr>
        <w:t>older than 80 years</w:t>
      </w:r>
      <w:r w:rsidR="00F4444C" w:rsidRPr="00030181">
        <w:rPr>
          <w:rFonts w:ascii="Arial" w:hAnsi="Arial" w:cs="Arial"/>
        </w:rPr>
        <w:t xml:space="preserve"> </w:t>
      </w:r>
      <w:r w:rsidRPr="00030181">
        <w:rPr>
          <w:rFonts w:ascii="Arial" w:hAnsi="Arial" w:cs="Arial"/>
        </w:rPr>
        <w:t>and contributing to frailty, reduced mobility, and falls (Landi et al., 2019; Dent et al., 2023).</w:t>
      </w:r>
    </w:p>
    <w:p w14:paraId="616B6F9C" w14:textId="77777777" w:rsidR="006C3281" w:rsidRPr="00030181" w:rsidRDefault="006C3281" w:rsidP="005C5EBA">
      <w:pPr>
        <w:pStyle w:val="Heading1"/>
        <w:spacing w:line="360" w:lineRule="auto"/>
        <w:rPr>
          <w:rFonts w:ascii="Arial" w:hAnsi="Arial" w:cs="Arial"/>
          <w:b/>
          <w:bCs/>
          <w:color w:val="000000" w:themeColor="text1"/>
          <w:sz w:val="22"/>
          <w:szCs w:val="22"/>
        </w:rPr>
      </w:pPr>
      <w:bookmarkStart w:id="6" w:name="_Toc231947534"/>
      <w:r w:rsidRPr="00030181">
        <w:rPr>
          <w:rFonts w:ascii="Arial" w:hAnsi="Arial" w:cs="Arial"/>
          <w:b/>
          <w:bCs/>
          <w:color w:val="000000" w:themeColor="text1"/>
          <w:sz w:val="22"/>
          <w:szCs w:val="22"/>
        </w:rPr>
        <w:t>1.4 Research Gap</w:t>
      </w:r>
      <w:bookmarkEnd w:id="6"/>
    </w:p>
    <w:p w14:paraId="71A58F9B" w14:textId="77777777" w:rsidR="006C3281" w:rsidRPr="00030181" w:rsidRDefault="006C3281" w:rsidP="005C5EBA">
      <w:pPr>
        <w:spacing w:line="360" w:lineRule="auto"/>
        <w:jc w:val="both"/>
        <w:rPr>
          <w:rFonts w:ascii="Arial" w:hAnsi="Arial" w:cs="Arial"/>
        </w:rPr>
      </w:pPr>
      <w:r w:rsidRPr="00030181">
        <w:rPr>
          <w:rFonts w:ascii="Arial" w:hAnsi="Arial" w:cs="Arial"/>
        </w:rPr>
        <w:t>Although extensive research exists on malnutrition and food safety, these areas are often examined separately, limiting understanding of their combined impact on health outcomes in care homes (Dent et al., 2023).</w:t>
      </w:r>
    </w:p>
    <w:p w14:paraId="778328A3" w14:textId="0CECDCEB" w:rsidR="006C3281" w:rsidRPr="00030181" w:rsidRDefault="0064600A" w:rsidP="005C5EBA">
      <w:pPr>
        <w:spacing w:line="360" w:lineRule="auto"/>
        <w:jc w:val="both"/>
        <w:rPr>
          <w:rFonts w:ascii="Arial" w:hAnsi="Arial" w:cs="Arial"/>
        </w:rPr>
      </w:pPr>
      <w:r w:rsidRPr="00030181">
        <w:rPr>
          <w:rFonts w:ascii="Arial" w:hAnsi="Arial" w:cs="Arial"/>
        </w:rPr>
        <w:t xml:space="preserve">Much of the available evidence relating to food safety, nutrition, and chronic disease management in care settings originates from international studies conducted in countries such as Portugal, Italy, China, Mexico, Kenya, Ghana, </w:t>
      </w:r>
      <w:r w:rsidR="00F4444C" w:rsidRPr="00030181">
        <w:rPr>
          <w:rFonts w:ascii="Arial" w:hAnsi="Arial" w:cs="Arial"/>
        </w:rPr>
        <w:t xml:space="preserve">as well as </w:t>
      </w:r>
      <w:r w:rsidRPr="00030181">
        <w:rPr>
          <w:rFonts w:ascii="Arial" w:hAnsi="Arial" w:cs="Arial"/>
        </w:rPr>
        <w:t>the United States, which may limit direct applicability to the UK care home context and regulatory framework</w:t>
      </w:r>
      <w:r w:rsidR="006C3281" w:rsidRPr="00030181">
        <w:rPr>
          <w:rFonts w:ascii="Arial" w:hAnsi="Arial" w:cs="Arial"/>
        </w:rPr>
        <w:t>. Despite established national guidelines, there is limited evidence on the consistency of implementation and its effect on resident outcomes (Care Quality Commission, 2023).</w:t>
      </w:r>
    </w:p>
    <w:p w14:paraId="0EA26BAE" w14:textId="1176B333" w:rsidR="008C6767" w:rsidRPr="00030181" w:rsidRDefault="006C3281" w:rsidP="008C6767">
      <w:pPr>
        <w:spacing w:line="360" w:lineRule="auto"/>
        <w:jc w:val="both"/>
        <w:rPr>
          <w:rFonts w:ascii="Arial" w:hAnsi="Arial" w:cs="Arial"/>
          <w:lang w:val="en-US"/>
        </w:rPr>
      </w:pPr>
      <w:r w:rsidRPr="00030181">
        <w:rPr>
          <w:rFonts w:ascii="Arial" w:hAnsi="Arial" w:cs="Arial"/>
        </w:rPr>
        <w:lastRenderedPageBreak/>
        <w:t xml:space="preserve">There is therefore a need for research that </w:t>
      </w:r>
      <w:bookmarkStart w:id="7" w:name="_Toc231947535"/>
      <w:r w:rsidR="008C6767" w:rsidRPr="00030181">
        <w:rPr>
          <w:rFonts w:ascii="Arial" w:hAnsi="Arial" w:cs="Arial"/>
          <w:lang w:val="en-US"/>
        </w:rPr>
        <w:t>combines food safety and nutritional</w:t>
      </w:r>
      <w:r w:rsidR="00F4444C" w:rsidRPr="00030181">
        <w:rPr>
          <w:rFonts w:ascii="Arial" w:hAnsi="Arial" w:cs="Arial"/>
          <w:lang w:val="en-US"/>
        </w:rPr>
        <w:t xml:space="preserve"> care</w:t>
      </w:r>
      <w:r w:rsidR="008C6767" w:rsidRPr="00030181">
        <w:rPr>
          <w:rFonts w:ascii="Arial" w:hAnsi="Arial" w:cs="Arial"/>
          <w:lang w:val="en-US"/>
        </w:rPr>
        <w:t xml:space="preserve"> practices in </w:t>
      </w:r>
      <w:r w:rsidR="007E3C45" w:rsidRPr="00030181">
        <w:rPr>
          <w:rFonts w:ascii="Arial" w:hAnsi="Arial" w:cs="Arial"/>
        </w:rPr>
        <w:t>care homes across the UK</w:t>
      </w:r>
      <w:r w:rsidR="007E3C45" w:rsidRPr="00030181">
        <w:rPr>
          <w:rFonts w:ascii="Arial" w:hAnsi="Arial" w:cs="Arial"/>
        </w:rPr>
        <w:t xml:space="preserve"> </w:t>
      </w:r>
      <w:r w:rsidR="008C6767" w:rsidRPr="00030181">
        <w:rPr>
          <w:rFonts w:ascii="Arial" w:hAnsi="Arial" w:cs="Arial"/>
          <w:lang w:val="en-US"/>
        </w:rPr>
        <w:t xml:space="preserve">and explores their joint </w:t>
      </w:r>
      <w:r w:rsidR="007E3C45" w:rsidRPr="00030181">
        <w:rPr>
          <w:rFonts w:ascii="Arial" w:hAnsi="Arial" w:cs="Arial"/>
        </w:rPr>
        <w:t xml:space="preserve">effect </w:t>
      </w:r>
      <w:r w:rsidR="008C6767" w:rsidRPr="00030181">
        <w:rPr>
          <w:rFonts w:ascii="Arial" w:hAnsi="Arial" w:cs="Arial"/>
          <w:lang w:val="en-US"/>
        </w:rPr>
        <w:t xml:space="preserve">on the health of older adults, </w:t>
      </w:r>
      <w:r w:rsidR="007E3C45" w:rsidRPr="00030181">
        <w:rPr>
          <w:rFonts w:ascii="Arial" w:hAnsi="Arial" w:cs="Arial"/>
        </w:rPr>
        <w:t>especially those living with long-term conditions</w:t>
      </w:r>
      <w:r w:rsidR="007E3C45" w:rsidRPr="00030181">
        <w:rPr>
          <w:rFonts w:ascii="Arial" w:hAnsi="Arial" w:cs="Arial"/>
        </w:rPr>
        <w:t xml:space="preserve"> </w:t>
      </w:r>
      <w:r w:rsidR="007E3C45" w:rsidRPr="00030181">
        <w:rPr>
          <w:rFonts w:ascii="Arial" w:hAnsi="Arial" w:cs="Arial"/>
        </w:rPr>
        <w:t>including</w:t>
      </w:r>
      <w:r w:rsidR="007E3C45" w:rsidRPr="00030181">
        <w:rPr>
          <w:rFonts w:ascii="Arial" w:hAnsi="Arial" w:cs="Arial"/>
        </w:rPr>
        <w:t xml:space="preserve"> </w:t>
      </w:r>
      <w:r w:rsidR="008C6767" w:rsidRPr="00030181">
        <w:rPr>
          <w:rFonts w:ascii="Arial" w:hAnsi="Arial" w:cs="Arial"/>
          <w:lang w:val="en-US"/>
        </w:rPr>
        <w:t>type 2 diabetes.</w:t>
      </w:r>
    </w:p>
    <w:p w14:paraId="5473CDB4" w14:textId="0809B2F4" w:rsidR="006C3281" w:rsidRPr="00030181" w:rsidRDefault="006C3281" w:rsidP="008C6767">
      <w:pPr>
        <w:spacing w:line="360" w:lineRule="auto"/>
        <w:jc w:val="both"/>
        <w:rPr>
          <w:rFonts w:ascii="Arial" w:hAnsi="Arial" w:cs="Arial"/>
          <w:b/>
          <w:bCs/>
          <w:color w:val="000000" w:themeColor="text1"/>
        </w:rPr>
      </w:pPr>
      <w:r w:rsidRPr="00030181">
        <w:rPr>
          <w:rFonts w:ascii="Arial" w:hAnsi="Arial" w:cs="Arial"/>
          <w:b/>
          <w:bCs/>
          <w:color w:val="000000" w:themeColor="text1"/>
        </w:rPr>
        <w:t>1.5 Rationale for the Study</w:t>
      </w:r>
      <w:bookmarkEnd w:id="7"/>
    </w:p>
    <w:p w14:paraId="79A766D3" w14:textId="24E11243" w:rsidR="006C3281" w:rsidRPr="00030181" w:rsidRDefault="008C6767" w:rsidP="005C5EBA">
      <w:pPr>
        <w:spacing w:line="360" w:lineRule="auto"/>
        <w:jc w:val="both"/>
        <w:rPr>
          <w:rFonts w:ascii="Arial" w:hAnsi="Arial" w:cs="Arial"/>
          <w:lang w:val="en-US"/>
        </w:rPr>
      </w:pPr>
      <w:r w:rsidRPr="00030181">
        <w:rPr>
          <w:rFonts w:ascii="Arial" w:hAnsi="Arial" w:cs="Arial"/>
          <w:lang w:val="en-US"/>
        </w:rPr>
        <w:t xml:space="preserve">The worldwide disease burden is increasingly influenced by </w:t>
      </w:r>
      <w:r w:rsidR="007E3C45" w:rsidRPr="00030181">
        <w:rPr>
          <w:rFonts w:ascii="Arial" w:hAnsi="Arial" w:cs="Arial"/>
        </w:rPr>
        <w:t>chronic non-communicable conditions</w:t>
      </w:r>
      <w:r w:rsidRPr="00030181">
        <w:rPr>
          <w:rFonts w:ascii="Arial" w:hAnsi="Arial" w:cs="Arial"/>
          <w:lang w:val="en-US"/>
        </w:rPr>
        <w:t xml:space="preserve">, </w:t>
      </w:r>
      <w:r w:rsidR="007E3C45" w:rsidRPr="00030181">
        <w:rPr>
          <w:rFonts w:ascii="Arial" w:hAnsi="Arial" w:cs="Arial"/>
        </w:rPr>
        <w:t xml:space="preserve">particularly </w:t>
      </w:r>
      <w:r w:rsidRPr="00030181">
        <w:rPr>
          <w:rFonts w:ascii="Arial" w:hAnsi="Arial" w:cs="Arial"/>
          <w:lang w:val="en-US"/>
        </w:rPr>
        <w:t xml:space="preserve">type 2 diabetes and </w:t>
      </w:r>
      <w:r w:rsidR="007E3C45" w:rsidRPr="00030181">
        <w:rPr>
          <w:rFonts w:ascii="Arial" w:hAnsi="Arial" w:cs="Arial"/>
        </w:rPr>
        <w:t>heart-related</w:t>
      </w:r>
      <w:r w:rsidR="007E3C45" w:rsidRPr="00030181">
        <w:rPr>
          <w:rFonts w:ascii="Arial" w:hAnsi="Arial" w:cs="Arial"/>
        </w:rPr>
        <w:t xml:space="preserve"> </w:t>
      </w:r>
      <w:r w:rsidR="006C3281" w:rsidRPr="00030181">
        <w:rPr>
          <w:rFonts w:ascii="Arial" w:hAnsi="Arial" w:cs="Arial"/>
        </w:rPr>
        <w:t xml:space="preserve">conditions, which are strongly influenced by </w:t>
      </w:r>
      <w:r w:rsidRPr="00030181">
        <w:rPr>
          <w:rFonts w:ascii="Arial" w:hAnsi="Arial" w:cs="Arial"/>
          <w:lang w:val="en-US"/>
        </w:rPr>
        <w:t xml:space="preserve">changeable risk factors such as </w:t>
      </w:r>
      <w:r w:rsidR="007E3C45" w:rsidRPr="00030181">
        <w:rPr>
          <w:rFonts w:ascii="Arial" w:hAnsi="Arial" w:cs="Arial"/>
        </w:rPr>
        <w:t>poor dietary habits</w:t>
      </w:r>
      <w:r w:rsidR="006C3281" w:rsidRPr="00030181">
        <w:rPr>
          <w:rFonts w:ascii="Arial" w:hAnsi="Arial" w:cs="Arial"/>
        </w:rPr>
        <w:t xml:space="preserve">, obesity, </w:t>
      </w:r>
      <w:r w:rsidR="007E3C45" w:rsidRPr="00030181">
        <w:rPr>
          <w:rFonts w:ascii="Arial" w:hAnsi="Arial" w:cs="Arial"/>
        </w:rPr>
        <w:t>as well as</w:t>
      </w:r>
      <w:r w:rsidR="006C3281" w:rsidRPr="00030181">
        <w:rPr>
          <w:rFonts w:ascii="Arial" w:hAnsi="Arial" w:cs="Arial"/>
        </w:rPr>
        <w:t xml:space="preserve"> high blood glucose (Institute for Health Metrics and Evaluation, 2025). Ageing populations and increasing multimorbidity further complicate care delivery, particularly in care home settings (Chen et al., 2025).</w:t>
      </w:r>
    </w:p>
    <w:p w14:paraId="2620B732" w14:textId="586B66A2" w:rsidR="006C3281" w:rsidRPr="00030181" w:rsidRDefault="006C3281" w:rsidP="005C5EBA">
      <w:pPr>
        <w:spacing w:line="360" w:lineRule="auto"/>
        <w:jc w:val="both"/>
        <w:rPr>
          <w:rFonts w:ascii="Arial" w:hAnsi="Arial" w:cs="Arial"/>
        </w:rPr>
      </w:pPr>
      <w:r w:rsidRPr="00030181">
        <w:rPr>
          <w:rFonts w:ascii="Arial" w:hAnsi="Arial" w:cs="Arial"/>
        </w:rPr>
        <w:t xml:space="preserve">Improving food safety and </w:t>
      </w:r>
      <w:r w:rsidR="007E3C45" w:rsidRPr="00030181">
        <w:rPr>
          <w:rFonts w:ascii="Arial" w:hAnsi="Arial" w:cs="Arial"/>
        </w:rPr>
        <w:t>dietary</w:t>
      </w:r>
      <w:r w:rsidRPr="00030181">
        <w:rPr>
          <w:rFonts w:ascii="Arial" w:hAnsi="Arial" w:cs="Arial"/>
        </w:rPr>
        <w:t xml:space="preserve"> practices is essential for enhancing </w:t>
      </w:r>
      <w:r w:rsidR="007E3C45" w:rsidRPr="00030181">
        <w:rPr>
          <w:rFonts w:ascii="Arial" w:hAnsi="Arial" w:cs="Arial"/>
        </w:rPr>
        <w:t>health-related outcomes</w:t>
      </w:r>
      <w:r w:rsidR="00B01874" w:rsidRPr="00030181">
        <w:rPr>
          <w:rFonts w:ascii="Arial" w:hAnsi="Arial" w:cs="Arial"/>
        </w:rPr>
        <w:t xml:space="preserve"> </w:t>
      </w:r>
      <w:r w:rsidRPr="00030181">
        <w:rPr>
          <w:rFonts w:ascii="Arial" w:hAnsi="Arial" w:cs="Arial"/>
        </w:rPr>
        <w:t xml:space="preserve">and </w:t>
      </w:r>
      <w:r w:rsidR="007E3C45" w:rsidRPr="00030181">
        <w:rPr>
          <w:rFonts w:ascii="Arial" w:hAnsi="Arial" w:cs="Arial"/>
        </w:rPr>
        <w:t>overall well-being</w:t>
      </w:r>
      <w:r w:rsidR="007E3C45" w:rsidRPr="00030181">
        <w:rPr>
          <w:rFonts w:ascii="Arial" w:hAnsi="Arial" w:cs="Arial"/>
        </w:rPr>
        <w:t xml:space="preserve"> </w:t>
      </w:r>
      <w:r w:rsidRPr="00030181">
        <w:rPr>
          <w:rFonts w:ascii="Arial" w:hAnsi="Arial" w:cs="Arial"/>
        </w:rPr>
        <w:t xml:space="preserve">among older </w:t>
      </w:r>
      <w:r w:rsidR="007E3C45" w:rsidRPr="00030181">
        <w:rPr>
          <w:rFonts w:ascii="Arial" w:hAnsi="Arial" w:cs="Arial"/>
        </w:rPr>
        <w:t>individuals</w:t>
      </w:r>
      <w:r w:rsidRPr="00030181">
        <w:rPr>
          <w:rFonts w:ascii="Arial" w:hAnsi="Arial" w:cs="Arial"/>
        </w:rPr>
        <w:t>, particularly those with type 2 diabetes (National Institute for Health and Care Excellence, 2022).</w:t>
      </w:r>
    </w:p>
    <w:p w14:paraId="0C756D29" w14:textId="77777777" w:rsidR="00757168" w:rsidRPr="00030181" w:rsidRDefault="00757168" w:rsidP="005C5EBA">
      <w:pPr>
        <w:spacing w:line="360" w:lineRule="auto"/>
        <w:jc w:val="both"/>
        <w:rPr>
          <w:rFonts w:ascii="Arial" w:hAnsi="Arial" w:cs="Arial"/>
          <w:b/>
          <w:bCs/>
        </w:rPr>
      </w:pPr>
      <w:r w:rsidRPr="00030181">
        <w:rPr>
          <w:rFonts w:ascii="Arial" w:hAnsi="Arial" w:cs="Arial"/>
          <w:b/>
          <w:bCs/>
        </w:rPr>
        <w:t>Research Question</w:t>
      </w:r>
    </w:p>
    <w:p w14:paraId="0A08372E" w14:textId="773D8090" w:rsidR="00757168" w:rsidRPr="00030181" w:rsidRDefault="00757168" w:rsidP="005C5EBA">
      <w:pPr>
        <w:spacing w:line="360" w:lineRule="auto"/>
        <w:jc w:val="both"/>
        <w:rPr>
          <w:rFonts w:ascii="Arial" w:hAnsi="Arial" w:cs="Arial"/>
        </w:rPr>
      </w:pPr>
      <w:r w:rsidRPr="00030181">
        <w:rPr>
          <w:rFonts w:ascii="Arial" w:hAnsi="Arial" w:cs="Arial"/>
        </w:rPr>
        <w:t xml:space="preserve">How do food safety and nutrition practices in UK care homes influence the health outcomes of older adults, particularly those with </w:t>
      </w:r>
      <w:r w:rsidR="00B01874" w:rsidRPr="00030181">
        <w:rPr>
          <w:rFonts w:ascii="Arial" w:hAnsi="Arial" w:cs="Arial"/>
        </w:rPr>
        <w:t xml:space="preserve">long-term </w:t>
      </w:r>
      <w:r w:rsidRPr="00030181">
        <w:rPr>
          <w:rFonts w:ascii="Arial" w:hAnsi="Arial" w:cs="Arial"/>
        </w:rPr>
        <w:t>conditions such as type 2 diabetes?</w:t>
      </w:r>
    </w:p>
    <w:p w14:paraId="78398612" w14:textId="77777777" w:rsidR="00757168" w:rsidRPr="00030181" w:rsidRDefault="00757168" w:rsidP="005C5EBA">
      <w:pPr>
        <w:spacing w:line="360" w:lineRule="auto"/>
        <w:jc w:val="both"/>
        <w:rPr>
          <w:rFonts w:ascii="Arial" w:hAnsi="Arial" w:cs="Arial"/>
          <w:b/>
          <w:bCs/>
        </w:rPr>
      </w:pPr>
      <w:r w:rsidRPr="00030181">
        <w:rPr>
          <w:rFonts w:ascii="Arial" w:hAnsi="Arial" w:cs="Arial"/>
          <w:b/>
          <w:bCs/>
        </w:rPr>
        <w:t>Aim</w:t>
      </w:r>
    </w:p>
    <w:p w14:paraId="70DC8EC9" w14:textId="77777777" w:rsidR="00F45E43" w:rsidRPr="00030181" w:rsidRDefault="00B01874" w:rsidP="005C5EBA">
      <w:pPr>
        <w:spacing w:line="360" w:lineRule="auto"/>
        <w:jc w:val="both"/>
        <w:rPr>
          <w:rFonts w:ascii="Arial" w:hAnsi="Arial" w:cs="Arial"/>
        </w:rPr>
      </w:pPr>
      <w:r w:rsidRPr="00030181">
        <w:rPr>
          <w:rFonts w:ascii="Arial" w:hAnsi="Arial" w:cs="Arial"/>
        </w:rPr>
        <w:t>To examine the</w:t>
      </w:r>
      <w:r w:rsidRPr="00030181">
        <w:rPr>
          <w:rFonts w:ascii="Arial" w:hAnsi="Arial" w:cs="Arial"/>
        </w:rPr>
        <w:t xml:space="preserve"> </w:t>
      </w:r>
      <w:r w:rsidR="00757168" w:rsidRPr="00030181">
        <w:rPr>
          <w:rFonts w:ascii="Arial" w:hAnsi="Arial" w:cs="Arial"/>
        </w:rPr>
        <w:t xml:space="preserve">impact of food safety and nutrition practices in UK care homes on the health and wellbeing of older adults, </w:t>
      </w:r>
      <w:r w:rsidR="002A35AB" w:rsidRPr="00030181">
        <w:rPr>
          <w:rFonts w:ascii="Arial" w:hAnsi="Arial" w:cs="Arial"/>
        </w:rPr>
        <w:t>especially</w:t>
      </w:r>
      <w:r w:rsidR="002A35AB" w:rsidRPr="00030181">
        <w:rPr>
          <w:rFonts w:ascii="Arial" w:hAnsi="Arial" w:cs="Arial"/>
        </w:rPr>
        <w:t xml:space="preserve"> </w:t>
      </w:r>
      <w:r w:rsidR="00757168" w:rsidRPr="00030181">
        <w:rPr>
          <w:rFonts w:ascii="Arial" w:hAnsi="Arial" w:cs="Arial"/>
        </w:rPr>
        <w:t xml:space="preserve">those with chronic conditions such as type 2 diabetes, and to inform evidence-based </w:t>
      </w:r>
      <w:r w:rsidR="00F45E43" w:rsidRPr="00030181">
        <w:rPr>
          <w:rFonts w:ascii="Arial" w:hAnsi="Arial" w:cs="Arial"/>
        </w:rPr>
        <w:t>recommendations for improving care delivery and policy.</w:t>
      </w:r>
    </w:p>
    <w:p w14:paraId="79B2A7EC" w14:textId="0452A04E" w:rsidR="00757168" w:rsidRPr="00030181" w:rsidRDefault="00757168" w:rsidP="005C5EBA">
      <w:pPr>
        <w:spacing w:line="360" w:lineRule="auto"/>
        <w:jc w:val="both"/>
        <w:rPr>
          <w:rFonts w:ascii="Arial" w:hAnsi="Arial" w:cs="Arial"/>
          <w:b/>
          <w:bCs/>
        </w:rPr>
      </w:pPr>
      <w:r w:rsidRPr="00030181">
        <w:rPr>
          <w:rFonts w:ascii="Arial" w:hAnsi="Arial" w:cs="Arial"/>
          <w:b/>
          <w:bCs/>
        </w:rPr>
        <w:t>Objectives</w:t>
      </w:r>
    </w:p>
    <w:p w14:paraId="55E0F933" w14:textId="78F29719" w:rsidR="00757168" w:rsidRPr="00030181" w:rsidRDefault="00757168" w:rsidP="005C5EBA">
      <w:pPr>
        <w:numPr>
          <w:ilvl w:val="0"/>
          <w:numId w:val="9"/>
        </w:numPr>
        <w:spacing w:line="360" w:lineRule="auto"/>
        <w:jc w:val="both"/>
        <w:rPr>
          <w:rFonts w:ascii="Arial" w:hAnsi="Arial" w:cs="Arial"/>
        </w:rPr>
      </w:pPr>
      <w:r w:rsidRPr="00030181">
        <w:rPr>
          <w:rFonts w:ascii="Arial" w:hAnsi="Arial" w:cs="Arial"/>
        </w:rPr>
        <w:t>To systematically review and synthesise evidence on food safety and nutrition practices in UK care homes for older adults.</w:t>
      </w:r>
    </w:p>
    <w:p w14:paraId="7E171289" w14:textId="2CE7C5AE" w:rsidR="00BF0AFC" w:rsidRPr="00030181" w:rsidRDefault="00BF0AFC" w:rsidP="005C5EBA">
      <w:pPr>
        <w:numPr>
          <w:ilvl w:val="0"/>
          <w:numId w:val="9"/>
        </w:numPr>
        <w:spacing w:line="360" w:lineRule="auto"/>
        <w:jc w:val="both"/>
        <w:rPr>
          <w:rFonts w:ascii="Arial" w:hAnsi="Arial" w:cs="Arial"/>
        </w:rPr>
      </w:pPr>
      <w:r w:rsidRPr="00030181">
        <w:rPr>
          <w:rFonts w:ascii="Arial" w:hAnsi="Arial" w:cs="Arial"/>
        </w:rPr>
        <w:t xml:space="preserve">To examine the relationship between food safety and nutrition practices and health outcomes, including nutritional status, hydration, </w:t>
      </w:r>
      <w:r w:rsidR="00F45E43" w:rsidRPr="00030181">
        <w:rPr>
          <w:rFonts w:ascii="Arial" w:hAnsi="Arial" w:cs="Arial"/>
        </w:rPr>
        <w:t>infection prevention, and management of type 2 diabetes.</w:t>
      </w:r>
    </w:p>
    <w:p w14:paraId="4C6DC424" w14:textId="2281AD11" w:rsidR="00757168" w:rsidRPr="00030181" w:rsidRDefault="00757168" w:rsidP="005C5EBA">
      <w:pPr>
        <w:numPr>
          <w:ilvl w:val="0"/>
          <w:numId w:val="9"/>
        </w:numPr>
        <w:spacing w:line="360" w:lineRule="auto"/>
        <w:jc w:val="both"/>
        <w:rPr>
          <w:rFonts w:ascii="Arial" w:hAnsi="Arial" w:cs="Arial"/>
        </w:rPr>
      </w:pPr>
      <w:r w:rsidRPr="00030181">
        <w:rPr>
          <w:rFonts w:ascii="Arial" w:hAnsi="Arial" w:cs="Arial"/>
        </w:rPr>
        <w:t xml:space="preserve">To explore how </w:t>
      </w:r>
      <w:r w:rsidR="00F45E43" w:rsidRPr="00030181">
        <w:rPr>
          <w:rFonts w:ascii="Arial" w:hAnsi="Arial" w:cs="Arial"/>
        </w:rPr>
        <w:t xml:space="preserve">long-term </w:t>
      </w:r>
      <w:r w:rsidRPr="00030181">
        <w:rPr>
          <w:rFonts w:ascii="Arial" w:hAnsi="Arial" w:cs="Arial"/>
        </w:rPr>
        <w:t xml:space="preserve">conditions, </w:t>
      </w:r>
      <w:r w:rsidR="00F45E43" w:rsidRPr="00030181">
        <w:rPr>
          <w:rFonts w:ascii="Arial" w:hAnsi="Arial" w:cs="Arial"/>
        </w:rPr>
        <w:t>especially</w:t>
      </w:r>
      <w:r w:rsidRPr="00030181">
        <w:rPr>
          <w:rFonts w:ascii="Arial" w:hAnsi="Arial" w:cs="Arial"/>
        </w:rPr>
        <w:t xml:space="preserve"> type 2 diabetes, increase vulnerability to suboptimal food safety and nutrition practices.</w:t>
      </w:r>
    </w:p>
    <w:p w14:paraId="7100CF59" w14:textId="2D49887F" w:rsidR="00757168" w:rsidRPr="00030181" w:rsidRDefault="00757168" w:rsidP="005C5EBA">
      <w:pPr>
        <w:numPr>
          <w:ilvl w:val="0"/>
          <w:numId w:val="9"/>
        </w:numPr>
        <w:spacing w:line="360" w:lineRule="auto"/>
        <w:jc w:val="both"/>
        <w:rPr>
          <w:rFonts w:ascii="Arial" w:hAnsi="Arial" w:cs="Arial"/>
        </w:rPr>
      </w:pPr>
      <w:r w:rsidRPr="00030181">
        <w:rPr>
          <w:rFonts w:ascii="Arial" w:hAnsi="Arial" w:cs="Arial"/>
        </w:rPr>
        <w:t xml:space="preserve">To </w:t>
      </w:r>
      <w:r w:rsidR="00F45E43" w:rsidRPr="00030181">
        <w:rPr>
          <w:rFonts w:ascii="Arial" w:hAnsi="Arial" w:cs="Arial"/>
        </w:rPr>
        <w:t>examine</w:t>
      </w:r>
      <w:r w:rsidR="00F45E43" w:rsidRPr="00030181">
        <w:rPr>
          <w:rFonts w:ascii="Arial" w:hAnsi="Arial" w:cs="Arial"/>
        </w:rPr>
        <w:t xml:space="preserve"> </w:t>
      </w:r>
      <w:r w:rsidRPr="00030181">
        <w:rPr>
          <w:rFonts w:ascii="Arial" w:hAnsi="Arial" w:cs="Arial"/>
        </w:rPr>
        <w:t xml:space="preserve">best practices and develop </w:t>
      </w:r>
      <w:r w:rsidR="00F45E43" w:rsidRPr="00030181">
        <w:rPr>
          <w:rFonts w:ascii="Arial" w:hAnsi="Arial" w:cs="Arial"/>
        </w:rPr>
        <w:t>evidence-informed recommendations</w:t>
      </w:r>
      <w:r w:rsidR="00F45E43" w:rsidRPr="00030181">
        <w:rPr>
          <w:rFonts w:ascii="Arial" w:hAnsi="Arial" w:cs="Arial"/>
        </w:rPr>
        <w:t xml:space="preserve"> </w:t>
      </w:r>
      <w:r w:rsidRPr="00030181">
        <w:rPr>
          <w:rFonts w:ascii="Arial" w:hAnsi="Arial" w:cs="Arial"/>
        </w:rPr>
        <w:t xml:space="preserve">for </w:t>
      </w:r>
      <w:r w:rsidR="00F45E43" w:rsidRPr="00030181">
        <w:rPr>
          <w:rFonts w:ascii="Arial" w:hAnsi="Arial" w:cs="Arial"/>
        </w:rPr>
        <w:t>strengthening</w:t>
      </w:r>
      <w:r w:rsidR="00F45E43" w:rsidRPr="00030181">
        <w:rPr>
          <w:rFonts w:ascii="Arial" w:hAnsi="Arial" w:cs="Arial"/>
        </w:rPr>
        <w:t xml:space="preserve"> </w:t>
      </w:r>
      <w:r w:rsidRPr="00030181">
        <w:rPr>
          <w:rFonts w:ascii="Arial" w:hAnsi="Arial" w:cs="Arial"/>
        </w:rPr>
        <w:t xml:space="preserve">food safety, nutrition </w:t>
      </w:r>
      <w:r w:rsidR="00F45E43" w:rsidRPr="00030181">
        <w:rPr>
          <w:rFonts w:ascii="Arial" w:hAnsi="Arial" w:cs="Arial"/>
        </w:rPr>
        <w:t xml:space="preserve">care </w:t>
      </w:r>
      <w:r w:rsidRPr="00030181">
        <w:rPr>
          <w:rFonts w:ascii="Arial" w:hAnsi="Arial" w:cs="Arial"/>
        </w:rPr>
        <w:t xml:space="preserve">policies, and care </w:t>
      </w:r>
      <w:r w:rsidR="00F45E43" w:rsidRPr="00030181">
        <w:rPr>
          <w:rFonts w:ascii="Arial" w:hAnsi="Arial" w:cs="Arial"/>
        </w:rPr>
        <w:t>practices</w:t>
      </w:r>
      <w:r w:rsidRPr="00030181">
        <w:rPr>
          <w:rFonts w:ascii="Arial" w:hAnsi="Arial" w:cs="Arial"/>
        </w:rPr>
        <w:t xml:space="preserve"> in </w:t>
      </w:r>
      <w:r w:rsidR="00F45E43" w:rsidRPr="00030181">
        <w:rPr>
          <w:rFonts w:ascii="Arial" w:hAnsi="Arial" w:cs="Arial"/>
        </w:rPr>
        <w:t>care homes across the UK</w:t>
      </w:r>
      <w:r w:rsidRPr="00030181">
        <w:rPr>
          <w:rFonts w:ascii="Arial" w:hAnsi="Arial" w:cs="Arial"/>
        </w:rPr>
        <w:t>.</w:t>
      </w:r>
    </w:p>
    <w:p w14:paraId="471F7035" w14:textId="6A2F5C3D" w:rsidR="00757168" w:rsidRPr="00030181" w:rsidRDefault="00757168" w:rsidP="005C5EBA">
      <w:pPr>
        <w:spacing w:line="360" w:lineRule="auto"/>
        <w:jc w:val="both"/>
        <w:rPr>
          <w:rFonts w:ascii="Arial" w:hAnsi="Arial" w:cs="Arial"/>
          <w:b/>
          <w:bCs/>
        </w:rPr>
      </w:pPr>
      <w:r w:rsidRPr="00030181">
        <w:rPr>
          <w:rFonts w:ascii="Arial" w:hAnsi="Arial" w:cs="Arial"/>
          <w:b/>
          <w:bCs/>
        </w:rPr>
        <w:lastRenderedPageBreak/>
        <w:t xml:space="preserve">Overview </w:t>
      </w:r>
    </w:p>
    <w:p w14:paraId="56F2B698" w14:textId="5CECC98F" w:rsidR="006C3281" w:rsidRPr="00030181" w:rsidRDefault="001D7EEB" w:rsidP="008C6767">
      <w:pPr>
        <w:pStyle w:val="ListParagraph"/>
        <w:numPr>
          <w:ilvl w:val="0"/>
          <w:numId w:val="12"/>
        </w:numPr>
        <w:spacing w:line="360" w:lineRule="auto"/>
        <w:jc w:val="both"/>
        <w:rPr>
          <w:rFonts w:ascii="Arial" w:hAnsi="Arial" w:cs="Arial"/>
          <w:lang w:val="en-US"/>
        </w:rPr>
      </w:pPr>
      <w:r w:rsidRPr="00030181">
        <w:rPr>
          <w:rFonts w:ascii="Arial" w:hAnsi="Arial" w:cs="Arial"/>
        </w:rPr>
        <w:t>This study is organised into six distinct chapters</w:t>
      </w:r>
      <w:r w:rsidRPr="00030181">
        <w:rPr>
          <w:rFonts w:ascii="Arial" w:hAnsi="Arial" w:cs="Arial"/>
        </w:rPr>
        <w:t xml:space="preserve"> </w:t>
      </w:r>
      <w:r w:rsidR="006C3281" w:rsidRPr="00030181">
        <w:rPr>
          <w:rFonts w:ascii="Arial" w:hAnsi="Arial" w:cs="Arial"/>
        </w:rPr>
        <w:t xml:space="preserve">examining the impact of </w:t>
      </w:r>
      <w:r w:rsidRPr="00030181">
        <w:rPr>
          <w:rFonts w:ascii="Arial" w:hAnsi="Arial" w:cs="Arial"/>
        </w:rPr>
        <w:t>food hygiene and dietary care practices</w:t>
      </w:r>
      <w:r w:rsidRPr="00030181">
        <w:rPr>
          <w:rFonts w:ascii="Arial" w:hAnsi="Arial" w:cs="Arial"/>
          <w:lang w:val="en-US"/>
        </w:rPr>
        <w:t xml:space="preserve"> </w:t>
      </w:r>
      <w:r w:rsidRPr="00030181">
        <w:rPr>
          <w:rFonts w:ascii="Arial" w:hAnsi="Arial" w:cs="Arial"/>
        </w:rPr>
        <w:t>within care home settings across the United Kingdom</w:t>
      </w:r>
      <w:r w:rsidRPr="00030181">
        <w:rPr>
          <w:rFonts w:ascii="Arial" w:hAnsi="Arial" w:cs="Arial"/>
          <w:lang w:val="en-US"/>
        </w:rPr>
        <w:t xml:space="preserve"> </w:t>
      </w:r>
      <w:r w:rsidR="008C6767" w:rsidRPr="00030181">
        <w:rPr>
          <w:rFonts w:ascii="Arial" w:hAnsi="Arial" w:cs="Arial"/>
          <w:lang w:val="en-US"/>
        </w:rPr>
        <w:t>on health</w:t>
      </w:r>
      <w:r w:rsidRPr="00030181">
        <w:rPr>
          <w:rFonts w:ascii="Arial" w:hAnsi="Arial" w:cs="Arial"/>
          <w:lang w:val="en-US"/>
        </w:rPr>
        <w:t xml:space="preserve">-related </w:t>
      </w:r>
      <w:r w:rsidR="006C3281" w:rsidRPr="00030181">
        <w:rPr>
          <w:rFonts w:ascii="Arial" w:hAnsi="Arial" w:cs="Arial"/>
        </w:rPr>
        <w:t xml:space="preserve">outcomes among older </w:t>
      </w:r>
      <w:r w:rsidRPr="00030181">
        <w:rPr>
          <w:rFonts w:ascii="Arial" w:hAnsi="Arial" w:cs="Arial"/>
        </w:rPr>
        <w:t>individuals</w:t>
      </w:r>
      <w:r w:rsidR="006C3281" w:rsidRPr="00030181">
        <w:rPr>
          <w:rFonts w:ascii="Arial" w:hAnsi="Arial" w:cs="Arial"/>
        </w:rPr>
        <w:t xml:space="preserve">, </w:t>
      </w:r>
      <w:r w:rsidRPr="00030181">
        <w:rPr>
          <w:rFonts w:ascii="Arial" w:hAnsi="Arial" w:cs="Arial"/>
        </w:rPr>
        <w:t>with a specific focus on individuals living with type 2 diabetes</w:t>
      </w:r>
      <w:r w:rsidRPr="00030181">
        <w:rPr>
          <w:rFonts w:ascii="Arial" w:hAnsi="Arial" w:cs="Arial"/>
        </w:rPr>
        <w:t>.</w:t>
      </w:r>
    </w:p>
    <w:p w14:paraId="3853DB28" w14:textId="77777777" w:rsidR="006C3281" w:rsidRPr="00030181" w:rsidRDefault="006C3281" w:rsidP="005C5EBA">
      <w:pPr>
        <w:pStyle w:val="ListParagraph"/>
        <w:numPr>
          <w:ilvl w:val="0"/>
          <w:numId w:val="12"/>
        </w:numPr>
        <w:spacing w:line="360" w:lineRule="auto"/>
        <w:jc w:val="both"/>
        <w:rPr>
          <w:rFonts w:ascii="Arial" w:hAnsi="Arial" w:cs="Arial"/>
        </w:rPr>
      </w:pPr>
      <w:r w:rsidRPr="00030181">
        <w:rPr>
          <w:rFonts w:ascii="Arial" w:hAnsi="Arial" w:cs="Arial"/>
        </w:rPr>
        <w:t>Chapter 1 introduces the topic and provides global and UK context, outlining the burden of chronic conditions and key issues related to food safety and nutrition.</w:t>
      </w:r>
    </w:p>
    <w:p w14:paraId="040B63A1" w14:textId="77777777" w:rsidR="006C3281" w:rsidRPr="00030181" w:rsidRDefault="006C3281" w:rsidP="005C5EBA">
      <w:pPr>
        <w:pStyle w:val="ListParagraph"/>
        <w:numPr>
          <w:ilvl w:val="0"/>
          <w:numId w:val="12"/>
        </w:numPr>
        <w:spacing w:line="360" w:lineRule="auto"/>
        <w:jc w:val="both"/>
        <w:rPr>
          <w:rFonts w:ascii="Arial" w:hAnsi="Arial" w:cs="Arial"/>
        </w:rPr>
      </w:pPr>
      <w:r w:rsidRPr="00030181">
        <w:rPr>
          <w:rFonts w:ascii="Arial" w:hAnsi="Arial" w:cs="Arial"/>
        </w:rPr>
        <w:t>Chapter 2 critically reviews existing literature and presents the theoretical framework.</w:t>
      </w:r>
    </w:p>
    <w:p w14:paraId="43F9BFA6" w14:textId="3B859CFC" w:rsidR="006C3281" w:rsidRPr="00030181" w:rsidRDefault="006C3281" w:rsidP="008C6767">
      <w:pPr>
        <w:pStyle w:val="ListParagraph"/>
        <w:numPr>
          <w:ilvl w:val="0"/>
          <w:numId w:val="12"/>
        </w:numPr>
        <w:spacing w:line="360" w:lineRule="auto"/>
        <w:jc w:val="both"/>
        <w:rPr>
          <w:rFonts w:ascii="Arial" w:hAnsi="Arial" w:cs="Arial"/>
          <w:lang w:val="en-US"/>
        </w:rPr>
      </w:pPr>
      <w:r w:rsidRPr="00030181">
        <w:rPr>
          <w:rFonts w:ascii="Arial" w:hAnsi="Arial" w:cs="Arial"/>
        </w:rPr>
        <w:t xml:space="preserve">Chapter </w:t>
      </w:r>
      <w:r w:rsidR="008C6767" w:rsidRPr="00030181">
        <w:rPr>
          <w:rFonts w:ascii="Arial" w:hAnsi="Arial" w:cs="Arial"/>
          <w:lang w:val="en-US"/>
        </w:rPr>
        <w:t xml:space="preserve">3 describes the methodology, including the systematic review approach </w:t>
      </w:r>
      <w:r w:rsidRPr="00030181">
        <w:rPr>
          <w:rFonts w:ascii="Arial" w:hAnsi="Arial" w:cs="Arial"/>
        </w:rPr>
        <w:t>and appraisal tools.</w:t>
      </w:r>
    </w:p>
    <w:p w14:paraId="6F6B9585" w14:textId="77777777" w:rsidR="001D7EEB" w:rsidRPr="00030181" w:rsidRDefault="001D7EEB" w:rsidP="008C6767">
      <w:pPr>
        <w:pStyle w:val="ListParagraph"/>
        <w:numPr>
          <w:ilvl w:val="0"/>
          <w:numId w:val="12"/>
        </w:numPr>
        <w:spacing w:line="360" w:lineRule="auto"/>
        <w:jc w:val="both"/>
        <w:rPr>
          <w:rFonts w:ascii="Arial" w:hAnsi="Arial" w:cs="Arial"/>
          <w:lang w:val="en-US"/>
        </w:rPr>
      </w:pPr>
      <w:r w:rsidRPr="00030181">
        <w:rPr>
          <w:rFonts w:ascii="Arial" w:hAnsi="Arial" w:cs="Arial"/>
        </w:rPr>
        <w:t>Chapter 4 outlines the results generated from the literature review</w:t>
      </w:r>
      <w:r w:rsidRPr="00030181">
        <w:rPr>
          <w:rFonts w:ascii="Arial" w:hAnsi="Arial" w:cs="Arial"/>
        </w:rPr>
        <w:t xml:space="preserve"> </w:t>
      </w:r>
    </w:p>
    <w:p w14:paraId="558DCE51" w14:textId="59D9B0AF" w:rsidR="006C3281" w:rsidRPr="00030181" w:rsidRDefault="006C3281" w:rsidP="008C6767">
      <w:pPr>
        <w:pStyle w:val="ListParagraph"/>
        <w:numPr>
          <w:ilvl w:val="0"/>
          <w:numId w:val="12"/>
        </w:numPr>
        <w:spacing w:line="360" w:lineRule="auto"/>
        <w:jc w:val="both"/>
        <w:rPr>
          <w:rFonts w:ascii="Arial" w:hAnsi="Arial" w:cs="Arial"/>
          <w:lang w:val="en-US"/>
        </w:rPr>
      </w:pPr>
      <w:r w:rsidRPr="00030181">
        <w:rPr>
          <w:rFonts w:ascii="Arial" w:hAnsi="Arial" w:cs="Arial"/>
        </w:rPr>
        <w:t xml:space="preserve">Chapter 5 </w:t>
      </w:r>
      <w:r w:rsidR="008C6767" w:rsidRPr="00030181">
        <w:rPr>
          <w:rFonts w:ascii="Arial" w:hAnsi="Arial" w:cs="Arial"/>
          <w:lang w:val="en-US"/>
        </w:rPr>
        <w:t>examines the</w:t>
      </w:r>
      <w:r w:rsidR="001D7EEB" w:rsidRPr="00030181">
        <w:rPr>
          <w:rFonts w:ascii="Arial" w:hAnsi="Arial" w:cs="Arial"/>
        </w:rPr>
        <w:t xml:space="preserve"> results</w:t>
      </w:r>
      <w:r w:rsidR="001D7EEB" w:rsidRPr="00030181">
        <w:rPr>
          <w:rFonts w:ascii="Arial" w:hAnsi="Arial" w:cs="Arial"/>
          <w:lang w:val="en-US"/>
        </w:rPr>
        <w:t xml:space="preserve"> </w:t>
      </w:r>
      <w:r w:rsidR="008C6767" w:rsidRPr="00030181">
        <w:rPr>
          <w:rFonts w:ascii="Arial" w:hAnsi="Arial" w:cs="Arial"/>
          <w:lang w:val="en-US"/>
        </w:rPr>
        <w:t>in relation to current evidence and their implications for practice.</w:t>
      </w:r>
    </w:p>
    <w:p w14:paraId="3C30DBCF" w14:textId="77777777" w:rsidR="006C3281" w:rsidRPr="00030181" w:rsidRDefault="006C3281" w:rsidP="005C5EBA">
      <w:pPr>
        <w:pStyle w:val="ListParagraph"/>
        <w:numPr>
          <w:ilvl w:val="0"/>
          <w:numId w:val="12"/>
        </w:numPr>
        <w:spacing w:line="360" w:lineRule="auto"/>
        <w:jc w:val="both"/>
        <w:rPr>
          <w:rFonts w:ascii="Arial" w:hAnsi="Arial" w:cs="Arial"/>
        </w:rPr>
      </w:pPr>
      <w:r w:rsidRPr="00030181">
        <w:rPr>
          <w:rFonts w:ascii="Arial" w:hAnsi="Arial" w:cs="Arial"/>
        </w:rPr>
        <w:t>Chapter 6 concludes with recommendations for improving care and policy.</w:t>
      </w:r>
    </w:p>
    <w:p w14:paraId="60E95FBE" w14:textId="77777777" w:rsidR="006C10F8" w:rsidRPr="00030181" w:rsidRDefault="006C10F8" w:rsidP="005C5EBA">
      <w:pPr>
        <w:spacing w:line="360" w:lineRule="auto"/>
        <w:jc w:val="both"/>
        <w:rPr>
          <w:rFonts w:ascii="Arial" w:hAnsi="Arial" w:cs="Arial"/>
        </w:rPr>
      </w:pPr>
    </w:p>
    <w:p w14:paraId="6AEF53B9" w14:textId="77777777" w:rsidR="006C3281" w:rsidRPr="00030181" w:rsidRDefault="006C3281" w:rsidP="005C5EBA">
      <w:pPr>
        <w:spacing w:line="360" w:lineRule="auto"/>
        <w:jc w:val="both"/>
        <w:rPr>
          <w:rFonts w:ascii="Arial" w:hAnsi="Arial" w:cs="Arial"/>
        </w:rPr>
      </w:pPr>
    </w:p>
    <w:p w14:paraId="140096C3" w14:textId="77777777" w:rsidR="006C3281" w:rsidRPr="00030181" w:rsidRDefault="006C3281" w:rsidP="005C5EBA">
      <w:pPr>
        <w:spacing w:line="360" w:lineRule="auto"/>
        <w:jc w:val="both"/>
        <w:rPr>
          <w:rFonts w:ascii="Arial" w:hAnsi="Arial" w:cs="Arial"/>
        </w:rPr>
      </w:pPr>
    </w:p>
    <w:p w14:paraId="403BEF57" w14:textId="77777777" w:rsidR="006C3281" w:rsidRPr="00030181" w:rsidRDefault="006C3281" w:rsidP="005C5EBA">
      <w:pPr>
        <w:spacing w:line="360" w:lineRule="auto"/>
        <w:jc w:val="both"/>
        <w:rPr>
          <w:rFonts w:ascii="Arial" w:hAnsi="Arial" w:cs="Arial"/>
        </w:rPr>
      </w:pPr>
    </w:p>
    <w:p w14:paraId="74CE958A" w14:textId="77777777" w:rsidR="00BB594A" w:rsidRPr="00030181" w:rsidRDefault="00BB594A" w:rsidP="005C5EBA">
      <w:pPr>
        <w:spacing w:line="360" w:lineRule="auto"/>
        <w:jc w:val="both"/>
        <w:rPr>
          <w:rFonts w:ascii="Arial" w:hAnsi="Arial" w:cs="Arial"/>
        </w:rPr>
      </w:pPr>
    </w:p>
    <w:p w14:paraId="59DF9943" w14:textId="77777777" w:rsidR="00BB594A" w:rsidRPr="00030181" w:rsidRDefault="00BB594A" w:rsidP="005C5EBA">
      <w:pPr>
        <w:spacing w:line="360" w:lineRule="auto"/>
        <w:jc w:val="both"/>
        <w:rPr>
          <w:rFonts w:ascii="Arial" w:hAnsi="Arial" w:cs="Arial"/>
        </w:rPr>
      </w:pPr>
    </w:p>
    <w:p w14:paraId="276CA118" w14:textId="77777777" w:rsidR="00BB594A" w:rsidRPr="00030181" w:rsidRDefault="00BB594A" w:rsidP="005C5EBA">
      <w:pPr>
        <w:spacing w:line="360" w:lineRule="auto"/>
        <w:jc w:val="both"/>
        <w:rPr>
          <w:rFonts w:ascii="Arial" w:hAnsi="Arial" w:cs="Arial"/>
        </w:rPr>
      </w:pPr>
    </w:p>
    <w:p w14:paraId="2665DBAD" w14:textId="77777777" w:rsidR="00BB594A" w:rsidRPr="00030181" w:rsidRDefault="00BB594A" w:rsidP="005C5EBA">
      <w:pPr>
        <w:spacing w:line="360" w:lineRule="auto"/>
        <w:jc w:val="both"/>
        <w:rPr>
          <w:rFonts w:ascii="Arial" w:hAnsi="Arial" w:cs="Arial"/>
        </w:rPr>
      </w:pPr>
    </w:p>
    <w:p w14:paraId="7474B332" w14:textId="77777777" w:rsidR="00BB594A" w:rsidRPr="00030181" w:rsidRDefault="00BB594A" w:rsidP="005C5EBA">
      <w:pPr>
        <w:spacing w:line="360" w:lineRule="auto"/>
        <w:jc w:val="both"/>
        <w:rPr>
          <w:rFonts w:ascii="Arial" w:hAnsi="Arial" w:cs="Arial"/>
        </w:rPr>
      </w:pPr>
    </w:p>
    <w:p w14:paraId="215E7505" w14:textId="77777777" w:rsidR="00BB594A" w:rsidRPr="00030181" w:rsidRDefault="00BB594A" w:rsidP="005C5EBA">
      <w:pPr>
        <w:spacing w:line="360" w:lineRule="auto"/>
        <w:jc w:val="both"/>
        <w:rPr>
          <w:rFonts w:ascii="Arial" w:hAnsi="Arial" w:cs="Arial"/>
        </w:rPr>
      </w:pPr>
    </w:p>
    <w:p w14:paraId="284A1669" w14:textId="77777777" w:rsidR="00BB594A" w:rsidRPr="00030181" w:rsidRDefault="00BB594A" w:rsidP="005C5EBA">
      <w:pPr>
        <w:spacing w:line="360" w:lineRule="auto"/>
        <w:jc w:val="both"/>
        <w:rPr>
          <w:rFonts w:ascii="Arial" w:hAnsi="Arial" w:cs="Arial"/>
        </w:rPr>
      </w:pPr>
    </w:p>
    <w:p w14:paraId="70782396" w14:textId="77777777" w:rsidR="00BB594A" w:rsidRPr="00030181" w:rsidRDefault="00BB594A" w:rsidP="005C5EBA">
      <w:pPr>
        <w:spacing w:line="360" w:lineRule="auto"/>
        <w:jc w:val="both"/>
        <w:rPr>
          <w:rFonts w:ascii="Arial" w:hAnsi="Arial" w:cs="Arial"/>
        </w:rPr>
      </w:pPr>
    </w:p>
    <w:p w14:paraId="58F523F7" w14:textId="77777777" w:rsidR="00BB594A" w:rsidRPr="00030181" w:rsidRDefault="00BB594A" w:rsidP="005C5EBA">
      <w:pPr>
        <w:spacing w:line="360" w:lineRule="auto"/>
        <w:jc w:val="both"/>
        <w:rPr>
          <w:rFonts w:ascii="Arial" w:hAnsi="Arial" w:cs="Arial"/>
        </w:rPr>
      </w:pPr>
    </w:p>
    <w:p w14:paraId="6D255F36" w14:textId="5636CF22" w:rsidR="001F1AA1" w:rsidRPr="00030181" w:rsidRDefault="003E3370" w:rsidP="005C5EBA">
      <w:pPr>
        <w:pStyle w:val="Heading1"/>
        <w:spacing w:line="360" w:lineRule="auto"/>
        <w:rPr>
          <w:rFonts w:ascii="Arial" w:hAnsi="Arial" w:cs="Arial"/>
          <w:b/>
          <w:bCs/>
          <w:color w:val="000000" w:themeColor="text1"/>
          <w:sz w:val="28"/>
          <w:szCs w:val="28"/>
        </w:rPr>
      </w:pPr>
      <w:bookmarkStart w:id="8" w:name="_Toc231947536"/>
      <w:r w:rsidRPr="00030181">
        <w:rPr>
          <w:rFonts w:ascii="Arial" w:hAnsi="Arial" w:cs="Arial"/>
          <w:b/>
          <w:bCs/>
          <w:color w:val="000000" w:themeColor="text1"/>
          <w:sz w:val="28"/>
          <w:szCs w:val="28"/>
        </w:rPr>
        <w:lastRenderedPageBreak/>
        <w:t>CHAPTER 2 – LITERATURE REVIEW</w:t>
      </w:r>
      <w:bookmarkEnd w:id="8"/>
      <w:r w:rsidRPr="00030181">
        <w:rPr>
          <w:rFonts w:ascii="Arial" w:hAnsi="Arial" w:cs="Arial"/>
          <w:b/>
          <w:bCs/>
          <w:color w:val="000000" w:themeColor="text1"/>
          <w:sz w:val="28"/>
          <w:szCs w:val="28"/>
        </w:rPr>
        <w:t xml:space="preserve"> </w:t>
      </w:r>
    </w:p>
    <w:p w14:paraId="791FF776" w14:textId="77777777" w:rsidR="008674D1" w:rsidRPr="00030181" w:rsidRDefault="008674D1" w:rsidP="005C5EBA">
      <w:pPr>
        <w:pStyle w:val="Heading1"/>
        <w:spacing w:line="360" w:lineRule="auto"/>
        <w:rPr>
          <w:rFonts w:ascii="Arial" w:hAnsi="Arial" w:cs="Arial"/>
          <w:b/>
          <w:bCs/>
          <w:color w:val="000000" w:themeColor="text1"/>
          <w:sz w:val="22"/>
          <w:szCs w:val="22"/>
        </w:rPr>
      </w:pPr>
      <w:bookmarkStart w:id="9" w:name="_Toc231947537"/>
      <w:r w:rsidRPr="00030181">
        <w:rPr>
          <w:rFonts w:ascii="Arial" w:hAnsi="Arial" w:cs="Arial"/>
          <w:b/>
          <w:bCs/>
          <w:color w:val="000000" w:themeColor="text1"/>
          <w:sz w:val="22"/>
          <w:szCs w:val="22"/>
        </w:rPr>
        <w:t>2.1 Introduction</w:t>
      </w:r>
      <w:bookmarkEnd w:id="9"/>
    </w:p>
    <w:p w14:paraId="5A655DB4" w14:textId="2C11EDA1" w:rsidR="008674D1" w:rsidRPr="00030181" w:rsidRDefault="008674D1" w:rsidP="005C5EBA">
      <w:pPr>
        <w:spacing w:line="360" w:lineRule="auto"/>
        <w:jc w:val="both"/>
        <w:rPr>
          <w:rFonts w:ascii="Arial" w:hAnsi="Arial" w:cs="Arial"/>
          <w:lang w:val="en-US"/>
        </w:rPr>
      </w:pPr>
      <w:r w:rsidRPr="00030181">
        <w:rPr>
          <w:rFonts w:ascii="Arial" w:hAnsi="Arial" w:cs="Arial"/>
        </w:rPr>
        <w:t xml:space="preserve">This chapter critically </w:t>
      </w:r>
      <w:r w:rsidR="008C6767" w:rsidRPr="00030181">
        <w:rPr>
          <w:rFonts w:ascii="Arial" w:hAnsi="Arial" w:cs="Arial"/>
          <w:lang w:val="en-US"/>
        </w:rPr>
        <w:t xml:space="preserve">examines the </w:t>
      </w:r>
      <w:r w:rsidR="002B51BD" w:rsidRPr="00030181">
        <w:rPr>
          <w:rFonts w:ascii="Arial" w:hAnsi="Arial" w:cs="Arial"/>
        </w:rPr>
        <w:t>existing evidence concerning</w:t>
      </w:r>
      <w:r w:rsidR="002B51BD" w:rsidRPr="00030181">
        <w:rPr>
          <w:rFonts w:ascii="Arial" w:hAnsi="Arial" w:cs="Arial"/>
        </w:rPr>
        <w:t xml:space="preserve"> </w:t>
      </w:r>
      <w:r w:rsidR="008C6767" w:rsidRPr="00030181">
        <w:rPr>
          <w:rFonts w:ascii="Arial" w:hAnsi="Arial" w:cs="Arial"/>
          <w:lang w:val="en-US"/>
        </w:rPr>
        <w:t xml:space="preserve">food safety and nutritional </w:t>
      </w:r>
      <w:r w:rsidR="002B51BD" w:rsidRPr="00030181">
        <w:rPr>
          <w:rFonts w:ascii="Arial" w:hAnsi="Arial" w:cs="Arial"/>
          <w:lang w:val="en-US"/>
        </w:rPr>
        <w:t xml:space="preserve">care </w:t>
      </w:r>
      <w:r w:rsidR="008C6767" w:rsidRPr="00030181">
        <w:rPr>
          <w:rFonts w:ascii="Arial" w:hAnsi="Arial" w:cs="Arial"/>
          <w:lang w:val="en-US"/>
        </w:rPr>
        <w:t xml:space="preserve">practices </w:t>
      </w:r>
      <w:r w:rsidR="002B51BD" w:rsidRPr="00030181">
        <w:rPr>
          <w:rFonts w:ascii="Arial" w:hAnsi="Arial" w:cs="Arial"/>
        </w:rPr>
        <w:t>within care home settings across the United Kingdom</w:t>
      </w:r>
      <w:r w:rsidR="002B51BD" w:rsidRPr="00030181">
        <w:rPr>
          <w:rFonts w:ascii="Arial" w:hAnsi="Arial" w:cs="Arial"/>
        </w:rPr>
        <w:t xml:space="preserve"> </w:t>
      </w:r>
      <w:r w:rsidR="008C6767" w:rsidRPr="00030181">
        <w:rPr>
          <w:rFonts w:ascii="Arial" w:hAnsi="Arial" w:cs="Arial"/>
          <w:lang w:val="en-US"/>
        </w:rPr>
        <w:t xml:space="preserve">and their </w:t>
      </w:r>
      <w:r w:rsidRPr="00030181">
        <w:rPr>
          <w:rFonts w:ascii="Arial" w:hAnsi="Arial" w:cs="Arial"/>
        </w:rPr>
        <w:t xml:space="preserve">influence on health outcomes among older </w:t>
      </w:r>
      <w:r w:rsidR="002B51BD" w:rsidRPr="00030181">
        <w:rPr>
          <w:rFonts w:ascii="Arial" w:hAnsi="Arial" w:cs="Arial"/>
        </w:rPr>
        <w:t>individuals</w:t>
      </w:r>
      <w:r w:rsidRPr="00030181">
        <w:rPr>
          <w:rFonts w:ascii="Arial" w:hAnsi="Arial" w:cs="Arial"/>
        </w:rPr>
        <w:t xml:space="preserve">, </w:t>
      </w:r>
      <w:r w:rsidR="002B51BD" w:rsidRPr="00030181">
        <w:rPr>
          <w:rFonts w:ascii="Arial" w:hAnsi="Arial" w:cs="Arial"/>
        </w:rPr>
        <w:t>especially,</w:t>
      </w:r>
      <w:r w:rsidRPr="00030181">
        <w:rPr>
          <w:rFonts w:ascii="Arial" w:hAnsi="Arial" w:cs="Arial"/>
        </w:rPr>
        <w:t xml:space="preserve"> those with type 2 diabetes (NHS England, 2023). It synthesises current evidence, identifies key themes, and highlights gaps that underpin the rationale for this study (National Institute for Health and Care Excellence, 2022).</w:t>
      </w:r>
    </w:p>
    <w:p w14:paraId="7DC8BBB2" w14:textId="585670FD" w:rsidR="008674D1" w:rsidRPr="00030181" w:rsidRDefault="008674D1" w:rsidP="005C5EBA">
      <w:pPr>
        <w:spacing w:line="360" w:lineRule="auto"/>
        <w:jc w:val="both"/>
        <w:rPr>
          <w:rFonts w:ascii="Arial" w:hAnsi="Arial" w:cs="Arial"/>
        </w:rPr>
      </w:pPr>
      <w:r w:rsidRPr="00030181">
        <w:rPr>
          <w:rFonts w:ascii="Arial" w:hAnsi="Arial" w:cs="Arial"/>
        </w:rPr>
        <w:t>Care</w:t>
      </w:r>
      <w:r w:rsidR="009F102F" w:rsidRPr="00030181">
        <w:rPr>
          <w:rFonts w:ascii="Arial" w:hAnsi="Arial" w:cs="Arial"/>
        </w:rPr>
        <w:t>-</w:t>
      </w:r>
      <w:r w:rsidRPr="00030181">
        <w:rPr>
          <w:rFonts w:ascii="Arial" w:hAnsi="Arial" w:cs="Arial"/>
        </w:rPr>
        <w:t xml:space="preserve">home residents are widely recognised as a vulnerable population characterised by multimorbidity, frailty, and functional dependency (The King's Fund, 2023). As many residents rely on staff for food provision and dietary support, nutrition and food safety </w:t>
      </w:r>
      <w:r w:rsidR="009F102F" w:rsidRPr="00030181">
        <w:rPr>
          <w:rFonts w:ascii="Arial" w:hAnsi="Arial" w:cs="Arial"/>
        </w:rPr>
        <w:t>play a vital role in</w:t>
      </w:r>
      <w:r w:rsidRPr="00030181">
        <w:rPr>
          <w:rFonts w:ascii="Arial" w:hAnsi="Arial" w:cs="Arial"/>
        </w:rPr>
        <w:t xml:space="preserve"> maintaining health and wellbeing (British Dietetic Association, 2022).</w:t>
      </w:r>
    </w:p>
    <w:p w14:paraId="18D59ECB" w14:textId="23795A31" w:rsidR="008674D1" w:rsidRPr="00030181" w:rsidRDefault="008674D1" w:rsidP="005C5EBA">
      <w:pPr>
        <w:spacing w:line="360" w:lineRule="auto"/>
        <w:jc w:val="both"/>
        <w:rPr>
          <w:rFonts w:ascii="Arial" w:hAnsi="Arial" w:cs="Arial"/>
          <w:lang w:val="en-US"/>
        </w:rPr>
      </w:pPr>
      <w:r w:rsidRPr="00030181">
        <w:rPr>
          <w:rFonts w:ascii="Arial" w:hAnsi="Arial" w:cs="Arial"/>
        </w:rPr>
        <w:t xml:space="preserve">Although both are recognised as essential components of quality care, nutrition and food safety are frequently examined independently, limiting understanding of their combined influence on outcomes such as </w:t>
      </w:r>
      <w:r w:rsidR="008C6767" w:rsidRPr="00030181">
        <w:rPr>
          <w:rFonts w:ascii="Arial" w:hAnsi="Arial" w:cs="Arial"/>
          <w:lang w:val="en-US"/>
        </w:rPr>
        <w:t xml:space="preserve">nutrition status, risk of infection, and management of chronic diseases </w:t>
      </w:r>
      <w:r w:rsidRPr="00030181">
        <w:rPr>
          <w:rFonts w:ascii="Arial" w:hAnsi="Arial" w:cs="Arial"/>
        </w:rPr>
        <w:t>(British Association for Parenteral and Enteral Nutrition, 2021; Food Standards Agency, 2022; Diabetes UK, 2023). Existing literature emphasises nutritional assessment, monitoring, and intervention, while food safety research focuses primarily on hygiene standards, regulatory compliance</w:t>
      </w:r>
      <w:r w:rsidR="008C6767" w:rsidRPr="00030181">
        <w:rPr>
          <w:rFonts w:ascii="Arial" w:hAnsi="Arial" w:cs="Arial"/>
          <w:lang w:val="en-US"/>
        </w:rPr>
        <w:t xml:space="preserve">, and the reduction of foodborne illness </w:t>
      </w:r>
      <w:r w:rsidRPr="00030181">
        <w:rPr>
          <w:rFonts w:ascii="Arial" w:hAnsi="Arial" w:cs="Arial"/>
        </w:rPr>
        <w:t xml:space="preserve">(National Institute for Health and Care Excellence, 2022; Food Standards Agency, 2022). This highlights the need for a more integrated understanding of their interaction, particularly among residents with </w:t>
      </w:r>
      <w:r w:rsidR="009F102F" w:rsidRPr="00030181">
        <w:rPr>
          <w:rFonts w:ascii="Arial" w:hAnsi="Arial" w:cs="Arial"/>
        </w:rPr>
        <w:t>complicated health conditions</w:t>
      </w:r>
      <w:r w:rsidR="009F102F" w:rsidRPr="00030181">
        <w:rPr>
          <w:rFonts w:ascii="Arial" w:hAnsi="Arial" w:cs="Arial"/>
        </w:rPr>
        <w:t xml:space="preserve"> </w:t>
      </w:r>
      <w:r w:rsidRPr="00030181">
        <w:rPr>
          <w:rFonts w:ascii="Arial" w:hAnsi="Arial" w:cs="Arial"/>
        </w:rPr>
        <w:t>such as type 2 diabetes (NHS England, 2023).</w:t>
      </w:r>
    </w:p>
    <w:p w14:paraId="5639806D" w14:textId="75C26475" w:rsidR="008674D1" w:rsidRPr="00030181" w:rsidRDefault="008674D1" w:rsidP="005C5EBA">
      <w:pPr>
        <w:spacing w:line="360" w:lineRule="auto"/>
        <w:jc w:val="both"/>
        <w:rPr>
          <w:rFonts w:ascii="Arial" w:hAnsi="Arial" w:cs="Arial"/>
          <w:lang w:val="en-US"/>
        </w:rPr>
      </w:pPr>
      <w:r w:rsidRPr="00030181">
        <w:rPr>
          <w:rFonts w:ascii="Arial" w:hAnsi="Arial" w:cs="Arial"/>
        </w:rPr>
        <w:t xml:space="preserve">In the UK, care homes operate within regulatory frameworks that promote safe and effective nutritional and food hygiene practices (Care Quality Commission, 2023). However, evidence suggests that differences in staffing, training, and resources may influence the consistency of implementation across settings (Public Health England, 2020). </w:t>
      </w:r>
      <w:r w:rsidR="008C6767" w:rsidRPr="00030181">
        <w:rPr>
          <w:rFonts w:ascii="Arial" w:hAnsi="Arial" w:cs="Arial"/>
          <w:lang w:val="en-US"/>
        </w:rPr>
        <w:t>The growing prevalence of chronic conditions</w:t>
      </w:r>
      <w:r w:rsidRPr="00030181">
        <w:rPr>
          <w:rFonts w:ascii="Arial" w:hAnsi="Arial" w:cs="Arial"/>
        </w:rPr>
        <w:t>, particularly type 2 diabetes, further emphasises the importance of coordinated approaches to dietary management, nutritional support, and infection prevention (Diabetes UK, 2023; National Institute for Health and Care Excellence, 2022).</w:t>
      </w:r>
    </w:p>
    <w:p w14:paraId="7700B5A7" w14:textId="3808C1FD" w:rsidR="008674D1" w:rsidRPr="00030181" w:rsidRDefault="008674D1" w:rsidP="005C5EBA">
      <w:pPr>
        <w:spacing w:line="360" w:lineRule="auto"/>
        <w:jc w:val="both"/>
        <w:rPr>
          <w:rFonts w:ascii="Arial" w:hAnsi="Arial" w:cs="Arial"/>
        </w:rPr>
      </w:pPr>
      <w:r w:rsidRPr="00030181">
        <w:rPr>
          <w:rFonts w:ascii="Arial" w:hAnsi="Arial" w:cs="Arial"/>
        </w:rPr>
        <w:t xml:space="preserve">Despite extensive research in both areas, limited evidence has explored how food safety and nutrition practices interact to influence health outcomes within UK care homes. This chapter therefore examines key themes relating to nutritional care, food safety, and chronic disease </w:t>
      </w:r>
      <w:r w:rsidRPr="00030181">
        <w:rPr>
          <w:rFonts w:ascii="Arial" w:hAnsi="Arial" w:cs="Arial"/>
        </w:rPr>
        <w:lastRenderedPageBreak/>
        <w:t>vulnerability before presenting the Social Ecological Model and Person-Centred Care as the theoretical frameworks guiding this study (World Health Organization, 2022).</w:t>
      </w:r>
    </w:p>
    <w:p w14:paraId="7903A784" w14:textId="44766BBE" w:rsidR="000C4A05" w:rsidRPr="00030181" w:rsidRDefault="00AA7EEC" w:rsidP="005C5EBA">
      <w:pPr>
        <w:pStyle w:val="Heading1"/>
        <w:spacing w:line="360" w:lineRule="auto"/>
        <w:rPr>
          <w:rFonts w:ascii="Arial" w:hAnsi="Arial" w:cs="Arial"/>
          <w:b/>
          <w:bCs/>
          <w:color w:val="000000" w:themeColor="text1"/>
          <w:sz w:val="22"/>
          <w:szCs w:val="22"/>
        </w:rPr>
      </w:pPr>
      <w:bookmarkStart w:id="10" w:name="_Toc231947538"/>
      <w:r w:rsidRPr="00030181">
        <w:rPr>
          <w:rFonts w:ascii="Arial" w:hAnsi="Arial" w:cs="Arial"/>
          <w:b/>
          <w:bCs/>
          <w:color w:val="000000" w:themeColor="text1"/>
          <w:sz w:val="22"/>
          <w:szCs w:val="22"/>
        </w:rPr>
        <w:t>2.2 Nutritional Care in UK Care Homes</w:t>
      </w:r>
      <w:bookmarkEnd w:id="10"/>
    </w:p>
    <w:p w14:paraId="2501CE93" w14:textId="6C0CB159" w:rsidR="000D6E1E" w:rsidRPr="00030181" w:rsidRDefault="000D6E1E" w:rsidP="005C5EBA">
      <w:pPr>
        <w:spacing w:line="360" w:lineRule="auto"/>
        <w:jc w:val="both"/>
        <w:rPr>
          <w:rFonts w:ascii="Arial" w:hAnsi="Arial" w:cs="Arial"/>
        </w:rPr>
      </w:pPr>
      <w:r w:rsidRPr="00030181">
        <w:rPr>
          <w:rFonts w:ascii="Arial" w:hAnsi="Arial" w:cs="Arial"/>
          <w:noProof/>
        </w:rPr>
        <w:drawing>
          <wp:anchor distT="0" distB="0" distL="114300" distR="114300" simplePos="0" relativeHeight="251563520" behindDoc="0" locked="0" layoutInCell="1" allowOverlap="1" wp14:anchorId="6B9A215B" wp14:editId="3BE00446">
            <wp:simplePos x="0" y="0"/>
            <wp:positionH relativeFrom="margin">
              <wp:posOffset>1195070</wp:posOffset>
            </wp:positionH>
            <wp:positionV relativeFrom="margin">
              <wp:align>center</wp:align>
            </wp:positionV>
            <wp:extent cx="3235960" cy="4094480"/>
            <wp:effectExtent l="0" t="0" r="2540" b="1270"/>
            <wp:wrapTopAndBottom/>
            <wp:docPr id="834316971" name="Picture 2" descr="Here are the #Malnutrition facts! Over 3 million people in the #UK are at  risk of malnutrition, with malnutrition accounting for 30% of #hospital  admiss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Here are the #Malnutrition facts! Over 3 million people in the #UK are at  risk of malnutrition, with malnutrition accounting for 30% of #hospital  admissions."/>
                    <pic:cNvPicPr>
                      <a:picLocks noChangeAspect="1" noChangeArrowheads="1"/>
                    </pic:cNvPicPr>
                  </pic:nvPicPr>
                  <pic:blipFill rotWithShape="1">
                    <a:blip r:embed="rId10">
                      <a:extLst>
                        <a:ext uri="{28A0092B-C50C-407E-A947-70E740481C1C}">
                          <a14:useLocalDpi xmlns:a14="http://schemas.microsoft.com/office/drawing/2010/main" val="0"/>
                        </a:ext>
                      </a:extLst>
                    </a:blip>
                    <a:srcRect t="-764"/>
                    <a:stretch>
                      <a:fillRect/>
                    </a:stretch>
                  </pic:blipFill>
                  <pic:spPr bwMode="auto">
                    <a:xfrm>
                      <a:off x="0" y="0"/>
                      <a:ext cx="3235960" cy="40944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C6767" w:rsidRPr="00030181">
        <w:rPr>
          <w:rFonts w:ascii="Arial" w:hAnsi="Arial" w:cs="Arial"/>
          <w:lang w:val="en-US"/>
        </w:rPr>
        <w:t>Nutritional care is an essential aspect of health and wellbeing for older adults living in care homes</w:t>
      </w:r>
      <w:r w:rsidR="00952525" w:rsidRPr="00030181">
        <w:rPr>
          <w:rFonts w:ascii="Arial" w:hAnsi="Arial" w:cs="Arial"/>
        </w:rPr>
        <w:t xml:space="preserve">, where </w:t>
      </w:r>
      <w:r w:rsidR="005A292B" w:rsidRPr="00030181">
        <w:rPr>
          <w:rFonts w:ascii="Arial" w:hAnsi="Arial" w:cs="Arial"/>
        </w:rPr>
        <w:t>individuals</w:t>
      </w:r>
      <w:r w:rsidR="00952525" w:rsidRPr="00030181">
        <w:rPr>
          <w:rFonts w:ascii="Arial" w:hAnsi="Arial" w:cs="Arial"/>
        </w:rPr>
        <w:t xml:space="preserve"> are largely dependent on staff for food provision and dietary management (British Dietetic Association, 2022). Maintaining adequate nutritional status is essential for supporting physiological function, preserving </w:t>
      </w:r>
      <w:r w:rsidR="005A292B" w:rsidRPr="00030181">
        <w:rPr>
          <w:rFonts w:ascii="Arial" w:hAnsi="Arial" w:cs="Arial"/>
        </w:rPr>
        <w:t>muscular strength and mass</w:t>
      </w:r>
      <w:r w:rsidR="00952525" w:rsidRPr="00030181">
        <w:rPr>
          <w:rFonts w:ascii="Arial" w:hAnsi="Arial" w:cs="Arial"/>
        </w:rPr>
        <w:t xml:space="preserve">, and </w:t>
      </w:r>
      <w:r w:rsidR="005A292B" w:rsidRPr="00030181">
        <w:rPr>
          <w:rFonts w:ascii="Arial" w:hAnsi="Arial" w:cs="Arial"/>
        </w:rPr>
        <w:t>minimising the likelihood of adverse health outcomes</w:t>
      </w:r>
      <w:r w:rsidR="005A292B" w:rsidRPr="00030181">
        <w:rPr>
          <w:rFonts w:ascii="Arial" w:hAnsi="Arial" w:cs="Arial"/>
        </w:rPr>
        <w:t xml:space="preserve"> </w:t>
      </w:r>
      <w:r w:rsidR="00952525" w:rsidRPr="00030181">
        <w:rPr>
          <w:rFonts w:ascii="Arial" w:hAnsi="Arial" w:cs="Arial"/>
        </w:rPr>
        <w:t>(N</w:t>
      </w:r>
      <w:r w:rsidR="005A292B" w:rsidRPr="00030181">
        <w:rPr>
          <w:rFonts w:ascii="Arial" w:hAnsi="Arial" w:cs="Arial"/>
        </w:rPr>
        <w:t>ICE</w:t>
      </w:r>
      <w:r w:rsidR="00952525" w:rsidRPr="00030181">
        <w:rPr>
          <w:rFonts w:ascii="Arial" w:hAnsi="Arial" w:cs="Arial"/>
        </w:rPr>
        <w:t xml:space="preserve">, 2022). </w:t>
      </w:r>
    </w:p>
    <w:p w14:paraId="1C112F9E" w14:textId="1D61D46B" w:rsidR="006A2343" w:rsidRPr="00030181" w:rsidRDefault="009235A9" w:rsidP="009235A9">
      <w:pPr>
        <w:pStyle w:val="Caption"/>
        <w:jc w:val="center"/>
        <w:rPr>
          <w:rFonts w:ascii="Arial" w:hAnsi="Arial" w:cs="Arial"/>
          <w:b w:val="0"/>
          <w:bCs w:val="0"/>
          <w:color w:val="auto"/>
          <w:sz w:val="44"/>
          <w:szCs w:val="44"/>
        </w:rPr>
      </w:pPr>
      <w:bookmarkStart w:id="11" w:name="_Toc232097084"/>
      <w:r w:rsidRPr="00030181">
        <w:rPr>
          <w:rFonts w:ascii="Arial" w:hAnsi="Arial" w:cs="Arial"/>
          <w:b w:val="0"/>
          <w:bCs w:val="0"/>
          <w:color w:val="auto"/>
          <w:sz w:val="22"/>
          <w:szCs w:val="22"/>
        </w:rPr>
        <w:t xml:space="preserve">Figure 2.1: UK Care Home Malnutrition </w:t>
      </w:r>
      <w:r w:rsidRPr="00030181">
        <w:rPr>
          <w:rFonts w:ascii="Arial" w:hAnsi="Arial" w:cs="Arial"/>
          <w:b w:val="0"/>
          <w:bCs w:val="0"/>
          <w:color w:val="auto"/>
          <w:sz w:val="22"/>
          <w:szCs w:val="22"/>
        </w:rPr>
        <w:fldChar w:fldCharType="begin"/>
      </w:r>
      <w:r w:rsidRPr="00030181">
        <w:rPr>
          <w:rFonts w:ascii="Arial" w:hAnsi="Arial" w:cs="Arial"/>
          <w:b w:val="0"/>
          <w:bCs w:val="0"/>
          <w:color w:val="auto"/>
          <w:sz w:val="22"/>
          <w:szCs w:val="22"/>
        </w:rPr>
        <w:instrText xml:space="preserve"> SEQ Figure_2.1:_UK_Care_Home_Malnutrition \* ARABIC </w:instrText>
      </w:r>
      <w:r w:rsidRPr="00030181">
        <w:rPr>
          <w:rFonts w:ascii="Arial" w:hAnsi="Arial" w:cs="Arial"/>
          <w:b w:val="0"/>
          <w:bCs w:val="0"/>
          <w:color w:val="auto"/>
          <w:sz w:val="22"/>
          <w:szCs w:val="22"/>
        </w:rPr>
        <w:fldChar w:fldCharType="separate"/>
      </w:r>
      <w:r w:rsidRPr="00030181">
        <w:rPr>
          <w:rFonts w:ascii="Arial" w:hAnsi="Arial" w:cs="Arial"/>
          <w:b w:val="0"/>
          <w:bCs w:val="0"/>
          <w:noProof/>
          <w:color w:val="auto"/>
          <w:sz w:val="22"/>
          <w:szCs w:val="22"/>
        </w:rPr>
        <w:t>1</w:t>
      </w:r>
      <w:bookmarkEnd w:id="11"/>
      <w:r w:rsidRPr="00030181">
        <w:rPr>
          <w:rFonts w:ascii="Arial" w:hAnsi="Arial" w:cs="Arial"/>
          <w:b w:val="0"/>
          <w:bCs w:val="0"/>
          <w:color w:val="auto"/>
          <w:sz w:val="22"/>
          <w:szCs w:val="22"/>
        </w:rPr>
        <w:fldChar w:fldCharType="end"/>
      </w:r>
    </w:p>
    <w:p w14:paraId="13F89E5F" w14:textId="1164B463" w:rsidR="006A2343" w:rsidRPr="00030181" w:rsidRDefault="006A2343" w:rsidP="000D6E1E">
      <w:pPr>
        <w:spacing w:line="360" w:lineRule="auto"/>
        <w:jc w:val="center"/>
        <w:rPr>
          <w:rFonts w:ascii="Arial" w:hAnsi="Arial" w:cs="Arial"/>
        </w:rPr>
      </w:pPr>
      <w:r w:rsidRPr="00030181">
        <w:rPr>
          <w:rFonts w:ascii="Arial" w:hAnsi="Arial" w:cs="Arial"/>
        </w:rPr>
        <w:t>Source: (BAPEN, 2021)</w:t>
      </w:r>
    </w:p>
    <w:p w14:paraId="719D7E81" w14:textId="2A5053DB" w:rsidR="00307873" w:rsidRPr="00030181" w:rsidRDefault="000D6E1E" w:rsidP="005C5EBA">
      <w:pPr>
        <w:spacing w:line="360" w:lineRule="auto"/>
        <w:jc w:val="both"/>
        <w:rPr>
          <w:rFonts w:ascii="Arial" w:hAnsi="Arial" w:cs="Arial"/>
        </w:rPr>
      </w:pPr>
      <w:r w:rsidRPr="00030181">
        <w:rPr>
          <w:rFonts w:ascii="Arial" w:hAnsi="Arial" w:cs="Arial"/>
        </w:rPr>
        <w:t xml:space="preserve">Figure </w:t>
      </w:r>
      <w:r w:rsidR="00952525" w:rsidRPr="00030181">
        <w:rPr>
          <w:rFonts w:ascii="Arial" w:hAnsi="Arial" w:cs="Arial"/>
        </w:rPr>
        <w:t>2.1 demonstrates the high prevalence and impact of malnutrition among older</w:t>
      </w:r>
      <w:r w:rsidR="005A292B" w:rsidRPr="00030181">
        <w:rPr>
          <w:rFonts w:ascii="Arial" w:hAnsi="Arial" w:cs="Arial"/>
        </w:rPr>
        <w:t xml:space="preserve"> individuals</w:t>
      </w:r>
      <w:r w:rsidR="00952525" w:rsidRPr="00030181">
        <w:rPr>
          <w:rFonts w:ascii="Arial" w:hAnsi="Arial" w:cs="Arial"/>
        </w:rPr>
        <w:t xml:space="preserve"> in UK care homes, highlighting the importance of nutritional screening, assessment, and individualised care in improving health outcomes and reducing healthcare burden.</w:t>
      </w:r>
    </w:p>
    <w:p w14:paraId="575D2031" w14:textId="02855ED2" w:rsidR="006B2ECC" w:rsidRPr="00030181" w:rsidRDefault="00E85965" w:rsidP="005C5EBA">
      <w:pPr>
        <w:spacing w:line="360" w:lineRule="auto"/>
        <w:jc w:val="both"/>
        <w:rPr>
          <w:rFonts w:ascii="Arial" w:hAnsi="Arial" w:cs="Arial"/>
        </w:rPr>
      </w:pPr>
      <w:r w:rsidRPr="00030181">
        <w:rPr>
          <w:rFonts w:ascii="Arial" w:hAnsi="Arial" w:cs="Arial"/>
        </w:rPr>
        <w:t xml:space="preserve">Malnutrition remains a major concern in UK care homes, affecting approximately 20–30% of residents, with a larger proportion at risk (British Association for Parenteral and Enteral Nutrition, 2021). National data indicate that around 34% of residents are identified at </w:t>
      </w:r>
      <w:r w:rsidR="005A292B" w:rsidRPr="00030181">
        <w:rPr>
          <w:rFonts w:ascii="Arial" w:hAnsi="Arial" w:cs="Arial"/>
        </w:rPr>
        <w:t xml:space="preserve">risk  </w:t>
      </w:r>
      <w:r w:rsidR="005A292B" w:rsidRPr="00030181">
        <w:rPr>
          <w:rFonts w:ascii="Arial" w:hAnsi="Arial" w:cs="Arial"/>
        </w:rPr>
        <w:lastRenderedPageBreak/>
        <w:t>assessed by</w:t>
      </w:r>
      <w:r w:rsidR="005A292B" w:rsidRPr="00030181">
        <w:rPr>
          <w:rFonts w:ascii="Arial" w:hAnsi="Arial" w:cs="Arial"/>
        </w:rPr>
        <w:t xml:space="preserve"> </w:t>
      </w:r>
      <w:r w:rsidRPr="00030181">
        <w:rPr>
          <w:rFonts w:ascii="Arial" w:hAnsi="Arial" w:cs="Arial"/>
        </w:rPr>
        <w:t>the Malnutrition Universal Screening Tool (MUST), highlighting the scale of the issue (British Association for Parenteral and Enteral Nutrition, 2021). The literature suggests that malnutrition is multifactorial, influenced by ageing, chronic disease, and care environment factors (NHS England, 2023).</w:t>
      </w:r>
    </w:p>
    <w:p w14:paraId="2C1FC90D" w14:textId="5BF4BD61" w:rsidR="006B2ECC" w:rsidRPr="00030181" w:rsidRDefault="003956A9" w:rsidP="005C5EBA">
      <w:pPr>
        <w:spacing w:line="360" w:lineRule="auto"/>
        <w:jc w:val="center"/>
        <w:rPr>
          <w:rFonts w:ascii="Arial" w:hAnsi="Arial" w:cs="Arial"/>
          <w:sz w:val="2"/>
          <w:szCs w:val="2"/>
        </w:rPr>
      </w:pPr>
      <w:r w:rsidRPr="00030181">
        <w:rPr>
          <w:rFonts w:ascii="Arial" w:hAnsi="Arial" w:cs="Arial"/>
          <w:noProof/>
        </w:rPr>
        <mc:AlternateContent>
          <mc:Choice Requires="wps">
            <w:drawing>
              <wp:anchor distT="0" distB="0" distL="114300" distR="114300" simplePos="0" relativeHeight="251752960" behindDoc="0" locked="0" layoutInCell="1" allowOverlap="1" wp14:anchorId="5712258D" wp14:editId="330D205B">
                <wp:simplePos x="0" y="0"/>
                <wp:positionH relativeFrom="column">
                  <wp:posOffset>-2540</wp:posOffset>
                </wp:positionH>
                <wp:positionV relativeFrom="paragraph">
                  <wp:posOffset>4182110</wp:posOffset>
                </wp:positionV>
                <wp:extent cx="5727700" cy="635"/>
                <wp:effectExtent l="0" t="0" r="0" b="0"/>
                <wp:wrapTopAndBottom/>
                <wp:docPr id="1211756980" name="Text Box 1"/>
                <wp:cNvGraphicFramePr/>
                <a:graphic xmlns:a="http://schemas.openxmlformats.org/drawingml/2006/main">
                  <a:graphicData uri="http://schemas.microsoft.com/office/word/2010/wordprocessingShape">
                    <wps:wsp>
                      <wps:cNvSpPr txBox="1"/>
                      <wps:spPr>
                        <a:xfrm>
                          <a:off x="0" y="0"/>
                          <a:ext cx="5727700" cy="635"/>
                        </a:xfrm>
                        <a:prstGeom prst="rect">
                          <a:avLst/>
                        </a:prstGeom>
                        <a:solidFill>
                          <a:prstClr val="white"/>
                        </a:solidFill>
                        <a:ln>
                          <a:noFill/>
                        </a:ln>
                      </wps:spPr>
                      <wps:txbx>
                        <w:txbxContent>
                          <w:p w14:paraId="288B9955" w14:textId="475B65CA" w:rsidR="003B4C3F" w:rsidRPr="003B4C3F" w:rsidRDefault="003B4C3F" w:rsidP="003B4C3F">
                            <w:pPr>
                              <w:pStyle w:val="Caption"/>
                              <w:jc w:val="center"/>
                              <w:rPr>
                                <w:rFonts w:ascii="Arial" w:hAnsi="Arial" w:cs="Arial"/>
                                <w:color w:val="000000" w:themeColor="text1"/>
                                <w:sz w:val="22"/>
                                <w:szCs w:val="22"/>
                              </w:rPr>
                            </w:pPr>
                            <w:bookmarkStart w:id="12" w:name="_Toc231928910"/>
                            <w:r w:rsidRPr="003B4C3F">
                              <w:rPr>
                                <w:rFonts w:ascii="Arial" w:hAnsi="Arial" w:cs="Arial"/>
                                <w:color w:val="000000" w:themeColor="text1"/>
                                <w:sz w:val="22"/>
                                <w:szCs w:val="22"/>
                              </w:rPr>
                              <w:t xml:space="preserve">Figure 2.2: MUST Care Pathway </w:t>
                            </w:r>
                            <w:r w:rsidRPr="003B4C3F">
                              <w:rPr>
                                <w:rFonts w:ascii="Arial" w:hAnsi="Arial" w:cs="Arial"/>
                                <w:color w:val="000000" w:themeColor="text1"/>
                                <w:sz w:val="22"/>
                                <w:szCs w:val="22"/>
                              </w:rPr>
                              <w:fldChar w:fldCharType="begin"/>
                            </w:r>
                            <w:r w:rsidRPr="003B4C3F">
                              <w:rPr>
                                <w:rFonts w:ascii="Arial" w:hAnsi="Arial" w:cs="Arial"/>
                                <w:color w:val="000000" w:themeColor="text1"/>
                                <w:sz w:val="22"/>
                                <w:szCs w:val="22"/>
                              </w:rPr>
                              <w:instrText xml:space="preserve"> SEQ Figure_2.2:_MUST_Care_Pathway \* ARABIC </w:instrText>
                            </w:r>
                            <w:r w:rsidRPr="003B4C3F">
                              <w:rPr>
                                <w:rFonts w:ascii="Arial" w:hAnsi="Arial" w:cs="Arial"/>
                                <w:color w:val="000000" w:themeColor="text1"/>
                                <w:sz w:val="22"/>
                                <w:szCs w:val="22"/>
                              </w:rPr>
                              <w:fldChar w:fldCharType="separate"/>
                            </w:r>
                            <w:r w:rsidRPr="003B4C3F">
                              <w:rPr>
                                <w:rFonts w:ascii="Arial" w:hAnsi="Arial" w:cs="Arial"/>
                                <w:noProof/>
                                <w:color w:val="000000" w:themeColor="text1"/>
                                <w:sz w:val="22"/>
                                <w:szCs w:val="22"/>
                              </w:rPr>
                              <w:t>1</w:t>
                            </w:r>
                            <w:bookmarkEnd w:id="12"/>
                            <w:r w:rsidRPr="003B4C3F">
                              <w:rPr>
                                <w:rFonts w:ascii="Arial" w:hAnsi="Arial" w:cs="Arial"/>
                                <w:color w:val="000000" w:themeColor="text1"/>
                                <w:sz w:val="22"/>
                                <w:szCs w:val="22"/>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12258D" id="_x0000_s1027" type="#_x0000_t202" style="position:absolute;left:0;text-align:left;margin-left:-.2pt;margin-top:329.3pt;width:451pt;height:.05pt;z-index:251752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" stroked="f">
                <v:textbox style="mso-fit-shape-to-text:t" inset="0,0,0,0">
                  <w:txbxContent>
                    <w:p w14:paraId="288B9955" w14:textId="475B65CA" w:rsidR="003B4C3F" w:rsidRPr="003B4C3F" w:rsidRDefault="003B4C3F" w:rsidP="003B4C3F">
                      <w:pPr>
                        <w:pStyle w:val="Caption"/>
                        <w:jc w:val="center"/>
                        <w:rPr>
                          <w:rFonts w:ascii="Arial" w:hAnsi="Arial" w:cs="Arial"/>
                          <w:color w:val="000000" w:themeColor="text1"/>
                          <w:sz w:val="22"/>
                          <w:szCs w:val="22"/>
                        </w:rPr>
                      </w:pPr>
                      <w:bookmarkStart w:id="13" w:name="_Toc231928910"/>
                      <w:r w:rsidRPr="003B4C3F">
                        <w:rPr>
                          <w:rFonts w:ascii="Arial" w:hAnsi="Arial" w:cs="Arial"/>
                          <w:color w:val="000000" w:themeColor="text1"/>
                          <w:sz w:val="22"/>
                          <w:szCs w:val="22"/>
                        </w:rPr>
                        <w:t xml:space="preserve">Figure 2.2: MUST Care Pathway </w:t>
                      </w:r>
                      <w:r w:rsidRPr="003B4C3F">
                        <w:rPr>
                          <w:rFonts w:ascii="Arial" w:hAnsi="Arial" w:cs="Arial"/>
                          <w:color w:val="000000" w:themeColor="text1"/>
                          <w:sz w:val="22"/>
                          <w:szCs w:val="22"/>
                        </w:rPr>
                        <w:fldChar w:fldCharType="begin"/>
                      </w:r>
                      <w:r w:rsidRPr="003B4C3F">
                        <w:rPr>
                          <w:rFonts w:ascii="Arial" w:hAnsi="Arial" w:cs="Arial"/>
                          <w:color w:val="000000" w:themeColor="text1"/>
                          <w:sz w:val="22"/>
                          <w:szCs w:val="22"/>
                        </w:rPr>
                        <w:instrText xml:space="preserve"> SEQ Figure_2.2:_MUST_Care_Pathway \* ARABIC </w:instrText>
                      </w:r>
                      <w:r w:rsidRPr="003B4C3F">
                        <w:rPr>
                          <w:rFonts w:ascii="Arial" w:hAnsi="Arial" w:cs="Arial"/>
                          <w:color w:val="000000" w:themeColor="text1"/>
                          <w:sz w:val="22"/>
                          <w:szCs w:val="22"/>
                        </w:rPr>
                        <w:fldChar w:fldCharType="separate"/>
                      </w:r>
                      <w:r w:rsidRPr="003B4C3F">
                        <w:rPr>
                          <w:rFonts w:ascii="Arial" w:hAnsi="Arial" w:cs="Arial"/>
                          <w:noProof/>
                          <w:color w:val="000000" w:themeColor="text1"/>
                          <w:sz w:val="22"/>
                          <w:szCs w:val="22"/>
                        </w:rPr>
                        <w:t>1</w:t>
                      </w:r>
                      <w:bookmarkEnd w:id="13"/>
                      <w:r w:rsidRPr="003B4C3F">
                        <w:rPr>
                          <w:rFonts w:ascii="Arial" w:hAnsi="Arial" w:cs="Arial"/>
                          <w:color w:val="000000" w:themeColor="text1"/>
                          <w:sz w:val="22"/>
                          <w:szCs w:val="22"/>
                        </w:rPr>
                        <w:fldChar w:fldCharType="end"/>
                      </w:r>
                    </w:p>
                  </w:txbxContent>
                </v:textbox>
                <w10:wrap type="topAndBottom"/>
              </v:shape>
            </w:pict>
          </mc:Fallback>
        </mc:AlternateContent>
      </w:r>
      <w:r w:rsidR="00307873" w:rsidRPr="00030181">
        <w:rPr>
          <w:rFonts w:ascii="Arial" w:hAnsi="Arial" w:cs="Arial"/>
          <w:noProof/>
        </w:rPr>
        <w:drawing>
          <wp:anchor distT="0" distB="0" distL="114300" distR="114300" simplePos="0" relativeHeight="251564544" behindDoc="0" locked="0" layoutInCell="1" allowOverlap="1" wp14:anchorId="27262DA2" wp14:editId="2C3999FB">
            <wp:simplePos x="0" y="0"/>
            <wp:positionH relativeFrom="margin">
              <wp:align>right</wp:align>
            </wp:positionH>
            <wp:positionV relativeFrom="paragraph">
              <wp:posOffset>0</wp:posOffset>
            </wp:positionV>
            <wp:extent cx="5727700" cy="4124960"/>
            <wp:effectExtent l="0" t="0" r="6350" b="8890"/>
            <wp:wrapTopAndBottom/>
            <wp:docPr id="2145921372" name="Picture 4" descr="Malnutrition Pathway for Care Homes - Diete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Malnutrition Pathway for Care Homes - Dietetics"/>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029"/>
                    <a:stretch>
                      <a:fillRect/>
                    </a:stretch>
                  </pic:blipFill>
                  <pic:spPr bwMode="auto">
                    <a:xfrm>
                      <a:off x="0" y="0"/>
                      <a:ext cx="5727700" cy="41249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73B67E" w14:textId="360120EC" w:rsidR="006B2ECC" w:rsidRPr="00030181" w:rsidRDefault="006B2ECC" w:rsidP="005C5EBA">
      <w:pPr>
        <w:spacing w:line="360" w:lineRule="auto"/>
        <w:jc w:val="center"/>
        <w:rPr>
          <w:rFonts w:ascii="Arial" w:hAnsi="Arial" w:cs="Arial"/>
        </w:rPr>
      </w:pPr>
      <w:r w:rsidRPr="00030181">
        <w:rPr>
          <w:rFonts w:ascii="Arial" w:hAnsi="Arial" w:cs="Arial"/>
        </w:rPr>
        <w:t>Source: (NHS Somerset Foundation Trust, 2020)</w:t>
      </w:r>
    </w:p>
    <w:p w14:paraId="6A8A4213" w14:textId="5F8EAB26" w:rsidR="00952525" w:rsidRPr="00030181" w:rsidRDefault="00952525" w:rsidP="005C5EBA">
      <w:pPr>
        <w:spacing w:line="360" w:lineRule="auto"/>
        <w:jc w:val="both"/>
        <w:rPr>
          <w:rFonts w:ascii="Arial" w:hAnsi="Arial" w:cs="Arial"/>
        </w:rPr>
      </w:pPr>
      <w:r w:rsidRPr="00030181">
        <w:rPr>
          <w:rFonts w:ascii="Arial" w:hAnsi="Arial" w:cs="Arial"/>
        </w:rPr>
        <w:t xml:space="preserve">Early identification of nutritional risk is widely emphasised, with structured screening tools such as MUST playing a central role in routine care (National Institute for Health and Care Excellence, 2022). Figure 2.2 </w:t>
      </w:r>
      <w:r w:rsidR="005228E7" w:rsidRPr="00030181">
        <w:rPr>
          <w:rFonts w:ascii="Arial" w:hAnsi="Arial" w:cs="Arial"/>
        </w:rPr>
        <w:t>demonstrates</w:t>
      </w:r>
      <w:r w:rsidRPr="00030181">
        <w:rPr>
          <w:rFonts w:ascii="Arial" w:hAnsi="Arial" w:cs="Arial"/>
        </w:rPr>
        <w:t xml:space="preserve"> the MUST Care Pathway used in UK care homes to identify, monitor, and manage malnutrition risk through regular screening and appropriate nutritional interventions. Screening is recommended on admission and at regular intervals to enable timely intervention and monitoring (Care Quality Commission, 2023). However, consistency in screening practices may vary across care homes due to differences in staff training, resources, and organisational priorities (Public Health England, 2020).</w:t>
      </w:r>
    </w:p>
    <w:p w14:paraId="771CDF4D" w14:textId="18BBDECA" w:rsidR="00E85965" w:rsidRPr="00030181" w:rsidRDefault="00E85965" w:rsidP="005C5EBA">
      <w:pPr>
        <w:spacing w:line="360" w:lineRule="auto"/>
        <w:jc w:val="both"/>
        <w:rPr>
          <w:rFonts w:ascii="Arial" w:hAnsi="Arial" w:cs="Arial"/>
          <w:lang w:val="en-US"/>
        </w:rPr>
      </w:pPr>
      <w:r w:rsidRPr="00030181">
        <w:rPr>
          <w:rFonts w:ascii="Arial" w:hAnsi="Arial" w:cs="Arial"/>
        </w:rPr>
        <w:t xml:space="preserve">Care home staff </w:t>
      </w:r>
      <w:r w:rsidR="005228E7" w:rsidRPr="00030181">
        <w:rPr>
          <w:rFonts w:ascii="Arial" w:hAnsi="Arial" w:cs="Arial"/>
        </w:rPr>
        <w:t>has</w:t>
      </w:r>
      <w:r w:rsidRPr="00030181">
        <w:rPr>
          <w:rFonts w:ascii="Arial" w:hAnsi="Arial" w:cs="Arial"/>
        </w:rPr>
        <w:t xml:space="preserve"> a critical </w:t>
      </w:r>
      <w:r w:rsidR="005228E7" w:rsidRPr="00030181">
        <w:rPr>
          <w:rFonts w:ascii="Arial" w:hAnsi="Arial" w:cs="Arial"/>
        </w:rPr>
        <w:t>part</w:t>
      </w:r>
      <w:r w:rsidRPr="00030181">
        <w:rPr>
          <w:rFonts w:ascii="Arial" w:hAnsi="Arial" w:cs="Arial"/>
        </w:rPr>
        <w:t xml:space="preserve"> in nutritional care</w:t>
      </w:r>
      <w:r w:rsidR="005228E7" w:rsidRPr="00030181">
        <w:rPr>
          <w:rFonts w:ascii="Arial" w:hAnsi="Arial" w:cs="Arial"/>
          <w:lang w:val="en-US"/>
        </w:rPr>
        <w:t xml:space="preserve">, as they account for </w:t>
      </w:r>
      <w:r w:rsidRPr="00030181">
        <w:rPr>
          <w:rFonts w:ascii="Arial" w:hAnsi="Arial" w:cs="Arial"/>
        </w:rPr>
        <w:t xml:space="preserve">meal provision, preparation, and mealtime support (Skills for Care, 2022). Staff knowledge and skills significantly influence the identification and management of malnutrition (British Dietetic Association, 2022). Effective multidisciplinary collaboration between dietitians, nurses, and </w:t>
      </w:r>
      <w:r w:rsidRPr="00030181">
        <w:rPr>
          <w:rFonts w:ascii="Arial" w:hAnsi="Arial" w:cs="Arial"/>
        </w:rPr>
        <w:lastRenderedPageBreak/>
        <w:t>care staff is therefore essential for delivering coordinated and person-centred care (NHS England, 2023).</w:t>
      </w:r>
    </w:p>
    <w:p w14:paraId="29AF71C1" w14:textId="7F567E2C" w:rsidR="00E85965" w:rsidRPr="00030181" w:rsidRDefault="00E85965" w:rsidP="005C5EBA">
      <w:pPr>
        <w:spacing w:line="360" w:lineRule="auto"/>
        <w:jc w:val="both"/>
        <w:rPr>
          <w:rFonts w:ascii="Arial" w:hAnsi="Arial" w:cs="Arial"/>
          <w:lang w:val="en-US"/>
        </w:rPr>
      </w:pPr>
      <w:r w:rsidRPr="00030181">
        <w:rPr>
          <w:rFonts w:ascii="Arial" w:hAnsi="Arial" w:cs="Arial"/>
        </w:rPr>
        <w:t>Dietary quality is a key aspect of care, with guidance recommending balanced diets that provide adequate energy, protein, vitamins, and minerals (Public Health England, 2020). Care home menus should also reflect individual preferences, cultural needs, and medical conditions (</w:t>
      </w:r>
      <w:r w:rsidR="00D052EB" w:rsidRPr="00030181">
        <w:rPr>
          <w:rFonts w:ascii="Arial" w:hAnsi="Arial" w:cs="Arial"/>
        </w:rPr>
        <w:t>NICE</w:t>
      </w:r>
      <w:r w:rsidRPr="00030181">
        <w:rPr>
          <w:rFonts w:ascii="Arial" w:hAnsi="Arial" w:cs="Arial"/>
        </w:rPr>
        <w:t xml:space="preserve">, 2022). Poor dietary intake, particularly inadequate protein </w:t>
      </w:r>
      <w:r w:rsidR="005228E7" w:rsidRPr="00030181">
        <w:rPr>
          <w:rFonts w:ascii="Arial" w:hAnsi="Arial" w:cs="Arial"/>
          <w:lang w:val="en-US"/>
        </w:rPr>
        <w:t xml:space="preserve">and </w:t>
      </w:r>
      <w:r w:rsidR="005A292B" w:rsidRPr="00030181">
        <w:rPr>
          <w:rFonts w:ascii="Arial" w:hAnsi="Arial" w:cs="Arial"/>
        </w:rPr>
        <w:t>caloric intake</w:t>
      </w:r>
      <w:r w:rsidR="005228E7" w:rsidRPr="00030181">
        <w:rPr>
          <w:rFonts w:ascii="Arial" w:hAnsi="Arial" w:cs="Arial"/>
          <w:lang w:val="en-US"/>
        </w:rPr>
        <w:t xml:space="preserve">, is linked to </w:t>
      </w:r>
      <w:r w:rsidR="005A292B" w:rsidRPr="00030181">
        <w:rPr>
          <w:rFonts w:ascii="Arial" w:hAnsi="Arial" w:cs="Arial"/>
        </w:rPr>
        <w:t>body weight decrease</w:t>
      </w:r>
      <w:r w:rsidRPr="00030181">
        <w:rPr>
          <w:rFonts w:ascii="Arial" w:hAnsi="Arial" w:cs="Arial"/>
        </w:rPr>
        <w:t>, muscle wasting, and increased frailty (British Dietetic Association, 2022).</w:t>
      </w:r>
    </w:p>
    <w:p w14:paraId="4AABB86D" w14:textId="25E14E5C" w:rsidR="00E85965" w:rsidRPr="00030181" w:rsidRDefault="00E85965" w:rsidP="005C5EBA">
      <w:pPr>
        <w:spacing w:line="360" w:lineRule="auto"/>
        <w:jc w:val="both"/>
        <w:rPr>
          <w:rFonts w:ascii="Arial" w:hAnsi="Arial" w:cs="Arial"/>
          <w:lang w:val="en-US"/>
        </w:rPr>
      </w:pPr>
      <w:r w:rsidRPr="00030181">
        <w:rPr>
          <w:rFonts w:ascii="Arial" w:hAnsi="Arial" w:cs="Arial"/>
        </w:rPr>
        <w:t xml:space="preserve">Hydration is equally important, as </w:t>
      </w:r>
      <w:r w:rsidR="005228E7" w:rsidRPr="00030181">
        <w:rPr>
          <w:rFonts w:ascii="Arial" w:hAnsi="Arial" w:cs="Arial"/>
          <w:lang w:val="en-US"/>
        </w:rPr>
        <w:t>older adults face a higher risk of dehydration because of a diminished thirst sensation</w:t>
      </w:r>
      <w:r w:rsidRPr="00030181">
        <w:rPr>
          <w:rFonts w:ascii="Arial" w:hAnsi="Arial" w:cs="Arial"/>
        </w:rPr>
        <w:t xml:space="preserve"> and cognitive impairment (NHS England, 2023). Inadequate fluid intake may lead to complications such as urinary tract infections, constipation, and confusion (Care Quality Commission, 2023). Ensuring regular fluid intake and monitoring is therefore essential in care home practice.</w:t>
      </w:r>
      <w:r w:rsidR="0064600A" w:rsidRPr="00030181">
        <w:rPr>
          <w:rFonts w:ascii="Arial" w:hAnsi="Arial" w:cs="Arial"/>
        </w:rPr>
        <w:t xml:space="preserve"> The UK care-home research found that regular drink provision improved residents’ hydration status (Jimoh et al., 2019).</w:t>
      </w:r>
    </w:p>
    <w:p w14:paraId="38CF1A18" w14:textId="59F1A358" w:rsidR="00E85965" w:rsidRPr="00030181" w:rsidRDefault="00E85965" w:rsidP="005C5EBA">
      <w:pPr>
        <w:spacing w:line="360" w:lineRule="auto"/>
        <w:jc w:val="both"/>
        <w:rPr>
          <w:rFonts w:ascii="Arial" w:hAnsi="Arial" w:cs="Arial"/>
        </w:rPr>
      </w:pPr>
      <w:r w:rsidRPr="00030181">
        <w:rPr>
          <w:rFonts w:ascii="Arial" w:hAnsi="Arial" w:cs="Arial"/>
        </w:rPr>
        <w:t>The literature consistently links poor nutritional care with negative health outcomes, including increased hospital admissions, delayed recovery, and higher mortality (</w:t>
      </w:r>
      <w:r w:rsidR="00D052EB" w:rsidRPr="00030181">
        <w:rPr>
          <w:rFonts w:ascii="Arial" w:hAnsi="Arial" w:cs="Arial"/>
        </w:rPr>
        <w:t xml:space="preserve">NICE, </w:t>
      </w:r>
      <w:r w:rsidRPr="00030181">
        <w:rPr>
          <w:rFonts w:ascii="Arial" w:hAnsi="Arial" w:cs="Arial"/>
        </w:rPr>
        <w:t xml:space="preserve">2022). For residents with type 2 diabetes, effective dietary management is particularly important for maintaining stable blood glucose levels and preventing complications (Diabetes UK, 2023). Inconsistent dietary intake </w:t>
      </w:r>
      <w:r w:rsidR="00D052EB" w:rsidRPr="00030181">
        <w:rPr>
          <w:rFonts w:ascii="Arial" w:hAnsi="Arial" w:cs="Arial"/>
        </w:rPr>
        <w:t>may lead to</w:t>
      </w:r>
      <w:r w:rsidR="00D052EB" w:rsidRPr="00030181">
        <w:rPr>
          <w:rFonts w:ascii="Arial" w:hAnsi="Arial" w:cs="Arial"/>
        </w:rPr>
        <w:t xml:space="preserve"> </w:t>
      </w:r>
      <w:r w:rsidRPr="00030181">
        <w:rPr>
          <w:rFonts w:ascii="Arial" w:hAnsi="Arial" w:cs="Arial"/>
        </w:rPr>
        <w:t xml:space="preserve">glycaemic instability, </w:t>
      </w:r>
      <w:r w:rsidR="00D052EB" w:rsidRPr="00030181">
        <w:rPr>
          <w:rFonts w:ascii="Arial" w:hAnsi="Arial" w:cs="Arial"/>
        </w:rPr>
        <w:t>raising the likelihood of</w:t>
      </w:r>
      <w:r w:rsidR="00D052EB" w:rsidRPr="00030181">
        <w:rPr>
          <w:rFonts w:ascii="Arial" w:hAnsi="Arial" w:cs="Arial"/>
        </w:rPr>
        <w:t xml:space="preserve"> </w:t>
      </w:r>
      <w:r w:rsidRPr="00030181">
        <w:rPr>
          <w:rFonts w:ascii="Arial" w:hAnsi="Arial" w:cs="Arial"/>
        </w:rPr>
        <w:t>hypoglycaemia and hyperglycaemia (NHS England, 2023).</w:t>
      </w:r>
    </w:p>
    <w:p w14:paraId="7C28E527" w14:textId="348EDF1F" w:rsidR="00E85965" w:rsidRPr="00030181" w:rsidRDefault="00E85965" w:rsidP="005C5EBA">
      <w:pPr>
        <w:spacing w:line="360" w:lineRule="auto"/>
        <w:jc w:val="both"/>
        <w:rPr>
          <w:rFonts w:ascii="Arial" w:hAnsi="Arial" w:cs="Arial"/>
          <w:lang w:val="en-US"/>
        </w:rPr>
      </w:pPr>
      <w:r w:rsidRPr="00030181">
        <w:rPr>
          <w:rFonts w:ascii="Arial" w:hAnsi="Arial" w:cs="Arial"/>
        </w:rPr>
        <w:t>Individualised nutritional care is therefore strongly emphasised, recognising that residents have diverse needs influenced by comorbidities, functional status, and personal preferences (</w:t>
      </w:r>
      <w:r w:rsidR="00D052EB" w:rsidRPr="00030181">
        <w:rPr>
          <w:rFonts w:ascii="Arial" w:hAnsi="Arial" w:cs="Arial"/>
        </w:rPr>
        <w:t>NICE</w:t>
      </w:r>
      <w:r w:rsidRPr="00030181">
        <w:rPr>
          <w:rFonts w:ascii="Arial" w:hAnsi="Arial" w:cs="Arial"/>
        </w:rPr>
        <w:t xml:space="preserve">, 2022). </w:t>
      </w:r>
      <w:r w:rsidR="005228E7" w:rsidRPr="00030181">
        <w:rPr>
          <w:rFonts w:ascii="Arial" w:hAnsi="Arial" w:cs="Arial"/>
          <w:lang w:val="en-US"/>
        </w:rPr>
        <w:t xml:space="preserve">Individual-centred </w:t>
      </w:r>
      <w:r w:rsidRPr="00030181">
        <w:rPr>
          <w:rFonts w:ascii="Arial" w:hAnsi="Arial" w:cs="Arial"/>
        </w:rPr>
        <w:t>approaches support tailored care planning while promoting dignity and quality of life (Care Quality Commission, 2023).</w:t>
      </w:r>
    </w:p>
    <w:p w14:paraId="47EC1296" w14:textId="5DB17A8D" w:rsidR="00E85965" w:rsidRPr="00030181" w:rsidRDefault="00E85965" w:rsidP="005C5EBA">
      <w:pPr>
        <w:spacing w:line="360" w:lineRule="auto"/>
        <w:jc w:val="both"/>
        <w:rPr>
          <w:rFonts w:ascii="Arial" w:hAnsi="Arial" w:cs="Arial"/>
          <w:lang w:val="en-US"/>
        </w:rPr>
      </w:pPr>
      <w:r w:rsidRPr="00030181">
        <w:rPr>
          <w:rFonts w:ascii="Arial" w:hAnsi="Arial" w:cs="Arial"/>
        </w:rPr>
        <w:t xml:space="preserve">Overall, nutritional care in UK care homes is a multifaceted process involving assessment, intervention, and monitoring. Despite its recognised importance, variability in implementation persists, highlighting the need to strengthen practice to improve health outcomes, particularly </w:t>
      </w:r>
      <w:r w:rsidR="005228E7" w:rsidRPr="00030181">
        <w:rPr>
          <w:rFonts w:ascii="Arial" w:hAnsi="Arial" w:cs="Arial"/>
          <w:lang w:val="en-US"/>
        </w:rPr>
        <w:t xml:space="preserve">for older </w:t>
      </w:r>
      <w:r w:rsidR="00D052EB" w:rsidRPr="00030181">
        <w:rPr>
          <w:rFonts w:ascii="Arial" w:hAnsi="Arial" w:cs="Arial"/>
          <w:lang w:val="en-US"/>
        </w:rPr>
        <w:t>individuals</w:t>
      </w:r>
      <w:r w:rsidR="005228E7" w:rsidRPr="00030181">
        <w:rPr>
          <w:rFonts w:ascii="Arial" w:hAnsi="Arial" w:cs="Arial"/>
          <w:lang w:val="en-US"/>
        </w:rPr>
        <w:t xml:space="preserve"> living with </w:t>
      </w:r>
      <w:r w:rsidR="00D052EB" w:rsidRPr="00030181">
        <w:rPr>
          <w:rFonts w:ascii="Arial" w:hAnsi="Arial" w:cs="Arial"/>
          <w:lang w:val="en-US"/>
        </w:rPr>
        <w:t xml:space="preserve">long-term </w:t>
      </w:r>
      <w:r w:rsidR="005228E7" w:rsidRPr="00030181">
        <w:rPr>
          <w:rFonts w:ascii="Arial" w:hAnsi="Arial" w:cs="Arial"/>
          <w:lang w:val="en-US"/>
        </w:rPr>
        <w:t xml:space="preserve">conditions </w:t>
      </w:r>
      <w:r w:rsidR="00D052EB" w:rsidRPr="00030181">
        <w:rPr>
          <w:rFonts w:ascii="Arial" w:hAnsi="Arial" w:cs="Arial"/>
        </w:rPr>
        <w:t>including</w:t>
      </w:r>
      <w:r w:rsidRPr="00030181">
        <w:rPr>
          <w:rFonts w:ascii="Arial" w:hAnsi="Arial" w:cs="Arial"/>
        </w:rPr>
        <w:t xml:space="preserve"> type 2 diabetes (NHS England, 2023).</w:t>
      </w:r>
    </w:p>
    <w:p w14:paraId="7F44C594" w14:textId="77777777" w:rsidR="00AA7EEC" w:rsidRPr="00030181" w:rsidRDefault="00AA7EEC" w:rsidP="005C5EBA">
      <w:pPr>
        <w:pStyle w:val="Heading1"/>
        <w:spacing w:line="360" w:lineRule="auto"/>
        <w:rPr>
          <w:rFonts w:ascii="Arial" w:hAnsi="Arial" w:cs="Arial"/>
          <w:b/>
          <w:bCs/>
          <w:color w:val="000000" w:themeColor="text1"/>
          <w:sz w:val="22"/>
          <w:szCs w:val="22"/>
        </w:rPr>
      </w:pPr>
      <w:bookmarkStart w:id="14" w:name="_Toc231947539"/>
      <w:r w:rsidRPr="00030181">
        <w:rPr>
          <w:rFonts w:ascii="Arial" w:hAnsi="Arial" w:cs="Arial"/>
          <w:b/>
          <w:bCs/>
          <w:color w:val="000000" w:themeColor="text1"/>
          <w:sz w:val="22"/>
          <w:szCs w:val="22"/>
        </w:rPr>
        <w:t>2.3 Food Safety Practices in UK Care Homes</w:t>
      </w:r>
      <w:bookmarkEnd w:id="14"/>
    </w:p>
    <w:p w14:paraId="5D42C7FC" w14:textId="2F6FCAD4" w:rsidR="00E85965" w:rsidRPr="00030181" w:rsidRDefault="00E85965" w:rsidP="005C5EBA">
      <w:pPr>
        <w:spacing w:line="360" w:lineRule="auto"/>
        <w:jc w:val="both"/>
        <w:rPr>
          <w:rFonts w:ascii="Arial" w:hAnsi="Arial" w:cs="Arial"/>
          <w:lang w:val="en-US"/>
        </w:rPr>
      </w:pPr>
      <w:r w:rsidRPr="00030181">
        <w:rPr>
          <w:rFonts w:ascii="Arial" w:hAnsi="Arial" w:cs="Arial"/>
        </w:rPr>
        <w:t xml:space="preserve">Food safety is a critical aspect of care in UK care homes, as </w:t>
      </w:r>
      <w:r w:rsidR="005228E7" w:rsidRPr="00030181">
        <w:rPr>
          <w:rFonts w:ascii="Arial" w:hAnsi="Arial" w:cs="Arial"/>
        </w:rPr>
        <w:t>aged people</w:t>
      </w:r>
      <w:r w:rsidRPr="00030181">
        <w:rPr>
          <w:rFonts w:ascii="Arial" w:hAnsi="Arial" w:cs="Arial"/>
        </w:rPr>
        <w:t xml:space="preserve"> are highly </w:t>
      </w:r>
      <w:r w:rsidR="005228E7" w:rsidRPr="00030181">
        <w:rPr>
          <w:rFonts w:ascii="Arial" w:hAnsi="Arial" w:cs="Arial"/>
        </w:rPr>
        <w:t>risk</w:t>
      </w:r>
      <w:r w:rsidRPr="00030181">
        <w:rPr>
          <w:rFonts w:ascii="Arial" w:hAnsi="Arial" w:cs="Arial"/>
        </w:rPr>
        <w:t xml:space="preserve"> </w:t>
      </w:r>
      <w:r w:rsidR="005228E7" w:rsidRPr="00030181">
        <w:rPr>
          <w:rFonts w:ascii="Arial" w:hAnsi="Arial" w:cs="Arial"/>
        </w:rPr>
        <w:t>of</w:t>
      </w:r>
      <w:r w:rsidRPr="00030181">
        <w:rPr>
          <w:rFonts w:ascii="Arial" w:hAnsi="Arial" w:cs="Arial"/>
        </w:rPr>
        <w:t xml:space="preserve"> foodborne illness </w:t>
      </w:r>
      <w:r w:rsidR="005228E7" w:rsidRPr="00030181">
        <w:rPr>
          <w:rFonts w:ascii="Arial" w:hAnsi="Arial" w:cs="Arial"/>
        </w:rPr>
        <w:t>because of</w:t>
      </w:r>
      <w:r w:rsidRPr="00030181">
        <w:rPr>
          <w:rFonts w:ascii="Arial" w:hAnsi="Arial" w:cs="Arial"/>
        </w:rPr>
        <w:t xml:space="preserve"> weakened immunity and </w:t>
      </w:r>
      <w:r w:rsidR="005228E7" w:rsidRPr="00030181">
        <w:rPr>
          <w:rFonts w:ascii="Arial" w:hAnsi="Arial" w:cs="Arial"/>
          <w:lang w:val="en-US"/>
        </w:rPr>
        <w:t xml:space="preserve">physiological changes associated with ageing </w:t>
      </w:r>
      <w:r w:rsidRPr="00030181">
        <w:rPr>
          <w:rFonts w:ascii="Arial" w:hAnsi="Arial" w:cs="Arial"/>
        </w:rPr>
        <w:t xml:space="preserve">changes (Food Standards Agency, 2022). Maintaining high standards of food hygiene </w:t>
      </w:r>
      <w:r w:rsidRPr="00030181">
        <w:rPr>
          <w:rFonts w:ascii="Arial" w:hAnsi="Arial" w:cs="Arial"/>
        </w:rPr>
        <w:lastRenderedPageBreak/>
        <w:t>is therefore essential to prevent infections and protect resident health (National Health Service, 2023).</w:t>
      </w:r>
    </w:p>
    <w:p w14:paraId="55B74FE7" w14:textId="6BC45AB9" w:rsidR="003956A9" w:rsidRPr="00030181" w:rsidRDefault="007E50A2" w:rsidP="005C5EBA">
      <w:pPr>
        <w:spacing w:line="360" w:lineRule="auto"/>
        <w:jc w:val="both"/>
        <w:rPr>
          <w:rFonts w:ascii="Arial" w:hAnsi="Arial" w:cs="Arial"/>
        </w:rPr>
      </w:pPr>
      <w:r w:rsidRPr="00030181">
        <w:rPr>
          <w:rFonts w:ascii="Arial" w:hAnsi="Arial" w:cs="Arial"/>
          <w:noProof/>
        </w:rPr>
        <w:drawing>
          <wp:anchor distT="0" distB="0" distL="114300" distR="114300" simplePos="0" relativeHeight="251565568" behindDoc="0" locked="0" layoutInCell="1" allowOverlap="1" wp14:anchorId="754F3E43" wp14:editId="06B7C030">
            <wp:simplePos x="0" y="0"/>
            <wp:positionH relativeFrom="column">
              <wp:posOffset>0</wp:posOffset>
            </wp:positionH>
            <wp:positionV relativeFrom="paragraph">
              <wp:posOffset>4061</wp:posOffset>
            </wp:positionV>
            <wp:extent cx="5731510" cy="3148330"/>
            <wp:effectExtent l="0" t="0" r="2540" b="0"/>
            <wp:wrapTopAndBottom/>
            <wp:docPr id="1326049303" name="Picture 7" descr="Infectious and communicable disea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Infectious and communicable diseas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148330"/>
                    </a:xfrm>
                    <a:prstGeom prst="rect">
                      <a:avLst/>
                    </a:prstGeom>
                    <a:noFill/>
                    <a:ln>
                      <a:noFill/>
                    </a:ln>
                  </pic:spPr>
                </pic:pic>
              </a:graphicData>
            </a:graphic>
          </wp:anchor>
        </w:drawing>
      </w:r>
    </w:p>
    <w:p w14:paraId="539D8D14" w14:textId="168940E5" w:rsidR="003B4C3F" w:rsidRPr="00030181" w:rsidRDefault="003B4C3F" w:rsidP="003B4C3F">
      <w:pPr>
        <w:pStyle w:val="Caption"/>
        <w:jc w:val="center"/>
        <w:rPr>
          <w:rFonts w:ascii="Arial" w:hAnsi="Arial" w:cs="Arial"/>
          <w:b w:val="0"/>
          <w:bCs w:val="0"/>
          <w:color w:val="000000" w:themeColor="text1"/>
          <w:sz w:val="22"/>
          <w:szCs w:val="22"/>
        </w:rPr>
      </w:pPr>
      <w:bookmarkStart w:id="15" w:name="_Toc231929003"/>
      <w:r w:rsidRPr="00030181">
        <w:rPr>
          <w:rFonts w:ascii="Arial" w:hAnsi="Arial" w:cs="Arial"/>
          <w:b w:val="0"/>
          <w:bCs w:val="0"/>
          <w:color w:val="000000" w:themeColor="text1"/>
          <w:sz w:val="22"/>
          <w:szCs w:val="22"/>
        </w:rPr>
        <w:t xml:space="preserve">Figure 2.3: Food Poisoning by Age Group </w:t>
      </w:r>
      <w:r w:rsidRPr="00030181">
        <w:rPr>
          <w:rFonts w:ascii="Arial" w:hAnsi="Arial" w:cs="Arial"/>
          <w:b w:val="0"/>
          <w:bCs w:val="0"/>
          <w:color w:val="000000" w:themeColor="text1"/>
          <w:sz w:val="22"/>
          <w:szCs w:val="22"/>
        </w:rPr>
        <w:fldChar w:fldCharType="begin"/>
      </w:r>
      <w:r w:rsidRPr="00030181">
        <w:rPr>
          <w:rFonts w:ascii="Arial" w:hAnsi="Arial" w:cs="Arial"/>
          <w:b w:val="0"/>
          <w:bCs w:val="0"/>
          <w:color w:val="000000" w:themeColor="text1"/>
          <w:sz w:val="22"/>
          <w:szCs w:val="22"/>
        </w:rPr>
        <w:instrText xml:space="preserve"> SEQ Figure_2.3:_Food_Poisoning_by_Age_Group \* ARABIC </w:instrText>
      </w:r>
      <w:r w:rsidRPr="00030181">
        <w:rPr>
          <w:rFonts w:ascii="Arial" w:hAnsi="Arial" w:cs="Arial"/>
          <w:b w:val="0"/>
          <w:bCs w:val="0"/>
          <w:color w:val="000000" w:themeColor="text1"/>
          <w:sz w:val="22"/>
          <w:szCs w:val="22"/>
        </w:rPr>
        <w:fldChar w:fldCharType="separate"/>
      </w:r>
      <w:r w:rsidRPr="00030181">
        <w:rPr>
          <w:rFonts w:ascii="Arial" w:hAnsi="Arial" w:cs="Arial"/>
          <w:b w:val="0"/>
          <w:bCs w:val="0"/>
          <w:noProof/>
          <w:color w:val="000000" w:themeColor="text1"/>
          <w:sz w:val="22"/>
          <w:szCs w:val="22"/>
        </w:rPr>
        <w:t>1</w:t>
      </w:r>
      <w:bookmarkEnd w:id="15"/>
      <w:r w:rsidRPr="00030181">
        <w:rPr>
          <w:rFonts w:ascii="Arial" w:hAnsi="Arial" w:cs="Arial"/>
          <w:b w:val="0"/>
          <w:bCs w:val="0"/>
          <w:color w:val="000000" w:themeColor="text1"/>
          <w:sz w:val="22"/>
          <w:szCs w:val="22"/>
        </w:rPr>
        <w:fldChar w:fldCharType="end"/>
      </w:r>
    </w:p>
    <w:p w14:paraId="6C7553C6" w14:textId="4332095A" w:rsidR="007E50A2" w:rsidRPr="00030181" w:rsidRDefault="007E50A2" w:rsidP="005C5EBA">
      <w:pPr>
        <w:spacing w:line="360" w:lineRule="auto"/>
        <w:jc w:val="center"/>
        <w:rPr>
          <w:rFonts w:ascii="Arial" w:hAnsi="Arial" w:cs="Arial"/>
          <w:color w:val="000000" w:themeColor="text1"/>
        </w:rPr>
      </w:pPr>
      <w:r w:rsidRPr="00030181">
        <w:rPr>
          <w:rFonts w:ascii="Arial" w:hAnsi="Arial" w:cs="Arial"/>
          <w:color w:val="000000" w:themeColor="text1"/>
        </w:rPr>
        <w:t xml:space="preserve">Source: </w:t>
      </w:r>
      <w:r w:rsidR="00D646A5" w:rsidRPr="00030181">
        <w:rPr>
          <w:rFonts w:ascii="Arial" w:hAnsi="Arial" w:cs="Arial"/>
          <w:color w:val="000000" w:themeColor="text1"/>
        </w:rPr>
        <w:t>(Blackpool Council, 2025)</w:t>
      </w:r>
    </w:p>
    <w:p w14:paraId="59D7B767" w14:textId="4D5D8F07" w:rsidR="00952525" w:rsidRPr="00030181" w:rsidRDefault="00952525" w:rsidP="005C5EBA">
      <w:pPr>
        <w:spacing w:line="360" w:lineRule="auto"/>
        <w:jc w:val="both"/>
        <w:rPr>
          <w:rFonts w:ascii="Arial" w:hAnsi="Arial" w:cs="Arial"/>
        </w:rPr>
      </w:pPr>
      <w:r w:rsidRPr="00030181">
        <w:rPr>
          <w:rFonts w:ascii="Arial" w:hAnsi="Arial" w:cs="Arial"/>
        </w:rPr>
        <w:t>The figure (2.3) demonstrates that reported food poisoning cases are more common among older adults, particularly those aged 45 years and above, indicating increased vulnerability to foodborne illness in later life. This highlights the importance of effective food hygiene, safe food handling, and infection prevention practices within care home settings to protect resident health.</w:t>
      </w:r>
    </w:p>
    <w:p w14:paraId="65FEE7C9" w14:textId="18C6D22A" w:rsidR="00E85965" w:rsidRPr="00030181" w:rsidRDefault="00E85965" w:rsidP="005C5EBA">
      <w:pPr>
        <w:spacing w:line="360" w:lineRule="auto"/>
        <w:jc w:val="both"/>
        <w:rPr>
          <w:rFonts w:ascii="Arial" w:hAnsi="Arial" w:cs="Arial"/>
          <w:lang w:val="en-US"/>
        </w:rPr>
      </w:pPr>
      <w:r w:rsidRPr="00030181">
        <w:rPr>
          <w:rFonts w:ascii="Arial" w:hAnsi="Arial" w:cs="Arial"/>
        </w:rPr>
        <w:t xml:space="preserve">Globally, </w:t>
      </w:r>
      <w:r w:rsidR="005228E7" w:rsidRPr="00030181">
        <w:rPr>
          <w:rFonts w:ascii="Arial" w:hAnsi="Arial" w:cs="Arial"/>
          <w:lang w:val="en-US"/>
        </w:rPr>
        <w:t xml:space="preserve">foodborne illnesses affect around 600 million people each year </w:t>
      </w:r>
      <w:r w:rsidRPr="00030181">
        <w:rPr>
          <w:rFonts w:ascii="Arial" w:hAnsi="Arial" w:cs="Arial"/>
        </w:rPr>
        <w:t>and cause around 420,000 deaths, with older adults at greater risk of severe outcomes (World Health Organization, 2022). In UK care homes, risk is further increased by communal living, shared food services, and reliance on staff for food handling (Public Health England, 2020).</w:t>
      </w:r>
    </w:p>
    <w:p w14:paraId="7F0EF0AB" w14:textId="77777777" w:rsidR="00E85965" w:rsidRPr="00030181" w:rsidRDefault="00E85965" w:rsidP="005C5EBA">
      <w:pPr>
        <w:spacing w:line="360" w:lineRule="auto"/>
        <w:jc w:val="both"/>
        <w:rPr>
          <w:rFonts w:ascii="Arial" w:hAnsi="Arial" w:cs="Arial"/>
        </w:rPr>
      </w:pPr>
      <w:r w:rsidRPr="00030181">
        <w:rPr>
          <w:rFonts w:ascii="Arial" w:hAnsi="Arial" w:cs="Arial"/>
        </w:rPr>
        <w:t>Food safety practices are governed by national regulations requiring safe food handling, storage, and preparation (Food Standards Agency, 2022). Care homes must comply with hygiene legislation, including HACCP-based systems to identify and control risks (Care Quality Commission, 2023). These frameworks aim to minimise contamination and ensure food safety.</w:t>
      </w:r>
    </w:p>
    <w:p w14:paraId="7B33CA7A" w14:textId="768EC626" w:rsidR="00E85965" w:rsidRPr="00030181" w:rsidRDefault="00E85965" w:rsidP="005C5EBA">
      <w:pPr>
        <w:spacing w:line="360" w:lineRule="auto"/>
        <w:jc w:val="both"/>
        <w:rPr>
          <w:rFonts w:ascii="Arial" w:hAnsi="Arial" w:cs="Arial"/>
          <w:lang w:val="en-US"/>
        </w:rPr>
      </w:pPr>
      <w:r w:rsidRPr="00030181">
        <w:rPr>
          <w:rFonts w:ascii="Arial" w:hAnsi="Arial" w:cs="Arial"/>
        </w:rPr>
        <w:t xml:space="preserve">Key risks </w:t>
      </w:r>
      <w:r w:rsidR="005228E7" w:rsidRPr="00030181">
        <w:rPr>
          <w:rFonts w:ascii="Arial" w:hAnsi="Arial" w:cs="Arial"/>
          <w:lang w:val="en-US"/>
        </w:rPr>
        <w:t>include incorrect storage, insufficient cooking temperatures, and cross-contamination</w:t>
      </w:r>
      <w:r w:rsidRPr="00030181">
        <w:rPr>
          <w:rFonts w:ascii="Arial" w:hAnsi="Arial" w:cs="Arial"/>
        </w:rPr>
        <w:t xml:space="preserve"> (Food Standards Agency, 2022). Failure to control these risks increases the </w:t>
      </w:r>
      <w:r w:rsidRPr="00030181">
        <w:rPr>
          <w:rFonts w:ascii="Arial" w:hAnsi="Arial" w:cs="Arial"/>
        </w:rPr>
        <w:lastRenderedPageBreak/>
        <w:t>likelihood of bacterial growth and foodborne illness (Public Health England, 2020). Effective temperature control is particularly important in preventing microbial contamination.</w:t>
      </w:r>
    </w:p>
    <w:p w14:paraId="1916A700" w14:textId="77777777" w:rsidR="0064600A" w:rsidRPr="00030181" w:rsidRDefault="0064600A" w:rsidP="005C5EBA">
      <w:pPr>
        <w:spacing w:line="360" w:lineRule="auto"/>
        <w:jc w:val="both"/>
        <w:rPr>
          <w:rFonts w:ascii="Arial" w:hAnsi="Arial" w:cs="Arial"/>
        </w:rPr>
      </w:pPr>
      <w:r w:rsidRPr="00030181">
        <w:rPr>
          <w:rFonts w:ascii="Arial" w:hAnsi="Arial" w:cs="Arial"/>
        </w:rPr>
        <w:t>Staff training is central to maintaining safe practices, as all food handlers must be competent in hygiene standards (Skills for Care, 2022). However, variability in training and staff competency may affect consistency across care homes (Care Quality Commission, 2023). Furthermore, organisational support and regulatory oversight are essential for sustaining effective food safety practices (Bamford et al., 2012; Babatola, 2023).</w:t>
      </w:r>
    </w:p>
    <w:p w14:paraId="45CC0184" w14:textId="619E830E" w:rsidR="00E85965" w:rsidRPr="00030181" w:rsidRDefault="00E85965" w:rsidP="005C5EBA">
      <w:pPr>
        <w:spacing w:line="360" w:lineRule="auto"/>
        <w:jc w:val="both"/>
        <w:rPr>
          <w:rFonts w:ascii="Arial" w:hAnsi="Arial" w:cs="Arial"/>
        </w:rPr>
      </w:pPr>
      <w:r w:rsidRPr="00030181">
        <w:rPr>
          <w:rFonts w:ascii="Arial" w:hAnsi="Arial" w:cs="Arial"/>
        </w:rPr>
        <w:t>Environmental factors, including kitchen hygiene, equipment, and cleanliness, also influence food safety (Public Health England, 2020). Maintaining clean and well-managed food preparation areas is essential to reduce contamination risks (Food Standards Agency, 2022).</w:t>
      </w:r>
    </w:p>
    <w:p w14:paraId="3E62FF2B" w14:textId="0A19DA05" w:rsidR="00E85965" w:rsidRPr="00030181" w:rsidRDefault="00E85965" w:rsidP="005C5EBA">
      <w:pPr>
        <w:spacing w:line="360" w:lineRule="auto"/>
        <w:jc w:val="both"/>
        <w:rPr>
          <w:rFonts w:ascii="Arial" w:hAnsi="Arial" w:cs="Arial"/>
          <w:lang w:val="en-US"/>
        </w:rPr>
      </w:pPr>
      <w:r w:rsidRPr="00030181">
        <w:rPr>
          <w:rFonts w:ascii="Arial" w:hAnsi="Arial" w:cs="Arial"/>
        </w:rPr>
        <w:t xml:space="preserve">Poor food safety practices </w:t>
      </w:r>
      <w:r w:rsidR="005228E7" w:rsidRPr="00030181">
        <w:rPr>
          <w:rFonts w:ascii="Arial" w:hAnsi="Arial" w:cs="Arial"/>
          <w:lang w:val="en-US"/>
        </w:rPr>
        <w:t>are linked to a higher incidence of infections</w:t>
      </w:r>
      <w:r w:rsidRPr="00030181">
        <w:rPr>
          <w:rFonts w:ascii="Arial" w:hAnsi="Arial" w:cs="Arial"/>
        </w:rPr>
        <w:t>, hospital admissions, and mortality among older adults (</w:t>
      </w:r>
      <w:r w:rsidR="00D052EB" w:rsidRPr="00030181">
        <w:rPr>
          <w:rFonts w:ascii="Arial" w:hAnsi="Arial" w:cs="Arial"/>
        </w:rPr>
        <w:t xml:space="preserve">NICE, </w:t>
      </w:r>
      <w:r w:rsidRPr="00030181">
        <w:rPr>
          <w:rFonts w:ascii="Arial" w:hAnsi="Arial" w:cs="Arial"/>
        </w:rPr>
        <w:t>2022). In care homes, outbreaks can spread rapidly due to the concentration of vulnerable individuals (World Health Organization, 2022).</w:t>
      </w:r>
    </w:p>
    <w:p w14:paraId="76E3E2C5" w14:textId="77777777" w:rsidR="00E85965" w:rsidRPr="00030181" w:rsidRDefault="00E85965" w:rsidP="005C5EBA">
      <w:pPr>
        <w:spacing w:line="360" w:lineRule="auto"/>
        <w:jc w:val="both"/>
        <w:rPr>
          <w:rFonts w:ascii="Arial" w:hAnsi="Arial" w:cs="Arial"/>
        </w:rPr>
      </w:pPr>
      <w:r w:rsidRPr="00030181">
        <w:rPr>
          <w:rFonts w:ascii="Arial" w:hAnsi="Arial" w:cs="Arial"/>
        </w:rPr>
        <w:t>For residents with type 2 diabetes, infections can disrupt glycaemic control and increase complications (Diabetes UK, 2023). These may include blood glucose fluctuations, delayed wound healing, and increased health risks (National Health Service, 2023).</w:t>
      </w:r>
    </w:p>
    <w:p w14:paraId="1F7F8AB7" w14:textId="77777777" w:rsidR="00E85965" w:rsidRPr="00030181" w:rsidRDefault="00E85965" w:rsidP="005C5EBA">
      <w:pPr>
        <w:spacing w:line="360" w:lineRule="auto"/>
        <w:jc w:val="both"/>
        <w:rPr>
          <w:rFonts w:ascii="Arial" w:hAnsi="Arial" w:cs="Arial"/>
        </w:rPr>
      </w:pPr>
      <w:r w:rsidRPr="00030181">
        <w:rPr>
          <w:rFonts w:ascii="Arial" w:hAnsi="Arial" w:cs="Arial"/>
        </w:rPr>
        <w:t>Regulatory oversight, including inspections, ensures compliance with food safety standards and promotes quality improvement (Care Quality Commission, 2023). However, variation in implementation persists across care settings (Food Standards Agency, 2022).</w:t>
      </w:r>
    </w:p>
    <w:p w14:paraId="7AF95EBA" w14:textId="3B224397" w:rsidR="00E85965" w:rsidRPr="00030181" w:rsidRDefault="00E85965" w:rsidP="005C5EBA">
      <w:pPr>
        <w:spacing w:line="360" w:lineRule="auto"/>
        <w:jc w:val="both"/>
        <w:rPr>
          <w:rFonts w:ascii="Arial" w:hAnsi="Arial" w:cs="Arial"/>
        </w:rPr>
      </w:pPr>
      <w:r w:rsidRPr="00030181">
        <w:rPr>
          <w:rFonts w:ascii="Arial" w:hAnsi="Arial" w:cs="Arial"/>
        </w:rPr>
        <w:t xml:space="preserve">Overall, food safety practices are essential to care home service delivery, directly influencing resident health outcomes. Despite strong regulatory frameworks, inconsistent implementation </w:t>
      </w:r>
      <w:r w:rsidR="00D052EB" w:rsidRPr="00030181">
        <w:rPr>
          <w:rFonts w:ascii="Arial" w:hAnsi="Arial" w:cs="Arial"/>
        </w:rPr>
        <w:t>emphasises the importance of coordinated strategies</w:t>
      </w:r>
      <w:r w:rsidR="00D052EB" w:rsidRPr="00030181">
        <w:rPr>
          <w:rFonts w:ascii="Arial" w:hAnsi="Arial" w:cs="Arial"/>
        </w:rPr>
        <w:t xml:space="preserve"> </w:t>
      </w:r>
      <w:r w:rsidRPr="00030181">
        <w:rPr>
          <w:rFonts w:ascii="Arial" w:hAnsi="Arial" w:cs="Arial"/>
        </w:rPr>
        <w:t xml:space="preserve">linking food safety with nutritional care, particularly for older </w:t>
      </w:r>
      <w:r w:rsidR="00D052EB" w:rsidRPr="00030181">
        <w:rPr>
          <w:rFonts w:ascii="Arial" w:hAnsi="Arial" w:cs="Arial"/>
        </w:rPr>
        <w:t>individuals</w:t>
      </w:r>
      <w:r w:rsidRPr="00030181">
        <w:rPr>
          <w:rFonts w:ascii="Arial" w:hAnsi="Arial" w:cs="Arial"/>
        </w:rPr>
        <w:t xml:space="preserve"> with chronic conditions such as type 2 diabetes (NHS England, 2023).</w:t>
      </w:r>
    </w:p>
    <w:p w14:paraId="4F8996D4" w14:textId="77777777" w:rsidR="00AA7EEC" w:rsidRPr="00030181" w:rsidRDefault="00AA7EEC" w:rsidP="005C5EBA">
      <w:pPr>
        <w:pStyle w:val="Heading1"/>
        <w:spacing w:line="360" w:lineRule="auto"/>
        <w:rPr>
          <w:rFonts w:ascii="Arial" w:hAnsi="Arial" w:cs="Arial"/>
          <w:b/>
          <w:color w:val="000000" w:themeColor="text1"/>
          <w:sz w:val="22"/>
          <w:szCs w:val="22"/>
        </w:rPr>
      </w:pPr>
      <w:bookmarkStart w:id="16" w:name="_Toc231947540"/>
      <w:r w:rsidRPr="00030181">
        <w:rPr>
          <w:rFonts w:ascii="Arial" w:hAnsi="Arial" w:cs="Arial"/>
          <w:b/>
          <w:color w:val="000000" w:themeColor="text1"/>
          <w:sz w:val="22"/>
          <w:szCs w:val="22"/>
        </w:rPr>
        <w:t>2.4 Chronic Conditions and Nutritional Vulnerability</w:t>
      </w:r>
      <w:bookmarkEnd w:id="16"/>
    </w:p>
    <w:p w14:paraId="7F75280E" w14:textId="2943DC25" w:rsidR="00E85965" w:rsidRPr="00030181" w:rsidRDefault="00E85965" w:rsidP="005C5EBA">
      <w:pPr>
        <w:spacing w:line="360" w:lineRule="auto"/>
        <w:jc w:val="both"/>
        <w:rPr>
          <w:rFonts w:ascii="Arial" w:hAnsi="Arial" w:cs="Arial"/>
        </w:rPr>
      </w:pPr>
      <w:r w:rsidRPr="00030181">
        <w:rPr>
          <w:rFonts w:ascii="Arial" w:hAnsi="Arial" w:cs="Arial"/>
        </w:rPr>
        <w:t>Chronic conditions are highly prevalent among older adults in UK care homes, with multimorbidity a defining characteristic associated with complex care needs and increased service use (NHS England, 2023;</w:t>
      </w:r>
      <w:r w:rsidR="00D052EB" w:rsidRPr="00030181">
        <w:rPr>
          <w:rFonts w:ascii="Arial" w:hAnsi="Arial" w:cs="Arial"/>
        </w:rPr>
        <w:t xml:space="preserve"> NICE</w:t>
      </w:r>
      <w:r w:rsidRPr="00030181">
        <w:rPr>
          <w:rFonts w:ascii="Arial" w:hAnsi="Arial" w:cs="Arial"/>
        </w:rPr>
        <w:t>, 2022). This complexity is further compounded by frailty, cognitive impairment, and functional decline (The King's Fund, 2023).</w:t>
      </w:r>
    </w:p>
    <w:p w14:paraId="18CE0E9D" w14:textId="63E66A32" w:rsidR="00E85965" w:rsidRPr="00030181" w:rsidRDefault="00E85965" w:rsidP="005C5EBA">
      <w:pPr>
        <w:spacing w:line="360" w:lineRule="auto"/>
        <w:jc w:val="both"/>
        <w:rPr>
          <w:rFonts w:ascii="Arial" w:hAnsi="Arial" w:cs="Arial"/>
          <w:lang w:val="en-US"/>
        </w:rPr>
      </w:pPr>
      <w:r w:rsidRPr="00030181">
        <w:rPr>
          <w:rFonts w:ascii="Arial" w:hAnsi="Arial" w:cs="Arial"/>
        </w:rPr>
        <w:t xml:space="preserve">A substantial proportion of residents live with </w:t>
      </w:r>
      <w:r w:rsidR="004D6E92" w:rsidRPr="00030181">
        <w:rPr>
          <w:rFonts w:ascii="Arial" w:hAnsi="Arial" w:cs="Arial"/>
        </w:rPr>
        <w:t xml:space="preserve">medical conditions such as </w:t>
      </w:r>
      <w:r w:rsidR="004D6E92" w:rsidRPr="00030181">
        <w:rPr>
          <w:rFonts w:ascii="Arial" w:hAnsi="Arial" w:cs="Arial"/>
        </w:rPr>
        <w:t xml:space="preserve">heart-related </w:t>
      </w:r>
      <w:r w:rsidR="004D6E92" w:rsidRPr="00030181">
        <w:rPr>
          <w:rFonts w:ascii="Arial" w:hAnsi="Arial" w:cs="Arial"/>
        </w:rPr>
        <w:t>disease</w:t>
      </w:r>
      <w:r w:rsidR="005228E7" w:rsidRPr="00030181">
        <w:rPr>
          <w:rFonts w:ascii="Arial" w:hAnsi="Arial" w:cs="Arial"/>
          <w:lang w:val="en-US"/>
        </w:rPr>
        <w:t>, respiratory illness, and type 2 diabetes</w:t>
      </w:r>
      <w:r w:rsidRPr="00030181">
        <w:rPr>
          <w:rFonts w:ascii="Arial" w:hAnsi="Arial" w:cs="Arial"/>
        </w:rPr>
        <w:t xml:space="preserve">, all requiring ongoing management (The King's Fund, 2023). Managing type 2 diabetes in care homes is challenging due to varying dependency levels and comorbidities affecting glycaemic control (National Health Service, </w:t>
      </w:r>
      <w:r w:rsidRPr="00030181">
        <w:rPr>
          <w:rFonts w:ascii="Arial" w:hAnsi="Arial" w:cs="Arial"/>
        </w:rPr>
        <w:lastRenderedPageBreak/>
        <w:t xml:space="preserve">2023). Dietary intake plays a central role, with consistent carbohydrate consumption and balanced nutrition essential for maintaining stable </w:t>
      </w:r>
      <w:r w:rsidR="004D6E92" w:rsidRPr="00030181">
        <w:rPr>
          <w:rFonts w:ascii="Arial" w:hAnsi="Arial" w:cs="Arial"/>
        </w:rPr>
        <w:t>blood glucose levels</w:t>
      </w:r>
      <w:r w:rsidRPr="00030181">
        <w:rPr>
          <w:rFonts w:ascii="Arial" w:hAnsi="Arial" w:cs="Arial"/>
        </w:rPr>
        <w:t xml:space="preserve"> (</w:t>
      </w:r>
      <w:r w:rsidR="004D6E92" w:rsidRPr="00030181">
        <w:rPr>
          <w:rFonts w:ascii="Arial" w:hAnsi="Arial" w:cs="Arial"/>
        </w:rPr>
        <w:t>NICE</w:t>
      </w:r>
      <w:r w:rsidRPr="00030181">
        <w:rPr>
          <w:rFonts w:ascii="Arial" w:hAnsi="Arial" w:cs="Arial"/>
        </w:rPr>
        <w:t>, 2022). However, consistency may be difficult due to individual variability in needs and preferences.</w:t>
      </w:r>
    </w:p>
    <w:p w14:paraId="34135263" w14:textId="77777777" w:rsidR="00E85965" w:rsidRPr="00030181" w:rsidRDefault="00E85965" w:rsidP="005C5EBA">
      <w:pPr>
        <w:spacing w:line="360" w:lineRule="auto"/>
        <w:jc w:val="both"/>
        <w:rPr>
          <w:rFonts w:ascii="Arial" w:hAnsi="Arial" w:cs="Arial"/>
        </w:rPr>
      </w:pPr>
      <w:r w:rsidRPr="00030181">
        <w:rPr>
          <w:rFonts w:ascii="Arial" w:hAnsi="Arial" w:cs="Arial"/>
        </w:rPr>
        <w:t>Nutritional vulnerability is influenced by factors such as reduced appetite, sensory changes, and chronic disease (British Dietetic Association, 2022). These factors contribute to inadequate intake and increased risk of malnutrition, which may further destabilise glycaemic control in individuals with diabetes (NHS England, 2023).</w:t>
      </w:r>
    </w:p>
    <w:p w14:paraId="644C6007" w14:textId="77777777" w:rsidR="00E85965" w:rsidRPr="00030181" w:rsidRDefault="00E85965" w:rsidP="005C5EBA">
      <w:pPr>
        <w:spacing w:line="360" w:lineRule="auto"/>
        <w:jc w:val="both"/>
        <w:rPr>
          <w:rFonts w:ascii="Arial" w:hAnsi="Arial" w:cs="Arial"/>
        </w:rPr>
      </w:pPr>
      <w:r w:rsidRPr="00030181">
        <w:rPr>
          <w:rFonts w:ascii="Arial" w:hAnsi="Arial" w:cs="Arial"/>
        </w:rPr>
        <w:t>Frailty, characterised by reduced physiological reserve, is highly prevalent in care homes and linked to increased risk of falls, hospitalisation, and mortality (Public Health England, 2020; The King's Fund, 2023). Poor nutritional status contributes to frailty through muscle loss and functional decline.</w:t>
      </w:r>
    </w:p>
    <w:p w14:paraId="75A1119B" w14:textId="428F85CE" w:rsidR="0064600A" w:rsidRPr="00030181" w:rsidRDefault="0064600A" w:rsidP="005C5EBA">
      <w:pPr>
        <w:spacing w:line="360" w:lineRule="auto"/>
        <w:jc w:val="both"/>
        <w:rPr>
          <w:rFonts w:ascii="Arial" w:hAnsi="Arial" w:cs="Arial"/>
          <w:lang w:val="en-US"/>
        </w:rPr>
      </w:pPr>
      <w:r w:rsidRPr="00030181">
        <w:rPr>
          <w:rFonts w:ascii="Arial" w:hAnsi="Arial" w:cs="Arial"/>
        </w:rPr>
        <w:t xml:space="preserve">Sarcopenia, </w:t>
      </w:r>
      <w:r w:rsidR="004D6E92" w:rsidRPr="00030181">
        <w:rPr>
          <w:rFonts w:ascii="Arial" w:hAnsi="Arial" w:cs="Arial"/>
        </w:rPr>
        <w:t>defined by a steady loss of lean muscle tissue and physical strength</w:t>
      </w:r>
      <w:r w:rsidRPr="00030181">
        <w:rPr>
          <w:rFonts w:ascii="Arial" w:hAnsi="Arial" w:cs="Arial"/>
        </w:rPr>
        <w:t>, can reduce mobility and independence in later life (National Health Service, 2023; British Dietetic Association, 2022). Adequate protein and energy intake are important for prevention, while poor nutritional status and type 2 diabetes have been identified as significant risk factors among nursing home residents (Velázquez-Alva et al., 2020).</w:t>
      </w:r>
    </w:p>
    <w:p w14:paraId="43E0FB3A" w14:textId="1AA98D5E" w:rsidR="00E85965" w:rsidRPr="00030181" w:rsidRDefault="00E85965" w:rsidP="005C5EBA">
      <w:pPr>
        <w:spacing w:line="360" w:lineRule="auto"/>
        <w:jc w:val="both"/>
        <w:rPr>
          <w:rFonts w:ascii="Arial" w:hAnsi="Arial" w:cs="Arial"/>
        </w:rPr>
      </w:pPr>
      <w:r w:rsidRPr="00030181">
        <w:rPr>
          <w:rFonts w:ascii="Arial" w:hAnsi="Arial" w:cs="Arial"/>
        </w:rPr>
        <w:t>Dysphagia is also prevalent, particularly among those with neurological conditions, and can significantly reduce food and fluid intake (National Health Service, 2023). This increases the risk of malnutrition, dehydration, and aspiration pneumonia, requiring modified diets and specialised feeding strategies (Care Quality Commission, 2023).</w:t>
      </w:r>
    </w:p>
    <w:p w14:paraId="2912C6E0" w14:textId="09683AA5" w:rsidR="00E85965" w:rsidRPr="00030181" w:rsidRDefault="00E85965" w:rsidP="005C5EBA">
      <w:pPr>
        <w:spacing w:line="360" w:lineRule="auto"/>
        <w:jc w:val="both"/>
        <w:rPr>
          <w:rFonts w:ascii="Arial" w:hAnsi="Arial" w:cs="Arial"/>
        </w:rPr>
      </w:pPr>
      <w:r w:rsidRPr="00030181">
        <w:rPr>
          <w:rFonts w:ascii="Arial" w:hAnsi="Arial" w:cs="Arial"/>
        </w:rPr>
        <w:t>Chronic conditions and poor nutrition also increase susceptibility to infections, as impaired nutritional status weakens immune function and delays recovery (</w:t>
      </w:r>
      <w:r w:rsidR="004D6E92" w:rsidRPr="00030181">
        <w:rPr>
          <w:rFonts w:ascii="Arial" w:hAnsi="Arial" w:cs="Arial"/>
        </w:rPr>
        <w:t>WHO</w:t>
      </w:r>
      <w:r w:rsidRPr="00030181">
        <w:rPr>
          <w:rFonts w:ascii="Arial" w:hAnsi="Arial" w:cs="Arial"/>
        </w:rPr>
        <w:t>, 2022; N</w:t>
      </w:r>
      <w:r w:rsidR="004D6E92" w:rsidRPr="00030181">
        <w:rPr>
          <w:rFonts w:ascii="Arial" w:hAnsi="Arial" w:cs="Arial"/>
        </w:rPr>
        <w:t>ICE</w:t>
      </w:r>
      <w:r w:rsidRPr="00030181">
        <w:rPr>
          <w:rFonts w:ascii="Arial" w:hAnsi="Arial" w:cs="Arial"/>
        </w:rPr>
        <w:t xml:space="preserve">, 2022). For </w:t>
      </w:r>
      <w:r w:rsidR="004D6E92" w:rsidRPr="00030181">
        <w:rPr>
          <w:rFonts w:ascii="Arial" w:hAnsi="Arial" w:cs="Arial"/>
        </w:rPr>
        <w:t>people</w:t>
      </w:r>
      <w:r w:rsidRPr="00030181">
        <w:rPr>
          <w:rFonts w:ascii="Arial" w:hAnsi="Arial" w:cs="Arial"/>
        </w:rPr>
        <w:t xml:space="preserve"> with type 2 diabetes, infections may further destabilise metabolic control.</w:t>
      </w:r>
    </w:p>
    <w:p w14:paraId="50643AF1" w14:textId="77777777" w:rsidR="00E85965" w:rsidRPr="00030181" w:rsidRDefault="00E85965" w:rsidP="005C5EBA">
      <w:pPr>
        <w:spacing w:line="360" w:lineRule="auto"/>
        <w:jc w:val="both"/>
        <w:rPr>
          <w:rFonts w:ascii="Arial" w:hAnsi="Arial" w:cs="Arial"/>
        </w:rPr>
      </w:pPr>
      <w:r w:rsidRPr="00030181">
        <w:rPr>
          <w:rFonts w:ascii="Arial" w:hAnsi="Arial" w:cs="Arial"/>
        </w:rPr>
        <w:t>Acute illness and hospitalisation may worsen nutritional status, creating a cycle of decline in health among care home residents (NHS England, 2023). This highlights the importance of continuous and proactive nutritional management.</w:t>
      </w:r>
    </w:p>
    <w:p w14:paraId="303618E7" w14:textId="34AD4667" w:rsidR="00E85965" w:rsidRPr="00030181" w:rsidRDefault="00E85965" w:rsidP="005C5EBA">
      <w:pPr>
        <w:spacing w:line="360" w:lineRule="auto"/>
        <w:jc w:val="both"/>
        <w:rPr>
          <w:rFonts w:ascii="Arial" w:hAnsi="Arial" w:cs="Arial"/>
        </w:rPr>
      </w:pPr>
      <w:r w:rsidRPr="00030181">
        <w:rPr>
          <w:rFonts w:ascii="Arial" w:hAnsi="Arial" w:cs="Arial"/>
        </w:rPr>
        <w:t>Overall, the literature shows that chronic conditions significantly increase nutritional vulnerability among care home residents. Factors such as frailty, sarcopenia, and dysphagia further compound this risk, reinforcing the need for integrated nutritional and food safety approaches to improve health outcomes (</w:t>
      </w:r>
      <w:r w:rsidR="004D6E92" w:rsidRPr="00030181">
        <w:rPr>
          <w:rFonts w:ascii="Arial" w:hAnsi="Arial" w:cs="Arial"/>
        </w:rPr>
        <w:t>NICE</w:t>
      </w:r>
      <w:r w:rsidRPr="00030181">
        <w:rPr>
          <w:rFonts w:ascii="Arial" w:hAnsi="Arial" w:cs="Arial"/>
        </w:rPr>
        <w:t>, 2022).</w:t>
      </w:r>
    </w:p>
    <w:p w14:paraId="762D9954" w14:textId="77777777" w:rsidR="00AA7EEC" w:rsidRPr="00030181" w:rsidRDefault="00AA7EEC" w:rsidP="005C5EBA">
      <w:pPr>
        <w:pStyle w:val="Heading1"/>
        <w:spacing w:line="360" w:lineRule="auto"/>
        <w:rPr>
          <w:rFonts w:ascii="Arial" w:hAnsi="Arial" w:cs="Arial"/>
          <w:b/>
          <w:bCs/>
          <w:color w:val="000000" w:themeColor="text1"/>
          <w:sz w:val="22"/>
          <w:szCs w:val="22"/>
        </w:rPr>
      </w:pPr>
      <w:bookmarkStart w:id="17" w:name="_Toc231947541"/>
      <w:r w:rsidRPr="00030181">
        <w:rPr>
          <w:rFonts w:ascii="Arial" w:hAnsi="Arial" w:cs="Arial"/>
          <w:b/>
          <w:bCs/>
          <w:color w:val="000000" w:themeColor="text1"/>
          <w:sz w:val="22"/>
          <w:szCs w:val="22"/>
        </w:rPr>
        <w:t>2.5 Integration of Food Safety and Nutrition Practices in UK Care Homes</w:t>
      </w:r>
      <w:bookmarkEnd w:id="17"/>
    </w:p>
    <w:p w14:paraId="0F220030" w14:textId="72D55AA4" w:rsidR="00307873" w:rsidRPr="00030181" w:rsidRDefault="00307873" w:rsidP="005C5EBA">
      <w:pPr>
        <w:spacing w:line="360" w:lineRule="auto"/>
        <w:jc w:val="both"/>
        <w:rPr>
          <w:rFonts w:ascii="Arial" w:hAnsi="Arial" w:cs="Arial"/>
          <w:lang w:val="en-US"/>
        </w:rPr>
      </w:pPr>
      <w:r w:rsidRPr="00030181">
        <w:rPr>
          <w:rFonts w:ascii="Arial" w:hAnsi="Arial" w:cs="Arial"/>
        </w:rPr>
        <w:t xml:space="preserve">The integration of food safety and nutrition </w:t>
      </w:r>
      <w:r w:rsidR="0077647F" w:rsidRPr="00030181">
        <w:rPr>
          <w:rFonts w:ascii="Arial" w:hAnsi="Arial" w:cs="Arial"/>
          <w:lang w:val="en-US"/>
        </w:rPr>
        <w:t xml:space="preserve">practices are increasingly acknowledged as </w:t>
      </w:r>
      <w:r w:rsidRPr="00030181">
        <w:rPr>
          <w:rFonts w:ascii="Arial" w:hAnsi="Arial" w:cs="Arial"/>
        </w:rPr>
        <w:t xml:space="preserve">important for improving health outcomes among </w:t>
      </w:r>
      <w:r w:rsidR="0077647F" w:rsidRPr="00030181">
        <w:rPr>
          <w:rFonts w:ascii="Arial" w:hAnsi="Arial" w:cs="Arial"/>
        </w:rPr>
        <w:t>old aged</w:t>
      </w:r>
      <w:r w:rsidRPr="00030181">
        <w:rPr>
          <w:rFonts w:ascii="Arial" w:hAnsi="Arial" w:cs="Arial"/>
        </w:rPr>
        <w:t xml:space="preserve"> </w:t>
      </w:r>
      <w:r w:rsidR="004D6E92" w:rsidRPr="00030181">
        <w:rPr>
          <w:rFonts w:ascii="Arial" w:hAnsi="Arial" w:cs="Arial"/>
        </w:rPr>
        <w:t>individuals</w:t>
      </w:r>
      <w:r w:rsidRPr="00030181">
        <w:rPr>
          <w:rFonts w:ascii="Arial" w:hAnsi="Arial" w:cs="Arial"/>
        </w:rPr>
        <w:t xml:space="preserve"> in care homes (</w:t>
      </w:r>
      <w:r w:rsidR="004D6E92" w:rsidRPr="00030181">
        <w:rPr>
          <w:rFonts w:ascii="Arial" w:hAnsi="Arial" w:cs="Arial"/>
        </w:rPr>
        <w:t>NICE</w:t>
      </w:r>
      <w:r w:rsidRPr="00030181">
        <w:rPr>
          <w:rFonts w:ascii="Arial" w:hAnsi="Arial" w:cs="Arial"/>
        </w:rPr>
        <w:t xml:space="preserve">, </w:t>
      </w:r>
      <w:r w:rsidRPr="00030181">
        <w:rPr>
          <w:rFonts w:ascii="Arial" w:hAnsi="Arial" w:cs="Arial"/>
        </w:rPr>
        <w:lastRenderedPageBreak/>
        <w:t>2022). Although both areas are well established, their interaction remains relatively underexplored within residential care settings (NHS England, 2023).</w:t>
      </w:r>
    </w:p>
    <w:p w14:paraId="266DE284" w14:textId="012F8AA3" w:rsidR="00307873" w:rsidRPr="00030181" w:rsidRDefault="00307873" w:rsidP="005C5EBA">
      <w:pPr>
        <w:spacing w:line="360" w:lineRule="auto"/>
        <w:jc w:val="both"/>
        <w:rPr>
          <w:rFonts w:ascii="Arial" w:hAnsi="Arial" w:cs="Arial"/>
          <w:lang w:val="en-US"/>
        </w:rPr>
      </w:pPr>
      <w:r w:rsidRPr="00030181">
        <w:rPr>
          <w:rFonts w:ascii="Arial" w:hAnsi="Arial" w:cs="Arial"/>
        </w:rPr>
        <w:t>The literature indicates that food safety and nutrition are closely interconnected. Poor food safety practices can lead to illness</w:t>
      </w:r>
      <w:r w:rsidR="0077647F" w:rsidRPr="00030181">
        <w:rPr>
          <w:rFonts w:ascii="Arial" w:hAnsi="Arial" w:cs="Arial"/>
          <w:lang w:val="en-US"/>
        </w:rPr>
        <w:t>, decreasing food intake, affecting nutrient absorption, and increasing metabolic</w:t>
      </w:r>
      <w:r w:rsidRPr="00030181">
        <w:rPr>
          <w:rFonts w:ascii="Arial" w:hAnsi="Arial" w:cs="Arial"/>
        </w:rPr>
        <w:t xml:space="preserve"> demand, while malnutrition </w:t>
      </w:r>
      <w:r w:rsidR="0077647F" w:rsidRPr="00030181">
        <w:rPr>
          <w:rFonts w:ascii="Arial" w:hAnsi="Arial" w:cs="Arial"/>
          <w:lang w:val="en-US"/>
        </w:rPr>
        <w:t xml:space="preserve">reduces immune function and heightens vulnerability to infection </w:t>
      </w:r>
      <w:r w:rsidRPr="00030181">
        <w:rPr>
          <w:rFonts w:ascii="Arial" w:hAnsi="Arial" w:cs="Arial"/>
        </w:rPr>
        <w:t>(W</w:t>
      </w:r>
      <w:r w:rsidR="004D6E92" w:rsidRPr="00030181">
        <w:rPr>
          <w:rFonts w:ascii="Arial" w:hAnsi="Arial" w:cs="Arial"/>
        </w:rPr>
        <w:t>HO</w:t>
      </w:r>
      <w:r w:rsidRPr="00030181">
        <w:rPr>
          <w:rFonts w:ascii="Arial" w:hAnsi="Arial" w:cs="Arial"/>
        </w:rPr>
        <w:t>, 2022; N</w:t>
      </w:r>
      <w:r w:rsidR="004D6E92" w:rsidRPr="00030181">
        <w:rPr>
          <w:rFonts w:ascii="Arial" w:hAnsi="Arial" w:cs="Arial"/>
        </w:rPr>
        <w:t>ICE</w:t>
      </w:r>
      <w:r w:rsidRPr="00030181">
        <w:rPr>
          <w:rFonts w:ascii="Arial" w:hAnsi="Arial" w:cs="Arial"/>
        </w:rPr>
        <w:t xml:space="preserve">, 2022). Together, these factors </w:t>
      </w:r>
      <w:r w:rsidR="004D6E92" w:rsidRPr="00030181">
        <w:rPr>
          <w:rFonts w:ascii="Arial" w:hAnsi="Arial" w:cs="Arial"/>
        </w:rPr>
        <w:t>may negatively impact</w:t>
      </w:r>
      <w:r w:rsidR="004D6E92" w:rsidRPr="00030181">
        <w:rPr>
          <w:rFonts w:ascii="Arial" w:hAnsi="Arial" w:cs="Arial"/>
        </w:rPr>
        <w:t xml:space="preserve"> </w:t>
      </w:r>
      <w:r w:rsidRPr="00030181">
        <w:rPr>
          <w:rFonts w:ascii="Arial" w:hAnsi="Arial" w:cs="Arial"/>
        </w:rPr>
        <w:t xml:space="preserve">resident </w:t>
      </w:r>
      <w:r w:rsidR="004D6E92" w:rsidRPr="00030181">
        <w:rPr>
          <w:rFonts w:ascii="Arial" w:hAnsi="Arial" w:cs="Arial"/>
        </w:rPr>
        <w:t>health and quality of life</w:t>
      </w:r>
      <w:r w:rsidRPr="00030181">
        <w:rPr>
          <w:rFonts w:ascii="Arial" w:hAnsi="Arial" w:cs="Arial"/>
        </w:rPr>
        <w:t>.</w:t>
      </w:r>
    </w:p>
    <w:p w14:paraId="6097BAD1" w14:textId="77777777" w:rsidR="00307873" w:rsidRPr="00030181" w:rsidRDefault="00307873" w:rsidP="005C5EBA">
      <w:pPr>
        <w:spacing w:line="360" w:lineRule="auto"/>
        <w:jc w:val="both"/>
        <w:rPr>
          <w:rFonts w:ascii="Arial" w:hAnsi="Arial" w:cs="Arial"/>
        </w:rPr>
      </w:pPr>
      <w:r w:rsidRPr="00030181">
        <w:rPr>
          <w:rFonts w:ascii="Arial" w:hAnsi="Arial" w:cs="Arial"/>
        </w:rPr>
        <w:t>In UK care homes, food safety is largely governed by hygiene regulations, whereas nutrition is guided by clinical standards (Care Quality Commission, 2023; Food Standards Agency, 2022). While these frameworks support care delivery, separate approaches may limit opportunities for coordinated practice.</w:t>
      </w:r>
    </w:p>
    <w:p w14:paraId="37E6CE1A" w14:textId="77777777" w:rsidR="00307873" w:rsidRPr="00030181" w:rsidRDefault="00307873" w:rsidP="005C5EBA">
      <w:pPr>
        <w:spacing w:line="360" w:lineRule="auto"/>
        <w:jc w:val="both"/>
        <w:rPr>
          <w:rFonts w:ascii="Arial" w:hAnsi="Arial" w:cs="Arial"/>
        </w:rPr>
      </w:pPr>
      <w:r w:rsidRPr="00030181">
        <w:rPr>
          <w:rFonts w:ascii="Arial" w:hAnsi="Arial" w:cs="Arial"/>
        </w:rPr>
        <w:t>Evidence increasingly supports integrated strategies that combine nutritional care with food safety measures to address multiple determinants of health simultaneously (The King's Fund, 2023). Successful implementation requires multidisciplinary collaboration, staff training, leadership support, and adequate resources (NHS England, 2023; Skills for Care, 2022).</w:t>
      </w:r>
    </w:p>
    <w:p w14:paraId="2C7D7DAF" w14:textId="77777777" w:rsidR="00307873" w:rsidRPr="00030181" w:rsidRDefault="00307873" w:rsidP="005C5EBA">
      <w:pPr>
        <w:spacing w:line="360" w:lineRule="auto"/>
        <w:jc w:val="both"/>
        <w:rPr>
          <w:rFonts w:ascii="Arial" w:hAnsi="Arial" w:cs="Arial"/>
        </w:rPr>
      </w:pPr>
      <w:r w:rsidRPr="00030181">
        <w:rPr>
          <w:rFonts w:ascii="Arial" w:hAnsi="Arial" w:cs="Arial"/>
        </w:rPr>
        <w:t>Integration is particularly important for residents with type 2 diabetes, for whom poor nutrition and infection may contribute to glycaemic instability and poorer health outcomes (Diabetes UK, 2023; National Health Service, 2023). However, the literature highlights limited evidence on effective models for integrating these practices within care-home settings (Public Health England, 2020).</w:t>
      </w:r>
    </w:p>
    <w:p w14:paraId="654B6BED" w14:textId="77777777" w:rsidR="00307873" w:rsidRPr="00030181" w:rsidRDefault="00307873" w:rsidP="005C5EBA">
      <w:pPr>
        <w:spacing w:line="360" w:lineRule="auto"/>
        <w:jc w:val="both"/>
        <w:rPr>
          <w:rFonts w:ascii="Arial" w:hAnsi="Arial" w:cs="Arial"/>
        </w:rPr>
      </w:pPr>
      <w:r w:rsidRPr="00030181">
        <w:rPr>
          <w:rFonts w:ascii="Arial" w:hAnsi="Arial" w:cs="Arial"/>
        </w:rPr>
        <w:t>Overall, stronger integration of food safety and nutritional care may improve resident outcomes, particularly among older adults with complex health needs. Structured nutrition programmes, multidisciplinary working, and workforce development have been identified as potential approaches for supporting more effective practice (Liu et al., 2024; Romano and Minns Lowe, 2022).</w:t>
      </w:r>
    </w:p>
    <w:p w14:paraId="3E881C34" w14:textId="52654F16" w:rsidR="00BB594A" w:rsidRPr="00030181" w:rsidRDefault="00BB594A" w:rsidP="004D6E92">
      <w:pPr>
        <w:pStyle w:val="Heading1"/>
        <w:spacing w:line="360" w:lineRule="auto"/>
        <w:rPr>
          <w:rFonts w:ascii="Arial" w:hAnsi="Arial" w:cs="Arial"/>
          <w:b/>
          <w:bCs/>
          <w:color w:val="000000" w:themeColor="text1"/>
          <w:sz w:val="22"/>
          <w:szCs w:val="22"/>
        </w:rPr>
      </w:pPr>
      <w:bookmarkStart w:id="18" w:name="_Toc231947542"/>
      <w:r w:rsidRPr="00030181">
        <w:rPr>
          <w:rFonts w:ascii="Arial" w:hAnsi="Arial" w:cs="Arial"/>
          <w:b/>
          <w:bCs/>
          <w:color w:val="000000" w:themeColor="text1"/>
          <w:sz w:val="22"/>
          <w:szCs w:val="22"/>
        </w:rPr>
        <w:t>2.6 Theoretical Framework</w:t>
      </w:r>
      <w:bookmarkEnd w:id="18"/>
    </w:p>
    <w:p w14:paraId="06AED66E" w14:textId="5C0863FD" w:rsidR="00BB594A" w:rsidRPr="00030181" w:rsidRDefault="00BB594A" w:rsidP="004D6E92">
      <w:pPr>
        <w:pStyle w:val="Heading1"/>
        <w:spacing w:line="360" w:lineRule="auto"/>
        <w:rPr>
          <w:rFonts w:ascii="Arial" w:hAnsi="Arial" w:cs="Arial"/>
          <w:b/>
          <w:bCs/>
          <w:color w:val="000000" w:themeColor="text1"/>
          <w:sz w:val="22"/>
          <w:szCs w:val="22"/>
        </w:rPr>
      </w:pPr>
      <w:bookmarkStart w:id="19" w:name="_Toc231947543"/>
      <w:r w:rsidRPr="00030181">
        <w:rPr>
          <w:rFonts w:ascii="Arial" w:hAnsi="Arial" w:cs="Arial"/>
          <w:b/>
          <w:bCs/>
          <w:color w:val="000000" w:themeColor="text1"/>
          <w:sz w:val="22"/>
          <w:szCs w:val="22"/>
        </w:rPr>
        <w:t xml:space="preserve">2.6.1 Introduction </w:t>
      </w:r>
      <w:bookmarkEnd w:id="19"/>
    </w:p>
    <w:p w14:paraId="5F1508AD" w14:textId="5896B463" w:rsidR="00E85965" w:rsidRPr="00030181" w:rsidRDefault="00E85965" w:rsidP="005C5EBA">
      <w:pPr>
        <w:spacing w:line="360" w:lineRule="auto"/>
        <w:jc w:val="both"/>
        <w:rPr>
          <w:rFonts w:ascii="Arial" w:hAnsi="Arial" w:cs="Arial"/>
          <w:lang w:val="en-US"/>
        </w:rPr>
      </w:pPr>
      <w:r w:rsidRPr="00030181">
        <w:rPr>
          <w:rFonts w:ascii="Arial" w:hAnsi="Arial" w:cs="Arial"/>
        </w:rPr>
        <w:t xml:space="preserve">Theoretical frameworks are essential for guiding research by providing structured approaches to understanding complex health issues and interpreting findings (World Health Organization, 2022). In care home settings, where multiple factors influence outcomes, they enable analysis of interactions between individual, social, and organisational determinants (NHS England, </w:t>
      </w:r>
      <w:r w:rsidRPr="00030181">
        <w:rPr>
          <w:rFonts w:ascii="Arial" w:hAnsi="Arial" w:cs="Arial"/>
        </w:rPr>
        <w:lastRenderedPageBreak/>
        <w:t xml:space="preserve">2023). </w:t>
      </w:r>
      <w:r w:rsidR="002A22E2" w:rsidRPr="00030181">
        <w:rPr>
          <w:rFonts w:ascii="Arial" w:hAnsi="Arial" w:cs="Arial"/>
        </w:rPr>
        <w:t>This research is informed by the</w:t>
      </w:r>
      <w:r w:rsidR="002A22E2" w:rsidRPr="00030181">
        <w:rPr>
          <w:rFonts w:ascii="Arial" w:hAnsi="Arial" w:cs="Arial"/>
          <w:lang w:val="en-US"/>
        </w:rPr>
        <w:t xml:space="preserve"> </w:t>
      </w:r>
      <w:r w:rsidR="0077647F" w:rsidRPr="00030181">
        <w:rPr>
          <w:rFonts w:ascii="Arial" w:hAnsi="Arial" w:cs="Arial"/>
          <w:lang w:val="en-US"/>
        </w:rPr>
        <w:t xml:space="preserve">Social Ecological Model </w:t>
      </w:r>
      <w:r w:rsidRPr="00030181">
        <w:rPr>
          <w:rFonts w:ascii="Arial" w:hAnsi="Arial" w:cs="Arial"/>
        </w:rPr>
        <w:t xml:space="preserve">and Person-Centred </w:t>
      </w:r>
      <w:r w:rsidR="002A22E2" w:rsidRPr="00030181">
        <w:rPr>
          <w:rFonts w:ascii="Arial" w:hAnsi="Arial" w:cs="Arial"/>
        </w:rPr>
        <w:t>c</w:t>
      </w:r>
      <w:r w:rsidRPr="00030181">
        <w:rPr>
          <w:rFonts w:ascii="Arial" w:hAnsi="Arial" w:cs="Arial"/>
        </w:rPr>
        <w:t xml:space="preserve">are, both widely used in </w:t>
      </w:r>
      <w:r w:rsidR="002A22E2" w:rsidRPr="00030181">
        <w:rPr>
          <w:rFonts w:ascii="Arial" w:hAnsi="Arial" w:cs="Arial"/>
        </w:rPr>
        <w:t>healthcare and social care sectors</w:t>
      </w:r>
      <w:r w:rsidR="002A22E2" w:rsidRPr="00030181">
        <w:rPr>
          <w:rFonts w:ascii="Arial" w:hAnsi="Arial" w:cs="Arial"/>
          <w:b/>
          <w:bCs/>
        </w:rPr>
        <w:t xml:space="preserve"> </w:t>
      </w:r>
      <w:r w:rsidRPr="00030181">
        <w:rPr>
          <w:rFonts w:ascii="Arial" w:hAnsi="Arial" w:cs="Arial"/>
        </w:rPr>
        <w:t>research.</w:t>
      </w:r>
    </w:p>
    <w:p w14:paraId="09D874A2" w14:textId="229A8469" w:rsidR="0077647F" w:rsidRPr="00030181" w:rsidRDefault="00E85965" w:rsidP="0077647F">
      <w:pPr>
        <w:spacing w:line="360" w:lineRule="auto"/>
        <w:jc w:val="both"/>
        <w:rPr>
          <w:rFonts w:ascii="Arial" w:hAnsi="Arial" w:cs="Arial"/>
          <w:lang w:val="en-US"/>
        </w:rPr>
      </w:pPr>
      <w:r w:rsidRPr="00030181">
        <w:rPr>
          <w:rFonts w:ascii="Arial" w:hAnsi="Arial" w:cs="Arial"/>
        </w:rPr>
        <w:t>These frameworks are relevant as they support analysis of food safety and nutrition practices across multiple levels while maintaining focus on individual needs and preferences (</w:t>
      </w:r>
      <w:r w:rsidR="002A22E2" w:rsidRPr="00030181">
        <w:rPr>
          <w:rFonts w:ascii="Arial" w:hAnsi="Arial" w:cs="Arial"/>
        </w:rPr>
        <w:t>NICE</w:t>
      </w:r>
      <w:r w:rsidRPr="00030181">
        <w:rPr>
          <w:rFonts w:ascii="Arial" w:hAnsi="Arial" w:cs="Arial"/>
        </w:rPr>
        <w:t xml:space="preserve">, 2022). Together, they provide a structured basis for examining how care home practices influence </w:t>
      </w:r>
      <w:bookmarkStart w:id="20" w:name="_Toc231947544"/>
      <w:r w:rsidR="0077647F" w:rsidRPr="00030181">
        <w:rPr>
          <w:rFonts w:ascii="Arial" w:hAnsi="Arial" w:cs="Arial"/>
          <w:lang w:val="en-US"/>
        </w:rPr>
        <w:t>health</w:t>
      </w:r>
      <w:r w:rsidR="002A22E2" w:rsidRPr="00030181">
        <w:rPr>
          <w:rFonts w:ascii="Arial" w:hAnsi="Arial" w:cs="Arial"/>
          <w:lang w:val="en-US"/>
        </w:rPr>
        <w:t>-related</w:t>
      </w:r>
      <w:r w:rsidR="0077647F" w:rsidRPr="00030181">
        <w:rPr>
          <w:rFonts w:ascii="Arial" w:hAnsi="Arial" w:cs="Arial"/>
          <w:lang w:val="en-US"/>
        </w:rPr>
        <w:t xml:space="preserve"> outcomes </w:t>
      </w:r>
      <w:r w:rsidR="002A22E2" w:rsidRPr="00030181">
        <w:rPr>
          <w:rFonts w:ascii="Arial" w:hAnsi="Arial" w:cs="Arial"/>
        </w:rPr>
        <w:t>among older individuals</w:t>
      </w:r>
      <w:r w:rsidR="0077647F" w:rsidRPr="00030181">
        <w:rPr>
          <w:rFonts w:ascii="Arial" w:hAnsi="Arial" w:cs="Arial"/>
          <w:lang w:val="en-US"/>
        </w:rPr>
        <w:t>, particularly those living with type 2 diabetes.</w:t>
      </w:r>
    </w:p>
    <w:p w14:paraId="5FAAC447" w14:textId="4FFF2EF6" w:rsidR="00BB594A" w:rsidRPr="00030181" w:rsidRDefault="00BB594A" w:rsidP="0077647F">
      <w:pPr>
        <w:spacing w:line="360" w:lineRule="auto"/>
        <w:jc w:val="both"/>
        <w:rPr>
          <w:rFonts w:ascii="Arial" w:hAnsi="Arial" w:cs="Arial"/>
          <w:b/>
          <w:bCs/>
          <w:color w:val="000000" w:themeColor="text1"/>
        </w:rPr>
      </w:pPr>
      <w:r w:rsidRPr="00030181">
        <w:rPr>
          <w:rFonts w:ascii="Arial" w:hAnsi="Arial" w:cs="Arial"/>
          <w:b/>
          <w:bCs/>
          <w:color w:val="000000" w:themeColor="text1"/>
        </w:rPr>
        <w:t>2.6.2 Social Ecological Model</w:t>
      </w:r>
      <w:bookmarkEnd w:id="20"/>
    </w:p>
    <w:p w14:paraId="3538CCE8" w14:textId="060FAF31" w:rsidR="00BB594A" w:rsidRPr="00030181" w:rsidRDefault="0077647F" w:rsidP="005C5EBA">
      <w:pPr>
        <w:spacing w:line="360" w:lineRule="auto"/>
        <w:jc w:val="both"/>
        <w:rPr>
          <w:rFonts w:ascii="Arial" w:hAnsi="Arial" w:cs="Arial"/>
          <w:lang w:val="en-US"/>
        </w:rPr>
      </w:pPr>
      <w:r w:rsidRPr="00030181">
        <w:rPr>
          <w:rFonts w:ascii="Arial" w:hAnsi="Arial" w:cs="Arial"/>
          <w:lang w:val="en-US"/>
        </w:rPr>
        <w:t>The Social Ecological Model (SEM) is a</w:t>
      </w:r>
      <w:r w:rsidR="002A22E2" w:rsidRPr="00030181">
        <w:rPr>
          <w:rFonts w:ascii="Arial" w:hAnsi="Arial" w:cs="Arial"/>
          <w:lang w:val="en-US"/>
        </w:rPr>
        <w:t>n</w:t>
      </w:r>
      <w:r w:rsidRPr="00030181">
        <w:rPr>
          <w:rFonts w:ascii="Arial" w:hAnsi="Arial" w:cs="Arial"/>
          <w:lang w:val="en-US"/>
        </w:rPr>
        <w:t xml:space="preserve"> </w:t>
      </w:r>
      <w:r w:rsidR="002A22E2" w:rsidRPr="00030181">
        <w:rPr>
          <w:rFonts w:ascii="Arial" w:hAnsi="Arial" w:cs="Arial"/>
        </w:rPr>
        <w:t>extensively</w:t>
      </w:r>
      <w:r w:rsidRPr="00030181">
        <w:rPr>
          <w:rFonts w:ascii="Arial" w:hAnsi="Arial" w:cs="Arial"/>
          <w:lang w:val="en-US"/>
        </w:rPr>
        <w:t xml:space="preserve"> applied public health framework that views health outcomes as being </w:t>
      </w:r>
      <w:r w:rsidR="002A22E2" w:rsidRPr="00030181">
        <w:rPr>
          <w:rFonts w:ascii="Arial" w:hAnsi="Arial" w:cs="Arial"/>
        </w:rPr>
        <w:t>influenced by interactions</w:t>
      </w:r>
      <w:r w:rsidR="002A22E2" w:rsidRPr="00030181">
        <w:rPr>
          <w:rFonts w:ascii="Arial" w:hAnsi="Arial" w:cs="Arial"/>
          <w:lang w:val="en-US"/>
        </w:rPr>
        <w:t xml:space="preserve"> </w:t>
      </w:r>
      <w:r w:rsidRPr="00030181">
        <w:rPr>
          <w:rFonts w:ascii="Arial" w:hAnsi="Arial" w:cs="Arial"/>
          <w:lang w:val="en-US"/>
        </w:rPr>
        <w:t xml:space="preserve">across </w:t>
      </w:r>
      <w:r w:rsidR="002A22E2" w:rsidRPr="00030181">
        <w:rPr>
          <w:rFonts w:ascii="Arial" w:hAnsi="Arial" w:cs="Arial"/>
        </w:rPr>
        <w:t>various levels of influence</w:t>
      </w:r>
      <w:r w:rsidRPr="00030181">
        <w:rPr>
          <w:rFonts w:ascii="Arial" w:hAnsi="Arial" w:cs="Arial"/>
          <w:lang w:val="en-US"/>
        </w:rPr>
        <w:t>, including individual, interpersonal, organi</w:t>
      </w:r>
      <w:r w:rsidR="002A22E2" w:rsidRPr="00030181">
        <w:rPr>
          <w:rFonts w:ascii="Arial" w:hAnsi="Arial" w:cs="Arial"/>
          <w:lang w:val="en-US"/>
        </w:rPr>
        <w:t>z</w:t>
      </w:r>
      <w:r w:rsidRPr="00030181">
        <w:rPr>
          <w:rFonts w:ascii="Arial" w:hAnsi="Arial" w:cs="Arial"/>
          <w:lang w:val="en-US"/>
        </w:rPr>
        <w:t>ational, community, and policy factors.</w:t>
      </w:r>
      <w:r w:rsidR="00BB594A" w:rsidRPr="00030181">
        <w:rPr>
          <w:rFonts w:ascii="Arial" w:hAnsi="Arial" w:cs="Arial"/>
        </w:rPr>
        <w:t xml:space="preserve"> (World Health Organization, 2022). The literature emphasises that health behaviours and </w:t>
      </w:r>
      <w:r w:rsidRPr="00030181">
        <w:rPr>
          <w:rFonts w:ascii="Arial" w:hAnsi="Arial" w:cs="Arial"/>
          <w:lang w:val="en-US"/>
        </w:rPr>
        <w:t xml:space="preserve">outcomes cannot be understood independently but should </w:t>
      </w:r>
      <w:r w:rsidR="002A22E2" w:rsidRPr="00030181">
        <w:rPr>
          <w:rFonts w:ascii="Arial" w:hAnsi="Arial" w:cs="Arial"/>
        </w:rPr>
        <w:t>be analysed</w:t>
      </w:r>
      <w:r w:rsidR="002A22E2" w:rsidRPr="00030181">
        <w:rPr>
          <w:rFonts w:ascii="Arial" w:hAnsi="Arial" w:cs="Arial"/>
          <w:lang w:val="en-US"/>
        </w:rPr>
        <w:t xml:space="preserve"> </w:t>
      </w:r>
      <w:r w:rsidRPr="00030181">
        <w:rPr>
          <w:rFonts w:ascii="Arial" w:hAnsi="Arial" w:cs="Arial"/>
          <w:lang w:val="en-US"/>
        </w:rPr>
        <w:t xml:space="preserve">within the </w:t>
      </w:r>
      <w:r w:rsidR="002A22E2" w:rsidRPr="00030181">
        <w:rPr>
          <w:rFonts w:ascii="Arial" w:hAnsi="Arial" w:cs="Arial"/>
        </w:rPr>
        <w:t>broader</w:t>
      </w:r>
      <w:r w:rsidRPr="00030181">
        <w:rPr>
          <w:rFonts w:ascii="Arial" w:hAnsi="Arial" w:cs="Arial"/>
          <w:lang w:val="en-US"/>
        </w:rPr>
        <w:t xml:space="preserve"> social and </w:t>
      </w:r>
      <w:r w:rsidR="00BB594A" w:rsidRPr="00030181">
        <w:rPr>
          <w:rFonts w:ascii="Arial" w:hAnsi="Arial" w:cs="Arial"/>
        </w:rPr>
        <w:t xml:space="preserve">environmental </w:t>
      </w:r>
      <w:r w:rsidR="004534A1" w:rsidRPr="00030181">
        <w:rPr>
          <w:rFonts w:ascii="Arial" w:hAnsi="Arial" w:cs="Arial"/>
        </w:rPr>
        <w:t>setting in which</w:t>
      </w:r>
      <w:r w:rsidR="004534A1" w:rsidRPr="00030181">
        <w:rPr>
          <w:rFonts w:ascii="Arial" w:hAnsi="Arial" w:cs="Arial"/>
        </w:rPr>
        <w:t xml:space="preserve"> </w:t>
      </w:r>
      <w:r w:rsidR="00BB594A" w:rsidRPr="00030181">
        <w:rPr>
          <w:rFonts w:ascii="Arial" w:hAnsi="Arial" w:cs="Arial"/>
        </w:rPr>
        <w:t>individuals live (Public Health England, 2020).</w:t>
      </w:r>
    </w:p>
    <w:p w14:paraId="5F19B672" w14:textId="54589FCE" w:rsidR="00BB594A" w:rsidRPr="00030181" w:rsidRDefault="00BB594A" w:rsidP="005C5EBA">
      <w:pPr>
        <w:spacing w:line="360" w:lineRule="auto"/>
        <w:jc w:val="both"/>
        <w:rPr>
          <w:rFonts w:ascii="Arial" w:hAnsi="Arial" w:cs="Arial"/>
        </w:rPr>
      </w:pPr>
      <w:r w:rsidRPr="00030181">
        <w:rPr>
          <w:rFonts w:ascii="Arial" w:hAnsi="Arial" w:cs="Arial"/>
        </w:rPr>
        <w:t xml:space="preserve">At the individual level, the model considers </w:t>
      </w:r>
      <w:r w:rsidR="004534A1" w:rsidRPr="00030181">
        <w:rPr>
          <w:rFonts w:ascii="Arial" w:hAnsi="Arial" w:cs="Arial"/>
        </w:rPr>
        <w:t>determinants including</w:t>
      </w:r>
      <w:r w:rsidR="004534A1" w:rsidRPr="00030181">
        <w:rPr>
          <w:rFonts w:ascii="Arial" w:hAnsi="Arial" w:cs="Arial"/>
        </w:rPr>
        <w:t xml:space="preserve"> </w:t>
      </w:r>
      <w:r w:rsidRPr="00030181">
        <w:rPr>
          <w:rFonts w:ascii="Arial" w:hAnsi="Arial" w:cs="Arial"/>
        </w:rPr>
        <w:t xml:space="preserve">age, health status, </w:t>
      </w:r>
      <w:r w:rsidR="004534A1" w:rsidRPr="00030181">
        <w:rPr>
          <w:rFonts w:ascii="Arial" w:hAnsi="Arial" w:cs="Arial"/>
        </w:rPr>
        <w:t xml:space="preserve">as well as </w:t>
      </w:r>
      <w:r w:rsidRPr="00030181">
        <w:rPr>
          <w:rFonts w:ascii="Arial" w:hAnsi="Arial" w:cs="Arial"/>
        </w:rPr>
        <w:t xml:space="preserve">existing </w:t>
      </w:r>
      <w:r w:rsidR="004534A1" w:rsidRPr="00030181">
        <w:rPr>
          <w:rFonts w:ascii="Arial" w:hAnsi="Arial" w:cs="Arial"/>
        </w:rPr>
        <w:t>long-term</w:t>
      </w:r>
      <w:r w:rsidRPr="00030181">
        <w:rPr>
          <w:rFonts w:ascii="Arial" w:hAnsi="Arial" w:cs="Arial"/>
        </w:rPr>
        <w:t xml:space="preserve"> conditions, all of which influence nutritional needs and susceptibility to foodborne illness (NHS England, 2023). In care home populations, high levels of multimorbidity and frailty increase vulnerability to both poor nutrition and infection, highlighting the importance of tailored care approaches (</w:t>
      </w:r>
      <w:r w:rsidR="004534A1" w:rsidRPr="00030181">
        <w:rPr>
          <w:rFonts w:ascii="Arial" w:hAnsi="Arial" w:cs="Arial"/>
        </w:rPr>
        <w:t>NICE</w:t>
      </w:r>
      <w:r w:rsidRPr="00030181">
        <w:rPr>
          <w:rFonts w:ascii="Arial" w:hAnsi="Arial" w:cs="Arial"/>
        </w:rPr>
        <w:t>, 2022).</w:t>
      </w:r>
    </w:p>
    <w:p w14:paraId="78792F44" w14:textId="5B3686B7" w:rsidR="00BB594A" w:rsidRPr="00030181" w:rsidRDefault="00BB594A" w:rsidP="005C5EBA">
      <w:pPr>
        <w:spacing w:line="360" w:lineRule="auto"/>
        <w:jc w:val="both"/>
        <w:rPr>
          <w:rFonts w:ascii="Arial" w:hAnsi="Arial" w:cs="Arial"/>
        </w:rPr>
      </w:pPr>
      <w:r w:rsidRPr="00030181">
        <w:rPr>
          <w:rFonts w:ascii="Arial" w:hAnsi="Arial" w:cs="Arial"/>
        </w:rPr>
        <w:t xml:space="preserve">At the interpersonal level, the model focuses on relationships between residents and care staff, which play a </w:t>
      </w:r>
      <w:r w:rsidR="004534A1" w:rsidRPr="00030181">
        <w:rPr>
          <w:rFonts w:ascii="Arial" w:hAnsi="Arial" w:cs="Arial"/>
        </w:rPr>
        <w:t>vital</w:t>
      </w:r>
      <w:r w:rsidRPr="00030181">
        <w:rPr>
          <w:rFonts w:ascii="Arial" w:hAnsi="Arial" w:cs="Arial"/>
        </w:rPr>
        <w:t xml:space="preserve"> role in the delivery of food and nutritional </w:t>
      </w:r>
      <w:r w:rsidR="004534A1" w:rsidRPr="00030181">
        <w:rPr>
          <w:rFonts w:ascii="Arial" w:hAnsi="Arial" w:cs="Arial"/>
        </w:rPr>
        <w:t xml:space="preserve">care </w:t>
      </w:r>
      <w:r w:rsidRPr="00030181">
        <w:rPr>
          <w:rFonts w:ascii="Arial" w:hAnsi="Arial" w:cs="Arial"/>
        </w:rPr>
        <w:t>(Skills for Care, 2022). The literature indicates that staff knowledge, communication, and engagement influence both dietary intake and adherence to food safety practices within care homes (British Dietetic Association, 2022).</w:t>
      </w:r>
    </w:p>
    <w:p w14:paraId="4073A6FB" w14:textId="77777777" w:rsidR="004534A1" w:rsidRPr="00030181" w:rsidRDefault="00BB594A" w:rsidP="005C5EBA">
      <w:pPr>
        <w:spacing w:line="360" w:lineRule="auto"/>
        <w:jc w:val="both"/>
        <w:rPr>
          <w:rFonts w:ascii="Arial" w:hAnsi="Arial" w:cs="Arial"/>
        </w:rPr>
      </w:pPr>
      <w:r w:rsidRPr="00030181">
        <w:rPr>
          <w:rFonts w:ascii="Arial" w:hAnsi="Arial" w:cs="Arial"/>
        </w:rPr>
        <w:t>At the organisational level, the SEM highlights the role of care home policies, staffing levels, and resource availability in shaping practice (Care Quality Commission, 2023). The literature suggests that organisational factors such as training provision, leadership, and infrastructure influence the consistency and quality of both nutrition and food safety practices (Food Standards Agency, 2022).</w:t>
      </w:r>
    </w:p>
    <w:p w14:paraId="0507BC46" w14:textId="37B5E5FA" w:rsidR="00BB594A" w:rsidRPr="00030181" w:rsidRDefault="004534A1" w:rsidP="005C5EBA">
      <w:pPr>
        <w:spacing w:line="360" w:lineRule="auto"/>
        <w:jc w:val="both"/>
        <w:rPr>
          <w:rFonts w:ascii="Arial" w:hAnsi="Arial" w:cs="Arial"/>
        </w:rPr>
      </w:pPr>
      <w:r w:rsidRPr="00030181">
        <w:rPr>
          <w:rFonts w:ascii="Arial" w:hAnsi="Arial" w:cs="Arial"/>
        </w:rPr>
        <w:t>On</w:t>
      </w:r>
      <w:r w:rsidR="00BB594A" w:rsidRPr="00030181">
        <w:rPr>
          <w:rFonts w:ascii="Arial" w:hAnsi="Arial" w:cs="Arial"/>
        </w:rPr>
        <w:t xml:space="preserve"> the community and policy levels, broader determinants </w:t>
      </w:r>
      <w:r w:rsidRPr="00030181">
        <w:rPr>
          <w:rFonts w:ascii="Arial" w:hAnsi="Arial" w:cs="Arial"/>
        </w:rPr>
        <w:t xml:space="preserve">including </w:t>
      </w:r>
      <w:r w:rsidR="00BB594A" w:rsidRPr="00030181">
        <w:rPr>
          <w:rFonts w:ascii="Arial" w:hAnsi="Arial" w:cs="Arial"/>
        </w:rPr>
        <w:t xml:space="preserve">national guidelines, regulatory frameworks, and public health strategies are considered (The King's Fund, 2023). In the UK, these include standards set by regulatory bodies and national organisations, which aim </w:t>
      </w:r>
      <w:r w:rsidRPr="00030181">
        <w:rPr>
          <w:rFonts w:ascii="Arial" w:hAnsi="Arial" w:cs="Arial"/>
        </w:rPr>
        <w:t>to maintain safe</w:t>
      </w:r>
      <w:r w:rsidRPr="00030181">
        <w:rPr>
          <w:rFonts w:ascii="Arial" w:hAnsi="Arial" w:cs="Arial"/>
        </w:rPr>
        <w:t xml:space="preserve"> </w:t>
      </w:r>
      <w:r w:rsidR="00BB594A" w:rsidRPr="00030181">
        <w:rPr>
          <w:rFonts w:ascii="Arial" w:hAnsi="Arial" w:cs="Arial"/>
        </w:rPr>
        <w:t>and effective care delivery across all care homes (N</w:t>
      </w:r>
      <w:r w:rsidRPr="00030181">
        <w:rPr>
          <w:rFonts w:ascii="Arial" w:hAnsi="Arial" w:cs="Arial"/>
        </w:rPr>
        <w:t>ICE</w:t>
      </w:r>
      <w:r w:rsidR="00BB594A" w:rsidRPr="00030181">
        <w:rPr>
          <w:rFonts w:ascii="Arial" w:hAnsi="Arial" w:cs="Arial"/>
        </w:rPr>
        <w:t>, 2022).</w:t>
      </w:r>
    </w:p>
    <w:p w14:paraId="722DD086" w14:textId="77777777" w:rsidR="004534A1" w:rsidRPr="00030181" w:rsidRDefault="004534A1" w:rsidP="005C5EBA">
      <w:pPr>
        <w:pStyle w:val="Heading1"/>
        <w:spacing w:line="360" w:lineRule="auto"/>
        <w:rPr>
          <w:rFonts w:ascii="Arial" w:eastAsiaTheme="minorHAnsi" w:hAnsi="Arial" w:cs="Arial"/>
          <w:color w:val="auto"/>
          <w:sz w:val="22"/>
          <w:szCs w:val="22"/>
        </w:rPr>
      </w:pPr>
      <w:bookmarkStart w:id="21" w:name="_Toc231947545"/>
      <w:r w:rsidRPr="00030181">
        <w:rPr>
          <w:rFonts w:ascii="Arial" w:eastAsiaTheme="minorHAnsi" w:hAnsi="Arial" w:cs="Arial"/>
          <w:color w:val="auto"/>
          <w:sz w:val="22"/>
          <w:szCs w:val="22"/>
        </w:rPr>
        <w:lastRenderedPageBreak/>
        <w:t>The use of the Social Ecological Model in this study enables a multi-level analysis of how food safety and nutrition practices are affected by a variety of interacting factors within care home settings (WHO, 2022). It facilitates the identification of key determinants at different levels, providing a more detailed understanding of how these practices impact health outcomes among older adults.</w:t>
      </w:r>
    </w:p>
    <w:p w14:paraId="2E82D2DD" w14:textId="38320670" w:rsidR="003956A9" w:rsidRPr="00030181" w:rsidRDefault="00BB594A" w:rsidP="005C5EBA">
      <w:pPr>
        <w:pStyle w:val="Heading1"/>
        <w:spacing w:line="360" w:lineRule="auto"/>
        <w:rPr>
          <w:rFonts w:ascii="Arial" w:hAnsi="Arial" w:cs="Arial"/>
          <w:b/>
          <w:bCs/>
          <w:color w:val="000000" w:themeColor="text1"/>
          <w:sz w:val="22"/>
          <w:szCs w:val="22"/>
        </w:rPr>
      </w:pPr>
      <w:r w:rsidRPr="00030181">
        <w:rPr>
          <w:rFonts w:ascii="Arial" w:hAnsi="Arial" w:cs="Arial"/>
          <w:b/>
          <w:bCs/>
          <w:color w:val="000000" w:themeColor="text1"/>
          <w:sz w:val="22"/>
          <w:szCs w:val="22"/>
        </w:rPr>
        <w:t>2.6.3 Person-Centred Care</w:t>
      </w:r>
      <w:r w:rsidR="002D3EFF" w:rsidRPr="00030181">
        <w:rPr>
          <w:rFonts w:ascii="Arial" w:hAnsi="Arial" w:cs="Arial"/>
          <w:b/>
          <w:bCs/>
          <w:color w:val="000000" w:themeColor="text1"/>
          <w:sz w:val="22"/>
          <w:szCs w:val="22"/>
        </w:rPr>
        <w:t xml:space="preserve"> Model</w:t>
      </w:r>
      <w:bookmarkEnd w:id="21"/>
    </w:p>
    <w:p w14:paraId="5C1E6484" w14:textId="77777777" w:rsidR="003B4C3F" w:rsidRPr="00030181" w:rsidRDefault="00322730" w:rsidP="003B4C3F">
      <w:pPr>
        <w:spacing w:line="360" w:lineRule="auto"/>
        <w:jc w:val="center"/>
        <w:rPr>
          <w:rFonts w:ascii="Arial" w:hAnsi="Arial" w:cs="Arial"/>
          <w:b/>
          <w:bCs/>
          <w:color w:val="000000" w:themeColor="text1"/>
        </w:rPr>
      </w:pPr>
      <w:r w:rsidRPr="00030181">
        <w:rPr>
          <w:rFonts w:ascii="Arial" w:hAnsi="Arial" w:cs="Arial"/>
          <w:b/>
          <w:bCs/>
          <w:noProof/>
          <w:color w:val="000000" w:themeColor="text1"/>
        </w:rPr>
        <w:drawing>
          <wp:anchor distT="0" distB="0" distL="114300" distR="114300" simplePos="0" relativeHeight="251571712" behindDoc="0" locked="0" layoutInCell="1" allowOverlap="1" wp14:anchorId="49674183" wp14:editId="0B2FC529">
            <wp:simplePos x="0" y="0"/>
            <wp:positionH relativeFrom="margin">
              <wp:align>center</wp:align>
            </wp:positionH>
            <wp:positionV relativeFrom="paragraph">
              <wp:posOffset>73970</wp:posOffset>
            </wp:positionV>
            <wp:extent cx="4770120" cy="3019425"/>
            <wp:effectExtent l="0" t="0" r="0" b="9525"/>
            <wp:wrapTopAndBottom/>
            <wp:docPr id="529829170" name="Picture 8" descr="Personalised Care and Support Planning – easier said than done. - Evidence-Based Nursing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Personalised Care and Support Planning – easier said than done. - Evidence-Based Nursing blo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70120" cy="3019425"/>
                    </a:xfrm>
                    <a:prstGeom prst="rect">
                      <a:avLst/>
                    </a:prstGeom>
                    <a:noFill/>
                    <a:ln>
                      <a:noFill/>
                    </a:ln>
                  </pic:spPr>
                </pic:pic>
              </a:graphicData>
            </a:graphic>
            <wp14:sizeRelH relativeFrom="margin">
              <wp14:pctWidth>0</wp14:pctWidth>
            </wp14:sizeRelH>
            <wp14:sizeRelV relativeFrom="margin">
              <wp14:pctHeight>0</wp14:pctHeight>
            </wp14:sizeRelV>
          </wp:anchor>
        </w:drawing>
      </w:r>
      <w:bookmarkStart w:id="22" w:name="_Toc231929101"/>
    </w:p>
    <w:p w14:paraId="7A8BE3AA" w14:textId="2984863C" w:rsidR="003B4C3F" w:rsidRPr="00030181" w:rsidRDefault="003B4C3F" w:rsidP="003B4C3F">
      <w:pPr>
        <w:spacing w:line="360" w:lineRule="auto"/>
        <w:jc w:val="center"/>
        <w:rPr>
          <w:rFonts w:ascii="Arial" w:hAnsi="Arial" w:cs="Arial"/>
          <w:b/>
          <w:bCs/>
          <w:sz w:val="6"/>
          <w:szCs w:val="6"/>
        </w:rPr>
      </w:pPr>
      <w:r w:rsidRPr="00030181">
        <w:rPr>
          <w:rFonts w:ascii="Arial" w:hAnsi="Arial" w:cs="Arial"/>
          <w:b/>
          <w:bCs/>
          <w:color w:val="000000" w:themeColor="text1"/>
        </w:rPr>
        <w:t xml:space="preserve">Figure 2.4: Person-Centred Care Model </w:t>
      </w:r>
      <w:r w:rsidRPr="00030181">
        <w:rPr>
          <w:rFonts w:ascii="Arial" w:hAnsi="Arial" w:cs="Arial"/>
          <w:b/>
          <w:bCs/>
          <w:color w:val="000000" w:themeColor="text1"/>
        </w:rPr>
        <w:fldChar w:fldCharType="begin"/>
      </w:r>
      <w:r w:rsidRPr="00030181">
        <w:rPr>
          <w:rFonts w:ascii="Arial" w:hAnsi="Arial" w:cs="Arial"/>
          <w:b/>
          <w:bCs/>
          <w:color w:val="000000" w:themeColor="text1"/>
        </w:rPr>
        <w:instrText xml:space="preserve"> SEQ Figure_2.4:_Person-Centred_Care_Model \* ARABIC </w:instrText>
      </w:r>
      <w:r w:rsidRPr="00030181">
        <w:rPr>
          <w:rFonts w:ascii="Arial" w:hAnsi="Arial" w:cs="Arial"/>
          <w:b/>
          <w:bCs/>
          <w:color w:val="000000" w:themeColor="text1"/>
        </w:rPr>
        <w:fldChar w:fldCharType="separate"/>
      </w:r>
      <w:r w:rsidRPr="00030181">
        <w:rPr>
          <w:rFonts w:ascii="Arial" w:hAnsi="Arial" w:cs="Arial"/>
          <w:b/>
          <w:bCs/>
          <w:noProof/>
          <w:color w:val="000000" w:themeColor="text1"/>
        </w:rPr>
        <w:t>1</w:t>
      </w:r>
      <w:bookmarkEnd w:id="22"/>
      <w:r w:rsidRPr="00030181">
        <w:rPr>
          <w:rFonts w:ascii="Arial" w:hAnsi="Arial" w:cs="Arial"/>
          <w:b/>
          <w:bCs/>
          <w:color w:val="000000" w:themeColor="text1"/>
        </w:rPr>
        <w:fldChar w:fldCharType="end"/>
      </w:r>
    </w:p>
    <w:p w14:paraId="7CC120A1" w14:textId="29A735D9" w:rsidR="00360026" w:rsidRPr="00030181" w:rsidRDefault="00360026" w:rsidP="005C5EBA">
      <w:pPr>
        <w:spacing w:line="360" w:lineRule="auto"/>
        <w:jc w:val="center"/>
        <w:rPr>
          <w:rFonts w:ascii="Arial" w:hAnsi="Arial" w:cs="Arial"/>
          <w:b/>
          <w:bCs/>
        </w:rPr>
      </w:pPr>
      <w:r w:rsidRPr="00030181">
        <w:rPr>
          <w:rFonts w:ascii="Arial" w:hAnsi="Arial" w:cs="Arial"/>
        </w:rPr>
        <w:t>Source: (House of Care, 2015)</w:t>
      </w:r>
    </w:p>
    <w:p w14:paraId="491A3648" w14:textId="77777777" w:rsidR="005D20C0" w:rsidRPr="00030181" w:rsidRDefault="005D20C0" w:rsidP="005C5EBA">
      <w:pPr>
        <w:spacing w:line="360" w:lineRule="auto"/>
        <w:jc w:val="both"/>
        <w:rPr>
          <w:rFonts w:ascii="Arial" w:hAnsi="Arial" w:cs="Arial"/>
        </w:rPr>
      </w:pPr>
      <w:r w:rsidRPr="00030181">
        <w:rPr>
          <w:rFonts w:ascii="Arial" w:hAnsi="Arial" w:cs="Arial"/>
        </w:rPr>
        <w:t>Person-Centred Care (PCC) is a core principle in healthcare and social support services, highlighting the significance of respecting personal preferences, needs, and beliefs in the delivery of care (National Health Service, 2023). The figure (2.4) illustrates the Person-Centred Coordinated Care framework, highlighting the importance of collaboration between individuals, carers, healthcare professionals, and organisational systems to support personalised and coordinated care delivery. The literature highlights that PCC is particularly important in care home settings, where residents often have diverse and complex needs that require individualised approaches to care (Care Quality Commission, 2023).</w:t>
      </w:r>
    </w:p>
    <w:p w14:paraId="3E41FDD4" w14:textId="0A712D21" w:rsidR="00BB594A" w:rsidRPr="00030181" w:rsidRDefault="00BB594A" w:rsidP="005C5EBA">
      <w:pPr>
        <w:spacing w:line="360" w:lineRule="auto"/>
        <w:jc w:val="both"/>
        <w:rPr>
          <w:rFonts w:ascii="Arial" w:hAnsi="Arial" w:cs="Arial"/>
        </w:rPr>
      </w:pPr>
      <w:r w:rsidRPr="00030181">
        <w:rPr>
          <w:rFonts w:ascii="Arial" w:hAnsi="Arial" w:cs="Arial"/>
        </w:rPr>
        <w:t xml:space="preserve">In the context of nutrition, PCC involves tailoring dietary provision </w:t>
      </w:r>
      <w:r w:rsidR="005D20C0" w:rsidRPr="00030181">
        <w:rPr>
          <w:rFonts w:ascii="Arial" w:hAnsi="Arial" w:cs="Arial"/>
        </w:rPr>
        <w:t>to address the specific</w:t>
      </w:r>
      <w:r w:rsidR="005D20C0" w:rsidRPr="00030181">
        <w:rPr>
          <w:rFonts w:ascii="Arial" w:hAnsi="Arial" w:cs="Arial"/>
        </w:rPr>
        <w:t xml:space="preserve"> </w:t>
      </w:r>
      <w:r w:rsidRPr="00030181">
        <w:rPr>
          <w:rFonts w:ascii="Arial" w:hAnsi="Arial" w:cs="Arial"/>
        </w:rPr>
        <w:t xml:space="preserve">requirements of each resident, </w:t>
      </w:r>
      <w:r w:rsidR="005D20C0" w:rsidRPr="00030181">
        <w:rPr>
          <w:rFonts w:ascii="Arial" w:hAnsi="Arial" w:cs="Arial"/>
        </w:rPr>
        <w:t>considering</w:t>
      </w:r>
      <w:r w:rsidR="005D20C0" w:rsidRPr="00030181">
        <w:rPr>
          <w:rFonts w:ascii="Arial" w:hAnsi="Arial" w:cs="Arial"/>
        </w:rPr>
        <w:t xml:space="preserve"> </w:t>
      </w:r>
      <w:r w:rsidRPr="00030181">
        <w:rPr>
          <w:rFonts w:ascii="Arial" w:hAnsi="Arial" w:cs="Arial"/>
        </w:rPr>
        <w:t xml:space="preserve">factors such as medical conditions, cultural preferences, and personal choices (British Dietetic Association, 2022). The literature suggests </w:t>
      </w:r>
      <w:r w:rsidRPr="00030181">
        <w:rPr>
          <w:rFonts w:ascii="Arial" w:hAnsi="Arial" w:cs="Arial"/>
        </w:rPr>
        <w:lastRenderedPageBreak/>
        <w:t>that individualised care planning can improve dietary intake, enhance satisfaction, and support better health outcomes among older adults (</w:t>
      </w:r>
      <w:r w:rsidR="005D20C0" w:rsidRPr="00030181">
        <w:rPr>
          <w:rFonts w:ascii="Arial" w:hAnsi="Arial" w:cs="Arial"/>
        </w:rPr>
        <w:t>NICE</w:t>
      </w:r>
      <w:r w:rsidRPr="00030181">
        <w:rPr>
          <w:rFonts w:ascii="Arial" w:hAnsi="Arial" w:cs="Arial"/>
        </w:rPr>
        <w:t>, 2022).</w:t>
      </w:r>
    </w:p>
    <w:p w14:paraId="04B37A85" w14:textId="2FAC4CAE" w:rsidR="00BB594A" w:rsidRPr="00030181" w:rsidRDefault="00BB594A" w:rsidP="005C5EBA">
      <w:pPr>
        <w:spacing w:line="360" w:lineRule="auto"/>
        <w:jc w:val="both"/>
        <w:rPr>
          <w:rFonts w:ascii="Arial" w:hAnsi="Arial" w:cs="Arial"/>
        </w:rPr>
      </w:pPr>
      <w:r w:rsidRPr="00030181">
        <w:rPr>
          <w:rFonts w:ascii="Arial" w:hAnsi="Arial" w:cs="Arial"/>
        </w:rPr>
        <w:t>Similarly, PCC is relevant to food safety practices, as it requires consideration of individual vulnerabilities and risk factors when implementing safety measures (Food Standards Agency, 2022). For example, residents with weakened immune systems or chronic conditions such as type 2 diabetes may require additional precautions to minimise the risk of infection (Diabetes UK, 2023).</w:t>
      </w:r>
    </w:p>
    <w:p w14:paraId="0886464A" w14:textId="106B9AA2" w:rsidR="00BB594A" w:rsidRPr="00030181" w:rsidRDefault="00BB594A" w:rsidP="005C5EBA">
      <w:pPr>
        <w:spacing w:line="360" w:lineRule="auto"/>
        <w:jc w:val="both"/>
        <w:rPr>
          <w:rFonts w:ascii="Arial" w:hAnsi="Arial" w:cs="Arial"/>
        </w:rPr>
      </w:pPr>
      <w:r w:rsidRPr="00030181">
        <w:rPr>
          <w:rFonts w:ascii="Arial" w:hAnsi="Arial" w:cs="Arial"/>
        </w:rPr>
        <w:t>The literature emphasises that effective implementation of PCC relies on strong communication between staff and residents, as well as active involvement of residents in decision-making processes (Skills for Care, 2022). This approach promotes dignity, autonomy, and quality of life, which are key priorities in care home settings (NHS England, 2023).</w:t>
      </w:r>
    </w:p>
    <w:p w14:paraId="224336DD" w14:textId="77777777" w:rsidR="00BB594A" w:rsidRPr="00030181" w:rsidRDefault="00BB594A" w:rsidP="005C5EBA">
      <w:pPr>
        <w:pStyle w:val="Heading1"/>
        <w:spacing w:line="360" w:lineRule="auto"/>
        <w:rPr>
          <w:rFonts w:ascii="Arial" w:hAnsi="Arial" w:cs="Arial"/>
          <w:b/>
          <w:bCs/>
          <w:color w:val="000000" w:themeColor="text1"/>
          <w:sz w:val="22"/>
          <w:szCs w:val="22"/>
        </w:rPr>
      </w:pPr>
      <w:bookmarkStart w:id="23" w:name="_Toc231947546"/>
      <w:r w:rsidRPr="00030181">
        <w:rPr>
          <w:rFonts w:ascii="Arial" w:hAnsi="Arial" w:cs="Arial"/>
          <w:b/>
          <w:bCs/>
          <w:color w:val="000000" w:themeColor="text1"/>
          <w:sz w:val="22"/>
          <w:szCs w:val="22"/>
        </w:rPr>
        <w:t>2.6.4 Application of Frameworks to This Study</w:t>
      </w:r>
      <w:bookmarkEnd w:id="23"/>
    </w:p>
    <w:p w14:paraId="079C75AF" w14:textId="54481616" w:rsidR="00BB594A" w:rsidRPr="00030181" w:rsidRDefault="00BB594A" w:rsidP="005C5EBA">
      <w:pPr>
        <w:spacing w:line="360" w:lineRule="auto"/>
        <w:jc w:val="both"/>
        <w:rPr>
          <w:rFonts w:ascii="Arial" w:hAnsi="Arial" w:cs="Arial"/>
          <w:lang w:val="en-US"/>
        </w:rPr>
      </w:pPr>
      <w:r w:rsidRPr="00030181">
        <w:rPr>
          <w:rFonts w:ascii="Arial" w:hAnsi="Arial" w:cs="Arial"/>
        </w:rPr>
        <w:t xml:space="preserve">The integration of the Social Ecological Model and Person-Centred Care provides a comprehensive framework for analysing food safety and nutrition practices in UK care homes (World Health Organization, 2022). The SEM supports the examination of structural and environmental factors influencing practice, while PCC ensures that individual needs and experiences </w:t>
      </w:r>
      <w:r w:rsidR="0077647F" w:rsidRPr="00030181">
        <w:rPr>
          <w:rFonts w:ascii="Arial" w:hAnsi="Arial" w:cs="Arial"/>
          <w:lang w:val="en-US"/>
        </w:rPr>
        <w:t xml:space="preserve">continue to be </w:t>
      </w:r>
      <w:r w:rsidR="005D20C0" w:rsidRPr="00030181">
        <w:rPr>
          <w:rFonts w:ascii="Arial" w:hAnsi="Arial" w:cs="Arial"/>
          <w:lang w:val="en-US"/>
        </w:rPr>
        <w:t>core</w:t>
      </w:r>
      <w:r w:rsidR="0077647F" w:rsidRPr="00030181">
        <w:rPr>
          <w:rFonts w:ascii="Arial" w:hAnsi="Arial" w:cs="Arial"/>
          <w:lang w:val="en-US"/>
        </w:rPr>
        <w:t xml:space="preserve"> to the </w:t>
      </w:r>
      <w:r w:rsidRPr="00030181">
        <w:rPr>
          <w:rFonts w:ascii="Arial" w:hAnsi="Arial" w:cs="Arial"/>
        </w:rPr>
        <w:t>analysis (</w:t>
      </w:r>
      <w:r w:rsidR="005D20C0" w:rsidRPr="00030181">
        <w:rPr>
          <w:rFonts w:ascii="Arial" w:hAnsi="Arial" w:cs="Arial"/>
        </w:rPr>
        <w:t xml:space="preserve">NICE, </w:t>
      </w:r>
      <w:r w:rsidRPr="00030181">
        <w:rPr>
          <w:rFonts w:ascii="Arial" w:hAnsi="Arial" w:cs="Arial"/>
        </w:rPr>
        <w:t>2022).</w:t>
      </w:r>
    </w:p>
    <w:p w14:paraId="185B734C" w14:textId="51B30578" w:rsidR="00BB594A" w:rsidRPr="00030181" w:rsidRDefault="00BB594A" w:rsidP="005C5EBA">
      <w:pPr>
        <w:spacing w:line="360" w:lineRule="auto"/>
        <w:jc w:val="both"/>
        <w:rPr>
          <w:rFonts w:ascii="Arial" w:hAnsi="Arial" w:cs="Arial"/>
        </w:rPr>
      </w:pPr>
      <w:r w:rsidRPr="00030181">
        <w:rPr>
          <w:rFonts w:ascii="Arial" w:hAnsi="Arial" w:cs="Arial"/>
        </w:rPr>
        <w:t>These frameworks will guide the literature search by informing the identification of relevant themes and variables, including individual health status, staff practices, organisational policies, and regulatory influences (NHS England, 2023). They also provide a structured approach for interpreting findings, enabling the analysis to consider both system-level and individual-level determinants of health outcomes.</w:t>
      </w:r>
    </w:p>
    <w:p w14:paraId="2C54763C" w14:textId="5292497E" w:rsidR="00F62888" w:rsidRPr="00030181" w:rsidRDefault="00F62888" w:rsidP="005C5EBA">
      <w:pPr>
        <w:spacing w:line="360" w:lineRule="auto"/>
        <w:jc w:val="both"/>
        <w:rPr>
          <w:rFonts w:ascii="Arial" w:hAnsi="Arial" w:cs="Arial"/>
          <w:lang w:val="en-US"/>
        </w:rPr>
      </w:pPr>
      <w:r w:rsidRPr="00030181">
        <w:rPr>
          <w:rFonts w:ascii="Arial" w:hAnsi="Arial" w:cs="Arial"/>
        </w:rPr>
        <w:t>In particular, the combined use of these frameworks provides a more detailed understanding of how food safety and nutritional practices interact to influence outcomes among older adults with long-term conditions such as type 2 diabetes (Diabetes UK, 2023). This approach facilitates the development of research-informed recommendations that consider both systemic factors and individual needs within care home settings.</w:t>
      </w:r>
    </w:p>
    <w:p w14:paraId="320D6C74" w14:textId="5B5FD9EC" w:rsidR="006C3281" w:rsidRPr="00030181" w:rsidRDefault="00095F12" w:rsidP="005C5EBA">
      <w:pPr>
        <w:pStyle w:val="Heading1"/>
        <w:spacing w:line="360" w:lineRule="auto"/>
        <w:rPr>
          <w:rFonts w:ascii="Arial" w:hAnsi="Arial" w:cs="Arial"/>
          <w:b/>
          <w:bCs/>
          <w:color w:val="000000" w:themeColor="text1"/>
          <w:sz w:val="22"/>
          <w:szCs w:val="22"/>
        </w:rPr>
      </w:pPr>
      <w:bookmarkStart w:id="24" w:name="_Toc231947547"/>
      <w:r w:rsidRPr="00030181">
        <w:rPr>
          <w:rFonts w:ascii="Arial" w:hAnsi="Arial" w:cs="Arial"/>
          <w:b/>
          <w:bCs/>
          <w:color w:val="000000" w:themeColor="text1"/>
          <w:sz w:val="22"/>
          <w:szCs w:val="22"/>
        </w:rPr>
        <w:t>2.7 Summary</w:t>
      </w:r>
      <w:bookmarkEnd w:id="24"/>
    </w:p>
    <w:p w14:paraId="057DE89B" w14:textId="77777777" w:rsidR="00F62888" w:rsidRPr="00030181" w:rsidRDefault="00F62888" w:rsidP="00F62888">
      <w:pPr>
        <w:spacing w:line="360" w:lineRule="auto"/>
        <w:jc w:val="both"/>
        <w:rPr>
          <w:rFonts w:ascii="Arial" w:hAnsi="Arial" w:cs="Arial"/>
        </w:rPr>
      </w:pPr>
      <w:r w:rsidRPr="00F62888">
        <w:rPr>
          <w:rFonts w:ascii="Arial" w:hAnsi="Arial" w:cs="Arial"/>
        </w:rPr>
        <w:t>This chapter reviewed literature on food safety, nutrition, chronic conditions, and type 2 diabetes in care homes. It emphasised the importance of integrated practices, identified gaps in UK evidence, and introduced the Social Ecological Model and Person-Centred Care as guiding frameworks for the study</w:t>
      </w:r>
      <w:r w:rsidRPr="00030181">
        <w:rPr>
          <w:rFonts w:ascii="Arial" w:hAnsi="Arial" w:cs="Arial"/>
        </w:rPr>
        <w:t>.</w:t>
      </w:r>
      <w:bookmarkStart w:id="25" w:name="_Toc231947548"/>
    </w:p>
    <w:p w14:paraId="0128F0E8" w14:textId="5FC0E0D3" w:rsidR="007E4ACD" w:rsidRPr="00030181" w:rsidRDefault="003E3370" w:rsidP="00F62888">
      <w:pPr>
        <w:spacing w:line="360" w:lineRule="auto"/>
        <w:jc w:val="both"/>
        <w:rPr>
          <w:rFonts w:ascii="Arial" w:hAnsi="Arial" w:cs="Arial"/>
        </w:rPr>
      </w:pPr>
      <w:r w:rsidRPr="00030181">
        <w:rPr>
          <w:rFonts w:ascii="Arial" w:hAnsi="Arial" w:cs="Arial"/>
          <w:b/>
          <w:bCs/>
          <w:color w:val="000000" w:themeColor="text1"/>
          <w:sz w:val="28"/>
          <w:szCs w:val="28"/>
        </w:rPr>
        <w:lastRenderedPageBreak/>
        <w:t>CHAPTER 3 - RESEARCH METHODOLOGY</w:t>
      </w:r>
      <w:bookmarkEnd w:id="25"/>
    </w:p>
    <w:p w14:paraId="3276F4D0" w14:textId="77777777" w:rsidR="0076250B" w:rsidRPr="00030181" w:rsidRDefault="0076250B" w:rsidP="005C5EBA">
      <w:pPr>
        <w:pStyle w:val="Heading1"/>
        <w:spacing w:line="360" w:lineRule="auto"/>
        <w:rPr>
          <w:rFonts w:ascii="Arial" w:hAnsi="Arial" w:cs="Arial"/>
          <w:b/>
          <w:bCs/>
          <w:color w:val="000000" w:themeColor="text1"/>
          <w:sz w:val="22"/>
          <w:szCs w:val="22"/>
        </w:rPr>
      </w:pPr>
      <w:bookmarkStart w:id="26" w:name="_Toc231947549"/>
      <w:r w:rsidRPr="00030181">
        <w:rPr>
          <w:rFonts w:ascii="Arial" w:hAnsi="Arial" w:cs="Arial"/>
          <w:b/>
          <w:bCs/>
          <w:color w:val="000000" w:themeColor="text1"/>
          <w:sz w:val="22"/>
          <w:szCs w:val="22"/>
        </w:rPr>
        <w:t>3.1 Introduction</w:t>
      </w:r>
      <w:bookmarkEnd w:id="26"/>
    </w:p>
    <w:p w14:paraId="168EC9DD" w14:textId="77777777" w:rsidR="00030181" w:rsidRPr="00030181" w:rsidRDefault="00030181" w:rsidP="00030181">
      <w:pPr>
        <w:spacing w:line="360" w:lineRule="auto"/>
        <w:jc w:val="both"/>
        <w:rPr>
          <w:rFonts w:ascii="Arial" w:hAnsi="Arial" w:cs="Arial"/>
        </w:rPr>
      </w:pPr>
      <w:r w:rsidRPr="00030181">
        <w:rPr>
          <w:rFonts w:ascii="Arial" w:hAnsi="Arial" w:cs="Arial"/>
        </w:rPr>
        <w:t>This chapter outlines the methodology employed to examine food safety and nutritional practices and their effects on health outcomes among residents of UK care homes, particularly individuals diagnosed with type 2 diabetes (NICE, 2022). The chapter discusses the research design, study screening, methodological appraisal, information extraction, and analytical procedures used within the review (Creswell and Creswell, 2018).</w:t>
      </w:r>
    </w:p>
    <w:p w14:paraId="499A3004" w14:textId="560A2A9D" w:rsidR="00030181" w:rsidRPr="00030181" w:rsidRDefault="00030181" w:rsidP="005C5EBA">
      <w:pPr>
        <w:spacing w:line="360" w:lineRule="auto"/>
        <w:jc w:val="both"/>
        <w:rPr>
          <w:rFonts w:ascii="Arial" w:hAnsi="Arial" w:cs="Arial"/>
        </w:rPr>
      </w:pPr>
      <w:r w:rsidRPr="00030181">
        <w:rPr>
          <w:rFonts w:ascii="Arial" w:hAnsi="Arial" w:cs="Arial"/>
        </w:rPr>
        <w:t>A qualitative systematic literature review approach was used to locate and synthesise research findings relating to food safety, nutritional care, chronic disease management, and health outcomes within care home settings (Snyder, 2019). PRISMA guidelines and CASP and Joanna Briggs Institute appraisal tools supported systematic study selection and quality assessment throughout the review process (Page et al., 2021; CASP, 2024; Joanna Briggs Institute, 2017).</w:t>
      </w:r>
    </w:p>
    <w:p w14:paraId="42211C6D" w14:textId="68767417" w:rsidR="0076250B" w:rsidRPr="00030181" w:rsidRDefault="0076250B" w:rsidP="005C5EBA">
      <w:pPr>
        <w:pStyle w:val="Heading1"/>
        <w:spacing w:line="360" w:lineRule="auto"/>
        <w:rPr>
          <w:rFonts w:ascii="Arial" w:hAnsi="Arial" w:cs="Arial"/>
          <w:b/>
          <w:bCs/>
          <w:color w:val="000000" w:themeColor="text1"/>
          <w:sz w:val="22"/>
          <w:szCs w:val="22"/>
        </w:rPr>
      </w:pPr>
      <w:bookmarkStart w:id="27" w:name="_Toc231947550"/>
      <w:r w:rsidRPr="00030181">
        <w:rPr>
          <w:rFonts w:ascii="Arial" w:hAnsi="Arial" w:cs="Arial"/>
          <w:b/>
          <w:bCs/>
          <w:color w:val="000000" w:themeColor="text1"/>
          <w:sz w:val="22"/>
          <w:szCs w:val="22"/>
        </w:rPr>
        <w:t>3.2 Research Philosophy and Research Approach</w:t>
      </w:r>
      <w:bookmarkEnd w:id="27"/>
    </w:p>
    <w:p w14:paraId="1D72BF25" w14:textId="0906124F" w:rsidR="00CE177F" w:rsidRPr="00030181" w:rsidRDefault="00417FA6" w:rsidP="005C5EBA">
      <w:pPr>
        <w:spacing w:line="360" w:lineRule="auto"/>
        <w:jc w:val="both"/>
        <w:rPr>
          <w:rFonts w:ascii="Arial" w:hAnsi="Arial" w:cs="Arial"/>
          <w:lang w:val="en-US"/>
        </w:rPr>
      </w:pPr>
      <w:r w:rsidRPr="00030181">
        <w:rPr>
          <w:rFonts w:ascii="Arial" w:hAnsi="Arial" w:cs="Arial"/>
        </w:rPr>
        <w:t>This study utilised</w:t>
      </w:r>
      <w:r w:rsidRPr="00030181">
        <w:rPr>
          <w:rFonts w:ascii="Arial" w:hAnsi="Arial" w:cs="Arial"/>
        </w:rPr>
        <w:t xml:space="preserve"> </w:t>
      </w:r>
      <w:r w:rsidR="00FF4369" w:rsidRPr="00030181">
        <w:rPr>
          <w:rFonts w:ascii="Arial" w:hAnsi="Arial" w:cs="Arial"/>
        </w:rPr>
        <w:t xml:space="preserve">an interpretivist </w:t>
      </w:r>
      <w:r w:rsidRPr="00030181">
        <w:rPr>
          <w:rFonts w:ascii="Arial" w:hAnsi="Arial" w:cs="Arial"/>
        </w:rPr>
        <w:t>study</w:t>
      </w:r>
      <w:r w:rsidRPr="00030181">
        <w:rPr>
          <w:rFonts w:ascii="Arial" w:hAnsi="Arial" w:cs="Arial"/>
        </w:rPr>
        <w:t xml:space="preserve"> </w:t>
      </w:r>
      <w:r w:rsidR="00FF4369" w:rsidRPr="00030181">
        <w:rPr>
          <w:rFonts w:ascii="Arial" w:hAnsi="Arial" w:cs="Arial"/>
        </w:rPr>
        <w:t xml:space="preserve">philosophy </w:t>
      </w:r>
      <w:r w:rsidRPr="00030181">
        <w:rPr>
          <w:rFonts w:ascii="Arial" w:hAnsi="Arial" w:cs="Arial"/>
        </w:rPr>
        <w:t>to examine</w:t>
      </w:r>
      <w:r w:rsidRPr="00030181">
        <w:rPr>
          <w:rFonts w:ascii="Arial" w:hAnsi="Arial" w:cs="Arial"/>
        </w:rPr>
        <w:t xml:space="preserve"> </w:t>
      </w:r>
      <w:r w:rsidR="00FF4369" w:rsidRPr="00030181">
        <w:rPr>
          <w:rFonts w:ascii="Arial" w:hAnsi="Arial" w:cs="Arial"/>
        </w:rPr>
        <w:t xml:space="preserve">and understand the relationship </w:t>
      </w:r>
      <w:r w:rsidR="00CE177F" w:rsidRPr="00030181">
        <w:rPr>
          <w:rFonts w:ascii="Arial" w:hAnsi="Arial" w:cs="Arial"/>
        </w:rPr>
        <w:t xml:space="preserve">between food safety, nutrition practices, </w:t>
      </w:r>
      <w:r w:rsidRPr="00030181">
        <w:rPr>
          <w:rFonts w:ascii="Arial" w:hAnsi="Arial" w:cs="Arial"/>
        </w:rPr>
        <w:t>and health outcomes among older adults</w:t>
      </w:r>
      <w:r w:rsidRPr="00030181">
        <w:rPr>
          <w:rFonts w:ascii="Arial" w:hAnsi="Arial" w:cs="Arial"/>
          <w:lang w:val="en-US"/>
        </w:rPr>
        <w:t xml:space="preserve"> </w:t>
      </w:r>
      <w:r w:rsidR="00752DEF" w:rsidRPr="00030181">
        <w:rPr>
          <w:rFonts w:ascii="Arial" w:hAnsi="Arial" w:cs="Arial"/>
          <w:lang w:val="en-US"/>
        </w:rPr>
        <w:t xml:space="preserve">in UK care homes </w:t>
      </w:r>
      <w:r w:rsidR="00CE177F" w:rsidRPr="00030181">
        <w:rPr>
          <w:rFonts w:ascii="Arial" w:hAnsi="Arial" w:cs="Arial"/>
        </w:rPr>
        <w:t>(Creswell and Creswell, 2018). Interpretivism is commonly used within health and social care research because it supports understanding of complex healthcare issues through contextual interpretation rather than numerical measurement alone (Bryman, 2016). This philosophy was considered appropriate because food safety, nutritional care, chronic disease management, and resident wellbeing are influenced by organisational, environmental, and individual factors (World Health Organization, 2022).</w:t>
      </w:r>
      <w:r w:rsidR="00FF4369" w:rsidRPr="00030181">
        <w:rPr>
          <w:rFonts w:ascii="Arial" w:hAnsi="Arial" w:cs="Arial"/>
        </w:rPr>
        <w:t xml:space="preserve"> </w:t>
      </w:r>
    </w:p>
    <w:p w14:paraId="561BA703" w14:textId="77777777" w:rsidR="00CE177F" w:rsidRPr="00030181" w:rsidRDefault="00CE177F" w:rsidP="005C5EBA">
      <w:pPr>
        <w:spacing w:line="360" w:lineRule="auto"/>
        <w:jc w:val="both"/>
        <w:rPr>
          <w:rFonts w:ascii="Arial" w:hAnsi="Arial" w:cs="Arial"/>
        </w:rPr>
      </w:pPr>
      <w:r w:rsidRPr="00030181">
        <w:rPr>
          <w:rFonts w:ascii="Arial" w:hAnsi="Arial" w:cs="Arial"/>
        </w:rPr>
        <w:t>A qualitative research approach was employed to examine evidence relating to nutritional care, food hygiene practices, chronic conditions, and health outcomes within care home settings (Snyder, 2019). Qualitative research supports exploration of themes, experiences, and interactions within complex healthcare environments (Greenhalgh et al., 2018). Unlike quantitative approaches, qualitative research focuses on understanding meanings and processes associated with healthcare practices and outcomes (Creswell and Poth, 2018).</w:t>
      </w:r>
    </w:p>
    <w:p w14:paraId="7BA9923C" w14:textId="2F78B8A9" w:rsidR="00225559" w:rsidRPr="00030181" w:rsidRDefault="00CE177F" w:rsidP="005C5EBA">
      <w:pPr>
        <w:spacing w:line="360" w:lineRule="auto"/>
        <w:jc w:val="both"/>
        <w:rPr>
          <w:rFonts w:ascii="Arial" w:hAnsi="Arial" w:cs="Arial"/>
        </w:rPr>
      </w:pPr>
      <w:r w:rsidRPr="00030181">
        <w:rPr>
          <w:rFonts w:ascii="Arial" w:hAnsi="Arial" w:cs="Arial"/>
        </w:rPr>
        <w:t xml:space="preserve">The study utilised secondary research through a systematic literature review involving identification, evaluation, and synthesis of evidence from peer-reviewed studies, government reports, and healthcare guidelines (Booth et al., 2021). This approach enabled synthesis of evidence relating to food safety, nutrition, and chronic disease management within UK care homes without primary data collection (Snyder, 2019). Systematic literature reviews are widely </w:t>
      </w:r>
      <w:r w:rsidRPr="00030181">
        <w:rPr>
          <w:rFonts w:ascii="Arial" w:hAnsi="Arial" w:cs="Arial"/>
        </w:rPr>
        <w:lastRenderedPageBreak/>
        <w:t>recognised within evidence-based healthcare research for summarising evidence and identifying gaps relevant to healthcare policy and practice (Page et al., 2021).</w:t>
      </w:r>
    </w:p>
    <w:p w14:paraId="5C14728E" w14:textId="77777777" w:rsidR="0076250B" w:rsidRPr="00030181" w:rsidRDefault="0076250B" w:rsidP="005C5EBA">
      <w:pPr>
        <w:pStyle w:val="Heading1"/>
        <w:spacing w:line="360" w:lineRule="auto"/>
        <w:rPr>
          <w:rFonts w:ascii="Arial" w:hAnsi="Arial" w:cs="Arial"/>
          <w:b/>
          <w:bCs/>
          <w:color w:val="000000" w:themeColor="text1"/>
          <w:sz w:val="22"/>
          <w:szCs w:val="22"/>
        </w:rPr>
      </w:pPr>
      <w:bookmarkStart w:id="28" w:name="_Toc231947551"/>
      <w:r w:rsidRPr="00030181">
        <w:rPr>
          <w:rFonts w:ascii="Arial" w:hAnsi="Arial" w:cs="Arial"/>
          <w:b/>
          <w:bCs/>
          <w:color w:val="000000" w:themeColor="text1"/>
          <w:sz w:val="22"/>
          <w:szCs w:val="22"/>
        </w:rPr>
        <w:t>3.3 Research Design</w:t>
      </w:r>
      <w:bookmarkEnd w:id="28"/>
    </w:p>
    <w:p w14:paraId="6C81F578" w14:textId="157D083E" w:rsidR="00225559" w:rsidRPr="00030181" w:rsidRDefault="00752DEF" w:rsidP="005C5EBA">
      <w:pPr>
        <w:spacing w:line="360" w:lineRule="auto"/>
        <w:jc w:val="both"/>
        <w:rPr>
          <w:rFonts w:ascii="Arial" w:hAnsi="Arial" w:cs="Arial"/>
          <w:lang w:val="en-US"/>
        </w:rPr>
      </w:pPr>
      <w:r w:rsidRPr="00030181">
        <w:rPr>
          <w:rFonts w:ascii="Arial" w:hAnsi="Arial" w:cs="Arial"/>
          <w:lang w:val="en-US"/>
        </w:rPr>
        <w:t xml:space="preserve">This study used a qualitative systematic literature review design to </w:t>
      </w:r>
      <w:r w:rsidR="00225559" w:rsidRPr="00030181">
        <w:rPr>
          <w:rFonts w:ascii="Arial" w:hAnsi="Arial" w:cs="Arial"/>
        </w:rPr>
        <w:t xml:space="preserve">examine food safety and </w:t>
      </w:r>
      <w:r w:rsidRPr="00030181">
        <w:rPr>
          <w:rFonts w:ascii="Arial" w:hAnsi="Arial" w:cs="Arial"/>
          <w:lang w:val="en-US"/>
        </w:rPr>
        <w:t xml:space="preserve">nutrition-related practices and their influence on health outcomes among older adults living in UK care homes </w:t>
      </w:r>
      <w:r w:rsidR="00225559" w:rsidRPr="00030181">
        <w:rPr>
          <w:rFonts w:ascii="Arial" w:hAnsi="Arial" w:cs="Arial"/>
        </w:rPr>
        <w:t xml:space="preserve">(Snyder, 2019). Systematic literature reviews are structured approaches used to </w:t>
      </w:r>
      <w:r w:rsidRPr="00030181">
        <w:rPr>
          <w:rFonts w:ascii="Arial" w:hAnsi="Arial" w:cs="Arial"/>
          <w:lang w:val="en-US"/>
        </w:rPr>
        <w:t xml:space="preserve">identify, assess, and synthesise evidence related to a specific research question </w:t>
      </w:r>
      <w:r w:rsidR="00225559" w:rsidRPr="00030181">
        <w:rPr>
          <w:rFonts w:ascii="Arial" w:hAnsi="Arial" w:cs="Arial"/>
        </w:rPr>
        <w:t xml:space="preserve">(Page et al., 2021). </w:t>
      </w:r>
      <w:r w:rsidRPr="00030181">
        <w:rPr>
          <w:rFonts w:ascii="Arial" w:hAnsi="Arial" w:cs="Arial"/>
          <w:lang w:val="en-US"/>
        </w:rPr>
        <w:t xml:space="preserve">This approach was chosen because </w:t>
      </w:r>
      <w:r w:rsidR="00225559" w:rsidRPr="00030181">
        <w:rPr>
          <w:rFonts w:ascii="Arial" w:hAnsi="Arial" w:cs="Arial"/>
        </w:rPr>
        <w:t>it is widely recognised within evidence-based healthcare research for supporting healthcare practice and policy development (Booth et al., 2021).</w:t>
      </w:r>
    </w:p>
    <w:p w14:paraId="50B2EEDC" w14:textId="692A86A0" w:rsidR="00225559" w:rsidRPr="00030181" w:rsidRDefault="00225559" w:rsidP="005C5EBA">
      <w:pPr>
        <w:spacing w:line="360" w:lineRule="auto"/>
        <w:jc w:val="both"/>
        <w:rPr>
          <w:rFonts w:ascii="Arial" w:hAnsi="Arial" w:cs="Arial"/>
          <w:lang w:val="en-US"/>
        </w:rPr>
      </w:pPr>
      <w:r w:rsidRPr="00030181">
        <w:rPr>
          <w:rFonts w:ascii="Arial" w:hAnsi="Arial" w:cs="Arial"/>
        </w:rPr>
        <w:t xml:space="preserve">The review </w:t>
      </w:r>
      <w:r w:rsidR="00752DEF" w:rsidRPr="00030181">
        <w:rPr>
          <w:rFonts w:ascii="Arial" w:hAnsi="Arial" w:cs="Arial"/>
          <w:lang w:val="en-US"/>
        </w:rPr>
        <w:t xml:space="preserve">adhered to PRISMA guidelines to maintain </w:t>
      </w:r>
      <w:r w:rsidRPr="00030181">
        <w:rPr>
          <w:rFonts w:ascii="Arial" w:hAnsi="Arial" w:cs="Arial"/>
        </w:rPr>
        <w:t xml:space="preserve">transparent and systematic study selection throughout the review process (Page et al., 2021). PRISMA supports structured </w:t>
      </w:r>
      <w:r w:rsidR="00752DEF" w:rsidRPr="00030181">
        <w:rPr>
          <w:rFonts w:ascii="Arial" w:hAnsi="Arial" w:cs="Arial"/>
          <w:lang w:val="en-US"/>
        </w:rPr>
        <w:t>study identification, screening, eligibility evaluation, and final inclusion</w:t>
      </w:r>
      <w:r w:rsidRPr="00030181">
        <w:rPr>
          <w:rFonts w:ascii="Arial" w:hAnsi="Arial" w:cs="Arial"/>
        </w:rPr>
        <w:t>, reducing selection bias and improving research reliability (Liberati et al., 2009).</w:t>
      </w:r>
    </w:p>
    <w:p w14:paraId="7B8247E8" w14:textId="5229621D" w:rsidR="00225559" w:rsidRPr="00030181" w:rsidRDefault="00225559" w:rsidP="005C5EBA">
      <w:pPr>
        <w:spacing w:line="360" w:lineRule="auto"/>
        <w:jc w:val="both"/>
        <w:rPr>
          <w:rFonts w:ascii="Arial" w:hAnsi="Arial" w:cs="Arial"/>
        </w:rPr>
      </w:pPr>
      <w:r w:rsidRPr="00030181">
        <w:rPr>
          <w:rFonts w:ascii="Arial" w:hAnsi="Arial" w:cs="Arial"/>
        </w:rPr>
        <w:t>The systematic literature review approach was appropriate because the study aimed to synthesise existing evidence rather than collect primary data (Creswell and Poth, 2018). The review included evidence from peer-reviewed studies, healthcare guidelines, and government reports relating to nutritional care, food safety, infection prevention, and chronic disease management within UK care homes (</w:t>
      </w:r>
      <w:r w:rsidR="00417FA6" w:rsidRPr="00030181">
        <w:rPr>
          <w:rFonts w:ascii="Arial" w:hAnsi="Arial" w:cs="Arial"/>
        </w:rPr>
        <w:t>NICE</w:t>
      </w:r>
      <w:r w:rsidRPr="00030181">
        <w:rPr>
          <w:rFonts w:ascii="Arial" w:hAnsi="Arial" w:cs="Arial"/>
        </w:rPr>
        <w:t>, 2022).</w:t>
      </w:r>
    </w:p>
    <w:p w14:paraId="500D9541" w14:textId="77777777" w:rsidR="00225559" w:rsidRPr="00030181" w:rsidRDefault="00225559" w:rsidP="005C5EBA">
      <w:pPr>
        <w:spacing w:line="360" w:lineRule="auto"/>
        <w:jc w:val="both"/>
        <w:rPr>
          <w:rFonts w:ascii="Arial" w:hAnsi="Arial" w:cs="Arial"/>
        </w:rPr>
      </w:pPr>
      <w:r w:rsidRPr="00030181">
        <w:rPr>
          <w:rFonts w:ascii="Arial" w:hAnsi="Arial" w:cs="Arial"/>
        </w:rPr>
        <w:t>Strengths of this approach included integration of evidence from multiple sources and identification of gaps within the literature relevant to healthcare practice (Booth et al., 2021). However, limitations included publication bias, variability in study quality, and heterogeneity between included studies, which may affect comparability of findings (Greenhalgh et al., 2018). Primary research and meta-analysis were not used because the study focused on qualitative evidence synthesis rather than statistical analysis or participant data collection (Snyder, 2019).</w:t>
      </w:r>
    </w:p>
    <w:p w14:paraId="2796ACEC" w14:textId="77777777" w:rsidR="0029700E" w:rsidRPr="00030181" w:rsidRDefault="0029700E" w:rsidP="005C5EBA">
      <w:pPr>
        <w:pStyle w:val="Heading1"/>
        <w:spacing w:line="360" w:lineRule="auto"/>
        <w:rPr>
          <w:rFonts w:ascii="Arial" w:hAnsi="Arial" w:cs="Arial"/>
          <w:b/>
          <w:bCs/>
          <w:color w:val="auto"/>
          <w:sz w:val="22"/>
          <w:szCs w:val="22"/>
        </w:rPr>
      </w:pPr>
      <w:bookmarkStart w:id="29" w:name="_Toc231947552"/>
      <w:r w:rsidRPr="00030181">
        <w:rPr>
          <w:rFonts w:ascii="Arial" w:hAnsi="Arial" w:cs="Arial"/>
          <w:b/>
          <w:bCs/>
          <w:color w:val="auto"/>
          <w:sz w:val="22"/>
          <w:szCs w:val="22"/>
        </w:rPr>
        <w:t>3.4 Search Strategy</w:t>
      </w:r>
      <w:bookmarkEnd w:id="29"/>
    </w:p>
    <w:p w14:paraId="2C579D04" w14:textId="77777777" w:rsidR="00417FA6" w:rsidRPr="00030181" w:rsidRDefault="00417FA6" w:rsidP="005C5EBA">
      <w:pPr>
        <w:spacing w:line="360" w:lineRule="auto"/>
        <w:jc w:val="both"/>
        <w:rPr>
          <w:rFonts w:ascii="Arial" w:hAnsi="Arial" w:cs="Arial"/>
        </w:rPr>
      </w:pPr>
      <w:r w:rsidRPr="00030181">
        <w:rPr>
          <w:rFonts w:ascii="Arial" w:hAnsi="Arial" w:cs="Arial"/>
        </w:rPr>
        <w:t>A structured search strategy was developed to locate appropriate literature examining food safety and nutrition practices and their influence on health outcomes among elderly individuals in UK care homes, particularly individuals living with type 2 diabetes (Page et al., 2021). The search strategy followed PRISMA recommendations to promote openness and uniformity during the review procedure (Liberati et al., 2009).</w:t>
      </w:r>
    </w:p>
    <w:p w14:paraId="4A521DB3" w14:textId="26552ACC" w:rsidR="00225559" w:rsidRPr="00030181" w:rsidRDefault="000B45DA" w:rsidP="005C5EBA">
      <w:pPr>
        <w:spacing w:line="360" w:lineRule="auto"/>
        <w:jc w:val="both"/>
        <w:rPr>
          <w:rFonts w:ascii="Arial" w:hAnsi="Arial" w:cs="Arial"/>
          <w:lang w:val="en-US"/>
        </w:rPr>
      </w:pPr>
      <w:r w:rsidRPr="00030181">
        <w:rPr>
          <w:rFonts w:ascii="Arial" w:hAnsi="Arial" w:cs="Arial"/>
          <w:lang w:val="en-US"/>
        </w:rPr>
        <w:lastRenderedPageBreak/>
        <w:t xml:space="preserve">The Population, Intervention, Comparison, and Outcome (PICO) framework was applied to structure the research question and guide the development of the search </w:t>
      </w:r>
      <w:r w:rsidR="00225559" w:rsidRPr="00030181">
        <w:rPr>
          <w:rFonts w:ascii="Arial" w:hAnsi="Arial" w:cs="Arial"/>
        </w:rPr>
        <w:t xml:space="preserve">terms (Booth et al., 2021). The population included older adults living in UK care homes, while the intervention focused on food safety and nutrition practices. Outcomes included nutritional status, infection risk, </w:t>
      </w:r>
      <w:r w:rsidRPr="00030181">
        <w:rPr>
          <w:rFonts w:ascii="Arial" w:hAnsi="Arial" w:cs="Arial"/>
          <w:lang w:val="en-US"/>
        </w:rPr>
        <w:t xml:space="preserve">and the management of </w:t>
      </w:r>
      <w:r w:rsidR="00417FA6" w:rsidRPr="00030181">
        <w:rPr>
          <w:rFonts w:ascii="Arial" w:hAnsi="Arial" w:cs="Arial"/>
          <w:lang w:val="en-US"/>
        </w:rPr>
        <w:t xml:space="preserve">chronic </w:t>
      </w:r>
      <w:r w:rsidRPr="00030181">
        <w:rPr>
          <w:rFonts w:ascii="Arial" w:hAnsi="Arial" w:cs="Arial"/>
          <w:lang w:val="en-US"/>
        </w:rPr>
        <w:t xml:space="preserve">conditions such as type 2 diabetes </w:t>
      </w:r>
      <w:r w:rsidR="00225559" w:rsidRPr="00030181">
        <w:rPr>
          <w:rFonts w:ascii="Arial" w:hAnsi="Arial" w:cs="Arial"/>
        </w:rPr>
        <w:t>(</w:t>
      </w:r>
      <w:r w:rsidR="00417FA6" w:rsidRPr="00030181">
        <w:rPr>
          <w:rFonts w:ascii="Arial" w:hAnsi="Arial" w:cs="Arial"/>
        </w:rPr>
        <w:t xml:space="preserve">NICE, </w:t>
      </w:r>
      <w:r w:rsidR="00225559" w:rsidRPr="00030181">
        <w:rPr>
          <w:rFonts w:ascii="Arial" w:hAnsi="Arial" w:cs="Arial"/>
        </w:rPr>
        <w:t>2022).</w:t>
      </w:r>
    </w:p>
    <w:p w14:paraId="186E1C8A" w14:textId="10C92D44" w:rsidR="00225559" w:rsidRPr="00030181" w:rsidRDefault="000B45DA" w:rsidP="005C5EBA">
      <w:pPr>
        <w:spacing w:line="360" w:lineRule="auto"/>
        <w:jc w:val="both"/>
        <w:rPr>
          <w:rFonts w:ascii="Arial" w:hAnsi="Arial" w:cs="Arial"/>
          <w:lang w:val="en-US"/>
        </w:rPr>
      </w:pPr>
      <w:r w:rsidRPr="00030181">
        <w:rPr>
          <w:rFonts w:ascii="Arial" w:hAnsi="Arial" w:cs="Arial"/>
          <w:lang w:val="en-US"/>
        </w:rPr>
        <w:t>Electronic database searches were carried out using</w:t>
      </w:r>
      <w:r w:rsidRPr="00030181">
        <w:rPr>
          <w:rFonts w:ascii="Arial" w:hAnsi="Arial" w:cs="Arial"/>
        </w:rPr>
        <w:t xml:space="preserve"> </w:t>
      </w:r>
      <w:r w:rsidR="00225559" w:rsidRPr="00030181">
        <w:rPr>
          <w:rFonts w:ascii="Arial" w:hAnsi="Arial" w:cs="Arial"/>
        </w:rPr>
        <w:t>PubMed, CINAHL, ScienceDirect, Google Scholar, and the Cochrane Library because these databases contain healthcare and public health literature relevant to the study topic (Booth et al., 2021). Grey literature sources including NHS England, NICE, CQC, Diabetes UK, GOV.UK, the Food Standards Agency, and BAPEN were also searched to identify relevant guidelines and policy documents (Care Quality Commission, 2023; Diabetes UK, 2023).</w:t>
      </w:r>
    </w:p>
    <w:p w14:paraId="5349A895" w14:textId="51971EEF" w:rsidR="00225559" w:rsidRPr="00030181" w:rsidRDefault="00225559" w:rsidP="005C5EBA">
      <w:pPr>
        <w:spacing w:line="360" w:lineRule="auto"/>
        <w:jc w:val="both"/>
        <w:rPr>
          <w:rFonts w:ascii="Arial" w:hAnsi="Arial" w:cs="Arial"/>
          <w:lang w:val="en-US"/>
        </w:rPr>
      </w:pPr>
      <w:r w:rsidRPr="00030181">
        <w:rPr>
          <w:rFonts w:ascii="Arial" w:hAnsi="Arial" w:cs="Arial"/>
        </w:rPr>
        <w:t>Search terms were developed using keywords, MeSH terms, and alternative terminology associated with the research topic (PubMed, 2024). Key search terms included “care homes,” “older adults,” “food safety,” “nutrition,” “malnutrition,” “type 2 diabetes,” and “health outcomes” (</w:t>
      </w:r>
      <w:r w:rsidR="00417FA6" w:rsidRPr="00030181">
        <w:rPr>
          <w:rFonts w:ascii="Arial" w:hAnsi="Arial" w:cs="Arial"/>
        </w:rPr>
        <w:t>NICE</w:t>
      </w:r>
      <w:r w:rsidRPr="00030181">
        <w:rPr>
          <w:rFonts w:ascii="Arial" w:hAnsi="Arial" w:cs="Arial"/>
        </w:rPr>
        <w:t xml:space="preserve">, 2022). Boolean operators such as “AND” and “OR” </w:t>
      </w:r>
      <w:r w:rsidR="000B45DA" w:rsidRPr="00030181">
        <w:rPr>
          <w:rFonts w:ascii="Arial" w:hAnsi="Arial" w:cs="Arial"/>
          <w:lang w:val="en-US"/>
        </w:rPr>
        <w:t xml:space="preserve">were applied </w:t>
      </w:r>
      <w:r w:rsidR="00417FA6" w:rsidRPr="00030181">
        <w:rPr>
          <w:rFonts w:ascii="Arial" w:hAnsi="Arial" w:cs="Arial"/>
        </w:rPr>
        <w:t>to merge search terms with</w:t>
      </w:r>
      <w:r w:rsidR="00417FA6" w:rsidRPr="00030181">
        <w:rPr>
          <w:rFonts w:ascii="Arial" w:hAnsi="Arial" w:cs="Arial"/>
          <w:lang w:val="en-US"/>
        </w:rPr>
        <w:t xml:space="preserve"> </w:t>
      </w:r>
      <w:r w:rsidR="000B45DA" w:rsidRPr="00030181">
        <w:rPr>
          <w:rFonts w:ascii="Arial" w:hAnsi="Arial" w:cs="Arial"/>
          <w:lang w:val="en-US"/>
        </w:rPr>
        <w:t xml:space="preserve">enhance search </w:t>
      </w:r>
      <w:r w:rsidRPr="00030181">
        <w:rPr>
          <w:rFonts w:ascii="Arial" w:hAnsi="Arial" w:cs="Arial"/>
        </w:rPr>
        <w:t>accuracy (Booth et al., 2021).</w:t>
      </w:r>
    </w:p>
    <w:p w14:paraId="4BD53CC9" w14:textId="71C2E688" w:rsidR="00225559" w:rsidRPr="00030181" w:rsidRDefault="00225559" w:rsidP="005C5EBA">
      <w:pPr>
        <w:spacing w:line="360" w:lineRule="auto"/>
        <w:jc w:val="both"/>
        <w:rPr>
          <w:rFonts w:ascii="Arial" w:hAnsi="Arial" w:cs="Arial"/>
          <w:lang w:val="en-US"/>
        </w:rPr>
      </w:pPr>
      <w:r w:rsidRPr="00030181">
        <w:rPr>
          <w:rFonts w:ascii="Arial" w:hAnsi="Arial" w:cs="Arial"/>
        </w:rPr>
        <w:t xml:space="preserve">Title screening, abstract review, and full-text assessment were </w:t>
      </w:r>
      <w:r w:rsidR="000B45DA" w:rsidRPr="00030181">
        <w:rPr>
          <w:rFonts w:ascii="Arial" w:hAnsi="Arial" w:cs="Arial"/>
          <w:lang w:val="en-US"/>
        </w:rPr>
        <w:t xml:space="preserve">carried out to </w:t>
      </w:r>
      <w:r w:rsidR="00417FA6" w:rsidRPr="00030181">
        <w:rPr>
          <w:rFonts w:ascii="Arial" w:hAnsi="Arial" w:cs="Arial"/>
        </w:rPr>
        <w:t>locate suitable studies for inclusion in the review</w:t>
      </w:r>
      <w:r w:rsidR="00417FA6" w:rsidRPr="00030181">
        <w:rPr>
          <w:rFonts w:ascii="Arial" w:hAnsi="Arial" w:cs="Arial"/>
        </w:rPr>
        <w:t xml:space="preserve"> </w:t>
      </w:r>
      <w:r w:rsidRPr="00030181">
        <w:rPr>
          <w:rFonts w:ascii="Arial" w:hAnsi="Arial" w:cs="Arial"/>
        </w:rPr>
        <w:t>(Page et al., 2021). Hand searching of reference lists was also undertaken to identify additional studies not retrieved through database searches (Greenhalgh et al., 2018). Studies published between 2015 and 2026 and written in English were included to ensure current and relevant evidence within the review (Snyder, 2019).</w:t>
      </w:r>
    </w:p>
    <w:p w14:paraId="72654866" w14:textId="77777777" w:rsidR="0033328C" w:rsidRPr="00030181" w:rsidRDefault="0033328C" w:rsidP="005C5EBA">
      <w:pPr>
        <w:pStyle w:val="Heading1"/>
        <w:spacing w:line="360" w:lineRule="auto"/>
        <w:rPr>
          <w:rFonts w:ascii="Arial" w:hAnsi="Arial" w:cs="Arial"/>
          <w:b/>
          <w:bCs/>
          <w:color w:val="auto"/>
          <w:sz w:val="22"/>
          <w:szCs w:val="22"/>
        </w:rPr>
      </w:pPr>
      <w:bookmarkStart w:id="30" w:name="_Toc231947553"/>
      <w:r w:rsidRPr="00030181">
        <w:rPr>
          <w:rFonts w:ascii="Arial" w:hAnsi="Arial" w:cs="Arial"/>
          <w:b/>
          <w:bCs/>
          <w:color w:val="auto"/>
          <w:sz w:val="22"/>
          <w:szCs w:val="22"/>
        </w:rPr>
        <w:t>3.5 Inclusion and Exclusion Criteria</w:t>
      </w:r>
      <w:bookmarkEnd w:id="30"/>
    </w:p>
    <w:p w14:paraId="737E6076" w14:textId="77777777" w:rsidR="00225559" w:rsidRPr="00030181" w:rsidRDefault="00225559" w:rsidP="005C5EBA">
      <w:pPr>
        <w:spacing w:line="360" w:lineRule="auto"/>
        <w:jc w:val="both"/>
        <w:rPr>
          <w:rFonts w:ascii="Arial" w:hAnsi="Arial" w:cs="Arial"/>
        </w:rPr>
      </w:pPr>
      <w:r w:rsidRPr="00030181">
        <w:rPr>
          <w:rFonts w:ascii="Arial" w:hAnsi="Arial" w:cs="Arial"/>
        </w:rPr>
        <w:t>Predefined inclusion and exclusion criteria were established to ensure selection of relevant and methodologically appropriate studies within the systematic literature review (Page et al., 2021). The criteria were developed in line with the research aim, objectives, and PICO framework to support transparent and systematic study selection (Booth et al., 2021).</w:t>
      </w:r>
    </w:p>
    <w:p w14:paraId="02FE05CC" w14:textId="6561AA8D" w:rsidR="003B4C3F" w:rsidRPr="00030181" w:rsidRDefault="003B4C3F" w:rsidP="003B4C3F">
      <w:pPr>
        <w:pStyle w:val="Caption"/>
        <w:jc w:val="both"/>
        <w:rPr>
          <w:rFonts w:ascii="Arial" w:hAnsi="Arial" w:cs="Arial"/>
          <w:color w:val="000000" w:themeColor="text1"/>
          <w:sz w:val="22"/>
          <w:szCs w:val="22"/>
        </w:rPr>
      </w:pPr>
      <w:bookmarkStart w:id="31" w:name="_Toc231929302"/>
      <w:r w:rsidRPr="00030181">
        <w:rPr>
          <w:rFonts w:ascii="Arial" w:hAnsi="Arial" w:cs="Arial"/>
          <w:color w:val="000000" w:themeColor="text1"/>
          <w:sz w:val="22"/>
          <w:szCs w:val="22"/>
        </w:rPr>
        <w:t xml:space="preserve">Table 3.5.1: Inclusion and Exclusion </w:t>
      </w:r>
      <w:r w:rsidRPr="00030181">
        <w:rPr>
          <w:rFonts w:ascii="Arial" w:hAnsi="Arial" w:cs="Arial"/>
          <w:color w:val="000000" w:themeColor="text1"/>
          <w:sz w:val="22"/>
          <w:szCs w:val="22"/>
        </w:rPr>
        <w:fldChar w:fldCharType="begin"/>
      </w:r>
      <w:r w:rsidRPr="00030181">
        <w:rPr>
          <w:rFonts w:ascii="Arial" w:hAnsi="Arial" w:cs="Arial"/>
          <w:color w:val="000000" w:themeColor="text1"/>
          <w:sz w:val="22"/>
          <w:szCs w:val="22"/>
        </w:rPr>
        <w:instrText xml:space="preserve"> SEQ Table_3.5.1:_Inclusion_and_Exclusion \* ARABIC </w:instrText>
      </w:r>
      <w:r w:rsidRPr="00030181">
        <w:rPr>
          <w:rFonts w:ascii="Arial" w:hAnsi="Arial" w:cs="Arial"/>
          <w:color w:val="000000" w:themeColor="text1"/>
          <w:sz w:val="22"/>
          <w:szCs w:val="22"/>
        </w:rPr>
        <w:fldChar w:fldCharType="separate"/>
      </w:r>
      <w:r w:rsidRPr="00030181">
        <w:rPr>
          <w:rFonts w:ascii="Arial" w:hAnsi="Arial" w:cs="Arial"/>
          <w:noProof/>
          <w:color w:val="000000" w:themeColor="text1"/>
          <w:sz w:val="22"/>
          <w:szCs w:val="22"/>
        </w:rPr>
        <w:t>1</w:t>
      </w:r>
      <w:bookmarkEnd w:id="31"/>
      <w:r w:rsidRPr="00030181">
        <w:rPr>
          <w:rFonts w:ascii="Arial" w:hAnsi="Arial" w:cs="Arial"/>
          <w:color w:val="000000" w:themeColor="text1"/>
          <w:sz w:val="22"/>
          <w:szCs w:val="22"/>
        </w:rPr>
        <w:fldChar w:fldCharType="end"/>
      </w:r>
    </w:p>
    <w:tbl>
      <w:tblPr>
        <w:tblStyle w:val="TableGrid"/>
        <w:tblW w:w="9012" w:type="dxa"/>
        <w:tblLook w:val="04A0" w:firstRow="1" w:lastRow="0" w:firstColumn="1" w:lastColumn="0" w:noHBand="0" w:noVBand="1"/>
      </w:tblPr>
      <w:tblGrid>
        <w:gridCol w:w="1584"/>
        <w:gridCol w:w="4336"/>
        <w:gridCol w:w="3092"/>
      </w:tblGrid>
      <w:tr w:rsidR="00884405" w:rsidRPr="00030181" w14:paraId="5108D855" w14:textId="77777777" w:rsidTr="00884405">
        <w:trPr>
          <w:trHeight w:val="561"/>
        </w:trPr>
        <w:tc>
          <w:tcPr>
            <w:tcW w:w="0" w:type="auto"/>
            <w:hideMark/>
          </w:tcPr>
          <w:p w14:paraId="60D6B81A" w14:textId="77777777" w:rsidR="0033328C" w:rsidRPr="00030181" w:rsidRDefault="0033328C" w:rsidP="005C5EBA">
            <w:pPr>
              <w:spacing w:after="160" w:line="360" w:lineRule="auto"/>
              <w:jc w:val="both"/>
              <w:rPr>
                <w:rFonts w:ascii="Arial" w:hAnsi="Arial" w:cs="Arial"/>
                <w:b/>
                <w:bCs/>
              </w:rPr>
            </w:pPr>
            <w:r w:rsidRPr="00030181">
              <w:rPr>
                <w:rFonts w:ascii="Arial" w:hAnsi="Arial" w:cs="Arial"/>
                <w:b/>
                <w:bCs/>
              </w:rPr>
              <w:t>Criteria</w:t>
            </w:r>
          </w:p>
        </w:tc>
        <w:tc>
          <w:tcPr>
            <w:tcW w:w="0" w:type="auto"/>
            <w:hideMark/>
          </w:tcPr>
          <w:p w14:paraId="2861B974" w14:textId="77777777" w:rsidR="0033328C" w:rsidRPr="00030181" w:rsidRDefault="0033328C" w:rsidP="005C5EBA">
            <w:pPr>
              <w:spacing w:after="160" w:line="360" w:lineRule="auto"/>
              <w:jc w:val="both"/>
              <w:rPr>
                <w:rFonts w:ascii="Arial" w:hAnsi="Arial" w:cs="Arial"/>
                <w:b/>
                <w:bCs/>
              </w:rPr>
            </w:pPr>
            <w:r w:rsidRPr="00030181">
              <w:rPr>
                <w:rFonts w:ascii="Arial" w:hAnsi="Arial" w:cs="Arial"/>
                <w:b/>
                <w:bCs/>
              </w:rPr>
              <w:t>Inclusion Criteria</w:t>
            </w:r>
          </w:p>
        </w:tc>
        <w:tc>
          <w:tcPr>
            <w:tcW w:w="0" w:type="auto"/>
            <w:hideMark/>
          </w:tcPr>
          <w:p w14:paraId="48146238" w14:textId="77777777" w:rsidR="0033328C" w:rsidRPr="00030181" w:rsidRDefault="0033328C" w:rsidP="005C5EBA">
            <w:pPr>
              <w:spacing w:after="160" w:line="360" w:lineRule="auto"/>
              <w:jc w:val="both"/>
              <w:rPr>
                <w:rFonts w:ascii="Arial" w:hAnsi="Arial" w:cs="Arial"/>
                <w:b/>
                <w:bCs/>
              </w:rPr>
            </w:pPr>
            <w:r w:rsidRPr="00030181">
              <w:rPr>
                <w:rFonts w:ascii="Arial" w:hAnsi="Arial" w:cs="Arial"/>
                <w:b/>
                <w:bCs/>
              </w:rPr>
              <w:t>Exclusion Criteria</w:t>
            </w:r>
          </w:p>
        </w:tc>
      </w:tr>
      <w:tr w:rsidR="00884405" w:rsidRPr="00030181" w14:paraId="6A2964CE" w14:textId="77777777" w:rsidTr="00884405">
        <w:trPr>
          <w:trHeight w:val="1731"/>
        </w:trPr>
        <w:tc>
          <w:tcPr>
            <w:tcW w:w="0" w:type="auto"/>
            <w:hideMark/>
          </w:tcPr>
          <w:p w14:paraId="5B60147C" w14:textId="77777777" w:rsidR="0033328C" w:rsidRPr="00030181" w:rsidRDefault="0033328C" w:rsidP="005C5EBA">
            <w:pPr>
              <w:spacing w:after="160" w:line="360" w:lineRule="auto"/>
              <w:jc w:val="both"/>
              <w:rPr>
                <w:rFonts w:ascii="Arial" w:hAnsi="Arial" w:cs="Arial"/>
              </w:rPr>
            </w:pPr>
            <w:r w:rsidRPr="00030181">
              <w:rPr>
                <w:rFonts w:ascii="Arial" w:hAnsi="Arial" w:cs="Arial"/>
              </w:rPr>
              <w:t>Population</w:t>
            </w:r>
          </w:p>
        </w:tc>
        <w:tc>
          <w:tcPr>
            <w:tcW w:w="0" w:type="auto"/>
            <w:hideMark/>
          </w:tcPr>
          <w:p w14:paraId="0FFED090" w14:textId="2CE86C31" w:rsidR="0033328C" w:rsidRPr="00030181" w:rsidRDefault="00EB3771" w:rsidP="005C5EBA">
            <w:pPr>
              <w:spacing w:after="160" w:line="360" w:lineRule="auto"/>
              <w:jc w:val="both"/>
              <w:rPr>
                <w:rFonts w:ascii="Arial" w:hAnsi="Arial" w:cs="Arial"/>
                <w:lang w:val="en-US"/>
              </w:rPr>
            </w:pPr>
            <w:r w:rsidRPr="00030181">
              <w:rPr>
                <w:rFonts w:ascii="Arial" w:hAnsi="Arial" w:cs="Arial"/>
                <w:lang w:val="en-US"/>
              </w:rPr>
              <w:t xml:space="preserve">Older adults aged 65 years and over living in </w:t>
            </w:r>
            <w:r w:rsidR="0033328C" w:rsidRPr="00030181">
              <w:rPr>
                <w:rFonts w:ascii="Arial" w:hAnsi="Arial" w:cs="Arial"/>
              </w:rPr>
              <w:t>residential or nursing care homes</w:t>
            </w:r>
          </w:p>
        </w:tc>
        <w:tc>
          <w:tcPr>
            <w:tcW w:w="0" w:type="auto"/>
            <w:hideMark/>
          </w:tcPr>
          <w:p w14:paraId="3D93CCED" w14:textId="77777777" w:rsidR="0033328C" w:rsidRPr="00030181" w:rsidRDefault="0033328C" w:rsidP="005C5EBA">
            <w:pPr>
              <w:spacing w:after="160" w:line="360" w:lineRule="auto"/>
              <w:jc w:val="both"/>
              <w:rPr>
                <w:rFonts w:ascii="Arial" w:hAnsi="Arial" w:cs="Arial"/>
              </w:rPr>
            </w:pPr>
            <w:r w:rsidRPr="00030181">
              <w:rPr>
                <w:rFonts w:ascii="Arial" w:hAnsi="Arial" w:cs="Arial"/>
              </w:rPr>
              <w:t>Paediatric populations, younger adults, or community-dwelling populations</w:t>
            </w:r>
          </w:p>
        </w:tc>
      </w:tr>
      <w:tr w:rsidR="00884405" w:rsidRPr="00030181" w14:paraId="65132DBA" w14:textId="77777777" w:rsidTr="00884405">
        <w:trPr>
          <w:trHeight w:val="1731"/>
        </w:trPr>
        <w:tc>
          <w:tcPr>
            <w:tcW w:w="0" w:type="auto"/>
            <w:hideMark/>
          </w:tcPr>
          <w:p w14:paraId="510D2254" w14:textId="77777777" w:rsidR="0033328C" w:rsidRPr="00030181" w:rsidRDefault="0033328C" w:rsidP="005C5EBA">
            <w:pPr>
              <w:spacing w:after="160" w:line="360" w:lineRule="auto"/>
              <w:jc w:val="both"/>
              <w:rPr>
                <w:rFonts w:ascii="Arial" w:hAnsi="Arial" w:cs="Arial"/>
              </w:rPr>
            </w:pPr>
            <w:r w:rsidRPr="00030181">
              <w:rPr>
                <w:rFonts w:ascii="Arial" w:hAnsi="Arial" w:cs="Arial"/>
              </w:rPr>
              <w:lastRenderedPageBreak/>
              <w:t>Setting</w:t>
            </w:r>
          </w:p>
        </w:tc>
        <w:tc>
          <w:tcPr>
            <w:tcW w:w="0" w:type="auto"/>
            <w:hideMark/>
          </w:tcPr>
          <w:p w14:paraId="7FEAD524" w14:textId="77777777" w:rsidR="0033328C" w:rsidRPr="00030181" w:rsidRDefault="0033328C" w:rsidP="005C5EBA">
            <w:pPr>
              <w:spacing w:after="160" w:line="360" w:lineRule="auto"/>
              <w:jc w:val="both"/>
              <w:rPr>
                <w:rFonts w:ascii="Arial" w:hAnsi="Arial" w:cs="Arial"/>
              </w:rPr>
            </w:pPr>
            <w:r w:rsidRPr="00030181">
              <w:rPr>
                <w:rFonts w:ascii="Arial" w:hAnsi="Arial" w:cs="Arial"/>
              </w:rPr>
              <w:t>UK care homes were prioritised; studies from other developed countries were included where UK evidence was limited</w:t>
            </w:r>
          </w:p>
        </w:tc>
        <w:tc>
          <w:tcPr>
            <w:tcW w:w="0" w:type="auto"/>
            <w:hideMark/>
          </w:tcPr>
          <w:p w14:paraId="6EFFC41B" w14:textId="77777777" w:rsidR="0033328C" w:rsidRPr="00030181" w:rsidRDefault="0033328C" w:rsidP="005C5EBA">
            <w:pPr>
              <w:spacing w:after="160" w:line="360" w:lineRule="auto"/>
              <w:jc w:val="both"/>
              <w:rPr>
                <w:rFonts w:ascii="Arial" w:hAnsi="Arial" w:cs="Arial"/>
              </w:rPr>
            </w:pPr>
            <w:r w:rsidRPr="00030181">
              <w:rPr>
                <w:rFonts w:ascii="Arial" w:hAnsi="Arial" w:cs="Arial"/>
              </w:rPr>
              <w:t>Studies conducted in settings unrelated to care homes, including acute hospital settings</w:t>
            </w:r>
          </w:p>
        </w:tc>
      </w:tr>
      <w:tr w:rsidR="00884405" w:rsidRPr="00030181" w14:paraId="5FABD050" w14:textId="77777777" w:rsidTr="00884405">
        <w:trPr>
          <w:trHeight w:val="789"/>
        </w:trPr>
        <w:tc>
          <w:tcPr>
            <w:tcW w:w="0" w:type="auto"/>
            <w:hideMark/>
          </w:tcPr>
          <w:p w14:paraId="2BCE2465" w14:textId="77777777" w:rsidR="0033328C" w:rsidRPr="00030181" w:rsidRDefault="0033328C" w:rsidP="005C5EBA">
            <w:pPr>
              <w:spacing w:after="160" w:line="360" w:lineRule="auto"/>
              <w:jc w:val="both"/>
              <w:rPr>
                <w:rFonts w:ascii="Arial" w:hAnsi="Arial" w:cs="Arial"/>
              </w:rPr>
            </w:pPr>
            <w:r w:rsidRPr="00030181">
              <w:rPr>
                <w:rFonts w:ascii="Arial" w:hAnsi="Arial" w:cs="Arial"/>
              </w:rPr>
              <w:t>Topic Focus</w:t>
            </w:r>
          </w:p>
        </w:tc>
        <w:tc>
          <w:tcPr>
            <w:tcW w:w="0" w:type="auto"/>
            <w:hideMark/>
          </w:tcPr>
          <w:p w14:paraId="1E56F8C8" w14:textId="77777777" w:rsidR="0033328C" w:rsidRPr="00030181" w:rsidRDefault="0033328C" w:rsidP="005C5EBA">
            <w:pPr>
              <w:spacing w:after="160" w:line="360" w:lineRule="auto"/>
              <w:jc w:val="both"/>
              <w:rPr>
                <w:rFonts w:ascii="Arial" w:hAnsi="Arial" w:cs="Arial"/>
              </w:rPr>
            </w:pPr>
            <w:r w:rsidRPr="00030181">
              <w:rPr>
                <w:rFonts w:ascii="Arial" w:hAnsi="Arial" w:cs="Arial"/>
              </w:rPr>
              <w:t>Studies examining food safety, nutrition, malnutrition, hydration, infection prevention, dietary management, or type 2 diabetes within care homes</w:t>
            </w:r>
          </w:p>
        </w:tc>
        <w:tc>
          <w:tcPr>
            <w:tcW w:w="0" w:type="auto"/>
            <w:hideMark/>
          </w:tcPr>
          <w:p w14:paraId="0992CC14" w14:textId="77777777" w:rsidR="0033328C" w:rsidRPr="00030181" w:rsidRDefault="0033328C" w:rsidP="005C5EBA">
            <w:pPr>
              <w:spacing w:after="160" w:line="360" w:lineRule="auto"/>
              <w:jc w:val="both"/>
              <w:rPr>
                <w:rFonts w:ascii="Arial" w:hAnsi="Arial" w:cs="Arial"/>
              </w:rPr>
            </w:pPr>
            <w:r w:rsidRPr="00030181">
              <w:rPr>
                <w:rFonts w:ascii="Arial" w:hAnsi="Arial" w:cs="Arial"/>
              </w:rPr>
              <w:t>Studies unrelated to food safety, nutrition, older adults, or chronic disease management</w:t>
            </w:r>
          </w:p>
        </w:tc>
      </w:tr>
      <w:tr w:rsidR="00884405" w:rsidRPr="00030181" w14:paraId="6DB83490" w14:textId="77777777" w:rsidTr="00884405">
        <w:trPr>
          <w:trHeight w:val="148"/>
        </w:trPr>
        <w:tc>
          <w:tcPr>
            <w:tcW w:w="0" w:type="auto"/>
            <w:hideMark/>
          </w:tcPr>
          <w:p w14:paraId="5D637DFA" w14:textId="77777777" w:rsidR="0033328C" w:rsidRPr="00030181" w:rsidRDefault="0033328C" w:rsidP="005C5EBA">
            <w:pPr>
              <w:spacing w:after="160" w:line="360" w:lineRule="auto"/>
              <w:jc w:val="both"/>
              <w:rPr>
                <w:rFonts w:ascii="Arial" w:hAnsi="Arial" w:cs="Arial"/>
              </w:rPr>
            </w:pPr>
            <w:r w:rsidRPr="00030181">
              <w:rPr>
                <w:rFonts w:ascii="Arial" w:hAnsi="Arial" w:cs="Arial"/>
              </w:rPr>
              <w:t>Study Types</w:t>
            </w:r>
          </w:p>
        </w:tc>
        <w:tc>
          <w:tcPr>
            <w:tcW w:w="0" w:type="auto"/>
            <w:hideMark/>
          </w:tcPr>
          <w:p w14:paraId="4CE4D5C2" w14:textId="77777777" w:rsidR="0033328C" w:rsidRPr="00030181" w:rsidRDefault="0033328C" w:rsidP="005C5EBA">
            <w:pPr>
              <w:spacing w:after="160" w:line="360" w:lineRule="auto"/>
              <w:jc w:val="both"/>
              <w:rPr>
                <w:rFonts w:ascii="Arial" w:hAnsi="Arial" w:cs="Arial"/>
              </w:rPr>
            </w:pPr>
            <w:r w:rsidRPr="00030181">
              <w:rPr>
                <w:rFonts w:ascii="Arial" w:hAnsi="Arial" w:cs="Arial"/>
              </w:rPr>
              <w:t>Qualitative, quantitative, mixed-method studies, systematic reviews, and meta-analyses</w:t>
            </w:r>
          </w:p>
        </w:tc>
        <w:tc>
          <w:tcPr>
            <w:tcW w:w="0" w:type="auto"/>
            <w:hideMark/>
          </w:tcPr>
          <w:p w14:paraId="01E94993" w14:textId="77777777" w:rsidR="0033328C" w:rsidRPr="00030181" w:rsidRDefault="0033328C" w:rsidP="005C5EBA">
            <w:pPr>
              <w:spacing w:after="160" w:line="360" w:lineRule="auto"/>
              <w:jc w:val="both"/>
              <w:rPr>
                <w:rFonts w:ascii="Arial" w:hAnsi="Arial" w:cs="Arial"/>
              </w:rPr>
            </w:pPr>
            <w:r w:rsidRPr="00030181">
              <w:rPr>
                <w:rFonts w:ascii="Arial" w:hAnsi="Arial" w:cs="Arial"/>
              </w:rPr>
              <w:t>Editorials, opinion papers, conference abstracts, and non-evidence-based publications</w:t>
            </w:r>
          </w:p>
        </w:tc>
      </w:tr>
      <w:tr w:rsidR="00884405" w:rsidRPr="00030181" w14:paraId="2FA5F01B" w14:textId="77777777" w:rsidTr="00884405">
        <w:trPr>
          <w:trHeight w:val="148"/>
        </w:trPr>
        <w:tc>
          <w:tcPr>
            <w:tcW w:w="0" w:type="auto"/>
            <w:hideMark/>
          </w:tcPr>
          <w:p w14:paraId="4EC55FF1" w14:textId="77777777" w:rsidR="0033328C" w:rsidRPr="00030181" w:rsidRDefault="0033328C" w:rsidP="005C5EBA">
            <w:pPr>
              <w:spacing w:after="160" w:line="360" w:lineRule="auto"/>
              <w:jc w:val="both"/>
              <w:rPr>
                <w:rFonts w:ascii="Arial" w:hAnsi="Arial" w:cs="Arial"/>
              </w:rPr>
            </w:pPr>
            <w:r w:rsidRPr="00030181">
              <w:rPr>
                <w:rFonts w:ascii="Arial" w:hAnsi="Arial" w:cs="Arial"/>
              </w:rPr>
              <w:t>Publication Type</w:t>
            </w:r>
          </w:p>
        </w:tc>
        <w:tc>
          <w:tcPr>
            <w:tcW w:w="0" w:type="auto"/>
            <w:hideMark/>
          </w:tcPr>
          <w:p w14:paraId="04FE730D" w14:textId="23AAFCE3" w:rsidR="0033328C" w:rsidRPr="00030181" w:rsidRDefault="00EB3771" w:rsidP="005C5EBA">
            <w:pPr>
              <w:spacing w:after="160" w:line="360" w:lineRule="auto"/>
              <w:jc w:val="both"/>
              <w:rPr>
                <w:rFonts w:ascii="Arial" w:hAnsi="Arial" w:cs="Arial"/>
                <w:lang w:val="en-US"/>
              </w:rPr>
            </w:pPr>
            <w:r w:rsidRPr="00030181">
              <w:rPr>
                <w:rFonts w:ascii="Arial" w:hAnsi="Arial" w:cs="Arial"/>
                <w:lang w:val="en-US"/>
              </w:rPr>
              <w:t xml:space="preserve">Peer-reviewed research articles, government publications, </w:t>
            </w:r>
            <w:r w:rsidR="0033328C" w:rsidRPr="00030181">
              <w:rPr>
                <w:rFonts w:ascii="Arial" w:hAnsi="Arial" w:cs="Arial"/>
              </w:rPr>
              <w:t>healthcare guidelines, and professional publications</w:t>
            </w:r>
          </w:p>
        </w:tc>
        <w:tc>
          <w:tcPr>
            <w:tcW w:w="0" w:type="auto"/>
            <w:hideMark/>
          </w:tcPr>
          <w:p w14:paraId="30906CAD" w14:textId="0460D63B" w:rsidR="0033328C" w:rsidRPr="00030181" w:rsidRDefault="0033328C" w:rsidP="00EB3771">
            <w:pPr>
              <w:spacing w:line="360" w:lineRule="auto"/>
              <w:jc w:val="both"/>
              <w:rPr>
                <w:rFonts w:ascii="Arial" w:hAnsi="Arial" w:cs="Arial"/>
                <w:lang w:val="en-US"/>
              </w:rPr>
            </w:pPr>
            <w:r w:rsidRPr="00030181">
              <w:rPr>
                <w:rFonts w:ascii="Arial" w:hAnsi="Arial" w:cs="Arial"/>
              </w:rPr>
              <w:t xml:space="preserve">Unverified </w:t>
            </w:r>
            <w:r w:rsidR="00EB3771" w:rsidRPr="00030181">
              <w:rPr>
                <w:rFonts w:ascii="Arial" w:hAnsi="Arial" w:cs="Arial"/>
                <w:lang w:val="en-US"/>
              </w:rPr>
              <w:t>websites or sources without academic or professional credibility</w:t>
            </w:r>
          </w:p>
        </w:tc>
      </w:tr>
      <w:tr w:rsidR="00884405" w:rsidRPr="00030181" w14:paraId="1420ACE1" w14:textId="77777777" w:rsidTr="00884405">
        <w:trPr>
          <w:trHeight w:val="148"/>
        </w:trPr>
        <w:tc>
          <w:tcPr>
            <w:tcW w:w="0" w:type="auto"/>
            <w:hideMark/>
          </w:tcPr>
          <w:p w14:paraId="0BF90BB0" w14:textId="77777777" w:rsidR="0033328C" w:rsidRPr="00030181" w:rsidRDefault="0033328C" w:rsidP="005C5EBA">
            <w:pPr>
              <w:spacing w:after="160" w:line="360" w:lineRule="auto"/>
              <w:jc w:val="both"/>
              <w:rPr>
                <w:rFonts w:ascii="Arial" w:hAnsi="Arial" w:cs="Arial"/>
              </w:rPr>
            </w:pPr>
            <w:r w:rsidRPr="00030181">
              <w:rPr>
                <w:rFonts w:ascii="Arial" w:hAnsi="Arial" w:cs="Arial"/>
              </w:rPr>
              <w:t>Language</w:t>
            </w:r>
          </w:p>
        </w:tc>
        <w:tc>
          <w:tcPr>
            <w:tcW w:w="0" w:type="auto"/>
            <w:hideMark/>
          </w:tcPr>
          <w:p w14:paraId="6C42042D" w14:textId="77777777" w:rsidR="0033328C" w:rsidRPr="00030181" w:rsidRDefault="0033328C" w:rsidP="005C5EBA">
            <w:pPr>
              <w:spacing w:after="160" w:line="360" w:lineRule="auto"/>
              <w:jc w:val="both"/>
              <w:rPr>
                <w:rFonts w:ascii="Arial" w:hAnsi="Arial" w:cs="Arial"/>
              </w:rPr>
            </w:pPr>
            <w:r w:rsidRPr="00030181">
              <w:rPr>
                <w:rFonts w:ascii="Arial" w:hAnsi="Arial" w:cs="Arial"/>
              </w:rPr>
              <w:t>Studies published in English</w:t>
            </w:r>
          </w:p>
        </w:tc>
        <w:tc>
          <w:tcPr>
            <w:tcW w:w="0" w:type="auto"/>
            <w:hideMark/>
          </w:tcPr>
          <w:p w14:paraId="3BA716C1" w14:textId="77777777" w:rsidR="0033328C" w:rsidRPr="00030181" w:rsidRDefault="0033328C" w:rsidP="005C5EBA">
            <w:pPr>
              <w:spacing w:after="160" w:line="360" w:lineRule="auto"/>
              <w:jc w:val="both"/>
              <w:rPr>
                <w:rFonts w:ascii="Arial" w:hAnsi="Arial" w:cs="Arial"/>
              </w:rPr>
            </w:pPr>
            <w:r w:rsidRPr="00030181">
              <w:rPr>
                <w:rFonts w:ascii="Arial" w:hAnsi="Arial" w:cs="Arial"/>
              </w:rPr>
              <w:t>Non-English publications</w:t>
            </w:r>
          </w:p>
        </w:tc>
      </w:tr>
      <w:tr w:rsidR="00884405" w:rsidRPr="00030181" w14:paraId="1CE85741" w14:textId="77777777" w:rsidTr="00884405">
        <w:trPr>
          <w:trHeight w:val="148"/>
        </w:trPr>
        <w:tc>
          <w:tcPr>
            <w:tcW w:w="0" w:type="auto"/>
            <w:hideMark/>
          </w:tcPr>
          <w:p w14:paraId="4494E125" w14:textId="75B5D7FF" w:rsidR="0033328C" w:rsidRPr="00030181" w:rsidRDefault="0033328C" w:rsidP="005C5EBA">
            <w:pPr>
              <w:spacing w:after="160" w:line="360" w:lineRule="auto"/>
              <w:jc w:val="both"/>
              <w:rPr>
                <w:rFonts w:ascii="Arial" w:hAnsi="Arial" w:cs="Arial"/>
              </w:rPr>
            </w:pPr>
            <w:r w:rsidRPr="00030181">
              <w:rPr>
                <w:rFonts w:ascii="Arial" w:hAnsi="Arial" w:cs="Arial"/>
              </w:rPr>
              <w:t xml:space="preserve">Publication </w:t>
            </w:r>
            <w:r w:rsidR="00417FA6" w:rsidRPr="00030181">
              <w:rPr>
                <w:rFonts w:ascii="Arial" w:hAnsi="Arial" w:cs="Arial"/>
              </w:rPr>
              <w:t>Duration</w:t>
            </w:r>
          </w:p>
        </w:tc>
        <w:tc>
          <w:tcPr>
            <w:tcW w:w="0" w:type="auto"/>
            <w:hideMark/>
          </w:tcPr>
          <w:p w14:paraId="1E8E2521" w14:textId="26E47829" w:rsidR="0033328C" w:rsidRPr="00030181" w:rsidRDefault="00417FA6" w:rsidP="005C5EBA">
            <w:pPr>
              <w:spacing w:after="160" w:line="360" w:lineRule="auto"/>
              <w:jc w:val="both"/>
              <w:rPr>
                <w:rFonts w:ascii="Arial" w:hAnsi="Arial" w:cs="Arial"/>
                <w:lang w:val="en-US"/>
              </w:rPr>
            </w:pPr>
            <w:r w:rsidRPr="00030181">
              <w:rPr>
                <w:rFonts w:ascii="Arial" w:hAnsi="Arial" w:cs="Arial"/>
              </w:rPr>
              <w:t>Research published from 2015 to 2026 was included to capture current and relevant evidence.</w:t>
            </w:r>
          </w:p>
        </w:tc>
        <w:tc>
          <w:tcPr>
            <w:tcW w:w="0" w:type="auto"/>
            <w:hideMark/>
          </w:tcPr>
          <w:p w14:paraId="4E3330EA" w14:textId="6BBA5A4D" w:rsidR="0033328C" w:rsidRPr="00030181" w:rsidRDefault="00417FA6" w:rsidP="005C5EBA">
            <w:pPr>
              <w:spacing w:after="160" w:line="360" w:lineRule="auto"/>
              <w:jc w:val="both"/>
              <w:rPr>
                <w:rFonts w:ascii="Arial" w:hAnsi="Arial" w:cs="Arial"/>
              </w:rPr>
            </w:pPr>
            <w:r w:rsidRPr="00030181">
              <w:rPr>
                <w:rFonts w:ascii="Arial" w:hAnsi="Arial" w:cs="Arial"/>
              </w:rPr>
              <w:t>Research</w:t>
            </w:r>
            <w:r w:rsidR="0033328C" w:rsidRPr="00030181">
              <w:rPr>
                <w:rFonts w:ascii="Arial" w:hAnsi="Arial" w:cs="Arial"/>
              </w:rPr>
              <w:t xml:space="preserve"> published before 2015 unless considered historically significant</w:t>
            </w:r>
          </w:p>
        </w:tc>
      </w:tr>
      <w:tr w:rsidR="00884405" w:rsidRPr="00030181" w14:paraId="180B6726" w14:textId="77777777" w:rsidTr="00884405">
        <w:trPr>
          <w:trHeight w:val="1341"/>
        </w:trPr>
        <w:tc>
          <w:tcPr>
            <w:tcW w:w="0" w:type="auto"/>
            <w:hideMark/>
          </w:tcPr>
          <w:p w14:paraId="18680EB7" w14:textId="77777777" w:rsidR="0033328C" w:rsidRPr="00030181" w:rsidRDefault="0033328C" w:rsidP="005C5EBA">
            <w:pPr>
              <w:spacing w:after="160" w:line="360" w:lineRule="auto"/>
              <w:jc w:val="both"/>
              <w:rPr>
                <w:rFonts w:ascii="Arial" w:hAnsi="Arial" w:cs="Arial"/>
              </w:rPr>
            </w:pPr>
            <w:r w:rsidRPr="00030181">
              <w:rPr>
                <w:rFonts w:ascii="Arial" w:hAnsi="Arial" w:cs="Arial"/>
              </w:rPr>
              <w:t>Accessibility</w:t>
            </w:r>
          </w:p>
        </w:tc>
        <w:tc>
          <w:tcPr>
            <w:tcW w:w="0" w:type="auto"/>
            <w:hideMark/>
          </w:tcPr>
          <w:p w14:paraId="6B093B80" w14:textId="77777777" w:rsidR="0033328C" w:rsidRPr="00030181" w:rsidRDefault="0033328C" w:rsidP="005C5EBA">
            <w:pPr>
              <w:spacing w:after="160" w:line="360" w:lineRule="auto"/>
              <w:jc w:val="both"/>
              <w:rPr>
                <w:rFonts w:ascii="Arial" w:hAnsi="Arial" w:cs="Arial"/>
              </w:rPr>
            </w:pPr>
            <w:r w:rsidRPr="00030181">
              <w:rPr>
                <w:rFonts w:ascii="Arial" w:hAnsi="Arial" w:cs="Arial"/>
              </w:rPr>
              <w:t>Full-text and free-access studies available through university databases or public sources</w:t>
            </w:r>
          </w:p>
        </w:tc>
        <w:tc>
          <w:tcPr>
            <w:tcW w:w="0" w:type="auto"/>
            <w:hideMark/>
          </w:tcPr>
          <w:p w14:paraId="5C3C801B" w14:textId="77777777" w:rsidR="0033328C" w:rsidRPr="00030181" w:rsidRDefault="0033328C" w:rsidP="005C5EBA">
            <w:pPr>
              <w:spacing w:after="160" w:line="360" w:lineRule="auto"/>
              <w:jc w:val="both"/>
              <w:rPr>
                <w:rFonts w:ascii="Arial" w:hAnsi="Arial" w:cs="Arial"/>
              </w:rPr>
            </w:pPr>
            <w:r w:rsidRPr="00030181">
              <w:rPr>
                <w:rFonts w:ascii="Arial" w:hAnsi="Arial" w:cs="Arial"/>
              </w:rPr>
              <w:t>Studies with inaccessible full texts</w:t>
            </w:r>
          </w:p>
        </w:tc>
      </w:tr>
    </w:tbl>
    <w:p w14:paraId="2A264C16" w14:textId="77777777" w:rsidR="00884405" w:rsidRPr="00030181" w:rsidRDefault="00884405" w:rsidP="005C5EBA">
      <w:pPr>
        <w:spacing w:line="360" w:lineRule="auto"/>
        <w:jc w:val="both"/>
        <w:rPr>
          <w:rFonts w:ascii="Arial" w:hAnsi="Arial" w:cs="Arial"/>
          <w:sz w:val="2"/>
          <w:szCs w:val="2"/>
        </w:rPr>
      </w:pPr>
    </w:p>
    <w:p w14:paraId="2A83ECA7" w14:textId="6A1FACE8" w:rsidR="00C344A5" w:rsidRPr="00030181" w:rsidRDefault="00C344A5" w:rsidP="005C5EBA">
      <w:pPr>
        <w:spacing w:line="360" w:lineRule="auto"/>
        <w:jc w:val="both"/>
        <w:rPr>
          <w:rFonts w:ascii="Arial" w:hAnsi="Arial" w:cs="Arial"/>
        </w:rPr>
      </w:pPr>
      <w:r w:rsidRPr="00030181">
        <w:rPr>
          <w:rFonts w:ascii="Arial" w:hAnsi="Arial" w:cs="Arial"/>
        </w:rPr>
        <w:t>The inclusion and exclusion criteria ensured consistency during study screening and supported selection of evidence relevant to UK care home practice, food safety, nutritional care, and chronic disease management among older adults (</w:t>
      </w:r>
      <w:r w:rsidR="00417FA6" w:rsidRPr="00030181">
        <w:rPr>
          <w:rFonts w:ascii="Arial" w:hAnsi="Arial" w:cs="Arial"/>
        </w:rPr>
        <w:t>NICE</w:t>
      </w:r>
      <w:r w:rsidRPr="00030181">
        <w:rPr>
          <w:rFonts w:ascii="Arial" w:hAnsi="Arial" w:cs="Arial"/>
        </w:rPr>
        <w:t>, 2022).</w:t>
      </w:r>
    </w:p>
    <w:p w14:paraId="0B82F3C7" w14:textId="47895F5C" w:rsidR="00EC2B62" w:rsidRPr="00030181" w:rsidRDefault="00EC2B62" w:rsidP="005C5EBA">
      <w:pPr>
        <w:pStyle w:val="Heading1"/>
        <w:spacing w:line="360" w:lineRule="auto"/>
        <w:rPr>
          <w:rFonts w:ascii="Arial" w:hAnsi="Arial" w:cs="Arial"/>
          <w:b/>
          <w:bCs/>
          <w:color w:val="auto"/>
          <w:sz w:val="22"/>
          <w:szCs w:val="22"/>
        </w:rPr>
      </w:pPr>
      <w:bookmarkStart w:id="32" w:name="_Toc231947554"/>
      <w:r w:rsidRPr="00030181">
        <w:rPr>
          <w:rFonts w:ascii="Arial" w:hAnsi="Arial" w:cs="Arial"/>
          <w:b/>
          <w:bCs/>
          <w:color w:val="auto"/>
          <w:sz w:val="22"/>
          <w:szCs w:val="22"/>
        </w:rPr>
        <w:t>3.6 Study Selection and PRISMA Process</w:t>
      </w:r>
      <w:bookmarkEnd w:id="32"/>
      <w:r w:rsidR="00A414D3" w:rsidRPr="00030181">
        <w:rPr>
          <w:rFonts w:ascii="Arial" w:hAnsi="Arial" w:cs="Arial"/>
          <w:b/>
          <w:bCs/>
          <w:color w:val="auto"/>
          <w:sz w:val="22"/>
          <w:szCs w:val="22"/>
        </w:rPr>
        <w:t xml:space="preserve"> </w:t>
      </w:r>
    </w:p>
    <w:p w14:paraId="58F3B140" w14:textId="63EF3A3B" w:rsidR="00884405" w:rsidRPr="00030181" w:rsidRDefault="000C6547" w:rsidP="005C5EBA">
      <w:pPr>
        <w:spacing w:line="360" w:lineRule="auto"/>
        <w:jc w:val="both"/>
        <w:rPr>
          <w:rFonts w:ascii="Arial" w:hAnsi="Arial" w:cs="Arial"/>
        </w:rPr>
      </w:pPr>
      <w:r w:rsidRPr="000C6547">
        <w:rPr>
          <w:rFonts w:ascii="Arial" w:hAnsi="Arial" w:cs="Arial"/>
        </w:rPr>
        <w:t>The procedure for selecting studies followed the Preferred Reporting Items for Systematic Reviews and Meta-Analyses (PRISMA) guidelines</w:t>
      </w:r>
      <w:r w:rsidRPr="00030181">
        <w:rPr>
          <w:rFonts w:ascii="Arial" w:hAnsi="Arial" w:cs="Arial"/>
        </w:rPr>
        <w:t xml:space="preserve">, </w:t>
      </w:r>
      <w:r w:rsidR="00EB3771" w:rsidRPr="00030181">
        <w:rPr>
          <w:rFonts w:ascii="Arial" w:hAnsi="Arial" w:cs="Arial"/>
          <w:lang w:val="en-US"/>
        </w:rPr>
        <w:t xml:space="preserve">maintain </w:t>
      </w:r>
      <w:r w:rsidR="00225559" w:rsidRPr="00030181">
        <w:rPr>
          <w:rFonts w:ascii="Arial" w:hAnsi="Arial" w:cs="Arial"/>
        </w:rPr>
        <w:t xml:space="preserve">transparent </w:t>
      </w:r>
      <w:r w:rsidRPr="00030181">
        <w:rPr>
          <w:rFonts w:ascii="Arial" w:hAnsi="Arial" w:cs="Arial"/>
        </w:rPr>
        <w:t>as well as</w:t>
      </w:r>
      <w:r w:rsidR="00417FA6" w:rsidRPr="00030181">
        <w:rPr>
          <w:rFonts w:ascii="Arial" w:hAnsi="Arial" w:cs="Arial"/>
        </w:rPr>
        <w:t xml:space="preserve"> </w:t>
      </w:r>
      <w:r w:rsidR="00225559" w:rsidRPr="00030181">
        <w:rPr>
          <w:rFonts w:ascii="Arial" w:hAnsi="Arial" w:cs="Arial"/>
        </w:rPr>
        <w:t xml:space="preserve">systematic </w:t>
      </w:r>
      <w:r w:rsidR="00417FA6" w:rsidRPr="00030181">
        <w:rPr>
          <w:rFonts w:ascii="Arial" w:hAnsi="Arial" w:cs="Arial"/>
        </w:rPr>
        <w:t xml:space="preserve">study </w:t>
      </w:r>
      <w:r w:rsidR="00225559" w:rsidRPr="00030181">
        <w:rPr>
          <w:rFonts w:ascii="Arial" w:hAnsi="Arial" w:cs="Arial"/>
        </w:rPr>
        <w:t>selection (Page et al., 2021). PRISMA is widely used within healthcare research to improve methodological transparency and reduce selection bias during systematic reviews (Liberati et al., 2009).</w:t>
      </w:r>
    </w:p>
    <w:p w14:paraId="2A363B49" w14:textId="77777777" w:rsidR="00EC2B62" w:rsidRPr="00030181" w:rsidRDefault="00EC2B62" w:rsidP="005C5EBA">
      <w:pPr>
        <w:spacing w:line="360" w:lineRule="auto"/>
        <w:jc w:val="both"/>
        <w:rPr>
          <w:rFonts w:ascii="Arial" w:hAnsi="Arial" w:cs="Arial"/>
        </w:rPr>
      </w:pPr>
      <w:bookmarkStart w:id="33" w:name="_Hlk230123602"/>
    </w:p>
    <w:p w14:paraId="65D48177" w14:textId="77777777" w:rsidR="00EC2B62" w:rsidRPr="00030181" w:rsidRDefault="00EC2B62" w:rsidP="005C5EBA">
      <w:pPr>
        <w:spacing w:line="360" w:lineRule="auto"/>
        <w:rPr>
          <w:rFonts w:ascii="Arial" w:hAnsi="Arial" w:cs="Arial"/>
        </w:rPr>
      </w:pPr>
      <w:r w:rsidRPr="00030181">
        <w:rPr>
          <w:rFonts w:ascii="Arial" w:hAnsi="Arial" w:cs="Arial"/>
          <w:noProof/>
        </w:rPr>
        <mc:AlternateContent>
          <mc:Choice Requires="wps">
            <w:drawing>
              <wp:anchor distT="0" distB="0" distL="114300" distR="114300" simplePos="0" relativeHeight="251628032" behindDoc="0" locked="0" layoutInCell="1" allowOverlap="1" wp14:anchorId="738B0785" wp14:editId="37AC76D2">
                <wp:simplePos x="0" y="0"/>
                <wp:positionH relativeFrom="column">
                  <wp:posOffset>-342266</wp:posOffset>
                </wp:positionH>
                <wp:positionV relativeFrom="paragraph">
                  <wp:posOffset>6012180</wp:posOffset>
                </wp:positionV>
                <wp:extent cx="1258570" cy="388620"/>
                <wp:effectExtent l="0" t="3175" r="14605" b="14605"/>
                <wp:wrapNone/>
                <wp:docPr id="711287975" name="Rectangle 5"/>
                <wp:cNvGraphicFramePr/>
                <a:graphic xmlns:a="http://schemas.openxmlformats.org/drawingml/2006/main">
                  <a:graphicData uri="http://schemas.microsoft.com/office/word/2010/wordprocessingShape">
                    <wps:wsp>
                      <wps:cNvSpPr/>
                      <wps:spPr>
                        <a:xfrm rot="16200000">
                          <a:off x="0" y="0"/>
                          <a:ext cx="1258570" cy="38862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00116522" w14:textId="77777777" w:rsidR="00EC2B62" w:rsidRPr="009F342C" w:rsidRDefault="00EC2B62" w:rsidP="00EC2B62">
                            <w:pPr>
                              <w:jc w:val="center"/>
                              <w:rPr>
                                <w:b/>
                                <w:bCs/>
                              </w:rPr>
                            </w:pPr>
                            <w:r w:rsidRPr="009F342C">
                              <w:rPr>
                                <w:b/>
                                <w:bCs/>
                              </w:rPr>
                              <w:t xml:space="preserve">Included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38B0785" id="Rectangle 5" o:spid="_x0000_s1028" style="position:absolute;margin-left:-26.95pt;margin-top:473.4pt;width:99.1pt;height:30.6pt;rotation:-90;z-index:251628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" fillcolor="#91bce3 [2168]" strokecolor="#5b9bd5 [3208]" strokeweight=".5pt">
                <v:fill color2="#7aaddd [2616]" rotate="t" colors="0 #b1cbe9;.5 #a3c1e5;1 #92b9e4" focus="100%" type="gradient">
                  <o:fill v:ext="view" type="gradientUnscaled"/>
                </v:fill>
                <v:textbox>
                  <w:txbxContent>
                    <w:p w14:paraId="00116522" w14:textId="77777777" w:rsidR="00EC2B62" w:rsidRPr="009F342C" w:rsidRDefault="00EC2B62" w:rsidP="00EC2B62">
                      <w:pPr>
                        <w:jc w:val="center"/>
                        <w:rPr>
                          <w:b/>
                          <w:bCs/>
                        </w:rPr>
                      </w:pPr>
                      <w:r w:rsidRPr="009F342C">
                        <w:rPr>
                          <w:b/>
                          <w:bCs/>
                        </w:rPr>
                        <w:t xml:space="preserve">Included </w:t>
                      </w:r>
                    </w:p>
                  </w:txbxContent>
                </v:textbox>
              </v:rect>
            </w:pict>
          </mc:Fallback>
        </mc:AlternateContent>
      </w:r>
      <w:r w:rsidRPr="00030181">
        <w:rPr>
          <w:rFonts w:ascii="Arial" w:hAnsi="Arial" w:cs="Arial"/>
          <w:noProof/>
        </w:rPr>
        <mc:AlternateContent>
          <mc:Choice Requires="wps">
            <w:drawing>
              <wp:anchor distT="0" distB="0" distL="114300" distR="114300" simplePos="0" relativeHeight="251750912" behindDoc="0" locked="0" layoutInCell="1" allowOverlap="1" wp14:anchorId="6E5739B7" wp14:editId="234E231C">
                <wp:simplePos x="0" y="0"/>
                <wp:positionH relativeFrom="column">
                  <wp:posOffset>4222750</wp:posOffset>
                </wp:positionH>
                <wp:positionV relativeFrom="paragraph">
                  <wp:posOffset>5454650</wp:posOffset>
                </wp:positionV>
                <wp:extent cx="647700" cy="6350"/>
                <wp:effectExtent l="19050" t="57150" r="0" b="88900"/>
                <wp:wrapNone/>
                <wp:docPr id="319140272" name="Straight Arrow Connector 9"/>
                <wp:cNvGraphicFramePr/>
                <a:graphic xmlns:a="http://schemas.openxmlformats.org/drawingml/2006/main">
                  <a:graphicData uri="http://schemas.microsoft.com/office/word/2010/wordprocessingShape">
                    <wps:wsp>
                      <wps:cNvCnPr/>
                      <wps:spPr>
                        <a:xfrm flipH="1">
                          <a:off x="0" y="0"/>
                          <a:ext cx="647700" cy="6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05DFCEBF" id="_x0000_t32" coordsize="21600,21600" o:spt="32" o:oned="t" path="m,l21600,21600e" filled="f">
                <v:path arrowok="t" fillok="f" o:connecttype="none"/>
                <o:lock v:ext="edit" shapetype="t"/>
              </v:shapetype>
              <v:shape id="Straight Arrow Connector 9" o:spid="_x0000_s1026" type="#_x0000_t32" style="position:absolute;margin-left:332.5pt;margin-top:429.5pt;width:51pt;height:.5pt;flip:x;z-index:251750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" strokecolor="black [3200]" strokeweight=".5pt">
                <v:stroke endarrow="block" joinstyle="miter"/>
              </v:shape>
            </w:pict>
          </mc:Fallback>
        </mc:AlternateContent>
      </w:r>
      <w:r w:rsidRPr="00030181">
        <w:rPr>
          <w:rFonts w:ascii="Arial" w:hAnsi="Arial" w:cs="Arial"/>
          <w:noProof/>
        </w:rPr>
        <mc:AlternateContent>
          <mc:Choice Requires="wps">
            <w:drawing>
              <wp:anchor distT="0" distB="0" distL="114300" distR="114300" simplePos="0" relativeHeight="251745792" behindDoc="0" locked="0" layoutInCell="1" allowOverlap="1" wp14:anchorId="07A5A5F1" wp14:editId="78DBCDF0">
                <wp:simplePos x="0" y="0"/>
                <wp:positionH relativeFrom="column">
                  <wp:posOffset>4876800</wp:posOffset>
                </wp:positionH>
                <wp:positionV relativeFrom="paragraph">
                  <wp:posOffset>-19050</wp:posOffset>
                </wp:positionV>
                <wp:extent cx="19050" cy="5461000"/>
                <wp:effectExtent l="0" t="0" r="19050" b="25400"/>
                <wp:wrapNone/>
                <wp:docPr id="1521496980" name="Straight Connector 8"/>
                <wp:cNvGraphicFramePr/>
                <a:graphic xmlns:a="http://schemas.openxmlformats.org/drawingml/2006/main">
                  <a:graphicData uri="http://schemas.microsoft.com/office/word/2010/wordprocessingShape">
                    <wps:wsp>
                      <wps:cNvCnPr/>
                      <wps:spPr>
                        <a:xfrm flipH="1">
                          <a:off x="0" y="0"/>
                          <a:ext cx="19050" cy="5461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26A854" id="Straight Connector 8" o:spid="_x0000_s1026" style="position:absolute;flip:x;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4pt,-1.5pt" to="385.5pt,4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" strokecolor="black [3200]" strokeweight=".5pt">
                <v:stroke joinstyle="miter"/>
              </v:line>
            </w:pict>
          </mc:Fallback>
        </mc:AlternateContent>
      </w:r>
      <w:r w:rsidRPr="00030181">
        <w:rPr>
          <w:rFonts w:ascii="Arial" w:hAnsi="Arial" w:cs="Arial"/>
          <w:noProof/>
        </w:rPr>
        <mc:AlternateContent>
          <mc:Choice Requires="wps">
            <w:drawing>
              <wp:anchor distT="0" distB="0" distL="114300" distR="114300" simplePos="0" relativeHeight="251740672" behindDoc="0" locked="0" layoutInCell="1" allowOverlap="1" wp14:anchorId="237863A7" wp14:editId="5C93D40F">
                <wp:simplePos x="0" y="0"/>
                <wp:positionH relativeFrom="column">
                  <wp:posOffset>4541520</wp:posOffset>
                </wp:positionH>
                <wp:positionV relativeFrom="paragraph">
                  <wp:posOffset>-19050</wp:posOffset>
                </wp:positionV>
                <wp:extent cx="354330" cy="6350"/>
                <wp:effectExtent l="0" t="0" r="26670" b="31750"/>
                <wp:wrapNone/>
                <wp:docPr id="2108088672" name="Straight Connector 7"/>
                <wp:cNvGraphicFramePr/>
                <a:graphic xmlns:a="http://schemas.openxmlformats.org/drawingml/2006/main">
                  <a:graphicData uri="http://schemas.microsoft.com/office/word/2010/wordprocessingShape">
                    <wps:wsp>
                      <wps:cNvCnPr/>
                      <wps:spPr>
                        <a:xfrm flipV="1">
                          <a:off x="0" y="0"/>
                          <a:ext cx="354330" cy="6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5BF3C8E" id="Straight Connector 7" o:spid="_x0000_s1026" style="position:absolute;flip:y;z-index:251740672;visibility:visible;mso-wrap-style:square;mso-wrap-distance-left:9pt;mso-wrap-distance-top:0;mso-wrap-distance-right:9pt;mso-wrap-distance-bottom:0;mso-position-horizontal:absolute;mso-position-horizontal-relative:text;mso-position-vertical:absolute;mso-position-vertical-relative:text" from="357.6pt,-1.5pt" to="385.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" strokecolor="black [3200]" strokeweight=".5pt">
                <v:stroke joinstyle="miter"/>
              </v:line>
            </w:pict>
          </mc:Fallback>
        </mc:AlternateContent>
      </w:r>
      <w:r w:rsidRPr="00030181">
        <w:rPr>
          <w:rFonts w:ascii="Arial" w:hAnsi="Arial" w:cs="Arial"/>
          <w:noProof/>
        </w:rPr>
        <mc:AlternateContent>
          <mc:Choice Requires="wps">
            <w:drawing>
              <wp:anchor distT="0" distB="0" distL="114300" distR="114300" simplePos="0" relativeHeight="251730432" behindDoc="0" locked="0" layoutInCell="1" allowOverlap="1" wp14:anchorId="2E3B2DD9" wp14:editId="2F5AB4FA">
                <wp:simplePos x="0" y="0"/>
                <wp:positionH relativeFrom="margin">
                  <wp:posOffset>2134870</wp:posOffset>
                </wp:positionH>
                <wp:positionV relativeFrom="paragraph">
                  <wp:posOffset>5708650</wp:posOffset>
                </wp:positionV>
                <wp:extent cx="728980" cy="508000"/>
                <wp:effectExtent l="38100" t="0" r="33020" b="63500"/>
                <wp:wrapNone/>
                <wp:docPr id="262975000" name="Straight Arrow Connector 4"/>
                <wp:cNvGraphicFramePr/>
                <a:graphic xmlns:a="http://schemas.openxmlformats.org/drawingml/2006/main">
                  <a:graphicData uri="http://schemas.microsoft.com/office/word/2010/wordprocessingShape">
                    <wps:wsp>
                      <wps:cNvCnPr/>
                      <wps:spPr>
                        <a:xfrm flipH="1">
                          <a:off x="0" y="0"/>
                          <a:ext cx="728980" cy="5080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0CFD7A" id="Straight Arrow Connector 4" o:spid="_x0000_s1026" type="#_x0000_t32" style="position:absolute;margin-left:168.1pt;margin-top:449.5pt;width:57.4pt;height:40pt;flip:x;z-index:251730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" strokecolor="black [3200]" strokeweight=".5pt">
                <v:stroke endarrow="block" joinstyle="miter"/>
                <w10:wrap anchorx="margin"/>
              </v:shape>
            </w:pict>
          </mc:Fallback>
        </mc:AlternateContent>
      </w:r>
      <w:r w:rsidRPr="00030181">
        <w:rPr>
          <w:rFonts w:ascii="Arial" w:hAnsi="Arial" w:cs="Arial"/>
          <w:noProof/>
        </w:rPr>
        <mc:AlternateContent>
          <mc:Choice Requires="wps">
            <w:drawing>
              <wp:anchor distT="0" distB="0" distL="114300" distR="114300" simplePos="0" relativeHeight="251735552" behindDoc="0" locked="0" layoutInCell="1" allowOverlap="1" wp14:anchorId="45DD97D0" wp14:editId="6115DADB">
                <wp:simplePos x="0" y="0"/>
                <wp:positionH relativeFrom="column">
                  <wp:posOffset>1428750</wp:posOffset>
                </wp:positionH>
                <wp:positionV relativeFrom="paragraph">
                  <wp:posOffset>5613400</wp:posOffset>
                </wp:positionV>
                <wp:extent cx="6350" cy="393700"/>
                <wp:effectExtent l="76200" t="0" r="69850" b="63500"/>
                <wp:wrapNone/>
                <wp:docPr id="25076737" name="Straight Arrow Connector 4"/>
                <wp:cNvGraphicFramePr/>
                <a:graphic xmlns:a="http://schemas.openxmlformats.org/drawingml/2006/main">
                  <a:graphicData uri="http://schemas.microsoft.com/office/word/2010/wordprocessingShape">
                    <wps:wsp>
                      <wps:cNvCnPr/>
                      <wps:spPr>
                        <a:xfrm>
                          <a:off x="0" y="0"/>
                          <a:ext cx="6350" cy="393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462DA99" id="Straight Arrow Connector 4" o:spid="_x0000_s1026" type="#_x0000_t32" style="position:absolute;margin-left:112.5pt;margin-top:442pt;width:.5pt;height:31pt;z-index:251735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" strokecolor="black [3200]" strokeweight=".5pt">
                <v:stroke endarrow="block" joinstyle="miter"/>
              </v:shape>
            </w:pict>
          </mc:Fallback>
        </mc:AlternateContent>
      </w:r>
      <w:r w:rsidRPr="00030181">
        <w:rPr>
          <w:rFonts w:ascii="Arial" w:hAnsi="Arial" w:cs="Arial"/>
          <w:noProof/>
        </w:rPr>
        <mc:AlternateContent>
          <mc:Choice Requires="wps">
            <w:drawing>
              <wp:anchor distT="0" distB="0" distL="114300" distR="114300" simplePos="0" relativeHeight="251576832" behindDoc="0" locked="0" layoutInCell="1" allowOverlap="1" wp14:anchorId="1E79EAAA" wp14:editId="462C2CD6">
                <wp:simplePos x="0" y="0"/>
                <wp:positionH relativeFrom="column">
                  <wp:posOffset>1416050</wp:posOffset>
                </wp:positionH>
                <wp:positionV relativeFrom="paragraph">
                  <wp:posOffset>4425950</wp:posOffset>
                </wp:positionV>
                <wp:extent cx="6350" cy="393700"/>
                <wp:effectExtent l="76200" t="0" r="69850" b="63500"/>
                <wp:wrapNone/>
                <wp:docPr id="772281493" name="Straight Arrow Connector 4"/>
                <wp:cNvGraphicFramePr/>
                <a:graphic xmlns:a="http://schemas.openxmlformats.org/drawingml/2006/main">
                  <a:graphicData uri="http://schemas.microsoft.com/office/word/2010/wordprocessingShape">
                    <wps:wsp>
                      <wps:cNvCnPr/>
                      <wps:spPr>
                        <a:xfrm>
                          <a:off x="0" y="0"/>
                          <a:ext cx="6350" cy="393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ADE2CAB" id="Straight Arrow Connector 4" o:spid="_x0000_s1026" type="#_x0000_t32" style="position:absolute;margin-left:111.5pt;margin-top:348.5pt;width:.5pt;height:31pt;z-index:251576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" strokecolor="black [3200]" strokeweight=".5pt">
                <v:stroke endarrow="block" joinstyle="miter"/>
              </v:shape>
            </w:pict>
          </mc:Fallback>
        </mc:AlternateContent>
      </w:r>
      <w:r w:rsidRPr="00030181">
        <w:rPr>
          <w:rFonts w:ascii="Arial" w:hAnsi="Arial" w:cs="Arial"/>
          <w:noProof/>
        </w:rPr>
        <mc:AlternateContent>
          <mc:Choice Requires="wps">
            <w:drawing>
              <wp:anchor distT="0" distB="0" distL="114300" distR="114300" simplePos="0" relativeHeight="251689472" behindDoc="0" locked="0" layoutInCell="1" allowOverlap="1" wp14:anchorId="27C0E69C" wp14:editId="2E5BB27C">
                <wp:simplePos x="0" y="0"/>
                <wp:positionH relativeFrom="page">
                  <wp:posOffset>3808730</wp:posOffset>
                </wp:positionH>
                <wp:positionV relativeFrom="paragraph">
                  <wp:posOffset>5203190</wp:posOffset>
                </wp:positionV>
                <wp:extent cx="1341120" cy="777240"/>
                <wp:effectExtent l="0" t="0" r="11430" b="22860"/>
                <wp:wrapNone/>
                <wp:docPr id="513045426" name="Rectangle: Rounded Corners 6"/>
                <wp:cNvGraphicFramePr/>
                <a:graphic xmlns:a="http://schemas.openxmlformats.org/drawingml/2006/main">
                  <a:graphicData uri="http://schemas.microsoft.com/office/word/2010/wordprocessingShape">
                    <wps:wsp>
                      <wps:cNvSpPr/>
                      <wps:spPr>
                        <a:xfrm>
                          <a:off x="0" y="0"/>
                          <a:ext cx="1341120" cy="77724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1CD2A130" w14:textId="77777777" w:rsidR="00EB3771" w:rsidRPr="00EB3771" w:rsidRDefault="00EB3771" w:rsidP="00EB3771">
                            <w:pPr>
                              <w:jc w:val="center"/>
                              <w:rPr>
                                <w:sz w:val="20"/>
                                <w:szCs w:val="20"/>
                                <w:lang w:val="en-US"/>
                              </w:rPr>
                            </w:pPr>
                            <w:r w:rsidRPr="00EB3771">
                              <w:rPr>
                                <w:sz w:val="20"/>
                                <w:szCs w:val="20"/>
                                <w:lang w:val="en-US"/>
                              </w:rPr>
                              <w:t>Studies selected from reference list search: N = 3</w:t>
                            </w:r>
                          </w:p>
                          <w:p w14:paraId="36618AD7" w14:textId="382FCCDA" w:rsidR="00EC2B62" w:rsidRPr="00FB1366" w:rsidRDefault="00EC2B62" w:rsidP="00EC2B62">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7C0E69C" id="Rectangle: Rounded Corners 6" o:spid="_x0000_s1029" style="position:absolute;margin-left:299.9pt;margin-top:409.7pt;width:105.6pt;height:61.2pt;z-index:251689472;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" fillcolor="white [3201]" strokecolor="#5b9bd5 [3208]" strokeweight="1pt">
                <v:stroke joinstyle="miter"/>
                <v:textbox>
                  <w:txbxContent>
                    <w:p w14:paraId="1CD2A130" w14:textId="77777777" w:rsidR="00EB3771" w:rsidRPr="00EB3771" w:rsidRDefault="00EB3771" w:rsidP="00EB3771">
                      <w:pPr>
                        <w:jc w:val="center"/>
                        <w:rPr>
                          <w:sz w:val="20"/>
                          <w:szCs w:val="20"/>
                          <w:lang w:val="en-US"/>
                        </w:rPr>
                      </w:pPr>
                      <w:r w:rsidRPr="00EB3771">
                        <w:rPr>
                          <w:sz w:val="20"/>
                          <w:szCs w:val="20"/>
                          <w:lang w:val="en-US"/>
                        </w:rPr>
                        <w:t>Studies selected from reference list search: N = 3</w:t>
                      </w:r>
                    </w:p>
                    <w:p w14:paraId="36618AD7" w14:textId="382FCCDA" w:rsidR="00EC2B62" w:rsidRPr="00FB1366" w:rsidRDefault="00EC2B62" w:rsidP="00EC2B62">
                      <w:pPr>
                        <w:jc w:val="center"/>
                        <w:rPr>
                          <w:sz w:val="20"/>
                          <w:szCs w:val="20"/>
                        </w:rPr>
                      </w:pPr>
                    </w:p>
                  </w:txbxContent>
                </v:textbox>
                <w10:wrap anchorx="page"/>
              </v:roundrect>
            </w:pict>
          </mc:Fallback>
        </mc:AlternateContent>
      </w:r>
      <w:r w:rsidRPr="00030181">
        <w:rPr>
          <w:rFonts w:ascii="Arial" w:hAnsi="Arial" w:cs="Arial"/>
          <w:noProof/>
        </w:rPr>
        <mc:AlternateContent>
          <mc:Choice Requires="wps">
            <w:drawing>
              <wp:anchor distT="0" distB="0" distL="114300" distR="114300" simplePos="0" relativeHeight="251581952" behindDoc="0" locked="0" layoutInCell="1" allowOverlap="1" wp14:anchorId="0EDB0149" wp14:editId="02CD16E1">
                <wp:simplePos x="0" y="0"/>
                <wp:positionH relativeFrom="column">
                  <wp:posOffset>1416050</wp:posOffset>
                </wp:positionH>
                <wp:positionV relativeFrom="paragraph">
                  <wp:posOffset>2159000</wp:posOffset>
                </wp:positionV>
                <wp:extent cx="6350" cy="393700"/>
                <wp:effectExtent l="76200" t="0" r="69850" b="63500"/>
                <wp:wrapNone/>
                <wp:docPr id="446000894" name="Straight Arrow Connector 4"/>
                <wp:cNvGraphicFramePr/>
                <a:graphic xmlns:a="http://schemas.openxmlformats.org/drawingml/2006/main">
                  <a:graphicData uri="http://schemas.microsoft.com/office/word/2010/wordprocessingShape">
                    <wps:wsp>
                      <wps:cNvCnPr/>
                      <wps:spPr>
                        <a:xfrm>
                          <a:off x="0" y="0"/>
                          <a:ext cx="6350" cy="393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8E77477" id="Straight Arrow Connector 4" o:spid="_x0000_s1026" type="#_x0000_t32" style="position:absolute;margin-left:111.5pt;margin-top:170pt;width:.5pt;height:31pt;z-index:2515819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" strokecolor="black [3200]" strokeweight=".5pt">
                <v:stroke endarrow="block" joinstyle="miter"/>
              </v:shape>
            </w:pict>
          </mc:Fallback>
        </mc:AlternateContent>
      </w:r>
      <w:r w:rsidRPr="00030181">
        <w:rPr>
          <w:rFonts w:ascii="Arial" w:hAnsi="Arial" w:cs="Arial"/>
          <w:noProof/>
        </w:rPr>
        <mc:AlternateContent>
          <mc:Choice Requires="wps">
            <w:drawing>
              <wp:anchor distT="0" distB="0" distL="114300" distR="114300" simplePos="0" relativeHeight="251725312" behindDoc="0" locked="0" layoutInCell="1" allowOverlap="1" wp14:anchorId="10F3628C" wp14:editId="6418602A">
                <wp:simplePos x="0" y="0"/>
                <wp:positionH relativeFrom="column">
                  <wp:posOffset>1428750</wp:posOffset>
                </wp:positionH>
                <wp:positionV relativeFrom="paragraph">
                  <wp:posOffset>3314700</wp:posOffset>
                </wp:positionV>
                <wp:extent cx="6350" cy="393700"/>
                <wp:effectExtent l="76200" t="0" r="69850" b="63500"/>
                <wp:wrapNone/>
                <wp:docPr id="1349833356" name="Straight Arrow Connector 4"/>
                <wp:cNvGraphicFramePr/>
                <a:graphic xmlns:a="http://schemas.openxmlformats.org/drawingml/2006/main">
                  <a:graphicData uri="http://schemas.microsoft.com/office/word/2010/wordprocessingShape">
                    <wps:wsp>
                      <wps:cNvCnPr/>
                      <wps:spPr>
                        <a:xfrm>
                          <a:off x="0" y="0"/>
                          <a:ext cx="6350" cy="393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FCA9352" id="Straight Arrow Connector 4" o:spid="_x0000_s1026" type="#_x0000_t32" style="position:absolute;margin-left:112.5pt;margin-top:261pt;width:.5pt;height:31pt;z-index:251725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" strokecolor="black [3200]" strokeweight=".5pt">
                <v:stroke endarrow="block" joinstyle="miter"/>
              </v:shape>
            </w:pict>
          </mc:Fallback>
        </mc:AlternateContent>
      </w:r>
      <w:r w:rsidRPr="00030181">
        <w:rPr>
          <w:rFonts w:ascii="Arial" w:hAnsi="Arial" w:cs="Arial"/>
          <w:noProof/>
        </w:rPr>
        <mc:AlternateContent>
          <mc:Choice Requires="wps">
            <w:drawing>
              <wp:anchor distT="0" distB="0" distL="114300" distR="114300" simplePos="0" relativeHeight="251694592" behindDoc="0" locked="0" layoutInCell="1" allowOverlap="1" wp14:anchorId="162E0ACB" wp14:editId="7F60D7EC">
                <wp:simplePos x="0" y="0"/>
                <wp:positionH relativeFrom="page">
                  <wp:posOffset>4114165</wp:posOffset>
                </wp:positionH>
                <wp:positionV relativeFrom="paragraph">
                  <wp:posOffset>-346710</wp:posOffset>
                </wp:positionV>
                <wp:extent cx="1341120" cy="777240"/>
                <wp:effectExtent l="0" t="0" r="11430" b="22860"/>
                <wp:wrapNone/>
                <wp:docPr id="465810298" name="Rectangle: Rounded Corners 6"/>
                <wp:cNvGraphicFramePr/>
                <a:graphic xmlns:a="http://schemas.openxmlformats.org/drawingml/2006/main">
                  <a:graphicData uri="http://schemas.microsoft.com/office/word/2010/wordprocessingShape">
                    <wps:wsp>
                      <wps:cNvSpPr/>
                      <wps:spPr>
                        <a:xfrm>
                          <a:off x="0" y="0"/>
                          <a:ext cx="1341120" cy="77724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41B14F06" w14:textId="77777777" w:rsidR="00EB3771" w:rsidRPr="00EB3771" w:rsidRDefault="00EB3771" w:rsidP="00EB3771">
                            <w:pPr>
                              <w:jc w:val="center"/>
                              <w:rPr>
                                <w:sz w:val="20"/>
                                <w:szCs w:val="20"/>
                                <w:lang w:val="en-US"/>
                              </w:rPr>
                            </w:pPr>
                            <w:r w:rsidRPr="00EB3771">
                              <w:rPr>
                                <w:sz w:val="20"/>
                                <w:szCs w:val="20"/>
                                <w:lang w:val="en-US"/>
                              </w:rPr>
                              <w:t>Studies identified through reference lists: N = 8</w:t>
                            </w:r>
                          </w:p>
                          <w:p w14:paraId="57182A81" w14:textId="2F96A7D4" w:rsidR="00EC2B62" w:rsidRPr="00FB1366" w:rsidRDefault="00EC2B62" w:rsidP="00EC2B62">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62E0ACB" id="_x0000_s1030" style="position:absolute;margin-left:323.95pt;margin-top:-27.3pt;width:105.6pt;height:61.2pt;z-index:251694592;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" fillcolor="white [3201]" strokecolor="#5b9bd5 [3208]" strokeweight="1pt">
                <v:stroke joinstyle="miter"/>
                <v:textbox>
                  <w:txbxContent>
                    <w:p w14:paraId="41B14F06" w14:textId="77777777" w:rsidR="00EB3771" w:rsidRPr="00EB3771" w:rsidRDefault="00EB3771" w:rsidP="00EB3771">
                      <w:pPr>
                        <w:jc w:val="center"/>
                        <w:rPr>
                          <w:sz w:val="20"/>
                          <w:szCs w:val="20"/>
                          <w:lang w:val="en-US"/>
                        </w:rPr>
                      </w:pPr>
                      <w:r w:rsidRPr="00EB3771">
                        <w:rPr>
                          <w:sz w:val="20"/>
                          <w:szCs w:val="20"/>
                          <w:lang w:val="en-US"/>
                        </w:rPr>
                        <w:t>Studies identified through reference lists: N = 8</w:t>
                      </w:r>
                    </w:p>
                    <w:p w14:paraId="57182A81" w14:textId="2F96A7D4" w:rsidR="00EC2B62" w:rsidRPr="00FB1366" w:rsidRDefault="00EC2B62" w:rsidP="00EC2B62">
                      <w:pPr>
                        <w:jc w:val="center"/>
                        <w:rPr>
                          <w:sz w:val="20"/>
                          <w:szCs w:val="20"/>
                        </w:rPr>
                      </w:pPr>
                    </w:p>
                  </w:txbxContent>
                </v:textbox>
                <w10:wrap anchorx="page"/>
              </v:roundrect>
            </w:pict>
          </mc:Fallback>
        </mc:AlternateContent>
      </w:r>
      <w:r w:rsidRPr="00030181">
        <w:rPr>
          <w:rFonts w:ascii="Arial" w:hAnsi="Arial" w:cs="Arial"/>
          <w:noProof/>
        </w:rPr>
        <mc:AlternateContent>
          <mc:Choice Requires="wps">
            <w:drawing>
              <wp:anchor distT="0" distB="0" distL="114300" distR="114300" simplePos="0" relativeHeight="251720192" behindDoc="0" locked="0" layoutInCell="1" allowOverlap="1" wp14:anchorId="41487232" wp14:editId="1351AC94">
                <wp:simplePos x="0" y="0"/>
                <wp:positionH relativeFrom="column">
                  <wp:posOffset>1297940</wp:posOffset>
                </wp:positionH>
                <wp:positionV relativeFrom="paragraph">
                  <wp:posOffset>844550</wp:posOffset>
                </wp:positionV>
                <wp:extent cx="340360" cy="0"/>
                <wp:effectExtent l="0" t="76200" r="21590" b="95250"/>
                <wp:wrapNone/>
                <wp:docPr id="2043690988" name="Straight Arrow Connector 5"/>
                <wp:cNvGraphicFramePr/>
                <a:graphic xmlns:a="http://schemas.openxmlformats.org/drawingml/2006/main">
                  <a:graphicData uri="http://schemas.microsoft.com/office/word/2010/wordprocessingShape">
                    <wps:wsp>
                      <wps:cNvCnPr/>
                      <wps:spPr>
                        <a:xfrm>
                          <a:off x="0" y="0"/>
                          <a:ext cx="34036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7DD88D9" id="Straight Arrow Connector 5" o:spid="_x0000_s1026" type="#_x0000_t32" style="position:absolute;margin-left:102.2pt;margin-top:66.5pt;width:26.8pt;height:0;z-index:251720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" strokecolor="black [3200]" strokeweight=".5pt">
                <v:stroke endarrow="block" joinstyle="miter"/>
              </v:shape>
            </w:pict>
          </mc:Fallback>
        </mc:AlternateContent>
      </w:r>
      <w:r w:rsidRPr="00030181">
        <w:rPr>
          <w:rFonts w:ascii="Arial" w:hAnsi="Arial" w:cs="Arial"/>
          <w:noProof/>
        </w:rPr>
        <mc:AlternateContent>
          <mc:Choice Requires="wps">
            <w:drawing>
              <wp:anchor distT="0" distB="0" distL="114300" distR="114300" simplePos="0" relativeHeight="251587072" behindDoc="0" locked="0" layoutInCell="1" allowOverlap="1" wp14:anchorId="3F565706" wp14:editId="6E554FED">
                <wp:simplePos x="0" y="0"/>
                <wp:positionH relativeFrom="column">
                  <wp:posOffset>1262380</wp:posOffset>
                </wp:positionH>
                <wp:positionV relativeFrom="paragraph">
                  <wp:posOffset>1135380</wp:posOffset>
                </wp:positionV>
                <wp:extent cx="533400" cy="0"/>
                <wp:effectExtent l="0" t="0" r="0" b="0"/>
                <wp:wrapNone/>
                <wp:docPr id="1773065574" name="Straight Connector 7"/>
                <wp:cNvGraphicFramePr/>
                <a:graphic xmlns:a="http://schemas.openxmlformats.org/drawingml/2006/main">
                  <a:graphicData uri="http://schemas.microsoft.com/office/word/2010/wordprocessingShape">
                    <wps:wsp>
                      <wps:cNvCnPr/>
                      <wps:spPr>
                        <a:xfrm>
                          <a:off x="0" y="0"/>
                          <a:ext cx="533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FF2B1F" id="Straight Connector 7" o:spid="_x0000_s1026" style="position:absolute;z-index:25158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9.4pt,89.4pt" to="141.4pt,8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" strokecolor="black [3200]" strokeweight=".5pt">
                <v:stroke joinstyle="miter"/>
              </v:line>
            </w:pict>
          </mc:Fallback>
        </mc:AlternateContent>
      </w:r>
      <w:r w:rsidRPr="00030181">
        <w:rPr>
          <w:rFonts w:ascii="Arial" w:hAnsi="Arial" w:cs="Arial"/>
          <w:noProof/>
        </w:rPr>
        <mc:AlternateContent>
          <mc:Choice Requires="wps">
            <w:drawing>
              <wp:anchor distT="0" distB="0" distL="114300" distR="114300" simplePos="0" relativeHeight="251715072" behindDoc="0" locked="0" layoutInCell="1" allowOverlap="1" wp14:anchorId="59E833A1" wp14:editId="3C117D22">
                <wp:simplePos x="0" y="0"/>
                <wp:positionH relativeFrom="column">
                  <wp:posOffset>1276350</wp:posOffset>
                </wp:positionH>
                <wp:positionV relativeFrom="paragraph">
                  <wp:posOffset>1130300</wp:posOffset>
                </wp:positionV>
                <wp:extent cx="6350" cy="393700"/>
                <wp:effectExtent l="76200" t="0" r="69850" b="63500"/>
                <wp:wrapNone/>
                <wp:docPr id="24237277" name="Straight Arrow Connector 4"/>
                <wp:cNvGraphicFramePr/>
                <a:graphic xmlns:a="http://schemas.openxmlformats.org/drawingml/2006/main">
                  <a:graphicData uri="http://schemas.microsoft.com/office/word/2010/wordprocessingShape">
                    <wps:wsp>
                      <wps:cNvCnPr/>
                      <wps:spPr>
                        <a:xfrm>
                          <a:off x="0" y="0"/>
                          <a:ext cx="6350" cy="393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86190FF" id="Straight Arrow Connector 4" o:spid="_x0000_s1026" type="#_x0000_t32" style="position:absolute;margin-left:100.5pt;margin-top:89pt;width:.5pt;height:31pt;z-index:2517150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" strokecolor="black [3200]" strokeweight=".5pt">
                <v:stroke endarrow="block" joinstyle="miter"/>
              </v:shape>
            </w:pict>
          </mc:Fallback>
        </mc:AlternateContent>
      </w:r>
      <w:r w:rsidRPr="00030181">
        <w:rPr>
          <w:rFonts w:ascii="Arial" w:hAnsi="Arial" w:cs="Arial"/>
          <w:noProof/>
        </w:rPr>
        <mc:AlternateContent>
          <mc:Choice Requires="wps">
            <w:drawing>
              <wp:anchor distT="0" distB="0" distL="114300" distR="114300" simplePos="0" relativeHeight="251643392" behindDoc="0" locked="0" layoutInCell="1" allowOverlap="1" wp14:anchorId="05FA4C6F" wp14:editId="6E52F1F3">
                <wp:simplePos x="0" y="0"/>
                <wp:positionH relativeFrom="column">
                  <wp:posOffset>1611630</wp:posOffset>
                </wp:positionH>
                <wp:positionV relativeFrom="paragraph">
                  <wp:posOffset>546100</wp:posOffset>
                </wp:positionV>
                <wp:extent cx="1341120" cy="838200"/>
                <wp:effectExtent l="0" t="0" r="11430" b="19050"/>
                <wp:wrapNone/>
                <wp:docPr id="1884445672" name="Rectangle: Rounded Corners 6"/>
                <wp:cNvGraphicFramePr/>
                <a:graphic xmlns:a="http://schemas.openxmlformats.org/drawingml/2006/main">
                  <a:graphicData uri="http://schemas.microsoft.com/office/word/2010/wordprocessingShape">
                    <wps:wsp>
                      <wps:cNvSpPr/>
                      <wps:spPr>
                        <a:xfrm>
                          <a:off x="0" y="0"/>
                          <a:ext cx="1341120" cy="83820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55237A84" w14:textId="26FBD478" w:rsidR="00EC2B62" w:rsidRPr="00FB1366" w:rsidRDefault="00EC2B62" w:rsidP="00EC2B62">
                            <w:pPr>
                              <w:jc w:val="center"/>
                              <w:rPr>
                                <w:sz w:val="20"/>
                                <w:szCs w:val="20"/>
                              </w:rPr>
                            </w:pPr>
                            <w:r>
                              <w:rPr>
                                <w:sz w:val="20"/>
                                <w:szCs w:val="20"/>
                              </w:rPr>
                              <w:t>Studies after filters</w:t>
                            </w:r>
                            <w:r w:rsidRPr="00FB1366">
                              <w:rPr>
                                <w:sz w:val="20"/>
                                <w:szCs w:val="20"/>
                              </w:rPr>
                              <w:t>: N=</w:t>
                            </w:r>
                            <w:r w:rsidR="00F56FED">
                              <w:rPr>
                                <w:sz w:val="20"/>
                                <w:szCs w:val="20"/>
                              </w:rPr>
                              <w:t>88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5FA4C6F" id="_x0000_s1031" style="position:absolute;margin-left:126.9pt;margin-top:43pt;width:105.6pt;height:66pt;z-index:2516433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" fillcolor="white [3201]" strokecolor="#5b9bd5 [3208]" strokeweight="1pt">
                <v:stroke joinstyle="miter"/>
                <v:textbox>
                  <w:txbxContent>
                    <w:p w14:paraId="55237A84" w14:textId="26FBD478" w:rsidR="00EC2B62" w:rsidRPr="00FB1366" w:rsidRDefault="00EC2B62" w:rsidP="00EC2B62">
                      <w:pPr>
                        <w:jc w:val="center"/>
                        <w:rPr>
                          <w:sz w:val="20"/>
                          <w:szCs w:val="20"/>
                        </w:rPr>
                      </w:pPr>
                      <w:r>
                        <w:rPr>
                          <w:sz w:val="20"/>
                          <w:szCs w:val="20"/>
                        </w:rPr>
                        <w:t>Studies after filters</w:t>
                      </w:r>
                      <w:r w:rsidRPr="00FB1366">
                        <w:rPr>
                          <w:sz w:val="20"/>
                          <w:szCs w:val="20"/>
                        </w:rPr>
                        <w:t>: N=</w:t>
                      </w:r>
                      <w:r w:rsidR="00F56FED">
                        <w:rPr>
                          <w:sz w:val="20"/>
                          <w:szCs w:val="20"/>
                        </w:rPr>
                        <w:t>88</w:t>
                      </w:r>
                    </w:p>
                  </w:txbxContent>
                </v:textbox>
              </v:roundrect>
            </w:pict>
          </mc:Fallback>
        </mc:AlternateContent>
      </w:r>
      <w:r w:rsidRPr="00030181">
        <w:rPr>
          <w:rFonts w:ascii="Arial" w:hAnsi="Arial" w:cs="Arial"/>
          <w:noProof/>
        </w:rPr>
        <mc:AlternateContent>
          <mc:Choice Requires="wps">
            <w:drawing>
              <wp:anchor distT="0" distB="0" distL="114300" distR="114300" simplePos="0" relativeHeight="251679232" behindDoc="0" locked="0" layoutInCell="1" allowOverlap="1" wp14:anchorId="7F18D6E2" wp14:editId="76F8939C">
                <wp:simplePos x="0" y="0"/>
                <wp:positionH relativeFrom="page">
                  <wp:posOffset>1657350</wp:posOffset>
                </wp:positionH>
                <wp:positionV relativeFrom="paragraph">
                  <wp:posOffset>3702050</wp:posOffset>
                </wp:positionV>
                <wp:extent cx="1341120" cy="901700"/>
                <wp:effectExtent l="0" t="0" r="11430" b="12700"/>
                <wp:wrapNone/>
                <wp:docPr id="1673718925" name="Rectangle: Rounded Corners 6"/>
                <wp:cNvGraphicFramePr/>
                <a:graphic xmlns:a="http://schemas.openxmlformats.org/drawingml/2006/main">
                  <a:graphicData uri="http://schemas.microsoft.com/office/word/2010/wordprocessingShape">
                    <wps:wsp>
                      <wps:cNvSpPr/>
                      <wps:spPr>
                        <a:xfrm>
                          <a:off x="0" y="0"/>
                          <a:ext cx="1341120" cy="90170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68E4F92D" w14:textId="77777777" w:rsidR="00EB3771" w:rsidRPr="00EB3771" w:rsidRDefault="00EB3771" w:rsidP="00EB3771">
                            <w:pPr>
                              <w:jc w:val="center"/>
                              <w:rPr>
                                <w:sz w:val="20"/>
                                <w:szCs w:val="20"/>
                                <w:lang w:val="en-US"/>
                              </w:rPr>
                            </w:pPr>
                            <w:r w:rsidRPr="00EB3771">
                              <w:rPr>
                                <w:sz w:val="20"/>
                                <w:szCs w:val="20"/>
                                <w:lang w:val="en-US"/>
                              </w:rPr>
                              <w:t>Studies screened against inclusion and exclusion criteria: N = 27</w:t>
                            </w:r>
                          </w:p>
                          <w:p w14:paraId="4D200A1F" w14:textId="565729A1" w:rsidR="00EC2B62" w:rsidRPr="00FB1366" w:rsidRDefault="00EC2B62" w:rsidP="00EC2B62">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F18D6E2" id="_x0000_s1032" style="position:absolute;margin-left:130.5pt;margin-top:291.5pt;width:105.6pt;height:71pt;z-index:251679232;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" fillcolor="white [3201]" strokecolor="#5b9bd5 [3208]" strokeweight="1pt">
                <v:stroke joinstyle="miter"/>
                <v:textbox>
                  <w:txbxContent>
                    <w:p w14:paraId="68E4F92D" w14:textId="77777777" w:rsidR="00EB3771" w:rsidRPr="00EB3771" w:rsidRDefault="00EB3771" w:rsidP="00EB3771">
                      <w:pPr>
                        <w:jc w:val="center"/>
                        <w:rPr>
                          <w:sz w:val="20"/>
                          <w:szCs w:val="20"/>
                          <w:lang w:val="en-US"/>
                        </w:rPr>
                      </w:pPr>
                      <w:r w:rsidRPr="00EB3771">
                        <w:rPr>
                          <w:sz w:val="20"/>
                          <w:szCs w:val="20"/>
                          <w:lang w:val="en-US"/>
                        </w:rPr>
                        <w:t>Studies screened against inclusion and exclusion criteria: N = 27</w:t>
                      </w:r>
                    </w:p>
                    <w:p w14:paraId="4D200A1F" w14:textId="565729A1" w:rsidR="00EC2B62" w:rsidRPr="00FB1366" w:rsidRDefault="00EC2B62" w:rsidP="00EC2B62">
                      <w:pPr>
                        <w:jc w:val="center"/>
                        <w:rPr>
                          <w:sz w:val="20"/>
                          <w:szCs w:val="20"/>
                        </w:rPr>
                      </w:pPr>
                    </w:p>
                  </w:txbxContent>
                </v:textbox>
                <w10:wrap anchorx="page"/>
              </v:roundrect>
            </w:pict>
          </mc:Fallback>
        </mc:AlternateContent>
      </w:r>
      <w:r w:rsidRPr="00030181">
        <w:rPr>
          <w:rFonts w:ascii="Arial" w:hAnsi="Arial" w:cs="Arial"/>
          <w:noProof/>
        </w:rPr>
        <mc:AlternateContent>
          <mc:Choice Requires="wps">
            <w:drawing>
              <wp:anchor distT="0" distB="0" distL="114300" distR="114300" simplePos="0" relativeHeight="251674112" behindDoc="0" locked="0" layoutInCell="1" allowOverlap="1" wp14:anchorId="3943BD16" wp14:editId="76B9C0BE">
                <wp:simplePos x="0" y="0"/>
                <wp:positionH relativeFrom="page">
                  <wp:posOffset>4149090</wp:posOffset>
                </wp:positionH>
                <wp:positionV relativeFrom="paragraph">
                  <wp:posOffset>3657600</wp:posOffset>
                </wp:positionV>
                <wp:extent cx="1341120" cy="891540"/>
                <wp:effectExtent l="0" t="0" r="11430" b="22860"/>
                <wp:wrapNone/>
                <wp:docPr id="2049804944" name="Rectangle: Rounded Corners 6"/>
                <wp:cNvGraphicFramePr/>
                <a:graphic xmlns:a="http://schemas.openxmlformats.org/drawingml/2006/main">
                  <a:graphicData uri="http://schemas.microsoft.com/office/word/2010/wordprocessingShape">
                    <wps:wsp>
                      <wps:cNvSpPr/>
                      <wps:spPr>
                        <a:xfrm>
                          <a:off x="0" y="0"/>
                          <a:ext cx="1341120" cy="89154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3B2A7135" w14:textId="1447F21C" w:rsidR="00EB3771" w:rsidRPr="00EB3771" w:rsidRDefault="00EB3771" w:rsidP="00EB3771">
                            <w:pPr>
                              <w:jc w:val="center"/>
                              <w:rPr>
                                <w:sz w:val="20"/>
                                <w:szCs w:val="20"/>
                                <w:lang w:val="en-US"/>
                              </w:rPr>
                            </w:pPr>
                            <w:r w:rsidRPr="00EB3771">
                              <w:rPr>
                                <w:sz w:val="20"/>
                                <w:szCs w:val="20"/>
                              </w:rPr>
                              <w:t>Studies excluded: N = 1</w:t>
                            </w:r>
                            <w:r w:rsidR="000D6E1E">
                              <w:rPr>
                                <w:sz w:val="20"/>
                                <w:szCs w:val="20"/>
                              </w:rPr>
                              <w:t>3</w:t>
                            </w:r>
                          </w:p>
                          <w:p w14:paraId="61311DE1" w14:textId="6EDD4EF1" w:rsidR="00EC2B62" w:rsidRPr="00FB1366" w:rsidRDefault="00EC2B62" w:rsidP="00EC2B62">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943BD16" id="_x0000_s1033" style="position:absolute;margin-left:326.7pt;margin-top:4in;width:105.6pt;height:70.2pt;z-index:251674112;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" fillcolor="white [3201]" strokecolor="#5b9bd5 [3208]" strokeweight="1pt">
                <v:stroke joinstyle="miter"/>
                <v:textbox>
                  <w:txbxContent>
                    <w:p w14:paraId="3B2A7135" w14:textId="1447F21C" w:rsidR="00EB3771" w:rsidRPr="00EB3771" w:rsidRDefault="00EB3771" w:rsidP="00EB3771">
                      <w:pPr>
                        <w:jc w:val="center"/>
                        <w:rPr>
                          <w:sz w:val="20"/>
                          <w:szCs w:val="20"/>
                          <w:lang w:val="en-US"/>
                        </w:rPr>
                      </w:pPr>
                      <w:r w:rsidRPr="00EB3771">
                        <w:rPr>
                          <w:sz w:val="20"/>
                          <w:szCs w:val="20"/>
                        </w:rPr>
                        <w:t>Studies excluded: N = 1</w:t>
                      </w:r>
                      <w:r w:rsidR="000D6E1E">
                        <w:rPr>
                          <w:sz w:val="20"/>
                          <w:szCs w:val="20"/>
                        </w:rPr>
                        <w:t>3</w:t>
                      </w:r>
                    </w:p>
                    <w:p w14:paraId="61311DE1" w14:textId="6EDD4EF1" w:rsidR="00EC2B62" w:rsidRPr="00FB1366" w:rsidRDefault="00EC2B62" w:rsidP="00EC2B62">
                      <w:pPr>
                        <w:jc w:val="center"/>
                        <w:rPr>
                          <w:sz w:val="20"/>
                          <w:szCs w:val="20"/>
                        </w:rPr>
                      </w:pPr>
                    </w:p>
                  </w:txbxContent>
                </v:textbox>
                <w10:wrap anchorx="page"/>
              </v:roundrect>
            </w:pict>
          </mc:Fallback>
        </mc:AlternateContent>
      </w:r>
      <w:r w:rsidRPr="00030181">
        <w:rPr>
          <w:rFonts w:ascii="Arial" w:hAnsi="Arial" w:cs="Arial"/>
          <w:noProof/>
        </w:rPr>
        <mc:AlternateContent>
          <mc:Choice Requires="wps">
            <w:drawing>
              <wp:anchor distT="0" distB="0" distL="114300" distR="114300" simplePos="0" relativeHeight="251709952" behindDoc="0" locked="0" layoutInCell="1" allowOverlap="1" wp14:anchorId="4F242B5D" wp14:editId="39A06FD1">
                <wp:simplePos x="0" y="0"/>
                <wp:positionH relativeFrom="column">
                  <wp:posOffset>2084070</wp:posOffset>
                </wp:positionH>
                <wp:positionV relativeFrom="paragraph">
                  <wp:posOffset>4037330</wp:posOffset>
                </wp:positionV>
                <wp:extent cx="1154430" cy="12700"/>
                <wp:effectExtent l="0" t="76200" r="26670" b="82550"/>
                <wp:wrapNone/>
                <wp:docPr id="1347743325" name="Straight Arrow Connector 1"/>
                <wp:cNvGraphicFramePr/>
                <a:graphic xmlns:a="http://schemas.openxmlformats.org/drawingml/2006/main">
                  <a:graphicData uri="http://schemas.microsoft.com/office/word/2010/wordprocessingShape">
                    <wps:wsp>
                      <wps:cNvCnPr/>
                      <wps:spPr>
                        <a:xfrm flipV="1">
                          <a:off x="0" y="0"/>
                          <a:ext cx="1154430" cy="12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3D9ED0D" id="Straight Arrow Connector 1" o:spid="_x0000_s1026" type="#_x0000_t32" style="position:absolute;margin-left:164.1pt;margin-top:317.9pt;width:90.9pt;height:1pt;flip:y;z-index:2517099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" strokecolor="black [3200]" strokeweight=".5pt">
                <v:stroke endarrow="block" joinstyle="miter"/>
              </v:shape>
            </w:pict>
          </mc:Fallback>
        </mc:AlternateContent>
      </w:r>
      <w:r w:rsidRPr="00030181">
        <w:rPr>
          <w:rFonts w:ascii="Arial" w:hAnsi="Arial" w:cs="Arial"/>
          <w:noProof/>
        </w:rPr>
        <mc:AlternateContent>
          <mc:Choice Requires="wps">
            <w:drawing>
              <wp:anchor distT="0" distB="0" distL="114300" distR="114300" simplePos="0" relativeHeight="251592192" behindDoc="0" locked="0" layoutInCell="1" allowOverlap="1" wp14:anchorId="5AEE8761" wp14:editId="0BCC8802">
                <wp:simplePos x="0" y="0"/>
                <wp:positionH relativeFrom="column">
                  <wp:posOffset>2127250</wp:posOffset>
                </wp:positionH>
                <wp:positionV relativeFrom="paragraph">
                  <wp:posOffset>1841500</wp:posOffset>
                </wp:positionV>
                <wp:extent cx="1154430" cy="12700"/>
                <wp:effectExtent l="0" t="76200" r="26670" b="82550"/>
                <wp:wrapNone/>
                <wp:docPr id="1928831226" name="Straight Arrow Connector 1"/>
                <wp:cNvGraphicFramePr/>
                <a:graphic xmlns:a="http://schemas.openxmlformats.org/drawingml/2006/main">
                  <a:graphicData uri="http://schemas.microsoft.com/office/word/2010/wordprocessingShape">
                    <wps:wsp>
                      <wps:cNvCnPr/>
                      <wps:spPr>
                        <a:xfrm flipV="1">
                          <a:off x="0" y="0"/>
                          <a:ext cx="1154430" cy="12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5B13AF6" id="Straight Arrow Connector 1" o:spid="_x0000_s1026" type="#_x0000_t32" style="position:absolute;margin-left:167.5pt;margin-top:145pt;width:90.9pt;height:1pt;flip:y;z-index:251592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" strokecolor="black [3200]" strokeweight=".5pt">
                <v:stroke endarrow="block" joinstyle="miter"/>
              </v:shape>
            </w:pict>
          </mc:Fallback>
        </mc:AlternateContent>
      </w:r>
      <w:r w:rsidRPr="00030181">
        <w:rPr>
          <w:rFonts w:ascii="Arial" w:hAnsi="Arial" w:cs="Arial"/>
          <w:noProof/>
        </w:rPr>
        <mc:AlternateContent>
          <mc:Choice Requires="wps">
            <w:drawing>
              <wp:anchor distT="0" distB="0" distL="114300" distR="114300" simplePos="0" relativeHeight="251704832" behindDoc="0" locked="0" layoutInCell="1" allowOverlap="1" wp14:anchorId="408A5A31" wp14:editId="16B2DCC0">
                <wp:simplePos x="0" y="0"/>
                <wp:positionH relativeFrom="column">
                  <wp:posOffset>2141220</wp:posOffset>
                </wp:positionH>
                <wp:positionV relativeFrom="paragraph">
                  <wp:posOffset>2870200</wp:posOffset>
                </wp:positionV>
                <wp:extent cx="1154430" cy="12700"/>
                <wp:effectExtent l="0" t="76200" r="26670" b="82550"/>
                <wp:wrapNone/>
                <wp:docPr id="28582782" name="Straight Arrow Connector 1"/>
                <wp:cNvGraphicFramePr/>
                <a:graphic xmlns:a="http://schemas.openxmlformats.org/drawingml/2006/main">
                  <a:graphicData uri="http://schemas.microsoft.com/office/word/2010/wordprocessingShape">
                    <wps:wsp>
                      <wps:cNvCnPr/>
                      <wps:spPr>
                        <a:xfrm flipV="1">
                          <a:off x="0" y="0"/>
                          <a:ext cx="1154430" cy="12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0D315A8" id="Straight Arrow Connector 1" o:spid="_x0000_s1026" type="#_x0000_t32" style="position:absolute;margin-left:168.6pt;margin-top:226pt;width:90.9pt;height:1pt;flip:y;z-index:251704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" strokecolor="black [3200]" strokeweight=".5pt">
                <v:stroke endarrow="block" joinstyle="miter"/>
              </v:shape>
            </w:pict>
          </mc:Fallback>
        </mc:AlternateContent>
      </w:r>
      <w:r w:rsidRPr="00030181">
        <w:rPr>
          <w:rFonts w:ascii="Arial" w:hAnsi="Arial" w:cs="Arial"/>
          <w:noProof/>
        </w:rPr>
        <mc:AlternateContent>
          <mc:Choice Requires="wps">
            <w:drawing>
              <wp:anchor distT="0" distB="0" distL="114300" distR="114300" simplePos="0" relativeHeight="251699712" behindDoc="0" locked="0" layoutInCell="1" allowOverlap="1" wp14:anchorId="66CB6825" wp14:editId="24674EB3">
                <wp:simplePos x="0" y="0"/>
                <wp:positionH relativeFrom="page">
                  <wp:posOffset>1706880</wp:posOffset>
                </wp:positionH>
                <wp:positionV relativeFrom="paragraph">
                  <wp:posOffset>6004560</wp:posOffset>
                </wp:positionV>
                <wp:extent cx="1341120" cy="777240"/>
                <wp:effectExtent l="0" t="0" r="11430" b="22860"/>
                <wp:wrapNone/>
                <wp:docPr id="1882229022" name="Rectangle: Rounded Corners 6"/>
                <wp:cNvGraphicFramePr/>
                <a:graphic xmlns:a="http://schemas.openxmlformats.org/drawingml/2006/main">
                  <a:graphicData uri="http://schemas.microsoft.com/office/word/2010/wordprocessingShape">
                    <wps:wsp>
                      <wps:cNvSpPr/>
                      <wps:spPr>
                        <a:xfrm>
                          <a:off x="0" y="0"/>
                          <a:ext cx="1341120" cy="77724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114B49DF" w14:textId="77777777" w:rsidR="005D7399" w:rsidRPr="005D7399" w:rsidRDefault="005D7399" w:rsidP="005D7399">
                            <w:pPr>
                              <w:jc w:val="center"/>
                              <w:rPr>
                                <w:sz w:val="20"/>
                                <w:szCs w:val="20"/>
                                <w:lang w:val="en-US"/>
                              </w:rPr>
                            </w:pPr>
                            <w:r w:rsidRPr="005D7399">
                              <w:rPr>
                                <w:sz w:val="20"/>
                                <w:szCs w:val="20"/>
                                <w:lang w:val="en-US"/>
                              </w:rPr>
                              <w:t>Studies included in the review: N = 17</w:t>
                            </w:r>
                          </w:p>
                          <w:p w14:paraId="345419AE" w14:textId="32200422" w:rsidR="00EC2B62" w:rsidRPr="00FB1366" w:rsidRDefault="00EC2B62" w:rsidP="00EC2B62">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6CB6825" id="_x0000_s1034" style="position:absolute;margin-left:134.4pt;margin-top:472.8pt;width:105.6pt;height:61.2pt;z-index:251699712;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" fillcolor="white [3201]" strokecolor="#5b9bd5 [3208]" strokeweight="1pt">
                <v:stroke joinstyle="miter"/>
                <v:textbox>
                  <w:txbxContent>
                    <w:p w14:paraId="114B49DF" w14:textId="77777777" w:rsidR="005D7399" w:rsidRPr="005D7399" w:rsidRDefault="005D7399" w:rsidP="005D7399">
                      <w:pPr>
                        <w:jc w:val="center"/>
                        <w:rPr>
                          <w:sz w:val="20"/>
                          <w:szCs w:val="20"/>
                          <w:lang w:val="en-US"/>
                        </w:rPr>
                      </w:pPr>
                      <w:r w:rsidRPr="005D7399">
                        <w:rPr>
                          <w:sz w:val="20"/>
                          <w:szCs w:val="20"/>
                          <w:lang w:val="en-US"/>
                        </w:rPr>
                        <w:t>Studies included in the review: N = 17</w:t>
                      </w:r>
                    </w:p>
                    <w:p w14:paraId="345419AE" w14:textId="32200422" w:rsidR="00EC2B62" w:rsidRPr="00FB1366" w:rsidRDefault="00EC2B62" w:rsidP="00EC2B62">
                      <w:pPr>
                        <w:jc w:val="center"/>
                        <w:rPr>
                          <w:sz w:val="20"/>
                          <w:szCs w:val="20"/>
                        </w:rPr>
                      </w:pPr>
                    </w:p>
                  </w:txbxContent>
                </v:textbox>
                <w10:wrap anchorx="page"/>
              </v:roundrect>
            </w:pict>
          </mc:Fallback>
        </mc:AlternateContent>
      </w:r>
      <w:r w:rsidRPr="00030181">
        <w:rPr>
          <w:rFonts w:ascii="Arial" w:hAnsi="Arial" w:cs="Arial"/>
          <w:noProof/>
        </w:rPr>
        <mc:AlternateContent>
          <mc:Choice Requires="wps">
            <w:drawing>
              <wp:anchor distT="0" distB="0" distL="114300" distR="114300" simplePos="0" relativeHeight="251663872" behindDoc="0" locked="0" layoutInCell="1" allowOverlap="1" wp14:anchorId="2A42FB27" wp14:editId="66A9BDA4">
                <wp:simplePos x="0" y="0"/>
                <wp:positionH relativeFrom="page">
                  <wp:posOffset>1689100</wp:posOffset>
                </wp:positionH>
                <wp:positionV relativeFrom="paragraph">
                  <wp:posOffset>4823460</wp:posOffset>
                </wp:positionV>
                <wp:extent cx="1341120" cy="777240"/>
                <wp:effectExtent l="0" t="0" r="11430" b="22860"/>
                <wp:wrapNone/>
                <wp:docPr id="922238290" name="Rectangle: Rounded Corners 6"/>
                <wp:cNvGraphicFramePr/>
                <a:graphic xmlns:a="http://schemas.openxmlformats.org/drawingml/2006/main">
                  <a:graphicData uri="http://schemas.microsoft.com/office/word/2010/wordprocessingShape">
                    <wps:wsp>
                      <wps:cNvSpPr/>
                      <wps:spPr>
                        <a:xfrm>
                          <a:off x="0" y="0"/>
                          <a:ext cx="1341120" cy="77724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6F137486" w14:textId="540413D7" w:rsidR="00EB3771" w:rsidRPr="00EB3771" w:rsidRDefault="00EB3771" w:rsidP="00EB3771">
                            <w:pPr>
                              <w:jc w:val="center"/>
                              <w:rPr>
                                <w:sz w:val="20"/>
                                <w:szCs w:val="20"/>
                                <w:lang w:val="en-US"/>
                              </w:rPr>
                            </w:pPr>
                            <w:r w:rsidRPr="00EB3771">
                              <w:rPr>
                                <w:sz w:val="20"/>
                                <w:szCs w:val="20"/>
                                <w:lang w:val="en-US"/>
                              </w:rPr>
                              <w:t>Remaining studies: N = 1</w:t>
                            </w:r>
                            <w:r w:rsidR="000D6E1E">
                              <w:rPr>
                                <w:sz w:val="20"/>
                                <w:szCs w:val="20"/>
                                <w:lang w:val="en-US"/>
                              </w:rPr>
                              <w:t>4</w:t>
                            </w:r>
                          </w:p>
                          <w:p w14:paraId="1969F2FE" w14:textId="7443FB7A" w:rsidR="00EC2B62" w:rsidRPr="00FB1366" w:rsidRDefault="00EC2B62" w:rsidP="00EC2B62">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A42FB27" id="_x0000_s1035" style="position:absolute;margin-left:133pt;margin-top:379.8pt;width:105.6pt;height:61.2pt;z-index:251663872;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" fillcolor="white [3201]" strokecolor="#5b9bd5 [3208]" strokeweight="1pt">
                <v:stroke joinstyle="miter"/>
                <v:textbox>
                  <w:txbxContent>
                    <w:p w14:paraId="6F137486" w14:textId="540413D7" w:rsidR="00EB3771" w:rsidRPr="00EB3771" w:rsidRDefault="00EB3771" w:rsidP="00EB3771">
                      <w:pPr>
                        <w:jc w:val="center"/>
                        <w:rPr>
                          <w:sz w:val="20"/>
                          <w:szCs w:val="20"/>
                          <w:lang w:val="en-US"/>
                        </w:rPr>
                      </w:pPr>
                      <w:r w:rsidRPr="00EB3771">
                        <w:rPr>
                          <w:sz w:val="20"/>
                          <w:szCs w:val="20"/>
                          <w:lang w:val="en-US"/>
                        </w:rPr>
                        <w:t>Remaining studies: N = 1</w:t>
                      </w:r>
                      <w:r w:rsidR="000D6E1E">
                        <w:rPr>
                          <w:sz w:val="20"/>
                          <w:szCs w:val="20"/>
                          <w:lang w:val="en-US"/>
                        </w:rPr>
                        <w:t>4</w:t>
                      </w:r>
                    </w:p>
                    <w:p w14:paraId="1969F2FE" w14:textId="7443FB7A" w:rsidR="00EC2B62" w:rsidRPr="00FB1366" w:rsidRDefault="00EC2B62" w:rsidP="00EC2B62">
                      <w:pPr>
                        <w:jc w:val="center"/>
                        <w:rPr>
                          <w:sz w:val="20"/>
                          <w:szCs w:val="20"/>
                        </w:rPr>
                      </w:pPr>
                    </w:p>
                  </w:txbxContent>
                </v:textbox>
                <w10:wrap anchorx="page"/>
              </v:roundrect>
            </w:pict>
          </mc:Fallback>
        </mc:AlternateContent>
      </w:r>
      <w:r w:rsidRPr="00030181">
        <w:rPr>
          <w:rFonts w:ascii="Arial" w:hAnsi="Arial" w:cs="Arial"/>
          <w:noProof/>
        </w:rPr>
        <mc:AlternateContent>
          <mc:Choice Requires="wps">
            <w:drawing>
              <wp:anchor distT="0" distB="0" distL="114300" distR="114300" simplePos="0" relativeHeight="251684352" behindDoc="0" locked="0" layoutInCell="1" allowOverlap="1" wp14:anchorId="18DD1871" wp14:editId="74FF750C">
                <wp:simplePos x="0" y="0"/>
                <wp:positionH relativeFrom="column">
                  <wp:posOffset>1280160</wp:posOffset>
                </wp:positionH>
                <wp:positionV relativeFrom="paragraph">
                  <wp:posOffset>358140</wp:posOffset>
                </wp:positionV>
                <wp:extent cx="15240" cy="510540"/>
                <wp:effectExtent l="0" t="0" r="22860" b="22860"/>
                <wp:wrapNone/>
                <wp:docPr id="787582438" name="Straight Connector 8"/>
                <wp:cNvGraphicFramePr/>
                <a:graphic xmlns:a="http://schemas.openxmlformats.org/drawingml/2006/main">
                  <a:graphicData uri="http://schemas.microsoft.com/office/word/2010/wordprocessingShape">
                    <wps:wsp>
                      <wps:cNvCnPr/>
                      <wps:spPr>
                        <a:xfrm>
                          <a:off x="0" y="0"/>
                          <a:ext cx="15240" cy="5105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6E55BD" id="Straight Connector 8" o:spid="_x0000_s1026" style="position:absolute;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0.8pt,28.2pt" to="102pt,6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" strokecolor="black [3200]" strokeweight=".5pt">
                <v:stroke joinstyle="miter"/>
              </v:line>
            </w:pict>
          </mc:Fallback>
        </mc:AlternateContent>
      </w:r>
      <w:r w:rsidRPr="00030181">
        <w:rPr>
          <w:rFonts w:ascii="Arial" w:hAnsi="Arial" w:cs="Arial"/>
          <w:noProof/>
        </w:rPr>
        <mc:AlternateContent>
          <mc:Choice Requires="wps">
            <w:drawing>
              <wp:anchor distT="0" distB="0" distL="114300" distR="114300" simplePos="0" relativeHeight="251653632" behindDoc="0" locked="0" layoutInCell="1" allowOverlap="1" wp14:anchorId="073A50F0" wp14:editId="633FB92A">
                <wp:simplePos x="0" y="0"/>
                <wp:positionH relativeFrom="column">
                  <wp:posOffset>3268980</wp:posOffset>
                </wp:positionH>
                <wp:positionV relativeFrom="paragraph">
                  <wp:posOffset>1493520</wp:posOffset>
                </wp:positionV>
                <wp:extent cx="1341120" cy="777240"/>
                <wp:effectExtent l="0" t="0" r="11430" b="22860"/>
                <wp:wrapNone/>
                <wp:docPr id="1043870908" name="Rectangle: Rounded Corners 6"/>
                <wp:cNvGraphicFramePr/>
                <a:graphic xmlns:a="http://schemas.openxmlformats.org/drawingml/2006/main">
                  <a:graphicData uri="http://schemas.microsoft.com/office/word/2010/wordprocessingShape">
                    <wps:wsp>
                      <wps:cNvSpPr/>
                      <wps:spPr>
                        <a:xfrm>
                          <a:off x="0" y="0"/>
                          <a:ext cx="1341120" cy="77724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0FA4CC7E" w14:textId="77777777" w:rsidR="00EB3771" w:rsidRPr="00EB3771" w:rsidRDefault="00EB3771" w:rsidP="00EB3771">
                            <w:pPr>
                              <w:jc w:val="center"/>
                              <w:rPr>
                                <w:sz w:val="20"/>
                                <w:szCs w:val="20"/>
                                <w:lang w:val="en-US"/>
                              </w:rPr>
                            </w:pPr>
                            <w:r w:rsidRPr="00EB3771">
                              <w:rPr>
                                <w:sz w:val="20"/>
                                <w:szCs w:val="20"/>
                                <w:lang w:val="en-US"/>
                              </w:rPr>
                              <w:t>Studies removed following title screening: N = 38</w:t>
                            </w:r>
                          </w:p>
                          <w:p w14:paraId="109BB864" w14:textId="0D36F013" w:rsidR="00EC2B62" w:rsidRPr="00FB1366" w:rsidRDefault="00EC2B62" w:rsidP="00EC2B62">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73A50F0" id="_x0000_s1036" style="position:absolute;margin-left:257.4pt;margin-top:117.6pt;width:105.6pt;height:61.2pt;z-index:251653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" fillcolor="white [3201]" strokecolor="#5b9bd5 [3208]" strokeweight="1pt">
                <v:stroke joinstyle="miter"/>
                <v:textbox>
                  <w:txbxContent>
                    <w:p w14:paraId="0FA4CC7E" w14:textId="77777777" w:rsidR="00EB3771" w:rsidRPr="00EB3771" w:rsidRDefault="00EB3771" w:rsidP="00EB3771">
                      <w:pPr>
                        <w:jc w:val="center"/>
                        <w:rPr>
                          <w:sz w:val="20"/>
                          <w:szCs w:val="20"/>
                          <w:lang w:val="en-US"/>
                        </w:rPr>
                      </w:pPr>
                      <w:r w:rsidRPr="00EB3771">
                        <w:rPr>
                          <w:sz w:val="20"/>
                          <w:szCs w:val="20"/>
                          <w:lang w:val="en-US"/>
                        </w:rPr>
                        <w:t>Studies removed following title screening: N = 38</w:t>
                      </w:r>
                    </w:p>
                    <w:p w14:paraId="109BB864" w14:textId="0D36F013" w:rsidR="00EC2B62" w:rsidRPr="00FB1366" w:rsidRDefault="00EC2B62" w:rsidP="00EC2B62">
                      <w:pPr>
                        <w:jc w:val="center"/>
                        <w:rPr>
                          <w:sz w:val="20"/>
                          <w:szCs w:val="20"/>
                        </w:rPr>
                      </w:pPr>
                    </w:p>
                  </w:txbxContent>
                </v:textbox>
              </v:roundrect>
            </w:pict>
          </mc:Fallback>
        </mc:AlternateContent>
      </w:r>
      <w:r w:rsidRPr="00030181">
        <w:rPr>
          <w:rFonts w:ascii="Arial" w:hAnsi="Arial" w:cs="Arial"/>
          <w:noProof/>
        </w:rPr>
        <mc:AlternateContent>
          <mc:Choice Requires="wps">
            <w:drawing>
              <wp:anchor distT="0" distB="0" distL="114300" distR="114300" simplePos="0" relativeHeight="251658752" behindDoc="0" locked="0" layoutInCell="1" allowOverlap="1" wp14:anchorId="1EAF6005" wp14:editId="49035889">
                <wp:simplePos x="0" y="0"/>
                <wp:positionH relativeFrom="column">
                  <wp:posOffset>3268980</wp:posOffset>
                </wp:positionH>
                <wp:positionV relativeFrom="paragraph">
                  <wp:posOffset>2521585</wp:posOffset>
                </wp:positionV>
                <wp:extent cx="1341120" cy="777240"/>
                <wp:effectExtent l="0" t="0" r="11430" b="22860"/>
                <wp:wrapNone/>
                <wp:docPr id="1285195652" name="Rectangle: Rounded Corners 6"/>
                <wp:cNvGraphicFramePr/>
                <a:graphic xmlns:a="http://schemas.openxmlformats.org/drawingml/2006/main">
                  <a:graphicData uri="http://schemas.microsoft.com/office/word/2010/wordprocessingShape">
                    <wps:wsp>
                      <wps:cNvSpPr/>
                      <wps:spPr>
                        <a:xfrm>
                          <a:off x="0" y="0"/>
                          <a:ext cx="1341120" cy="77724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39BD8D87" w14:textId="77777777" w:rsidR="00EB3771" w:rsidRPr="00EB3771" w:rsidRDefault="00EB3771" w:rsidP="00EB3771">
                            <w:pPr>
                              <w:jc w:val="center"/>
                              <w:rPr>
                                <w:sz w:val="20"/>
                                <w:szCs w:val="20"/>
                                <w:lang w:val="en-US"/>
                              </w:rPr>
                            </w:pPr>
                            <w:r w:rsidRPr="00EB3771">
                              <w:rPr>
                                <w:sz w:val="20"/>
                                <w:szCs w:val="20"/>
                                <w:lang w:val="en-US"/>
                              </w:rPr>
                              <w:t>Studies excluded following abstract review: N = 23</w:t>
                            </w:r>
                          </w:p>
                          <w:p w14:paraId="40FD9E0F" w14:textId="58471355" w:rsidR="00EC2B62" w:rsidRPr="00FB1366" w:rsidRDefault="00EC2B62" w:rsidP="00EC2B62">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EAF6005" id="_x0000_s1037" style="position:absolute;margin-left:257.4pt;margin-top:198.55pt;width:105.6pt;height:61.2pt;z-index:251658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" fillcolor="white [3201]" strokecolor="#5b9bd5 [3208]" strokeweight="1pt">
                <v:stroke joinstyle="miter"/>
                <v:textbox>
                  <w:txbxContent>
                    <w:p w14:paraId="39BD8D87" w14:textId="77777777" w:rsidR="00EB3771" w:rsidRPr="00EB3771" w:rsidRDefault="00EB3771" w:rsidP="00EB3771">
                      <w:pPr>
                        <w:jc w:val="center"/>
                        <w:rPr>
                          <w:sz w:val="20"/>
                          <w:szCs w:val="20"/>
                          <w:lang w:val="en-US"/>
                        </w:rPr>
                      </w:pPr>
                      <w:r w:rsidRPr="00EB3771">
                        <w:rPr>
                          <w:sz w:val="20"/>
                          <w:szCs w:val="20"/>
                          <w:lang w:val="en-US"/>
                        </w:rPr>
                        <w:t>Studies excluded following abstract review: N = 23</w:t>
                      </w:r>
                    </w:p>
                    <w:p w14:paraId="40FD9E0F" w14:textId="58471355" w:rsidR="00EC2B62" w:rsidRPr="00FB1366" w:rsidRDefault="00EC2B62" w:rsidP="00EC2B62">
                      <w:pPr>
                        <w:jc w:val="center"/>
                        <w:rPr>
                          <w:sz w:val="20"/>
                          <w:szCs w:val="20"/>
                        </w:rPr>
                      </w:pPr>
                    </w:p>
                  </w:txbxContent>
                </v:textbox>
              </v:roundrect>
            </w:pict>
          </mc:Fallback>
        </mc:AlternateContent>
      </w:r>
      <w:r w:rsidRPr="00030181">
        <w:rPr>
          <w:rFonts w:ascii="Arial" w:hAnsi="Arial" w:cs="Arial"/>
          <w:noProof/>
        </w:rPr>
        <mc:AlternateContent>
          <mc:Choice Requires="wps">
            <w:drawing>
              <wp:anchor distT="0" distB="0" distL="114300" distR="114300" simplePos="0" relativeHeight="251668992" behindDoc="0" locked="0" layoutInCell="1" allowOverlap="1" wp14:anchorId="20686CDE" wp14:editId="6125461B">
                <wp:simplePos x="0" y="0"/>
                <wp:positionH relativeFrom="column">
                  <wp:posOffset>800100</wp:posOffset>
                </wp:positionH>
                <wp:positionV relativeFrom="paragraph">
                  <wp:posOffset>2545080</wp:posOffset>
                </wp:positionV>
                <wp:extent cx="1341120" cy="777240"/>
                <wp:effectExtent l="0" t="0" r="11430" b="22860"/>
                <wp:wrapNone/>
                <wp:docPr id="2006715774" name="Rectangle: Rounded Corners 6"/>
                <wp:cNvGraphicFramePr/>
                <a:graphic xmlns:a="http://schemas.openxmlformats.org/drawingml/2006/main">
                  <a:graphicData uri="http://schemas.microsoft.com/office/word/2010/wordprocessingShape">
                    <wps:wsp>
                      <wps:cNvSpPr/>
                      <wps:spPr>
                        <a:xfrm>
                          <a:off x="0" y="0"/>
                          <a:ext cx="1341120" cy="77724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02EEF9D1" w14:textId="77777777" w:rsidR="00EB3771" w:rsidRPr="00EB3771" w:rsidRDefault="00EB3771" w:rsidP="00EB3771">
                            <w:pPr>
                              <w:jc w:val="center"/>
                              <w:rPr>
                                <w:sz w:val="20"/>
                                <w:szCs w:val="20"/>
                                <w:lang w:val="en-US"/>
                              </w:rPr>
                            </w:pPr>
                            <w:r w:rsidRPr="00EB3771">
                              <w:rPr>
                                <w:sz w:val="20"/>
                                <w:szCs w:val="20"/>
                                <w:lang w:val="en-US"/>
                              </w:rPr>
                              <w:t>Studies assessed through abstract screening: N = 50</w:t>
                            </w:r>
                          </w:p>
                          <w:p w14:paraId="5CA57519" w14:textId="60E316CF" w:rsidR="00EC2B62" w:rsidRPr="00FB1366" w:rsidRDefault="00EC2B62" w:rsidP="00EC2B62">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0686CDE" id="_x0000_s1038" style="position:absolute;margin-left:63pt;margin-top:200.4pt;width:105.6pt;height:61.2pt;z-index:251668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" fillcolor="white [3201]" strokecolor="#5b9bd5 [3208]" strokeweight="1pt">
                <v:stroke joinstyle="miter"/>
                <v:textbox>
                  <w:txbxContent>
                    <w:p w14:paraId="02EEF9D1" w14:textId="77777777" w:rsidR="00EB3771" w:rsidRPr="00EB3771" w:rsidRDefault="00EB3771" w:rsidP="00EB3771">
                      <w:pPr>
                        <w:jc w:val="center"/>
                        <w:rPr>
                          <w:sz w:val="20"/>
                          <w:szCs w:val="20"/>
                          <w:lang w:val="en-US"/>
                        </w:rPr>
                      </w:pPr>
                      <w:r w:rsidRPr="00EB3771">
                        <w:rPr>
                          <w:sz w:val="20"/>
                          <w:szCs w:val="20"/>
                          <w:lang w:val="en-US"/>
                        </w:rPr>
                        <w:t>Studies assessed through abstract screening: N = 50</w:t>
                      </w:r>
                    </w:p>
                    <w:p w14:paraId="5CA57519" w14:textId="60E316CF" w:rsidR="00EC2B62" w:rsidRPr="00FB1366" w:rsidRDefault="00EC2B62" w:rsidP="00EC2B62">
                      <w:pPr>
                        <w:jc w:val="center"/>
                        <w:rPr>
                          <w:sz w:val="20"/>
                          <w:szCs w:val="20"/>
                        </w:rPr>
                      </w:pPr>
                    </w:p>
                  </w:txbxContent>
                </v:textbox>
              </v:roundrect>
            </w:pict>
          </mc:Fallback>
        </mc:AlternateContent>
      </w:r>
      <w:r w:rsidRPr="00030181">
        <w:rPr>
          <w:rFonts w:ascii="Arial" w:hAnsi="Arial" w:cs="Arial"/>
          <w:noProof/>
        </w:rPr>
        <mc:AlternateContent>
          <mc:Choice Requires="wps">
            <w:drawing>
              <wp:anchor distT="0" distB="0" distL="114300" distR="114300" simplePos="0" relativeHeight="251638272" behindDoc="0" locked="0" layoutInCell="1" allowOverlap="1" wp14:anchorId="6DFF6242" wp14:editId="79695FC1">
                <wp:simplePos x="0" y="0"/>
                <wp:positionH relativeFrom="column">
                  <wp:posOffset>716280</wp:posOffset>
                </wp:positionH>
                <wp:positionV relativeFrom="paragraph">
                  <wp:posOffset>-434340</wp:posOffset>
                </wp:positionV>
                <wp:extent cx="1341120" cy="777240"/>
                <wp:effectExtent l="0" t="0" r="11430" b="22860"/>
                <wp:wrapNone/>
                <wp:docPr id="2078450552" name="Rectangle: Rounded Corners 6"/>
                <wp:cNvGraphicFramePr/>
                <a:graphic xmlns:a="http://schemas.openxmlformats.org/drawingml/2006/main">
                  <a:graphicData uri="http://schemas.microsoft.com/office/word/2010/wordprocessingShape">
                    <wps:wsp>
                      <wps:cNvSpPr/>
                      <wps:spPr>
                        <a:xfrm>
                          <a:off x="0" y="0"/>
                          <a:ext cx="1341120" cy="77724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1F80BA3C" w14:textId="77777777" w:rsidR="00EB3771" w:rsidRPr="00EB3771" w:rsidRDefault="00EB3771" w:rsidP="00EB3771">
                            <w:pPr>
                              <w:jc w:val="center"/>
                              <w:rPr>
                                <w:sz w:val="20"/>
                                <w:szCs w:val="20"/>
                                <w:lang w:val="en-US"/>
                              </w:rPr>
                            </w:pPr>
                            <w:r w:rsidRPr="00EB3771">
                              <w:rPr>
                                <w:sz w:val="20"/>
                                <w:szCs w:val="20"/>
                                <w:lang w:val="en-US"/>
                              </w:rPr>
                              <w:t>Studies retrieved from academic databases: N = 240</w:t>
                            </w:r>
                          </w:p>
                          <w:p w14:paraId="528A1D24" w14:textId="09B5D388" w:rsidR="00EC2B62" w:rsidRPr="00FB1366" w:rsidRDefault="00EC2B62" w:rsidP="00EC2B62">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DFF6242" id="_x0000_s1039" style="position:absolute;margin-left:56.4pt;margin-top:-34.2pt;width:105.6pt;height:61.2pt;z-index:251638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" fillcolor="white [3201]" strokecolor="#5b9bd5 [3208]" strokeweight="1pt">
                <v:stroke joinstyle="miter"/>
                <v:textbox>
                  <w:txbxContent>
                    <w:p w14:paraId="1F80BA3C" w14:textId="77777777" w:rsidR="00EB3771" w:rsidRPr="00EB3771" w:rsidRDefault="00EB3771" w:rsidP="00EB3771">
                      <w:pPr>
                        <w:jc w:val="center"/>
                        <w:rPr>
                          <w:sz w:val="20"/>
                          <w:szCs w:val="20"/>
                          <w:lang w:val="en-US"/>
                        </w:rPr>
                      </w:pPr>
                      <w:r w:rsidRPr="00EB3771">
                        <w:rPr>
                          <w:sz w:val="20"/>
                          <w:szCs w:val="20"/>
                          <w:lang w:val="en-US"/>
                        </w:rPr>
                        <w:t>Studies retrieved from academic databases: N = 240</w:t>
                      </w:r>
                    </w:p>
                    <w:p w14:paraId="528A1D24" w14:textId="09B5D388" w:rsidR="00EC2B62" w:rsidRPr="00FB1366" w:rsidRDefault="00EC2B62" w:rsidP="00EC2B62">
                      <w:pPr>
                        <w:jc w:val="center"/>
                        <w:rPr>
                          <w:sz w:val="20"/>
                          <w:szCs w:val="20"/>
                        </w:rPr>
                      </w:pPr>
                    </w:p>
                  </w:txbxContent>
                </v:textbox>
              </v:roundrect>
            </w:pict>
          </mc:Fallback>
        </mc:AlternateContent>
      </w:r>
      <w:r w:rsidRPr="00030181">
        <w:rPr>
          <w:rFonts w:ascii="Arial" w:hAnsi="Arial" w:cs="Arial"/>
          <w:noProof/>
        </w:rPr>
        <mc:AlternateContent>
          <mc:Choice Requires="wps">
            <w:drawing>
              <wp:anchor distT="0" distB="0" distL="114300" distR="114300" simplePos="0" relativeHeight="251617792" behindDoc="0" locked="0" layoutInCell="1" allowOverlap="1" wp14:anchorId="5A8B70F6" wp14:editId="32798554">
                <wp:simplePos x="0" y="0"/>
                <wp:positionH relativeFrom="column">
                  <wp:posOffset>-631507</wp:posOffset>
                </wp:positionH>
                <wp:positionV relativeFrom="paragraph">
                  <wp:posOffset>239077</wp:posOffset>
                </wp:positionV>
                <wp:extent cx="1775460" cy="386715"/>
                <wp:effectExtent l="8572" t="0" r="23813" b="23812"/>
                <wp:wrapNone/>
                <wp:docPr id="1056780346" name="Rectangle 5"/>
                <wp:cNvGraphicFramePr/>
                <a:graphic xmlns:a="http://schemas.openxmlformats.org/drawingml/2006/main">
                  <a:graphicData uri="http://schemas.microsoft.com/office/word/2010/wordprocessingShape">
                    <wps:wsp>
                      <wps:cNvSpPr/>
                      <wps:spPr>
                        <a:xfrm rot="16200000">
                          <a:off x="0" y="0"/>
                          <a:ext cx="1775460" cy="386715"/>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178CDED9" w14:textId="77777777" w:rsidR="00EC2B62" w:rsidRPr="009F342C" w:rsidRDefault="00EC2B62" w:rsidP="00EC2B62">
                            <w:pPr>
                              <w:jc w:val="center"/>
                              <w:rPr>
                                <w:b/>
                                <w:bCs/>
                              </w:rPr>
                            </w:pPr>
                            <w:r w:rsidRPr="009F342C">
                              <w:rPr>
                                <w:b/>
                                <w:bCs/>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8B70F6" id="_x0000_s1040" style="position:absolute;margin-left:-49.7pt;margin-top:18.8pt;width:139.8pt;height:30.45pt;rotation:-90;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" fillcolor="#91bce3 [2168]" strokecolor="#5b9bd5 [3208]" strokeweight=".5pt">
                <v:fill color2="#7aaddd [2616]" rotate="t" colors="0 #b1cbe9;.5 #a3c1e5;1 #92b9e4" focus="100%" type="gradient">
                  <o:fill v:ext="view" type="gradientUnscaled"/>
                </v:fill>
                <v:textbox>
                  <w:txbxContent>
                    <w:p w14:paraId="178CDED9" w14:textId="77777777" w:rsidR="00EC2B62" w:rsidRPr="009F342C" w:rsidRDefault="00EC2B62" w:rsidP="00EC2B62">
                      <w:pPr>
                        <w:jc w:val="center"/>
                        <w:rPr>
                          <w:b/>
                          <w:bCs/>
                        </w:rPr>
                      </w:pPr>
                      <w:r w:rsidRPr="009F342C">
                        <w:rPr>
                          <w:b/>
                          <w:bCs/>
                        </w:rPr>
                        <w:t>Identification</w:t>
                      </w:r>
                    </w:p>
                  </w:txbxContent>
                </v:textbox>
              </v:rect>
            </w:pict>
          </mc:Fallback>
        </mc:AlternateContent>
      </w:r>
      <w:r w:rsidRPr="00030181">
        <w:rPr>
          <w:rFonts w:ascii="Arial" w:hAnsi="Arial" w:cs="Arial"/>
          <w:noProof/>
        </w:rPr>
        <mc:AlternateContent>
          <mc:Choice Requires="wps">
            <w:drawing>
              <wp:anchor distT="0" distB="0" distL="114300" distR="114300" simplePos="0" relativeHeight="251633152" behindDoc="0" locked="0" layoutInCell="1" allowOverlap="1" wp14:anchorId="7AFCB9EF" wp14:editId="4C75FE89">
                <wp:simplePos x="0" y="0"/>
                <wp:positionH relativeFrom="column">
                  <wp:posOffset>-623570</wp:posOffset>
                </wp:positionH>
                <wp:positionV relativeFrom="paragraph">
                  <wp:posOffset>4084320</wp:posOffset>
                </wp:positionV>
                <wp:extent cx="1813560" cy="388620"/>
                <wp:effectExtent l="7620" t="0" r="22860" b="22860"/>
                <wp:wrapNone/>
                <wp:docPr id="739593587" name="Rectangle 5"/>
                <wp:cNvGraphicFramePr/>
                <a:graphic xmlns:a="http://schemas.openxmlformats.org/drawingml/2006/main">
                  <a:graphicData uri="http://schemas.microsoft.com/office/word/2010/wordprocessingShape">
                    <wps:wsp>
                      <wps:cNvSpPr/>
                      <wps:spPr>
                        <a:xfrm rot="16200000">
                          <a:off x="0" y="0"/>
                          <a:ext cx="1813560" cy="38862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124DEC79" w14:textId="77777777" w:rsidR="00EC2B62" w:rsidRPr="009F342C" w:rsidRDefault="00EC2B62" w:rsidP="00EC2B62">
                            <w:pPr>
                              <w:jc w:val="center"/>
                              <w:rPr>
                                <w:b/>
                                <w:bCs/>
                              </w:rPr>
                            </w:pPr>
                            <w:r w:rsidRPr="009F342C">
                              <w:rPr>
                                <w:b/>
                                <w:bCs/>
                              </w:rPr>
                              <w:t xml:space="preserve">Eligibility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FCB9EF" id="_x0000_s1041" style="position:absolute;margin-left:-49.1pt;margin-top:321.6pt;width:142.8pt;height:30.6pt;rotation:-90;z-index:251633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" fillcolor="#91bce3 [2168]" strokecolor="#5b9bd5 [3208]" strokeweight=".5pt">
                <v:fill color2="#7aaddd [2616]" rotate="t" colors="0 #b1cbe9;.5 #a3c1e5;1 #92b9e4" focus="100%" type="gradient">
                  <o:fill v:ext="view" type="gradientUnscaled"/>
                </v:fill>
                <v:textbox>
                  <w:txbxContent>
                    <w:p w14:paraId="124DEC79" w14:textId="77777777" w:rsidR="00EC2B62" w:rsidRPr="009F342C" w:rsidRDefault="00EC2B62" w:rsidP="00EC2B62">
                      <w:pPr>
                        <w:jc w:val="center"/>
                        <w:rPr>
                          <w:b/>
                          <w:bCs/>
                        </w:rPr>
                      </w:pPr>
                      <w:r w:rsidRPr="009F342C">
                        <w:rPr>
                          <w:b/>
                          <w:bCs/>
                        </w:rPr>
                        <w:t xml:space="preserve">Eligibility </w:t>
                      </w:r>
                    </w:p>
                  </w:txbxContent>
                </v:textbox>
              </v:rect>
            </w:pict>
          </mc:Fallback>
        </mc:AlternateContent>
      </w:r>
      <w:r w:rsidRPr="00030181">
        <w:rPr>
          <w:rFonts w:ascii="Arial" w:hAnsi="Arial" w:cs="Arial"/>
          <w:noProof/>
        </w:rPr>
        <mc:AlternateContent>
          <mc:Choice Requires="wps">
            <w:drawing>
              <wp:anchor distT="0" distB="0" distL="114300" distR="114300" simplePos="0" relativeHeight="251622912" behindDoc="0" locked="0" layoutInCell="1" allowOverlap="1" wp14:anchorId="65B29938" wp14:editId="0FACF62D">
                <wp:simplePos x="0" y="0"/>
                <wp:positionH relativeFrom="column">
                  <wp:posOffset>-640081</wp:posOffset>
                </wp:positionH>
                <wp:positionV relativeFrom="paragraph">
                  <wp:posOffset>2164715</wp:posOffset>
                </wp:positionV>
                <wp:extent cx="1813560" cy="388620"/>
                <wp:effectExtent l="7620" t="0" r="22860" b="22860"/>
                <wp:wrapNone/>
                <wp:docPr id="1479153743" name="Rectangle 5"/>
                <wp:cNvGraphicFramePr/>
                <a:graphic xmlns:a="http://schemas.openxmlformats.org/drawingml/2006/main">
                  <a:graphicData uri="http://schemas.microsoft.com/office/word/2010/wordprocessingShape">
                    <wps:wsp>
                      <wps:cNvSpPr/>
                      <wps:spPr>
                        <a:xfrm rot="16200000">
                          <a:off x="0" y="0"/>
                          <a:ext cx="1813560" cy="38862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527595ED" w14:textId="77777777" w:rsidR="00EC2B62" w:rsidRPr="009F342C" w:rsidRDefault="00EC2B62" w:rsidP="00EC2B62">
                            <w:pPr>
                              <w:jc w:val="center"/>
                              <w:rPr>
                                <w:b/>
                                <w:bCs/>
                              </w:rPr>
                            </w:pPr>
                            <w:r w:rsidRPr="009F342C">
                              <w:rPr>
                                <w:b/>
                                <w:bCs/>
                              </w:rPr>
                              <w:t xml:space="preserve">Screening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B29938" id="_x0000_s1042" style="position:absolute;margin-left:-50.4pt;margin-top:170.45pt;width:142.8pt;height:30.6pt;rotation:-90;z-index:251622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" fillcolor="#91bce3 [2168]" strokecolor="#5b9bd5 [3208]" strokeweight=".5pt">
                <v:fill color2="#7aaddd [2616]" rotate="t" colors="0 #b1cbe9;.5 #a3c1e5;1 #92b9e4" focus="100%" type="gradient">
                  <o:fill v:ext="view" type="gradientUnscaled"/>
                </v:fill>
                <v:textbox>
                  <w:txbxContent>
                    <w:p w14:paraId="527595ED" w14:textId="77777777" w:rsidR="00EC2B62" w:rsidRPr="009F342C" w:rsidRDefault="00EC2B62" w:rsidP="00EC2B62">
                      <w:pPr>
                        <w:jc w:val="center"/>
                        <w:rPr>
                          <w:b/>
                          <w:bCs/>
                        </w:rPr>
                      </w:pPr>
                      <w:r w:rsidRPr="009F342C">
                        <w:rPr>
                          <w:b/>
                          <w:bCs/>
                        </w:rPr>
                        <w:t xml:space="preserve">Screening </w:t>
                      </w:r>
                    </w:p>
                  </w:txbxContent>
                </v:textbox>
              </v:rect>
            </w:pict>
          </mc:Fallback>
        </mc:AlternateContent>
      </w:r>
      <w:r w:rsidRPr="00030181">
        <w:rPr>
          <w:rFonts w:ascii="Arial" w:hAnsi="Arial" w:cs="Arial"/>
          <w:noProof/>
        </w:rPr>
        <mc:AlternateContent>
          <mc:Choice Requires="wpi">
            <w:drawing>
              <wp:anchor distT="0" distB="0" distL="114300" distR="114300" simplePos="0" relativeHeight="251612672" behindDoc="0" locked="0" layoutInCell="1" allowOverlap="1" wp14:anchorId="796CE759" wp14:editId="61F43AB7">
                <wp:simplePos x="0" y="0"/>
                <wp:positionH relativeFrom="column">
                  <wp:posOffset>2535660</wp:posOffset>
                </wp:positionH>
                <wp:positionV relativeFrom="paragraph">
                  <wp:posOffset>1235160</wp:posOffset>
                </wp:positionV>
                <wp:extent cx="95760" cy="157320"/>
                <wp:effectExtent l="76200" t="114300" r="76200" b="109855"/>
                <wp:wrapNone/>
                <wp:docPr id="1809083189" name="Ink 4"/>
                <wp:cNvGraphicFramePr/>
                <a:graphic xmlns:a="http://schemas.openxmlformats.org/drawingml/2006/main">
                  <a:graphicData uri="http://schemas.microsoft.com/office/word/2010/wordprocessingInk">
                    <w14:contentPart bwMode="auto" r:id="rId14">
                      <w14:nvContentPartPr>
                        <w14:cNvContentPartPr/>
                      </w14:nvContentPartPr>
                      <w14:xfrm>
                        <a:off x="0" y="0"/>
                        <a:ext cx="95760" cy="157320"/>
                      </w14:xfrm>
                    </w14:contentPart>
                  </a:graphicData>
                </a:graphic>
              </wp:anchor>
            </w:drawing>
          </mc:Choice>
          <mc:Fallback>
            <w:pict>
              <v:shapetype w14:anchorId="51FCF4D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196.8pt;margin-top:91.6pt;width:13.25pt;height:23.75pt;z-index:251612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">
                <v:imagedata r:id="rId15" o:title=""/>
              </v:shape>
            </w:pict>
          </mc:Fallback>
        </mc:AlternateContent>
      </w:r>
      <w:r w:rsidRPr="00030181">
        <w:rPr>
          <w:rFonts w:ascii="Arial" w:hAnsi="Arial" w:cs="Arial"/>
          <w:noProof/>
        </w:rPr>
        <mc:AlternateContent>
          <mc:Choice Requires="wpi">
            <w:drawing>
              <wp:anchor distT="0" distB="0" distL="114300" distR="114300" simplePos="0" relativeHeight="251607552" behindDoc="0" locked="0" layoutInCell="1" allowOverlap="1" wp14:anchorId="717D6235" wp14:editId="722D8263">
                <wp:simplePos x="0" y="0"/>
                <wp:positionH relativeFrom="column">
                  <wp:posOffset>2552580</wp:posOffset>
                </wp:positionH>
                <wp:positionV relativeFrom="paragraph">
                  <wp:posOffset>1318320</wp:posOffset>
                </wp:positionV>
                <wp:extent cx="83880" cy="15480"/>
                <wp:effectExtent l="76200" t="114300" r="87630" b="118110"/>
                <wp:wrapNone/>
                <wp:docPr id="1523117736" name="Ink 3"/>
                <wp:cNvGraphicFramePr/>
                <a:graphic xmlns:a="http://schemas.openxmlformats.org/drawingml/2006/main">
                  <a:graphicData uri="http://schemas.microsoft.com/office/word/2010/wordprocessingInk">
                    <w14:contentPart bwMode="auto" r:id="rId16">
                      <w14:nvContentPartPr>
                        <w14:cNvContentPartPr/>
                      </w14:nvContentPartPr>
                      <w14:xfrm>
                        <a:off x="0" y="0"/>
                        <a:ext cx="83880" cy="15480"/>
                      </w14:xfrm>
                    </w14:contentPart>
                  </a:graphicData>
                </a:graphic>
              </wp:anchor>
            </w:drawing>
          </mc:Choice>
          <mc:Fallback>
            <w:pict>
              <v:shape w14:anchorId="38E72DFA" id="Ink 3" o:spid="_x0000_s1026" type="#_x0000_t75" style="position:absolute;margin-left:198.15pt;margin-top:98.15pt;width:12.25pt;height:12.55pt;z-index:251607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">
                <v:imagedata r:id="rId17" o:title=""/>
              </v:shape>
            </w:pict>
          </mc:Fallback>
        </mc:AlternateContent>
      </w:r>
      <w:r w:rsidRPr="00030181">
        <w:rPr>
          <w:rFonts w:ascii="Arial" w:hAnsi="Arial" w:cs="Arial"/>
          <w:noProof/>
        </w:rPr>
        <mc:AlternateContent>
          <mc:Choice Requires="wpi">
            <w:drawing>
              <wp:anchor distT="0" distB="0" distL="114300" distR="114300" simplePos="0" relativeHeight="251602432" behindDoc="0" locked="0" layoutInCell="1" allowOverlap="1" wp14:anchorId="56F008F9" wp14:editId="51951FC8">
                <wp:simplePos x="0" y="0"/>
                <wp:positionH relativeFrom="column">
                  <wp:posOffset>2552580</wp:posOffset>
                </wp:positionH>
                <wp:positionV relativeFrom="paragraph">
                  <wp:posOffset>1333440</wp:posOffset>
                </wp:positionV>
                <wp:extent cx="360" cy="360"/>
                <wp:effectExtent l="76200" t="114300" r="76200" b="114300"/>
                <wp:wrapNone/>
                <wp:docPr id="659687512" name="Ink 2"/>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pict>
              <v:shape w14:anchorId="262D7096" id="Ink 2" o:spid="_x0000_s1026" type="#_x0000_t75" style="position:absolute;margin-left:198.15pt;margin-top:99.35pt;width:5.7pt;height:11.4pt;z-index:251602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">
                <v:imagedata r:id="rId19" o:title=""/>
              </v:shape>
            </w:pict>
          </mc:Fallback>
        </mc:AlternateContent>
      </w:r>
      <w:r w:rsidRPr="00030181">
        <w:rPr>
          <w:rFonts w:ascii="Arial" w:hAnsi="Arial" w:cs="Arial"/>
          <w:noProof/>
        </w:rPr>
        <mc:AlternateContent>
          <mc:Choice Requires="wpi">
            <w:drawing>
              <wp:anchor distT="0" distB="0" distL="114300" distR="114300" simplePos="0" relativeHeight="251597312" behindDoc="0" locked="0" layoutInCell="1" allowOverlap="1" wp14:anchorId="60F12800" wp14:editId="1E987ADE">
                <wp:simplePos x="0" y="0"/>
                <wp:positionH relativeFrom="column">
                  <wp:posOffset>2514420</wp:posOffset>
                </wp:positionH>
                <wp:positionV relativeFrom="paragraph">
                  <wp:posOffset>1333080</wp:posOffset>
                </wp:positionV>
                <wp:extent cx="28080" cy="8280"/>
                <wp:effectExtent l="76200" t="114300" r="86360" b="125095"/>
                <wp:wrapNone/>
                <wp:docPr id="272017779" name="Ink 1"/>
                <wp:cNvGraphicFramePr/>
                <a:graphic xmlns:a="http://schemas.openxmlformats.org/drawingml/2006/main">
                  <a:graphicData uri="http://schemas.microsoft.com/office/word/2010/wordprocessingInk">
                    <w14:contentPart bwMode="auto" r:id="rId20">
                      <w14:nvContentPartPr>
                        <w14:cNvContentPartPr/>
                      </w14:nvContentPartPr>
                      <w14:xfrm>
                        <a:off x="0" y="0"/>
                        <a:ext cx="28080" cy="8280"/>
                      </w14:xfrm>
                    </w14:contentPart>
                  </a:graphicData>
                </a:graphic>
              </wp:anchor>
            </w:drawing>
          </mc:Choice>
          <mc:Fallback>
            <w:pict>
              <v:shape w14:anchorId="4CCC348E" id="Ink 1" o:spid="_x0000_s1026" type="#_x0000_t75" style="position:absolute;margin-left:195.15pt;margin-top:99pt;width:7.85pt;height:12.5pt;z-index:251597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">
                <v:imagedata r:id="rId21" o:title=""/>
              </v:shape>
            </w:pict>
          </mc:Fallback>
        </mc:AlternateContent>
      </w:r>
    </w:p>
    <w:p w14:paraId="247796F0" w14:textId="77777777" w:rsidR="00EC2B62" w:rsidRPr="00030181" w:rsidRDefault="00EC2B62" w:rsidP="005C5EBA">
      <w:pPr>
        <w:spacing w:line="360" w:lineRule="auto"/>
        <w:rPr>
          <w:rFonts w:ascii="Arial" w:hAnsi="Arial" w:cs="Arial"/>
        </w:rPr>
      </w:pPr>
    </w:p>
    <w:p w14:paraId="1AE62D76" w14:textId="77777777" w:rsidR="00EC2B62" w:rsidRPr="00030181" w:rsidRDefault="00EC2B62" w:rsidP="005C5EBA">
      <w:pPr>
        <w:spacing w:line="360" w:lineRule="auto"/>
        <w:rPr>
          <w:rFonts w:ascii="Arial" w:hAnsi="Arial" w:cs="Arial"/>
        </w:rPr>
      </w:pPr>
    </w:p>
    <w:p w14:paraId="0B6ACB28" w14:textId="77777777" w:rsidR="00EC2B62" w:rsidRPr="00030181" w:rsidRDefault="00EC2B62" w:rsidP="005C5EBA">
      <w:pPr>
        <w:spacing w:line="360" w:lineRule="auto"/>
        <w:rPr>
          <w:rFonts w:ascii="Arial" w:hAnsi="Arial" w:cs="Arial"/>
        </w:rPr>
      </w:pPr>
    </w:p>
    <w:p w14:paraId="1B00755B" w14:textId="60800DCE" w:rsidR="00EC2B62" w:rsidRPr="00030181" w:rsidRDefault="000D6E1E" w:rsidP="005C5EBA">
      <w:pPr>
        <w:spacing w:line="360" w:lineRule="auto"/>
        <w:rPr>
          <w:rFonts w:ascii="Arial" w:hAnsi="Arial" w:cs="Arial"/>
        </w:rPr>
      </w:pPr>
      <w:r w:rsidRPr="00030181">
        <w:rPr>
          <w:rFonts w:ascii="Arial" w:hAnsi="Arial" w:cs="Arial"/>
          <w:noProof/>
        </w:rPr>
        <mc:AlternateContent>
          <mc:Choice Requires="wps">
            <w:drawing>
              <wp:anchor distT="0" distB="0" distL="114300" distR="114300" simplePos="0" relativeHeight="251648512" behindDoc="0" locked="0" layoutInCell="1" allowOverlap="1" wp14:anchorId="5AAE5B95" wp14:editId="311CA92A">
                <wp:simplePos x="0" y="0"/>
                <wp:positionH relativeFrom="column">
                  <wp:posOffset>808990</wp:posOffset>
                </wp:positionH>
                <wp:positionV relativeFrom="paragraph">
                  <wp:posOffset>155206</wp:posOffset>
                </wp:positionV>
                <wp:extent cx="1307805" cy="777240"/>
                <wp:effectExtent l="0" t="0" r="26035" b="22860"/>
                <wp:wrapNone/>
                <wp:docPr id="1110968023" name="Rectangle: Rounded Corners 6"/>
                <wp:cNvGraphicFramePr/>
                <a:graphic xmlns:a="http://schemas.openxmlformats.org/drawingml/2006/main">
                  <a:graphicData uri="http://schemas.microsoft.com/office/word/2010/wordprocessingShape">
                    <wps:wsp>
                      <wps:cNvSpPr/>
                      <wps:spPr>
                        <a:xfrm>
                          <a:off x="0" y="0"/>
                          <a:ext cx="1307805" cy="77724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67F25503" w14:textId="77777777" w:rsidR="00EB3771" w:rsidRPr="00EB3771" w:rsidRDefault="00EB3771" w:rsidP="00EB3771">
                            <w:pPr>
                              <w:jc w:val="center"/>
                              <w:rPr>
                                <w:sz w:val="20"/>
                                <w:szCs w:val="20"/>
                                <w:lang w:val="en-US"/>
                              </w:rPr>
                            </w:pPr>
                            <w:r w:rsidRPr="00EB3771">
                              <w:rPr>
                                <w:sz w:val="20"/>
                                <w:szCs w:val="20"/>
                                <w:lang w:val="en-US"/>
                              </w:rPr>
                              <w:t>Studies assessed based on title only: N = 88</w:t>
                            </w:r>
                          </w:p>
                          <w:p w14:paraId="0405993E" w14:textId="66E7DC11" w:rsidR="00EC2B62" w:rsidRPr="00FB1366" w:rsidRDefault="00EC2B62" w:rsidP="00EC2B62">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AE5B95" id="_x0000_s1043" style="position:absolute;margin-left:63.7pt;margin-top:12.2pt;width:103pt;height:61.2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" fillcolor="white [3201]" strokecolor="#5b9bd5 [3208]" strokeweight="1pt">
                <v:stroke joinstyle="miter"/>
                <v:textbox>
                  <w:txbxContent>
                    <w:p w14:paraId="67F25503" w14:textId="77777777" w:rsidR="00EB3771" w:rsidRPr="00EB3771" w:rsidRDefault="00EB3771" w:rsidP="00EB3771">
                      <w:pPr>
                        <w:jc w:val="center"/>
                        <w:rPr>
                          <w:sz w:val="20"/>
                          <w:szCs w:val="20"/>
                          <w:lang w:val="en-US"/>
                        </w:rPr>
                      </w:pPr>
                      <w:r w:rsidRPr="00EB3771">
                        <w:rPr>
                          <w:sz w:val="20"/>
                          <w:szCs w:val="20"/>
                          <w:lang w:val="en-US"/>
                        </w:rPr>
                        <w:t>Studies assessed based on title only: N = 88</w:t>
                      </w:r>
                    </w:p>
                    <w:p w14:paraId="0405993E" w14:textId="66E7DC11" w:rsidR="00EC2B62" w:rsidRPr="00FB1366" w:rsidRDefault="00EC2B62" w:rsidP="00EC2B62">
                      <w:pPr>
                        <w:jc w:val="center"/>
                        <w:rPr>
                          <w:sz w:val="20"/>
                          <w:szCs w:val="20"/>
                        </w:rPr>
                      </w:pPr>
                    </w:p>
                  </w:txbxContent>
                </v:textbox>
              </v:roundrect>
            </w:pict>
          </mc:Fallback>
        </mc:AlternateContent>
      </w:r>
    </w:p>
    <w:p w14:paraId="7BA2E3E5" w14:textId="4554C7C1" w:rsidR="00EC2B62" w:rsidRPr="00030181" w:rsidRDefault="00EC2B62" w:rsidP="005C5EBA">
      <w:pPr>
        <w:spacing w:line="360" w:lineRule="auto"/>
        <w:rPr>
          <w:rFonts w:ascii="Arial" w:hAnsi="Arial" w:cs="Arial"/>
        </w:rPr>
      </w:pPr>
    </w:p>
    <w:p w14:paraId="330DBF1B" w14:textId="01807212" w:rsidR="00EC2B62" w:rsidRPr="00030181" w:rsidRDefault="00EC2B62" w:rsidP="005C5EBA">
      <w:pPr>
        <w:spacing w:line="360" w:lineRule="auto"/>
        <w:rPr>
          <w:rFonts w:ascii="Arial" w:hAnsi="Arial" w:cs="Arial"/>
        </w:rPr>
      </w:pPr>
    </w:p>
    <w:p w14:paraId="31692C7A" w14:textId="77777777" w:rsidR="00EC2B62" w:rsidRPr="00030181" w:rsidRDefault="00EC2B62" w:rsidP="005C5EBA">
      <w:pPr>
        <w:spacing w:line="360" w:lineRule="auto"/>
        <w:rPr>
          <w:rFonts w:ascii="Arial" w:hAnsi="Arial" w:cs="Arial"/>
        </w:rPr>
      </w:pPr>
    </w:p>
    <w:p w14:paraId="2ADC0A9B" w14:textId="77777777" w:rsidR="00EC2B62" w:rsidRPr="00030181" w:rsidRDefault="00EC2B62" w:rsidP="005C5EBA">
      <w:pPr>
        <w:spacing w:line="360" w:lineRule="auto"/>
        <w:rPr>
          <w:rFonts w:ascii="Arial" w:hAnsi="Arial" w:cs="Arial"/>
        </w:rPr>
      </w:pPr>
    </w:p>
    <w:p w14:paraId="568F9E52" w14:textId="77777777" w:rsidR="00EC2B62" w:rsidRPr="00030181" w:rsidRDefault="00EC2B62" w:rsidP="005C5EBA">
      <w:pPr>
        <w:spacing w:line="360" w:lineRule="auto"/>
        <w:rPr>
          <w:rFonts w:ascii="Arial" w:hAnsi="Arial" w:cs="Arial"/>
        </w:rPr>
      </w:pPr>
    </w:p>
    <w:p w14:paraId="5EB98A9A" w14:textId="77777777" w:rsidR="00EC2B62" w:rsidRPr="00030181" w:rsidRDefault="00EC2B62" w:rsidP="005C5EBA">
      <w:pPr>
        <w:spacing w:line="360" w:lineRule="auto"/>
        <w:rPr>
          <w:rFonts w:ascii="Arial" w:hAnsi="Arial" w:cs="Arial"/>
        </w:rPr>
      </w:pPr>
    </w:p>
    <w:p w14:paraId="0F07157B" w14:textId="77777777" w:rsidR="00EC2B62" w:rsidRPr="00030181" w:rsidRDefault="00EC2B62" w:rsidP="005C5EBA">
      <w:pPr>
        <w:spacing w:line="360" w:lineRule="auto"/>
        <w:rPr>
          <w:rFonts w:ascii="Arial" w:hAnsi="Arial" w:cs="Arial"/>
        </w:rPr>
      </w:pPr>
    </w:p>
    <w:p w14:paraId="1DCFD9DD" w14:textId="77777777" w:rsidR="00EC2B62" w:rsidRPr="00030181" w:rsidRDefault="00EC2B62" w:rsidP="005C5EBA">
      <w:pPr>
        <w:spacing w:line="360" w:lineRule="auto"/>
        <w:rPr>
          <w:rFonts w:ascii="Arial" w:hAnsi="Arial" w:cs="Arial"/>
        </w:rPr>
      </w:pPr>
    </w:p>
    <w:p w14:paraId="49E5C661" w14:textId="77777777" w:rsidR="00EC2B62" w:rsidRPr="00030181" w:rsidRDefault="00EC2B62" w:rsidP="005C5EBA">
      <w:pPr>
        <w:spacing w:line="360" w:lineRule="auto"/>
        <w:rPr>
          <w:rFonts w:ascii="Arial" w:hAnsi="Arial" w:cs="Arial"/>
        </w:rPr>
      </w:pPr>
    </w:p>
    <w:p w14:paraId="0EF861F1" w14:textId="77777777" w:rsidR="00EC2B62" w:rsidRPr="00030181" w:rsidRDefault="00EC2B62" w:rsidP="005C5EBA">
      <w:pPr>
        <w:spacing w:line="360" w:lineRule="auto"/>
        <w:rPr>
          <w:rFonts w:ascii="Arial" w:hAnsi="Arial" w:cs="Arial"/>
        </w:rPr>
      </w:pPr>
    </w:p>
    <w:p w14:paraId="69D200D6" w14:textId="77777777" w:rsidR="00EC2B62" w:rsidRPr="00030181" w:rsidRDefault="00EC2B62" w:rsidP="005C5EBA">
      <w:pPr>
        <w:spacing w:line="360" w:lineRule="auto"/>
        <w:rPr>
          <w:rFonts w:ascii="Arial" w:hAnsi="Arial" w:cs="Arial"/>
        </w:rPr>
      </w:pPr>
    </w:p>
    <w:p w14:paraId="38770AFA" w14:textId="77777777" w:rsidR="00EC2B62" w:rsidRPr="00030181" w:rsidRDefault="00EC2B62" w:rsidP="005C5EBA">
      <w:pPr>
        <w:spacing w:line="360" w:lineRule="auto"/>
        <w:rPr>
          <w:rFonts w:ascii="Arial" w:hAnsi="Arial" w:cs="Arial"/>
        </w:rPr>
      </w:pPr>
    </w:p>
    <w:p w14:paraId="49ECEE9D" w14:textId="77777777" w:rsidR="00EC2B62" w:rsidRPr="00030181" w:rsidRDefault="00EC2B62" w:rsidP="005C5EBA">
      <w:pPr>
        <w:spacing w:line="360" w:lineRule="auto"/>
        <w:rPr>
          <w:rFonts w:ascii="Arial" w:hAnsi="Arial" w:cs="Arial"/>
        </w:rPr>
      </w:pPr>
    </w:p>
    <w:p w14:paraId="218AD60D" w14:textId="77777777" w:rsidR="00EC2B62" w:rsidRPr="00030181" w:rsidRDefault="00EC2B62" w:rsidP="005C5EBA">
      <w:pPr>
        <w:spacing w:line="360" w:lineRule="auto"/>
        <w:rPr>
          <w:rFonts w:ascii="Arial" w:hAnsi="Arial" w:cs="Arial"/>
        </w:rPr>
      </w:pPr>
    </w:p>
    <w:p w14:paraId="12DA91B0" w14:textId="77777777" w:rsidR="00322730" w:rsidRPr="00030181" w:rsidRDefault="00322730" w:rsidP="00322730">
      <w:pPr>
        <w:pStyle w:val="Caption"/>
        <w:spacing w:line="360" w:lineRule="auto"/>
        <w:rPr>
          <w:rFonts w:ascii="Arial" w:hAnsi="Arial" w:cs="Arial"/>
          <w:color w:val="auto"/>
          <w:sz w:val="22"/>
          <w:szCs w:val="22"/>
        </w:rPr>
      </w:pPr>
    </w:p>
    <w:p w14:paraId="2D83FF77" w14:textId="47091B6E" w:rsidR="007A05DD" w:rsidRPr="00030181" w:rsidRDefault="007A05DD" w:rsidP="007A05DD">
      <w:pPr>
        <w:pStyle w:val="Caption"/>
        <w:jc w:val="center"/>
        <w:rPr>
          <w:rFonts w:ascii="Arial" w:hAnsi="Arial" w:cs="Arial"/>
          <w:color w:val="000000" w:themeColor="text1"/>
          <w:sz w:val="22"/>
          <w:szCs w:val="22"/>
        </w:rPr>
      </w:pPr>
      <w:bookmarkStart w:id="34" w:name="_Toc231948328"/>
      <w:bookmarkEnd w:id="33"/>
      <w:r w:rsidRPr="00030181">
        <w:rPr>
          <w:rFonts w:ascii="Arial" w:hAnsi="Arial" w:cs="Arial"/>
          <w:color w:val="000000" w:themeColor="text1"/>
          <w:sz w:val="22"/>
          <w:szCs w:val="22"/>
        </w:rPr>
        <w:t xml:space="preserve">Figure 3.6.1 PRISMA Flow Diagram  </w:t>
      </w:r>
      <w:r w:rsidRPr="00030181">
        <w:rPr>
          <w:rFonts w:ascii="Arial" w:hAnsi="Arial" w:cs="Arial"/>
          <w:color w:val="000000" w:themeColor="text1"/>
          <w:sz w:val="22"/>
          <w:szCs w:val="22"/>
        </w:rPr>
        <w:fldChar w:fldCharType="begin"/>
      </w:r>
      <w:r w:rsidRPr="00030181">
        <w:rPr>
          <w:rFonts w:ascii="Arial" w:hAnsi="Arial" w:cs="Arial"/>
          <w:color w:val="000000" w:themeColor="text1"/>
          <w:sz w:val="22"/>
          <w:szCs w:val="22"/>
        </w:rPr>
        <w:instrText xml:space="preserve"> SEQ Figure_3.6.1_PRISMA_Flow_Diagram_ \* ARABIC </w:instrText>
      </w:r>
      <w:r w:rsidRPr="00030181">
        <w:rPr>
          <w:rFonts w:ascii="Arial" w:hAnsi="Arial" w:cs="Arial"/>
          <w:color w:val="000000" w:themeColor="text1"/>
          <w:sz w:val="22"/>
          <w:szCs w:val="22"/>
        </w:rPr>
        <w:fldChar w:fldCharType="separate"/>
      </w:r>
      <w:r w:rsidRPr="00030181">
        <w:rPr>
          <w:rFonts w:ascii="Arial" w:hAnsi="Arial" w:cs="Arial"/>
          <w:noProof/>
          <w:color w:val="000000" w:themeColor="text1"/>
          <w:sz w:val="22"/>
          <w:szCs w:val="22"/>
        </w:rPr>
        <w:t>1</w:t>
      </w:r>
      <w:bookmarkEnd w:id="34"/>
      <w:r w:rsidRPr="00030181">
        <w:rPr>
          <w:rFonts w:ascii="Arial" w:hAnsi="Arial" w:cs="Arial"/>
          <w:color w:val="000000" w:themeColor="text1"/>
          <w:sz w:val="22"/>
          <w:szCs w:val="22"/>
        </w:rPr>
        <w:fldChar w:fldCharType="end"/>
      </w:r>
    </w:p>
    <w:p w14:paraId="758AF327" w14:textId="6E9F2750" w:rsidR="00AD38E2" w:rsidRPr="00030181" w:rsidRDefault="00AD38E2" w:rsidP="00AD38E2">
      <w:pPr>
        <w:spacing w:line="360" w:lineRule="auto"/>
        <w:jc w:val="center"/>
        <w:rPr>
          <w:rFonts w:ascii="Arial" w:hAnsi="Arial" w:cs="Arial"/>
        </w:rPr>
      </w:pPr>
      <w:r w:rsidRPr="00030181">
        <w:rPr>
          <w:rFonts w:ascii="Arial" w:hAnsi="Arial" w:cs="Arial"/>
        </w:rPr>
        <w:t>(Self-developed)</w:t>
      </w:r>
    </w:p>
    <w:p w14:paraId="100ACD8B" w14:textId="2B552998" w:rsidR="00225559" w:rsidRPr="00030181" w:rsidRDefault="00225559" w:rsidP="005C5EBA">
      <w:pPr>
        <w:spacing w:line="360" w:lineRule="auto"/>
        <w:jc w:val="both"/>
        <w:rPr>
          <w:rFonts w:ascii="Arial" w:hAnsi="Arial" w:cs="Arial"/>
          <w:lang w:val="en-US"/>
        </w:rPr>
      </w:pPr>
      <w:r w:rsidRPr="00030181">
        <w:rPr>
          <w:rFonts w:ascii="Arial" w:hAnsi="Arial" w:cs="Arial"/>
        </w:rPr>
        <w:t>The PRISMA flow diagram (Figure 3.6.1</w:t>
      </w:r>
      <w:r w:rsidR="005D7399" w:rsidRPr="00030181">
        <w:rPr>
          <w:rFonts w:ascii="Arial" w:hAnsi="Arial" w:cs="Arial"/>
          <w:lang w:val="en-US"/>
        </w:rPr>
        <w:t>) shows the systematic process used to identify, screen, evaluate eligibility, and include studies</w:t>
      </w:r>
      <w:r w:rsidRPr="00030181">
        <w:rPr>
          <w:rFonts w:ascii="Arial" w:hAnsi="Arial" w:cs="Arial"/>
        </w:rPr>
        <w:t xml:space="preserve"> within the review (Page et al., 2021). The figure demonstrates how studies were removed at different stages, </w:t>
      </w:r>
      <w:r w:rsidR="005D7399" w:rsidRPr="00030181">
        <w:rPr>
          <w:rFonts w:ascii="Arial" w:hAnsi="Arial" w:cs="Arial"/>
          <w:lang w:val="en-US"/>
        </w:rPr>
        <w:t xml:space="preserve">including duplicate removal and </w:t>
      </w:r>
      <w:r w:rsidR="005D7399" w:rsidRPr="00030181">
        <w:rPr>
          <w:rFonts w:ascii="Arial" w:hAnsi="Arial" w:cs="Arial"/>
          <w:lang w:val="en-US"/>
        </w:rPr>
        <w:lastRenderedPageBreak/>
        <w:t>title screening</w:t>
      </w:r>
      <w:r w:rsidRPr="00030181">
        <w:rPr>
          <w:rFonts w:ascii="Arial" w:hAnsi="Arial" w:cs="Arial"/>
        </w:rPr>
        <w:t>, abstract assessment, and full-text review, before the final selection of relevant studies for evidence synthesis.</w:t>
      </w:r>
    </w:p>
    <w:p w14:paraId="7AFB384F" w14:textId="1FB6FBD1" w:rsidR="00225559" w:rsidRPr="00030181" w:rsidRDefault="00225559" w:rsidP="005C5EBA">
      <w:pPr>
        <w:spacing w:line="360" w:lineRule="auto"/>
        <w:jc w:val="both"/>
        <w:rPr>
          <w:rFonts w:ascii="Arial" w:hAnsi="Arial" w:cs="Arial"/>
          <w:lang w:val="en-US"/>
        </w:rPr>
      </w:pPr>
      <w:r w:rsidRPr="00030181">
        <w:rPr>
          <w:rFonts w:ascii="Arial" w:hAnsi="Arial" w:cs="Arial"/>
        </w:rPr>
        <w:t xml:space="preserve">Following completion of database and grey literature searches, all retrieved records were organised for screening purposes (Booth et al., 2021). Duplicate studies were removed to improve accuracy within </w:t>
      </w:r>
      <w:r w:rsidR="000C6547" w:rsidRPr="00030181">
        <w:rPr>
          <w:rFonts w:ascii="Arial" w:hAnsi="Arial" w:cs="Arial"/>
        </w:rPr>
        <w:t>the review procedure</w:t>
      </w:r>
      <w:r w:rsidR="000C6547" w:rsidRPr="00030181">
        <w:rPr>
          <w:rFonts w:ascii="Arial" w:hAnsi="Arial" w:cs="Arial"/>
        </w:rPr>
        <w:t xml:space="preserve"> </w:t>
      </w:r>
      <w:r w:rsidRPr="00030181">
        <w:rPr>
          <w:rFonts w:ascii="Arial" w:hAnsi="Arial" w:cs="Arial"/>
        </w:rPr>
        <w:t xml:space="preserve">(Page et al., 2021). The remaining studies underwent title and abstract screening to identify literature relevant to food safety, nutrition practices, older adults, and chronic disease management within UK care homes (Greenhalgh et al., 2018). Articles unrelated to the research topic were </w:t>
      </w:r>
      <w:r w:rsidR="005D7399" w:rsidRPr="00030181">
        <w:rPr>
          <w:rFonts w:ascii="Arial" w:hAnsi="Arial" w:cs="Arial"/>
          <w:lang w:val="en-US"/>
        </w:rPr>
        <w:t xml:space="preserve">excluded </w:t>
      </w:r>
      <w:r w:rsidR="000C6547" w:rsidRPr="00030181">
        <w:rPr>
          <w:rFonts w:ascii="Arial" w:hAnsi="Arial" w:cs="Arial"/>
        </w:rPr>
        <w:t>based on the</w:t>
      </w:r>
      <w:r w:rsidR="000C6547" w:rsidRPr="00030181">
        <w:rPr>
          <w:rFonts w:ascii="Arial" w:hAnsi="Arial" w:cs="Arial"/>
          <w:lang w:val="en-US"/>
        </w:rPr>
        <w:t xml:space="preserve"> </w:t>
      </w:r>
      <w:r w:rsidR="005D7399" w:rsidRPr="00030181">
        <w:rPr>
          <w:rFonts w:ascii="Arial" w:hAnsi="Arial" w:cs="Arial"/>
          <w:lang w:val="en-US"/>
        </w:rPr>
        <w:t xml:space="preserve">predefined </w:t>
      </w:r>
      <w:r w:rsidR="000C6547" w:rsidRPr="00030181">
        <w:rPr>
          <w:rFonts w:ascii="Arial" w:hAnsi="Arial" w:cs="Arial"/>
        </w:rPr>
        <w:t>eligibility and exclusion criteria</w:t>
      </w:r>
      <w:r w:rsidR="000C6547" w:rsidRPr="00030181">
        <w:rPr>
          <w:rFonts w:ascii="Arial" w:hAnsi="Arial" w:cs="Arial"/>
        </w:rPr>
        <w:t xml:space="preserve"> </w:t>
      </w:r>
      <w:r w:rsidRPr="00030181">
        <w:rPr>
          <w:rFonts w:ascii="Arial" w:hAnsi="Arial" w:cs="Arial"/>
        </w:rPr>
        <w:t>(Snyder, 2019</w:t>
      </w:r>
      <w:r w:rsidR="005D7399" w:rsidRPr="00030181">
        <w:rPr>
          <w:rFonts w:ascii="Arial" w:hAnsi="Arial" w:cs="Arial"/>
          <w:lang w:val="en-US"/>
        </w:rPr>
        <w:t>). The full-text versions of potentially eligible studies were then</w:t>
      </w:r>
      <w:r w:rsidRPr="00030181">
        <w:rPr>
          <w:rFonts w:ascii="Arial" w:hAnsi="Arial" w:cs="Arial"/>
        </w:rPr>
        <w:t xml:space="preserve"> reviewed to assess methodological suitability and relevance to the research objectives (Creswell and Poth, 2018).</w:t>
      </w:r>
    </w:p>
    <w:p w14:paraId="12AC2FE1" w14:textId="30A3D7C3" w:rsidR="00225559" w:rsidRPr="00030181" w:rsidRDefault="00225559" w:rsidP="005C5EBA">
      <w:pPr>
        <w:spacing w:line="360" w:lineRule="auto"/>
        <w:jc w:val="both"/>
        <w:rPr>
          <w:rFonts w:ascii="Arial" w:hAnsi="Arial" w:cs="Arial"/>
          <w:lang w:val="en-US"/>
        </w:rPr>
      </w:pPr>
      <w:r w:rsidRPr="00030181">
        <w:rPr>
          <w:rFonts w:ascii="Arial" w:hAnsi="Arial" w:cs="Arial"/>
        </w:rPr>
        <w:t xml:space="preserve">Following eligibility assessment and quality appraisal, </w:t>
      </w:r>
      <w:r w:rsidR="00FF4369" w:rsidRPr="00030181">
        <w:rPr>
          <w:rFonts w:ascii="Arial" w:hAnsi="Arial" w:cs="Arial"/>
        </w:rPr>
        <w:t>1</w:t>
      </w:r>
      <w:r w:rsidR="00820A31" w:rsidRPr="00030181">
        <w:rPr>
          <w:rFonts w:ascii="Arial" w:hAnsi="Arial" w:cs="Arial"/>
        </w:rPr>
        <w:t>7</w:t>
      </w:r>
      <w:r w:rsidR="00FF4369" w:rsidRPr="00030181">
        <w:rPr>
          <w:rFonts w:ascii="Arial" w:hAnsi="Arial" w:cs="Arial"/>
        </w:rPr>
        <w:t xml:space="preserve"> </w:t>
      </w:r>
      <w:r w:rsidRPr="00030181">
        <w:rPr>
          <w:rFonts w:ascii="Arial" w:hAnsi="Arial" w:cs="Arial"/>
        </w:rPr>
        <w:t xml:space="preserve">studies were included within the final evidence synthesis (Booth et al., 2021). </w:t>
      </w:r>
      <w:r w:rsidR="000C6547" w:rsidRPr="00030181">
        <w:rPr>
          <w:rFonts w:ascii="Arial" w:hAnsi="Arial" w:cs="Arial"/>
        </w:rPr>
        <w:t>The study selection procedure was illustrated through a PRISMA flow diagram</w:t>
      </w:r>
      <w:r w:rsidR="005D7399" w:rsidRPr="00030181">
        <w:rPr>
          <w:rFonts w:ascii="Arial" w:hAnsi="Arial" w:cs="Arial"/>
          <w:lang w:val="en-US"/>
        </w:rPr>
        <w:t xml:space="preserve"> to show the stages </w:t>
      </w:r>
      <w:r w:rsidR="000C6547" w:rsidRPr="00030181">
        <w:rPr>
          <w:rFonts w:ascii="Arial" w:hAnsi="Arial" w:cs="Arial"/>
        </w:rPr>
        <w:t>of study identification, screening, eligibility evaluation, and final selection for the review</w:t>
      </w:r>
      <w:r w:rsidR="000C6547" w:rsidRPr="00030181">
        <w:rPr>
          <w:rFonts w:ascii="Arial" w:hAnsi="Arial" w:cs="Arial"/>
        </w:rPr>
        <w:t xml:space="preserve"> </w:t>
      </w:r>
      <w:r w:rsidRPr="00030181">
        <w:rPr>
          <w:rFonts w:ascii="Arial" w:hAnsi="Arial" w:cs="Arial"/>
        </w:rPr>
        <w:t>(Page et al., 2021).</w:t>
      </w:r>
    </w:p>
    <w:p w14:paraId="7545FF01" w14:textId="195BEEDF" w:rsidR="006B1EDA" w:rsidRPr="00030181" w:rsidRDefault="006B1EDA" w:rsidP="005C5EBA">
      <w:pPr>
        <w:pStyle w:val="Heading1"/>
        <w:spacing w:line="360" w:lineRule="auto"/>
        <w:rPr>
          <w:rFonts w:ascii="Arial" w:hAnsi="Arial" w:cs="Arial"/>
          <w:b/>
          <w:color w:val="auto"/>
          <w:sz w:val="22"/>
          <w:szCs w:val="22"/>
        </w:rPr>
      </w:pPr>
      <w:bookmarkStart w:id="35" w:name="_Toc231947555"/>
      <w:r w:rsidRPr="00030181">
        <w:rPr>
          <w:rFonts w:ascii="Arial" w:hAnsi="Arial" w:cs="Arial"/>
          <w:b/>
          <w:color w:val="auto"/>
          <w:sz w:val="22"/>
          <w:szCs w:val="22"/>
        </w:rPr>
        <w:t>3.</w:t>
      </w:r>
      <w:r w:rsidR="00884405" w:rsidRPr="00030181">
        <w:rPr>
          <w:rFonts w:ascii="Arial" w:hAnsi="Arial" w:cs="Arial"/>
          <w:b/>
          <w:color w:val="auto"/>
          <w:sz w:val="22"/>
          <w:szCs w:val="22"/>
        </w:rPr>
        <w:t>7</w:t>
      </w:r>
      <w:r w:rsidRPr="00030181">
        <w:rPr>
          <w:rFonts w:ascii="Arial" w:hAnsi="Arial" w:cs="Arial"/>
          <w:b/>
          <w:color w:val="auto"/>
          <w:sz w:val="22"/>
          <w:szCs w:val="22"/>
        </w:rPr>
        <w:t xml:space="preserve"> Data Extraction</w:t>
      </w:r>
      <w:bookmarkEnd w:id="35"/>
      <w:r w:rsidRPr="00030181">
        <w:rPr>
          <w:rFonts w:ascii="Arial" w:hAnsi="Arial" w:cs="Arial"/>
          <w:b/>
          <w:color w:val="auto"/>
          <w:sz w:val="22"/>
          <w:szCs w:val="22"/>
        </w:rPr>
        <w:t xml:space="preserve"> </w:t>
      </w:r>
    </w:p>
    <w:p w14:paraId="45A0C9DE" w14:textId="5E897B60" w:rsidR="00344C44" w:rsidRPr="00030181" w:rsidRDefault="00344C44" w:rsidP="005C5EBA">
      <w:pPr>
        <w:spacing w:line="360" w:lineRule="auto"/>
        <w:jc w:val="both"/>
        <w:rPr>
          <w:rFonts w:ascii="Arial" w:hAnsi="Arial" w:cs="Arial"/>
          <w:lang w:val="en-US"/>
        </w:rPr>
      </w:pPr>
      <w:r w:rsidRPr="00030181">
        <w:rPr>
          <w:rFonts w:ascii="Arial" w:hAnsi="Arial" w:cs="Arial"/>
        </w:rPr>
        <w:t xml:space="preserve">Data extraction was conducted systematically to ensure consistent and transparent synthesis of evidence across the included studies (Booth et al., 2021). </w:t>
      </w:r>
      <w:r w:rsidR="005D7399" w:rsidRPr="00030181">
        <w:rPr>
          <w:rFonts w:ascii="Arial" w:hAnsi="Arial" w:cs="Arial"/>
          <w:lang w:val="en-US"/>
        </w:rPr>
        <w:t xml:space="preserve">A standard data extraction table was developed to </w:t>
      </w:r>
      <w:r w:rsidRPr="00030181">
        <w:rPr>
          <w:rFonts w:ascii="Arial" w:hAnsi="Arial" w:cs="Arial"/>
        </w:rPr>
        <w:t xml:space="preserve">organise information relevant to the research aim and objectives (Snyder, 2019). The extracted data included study authors, objectives, methods, study design, sample size, setting, main findings, strengths, and limitations. This process facilitated comparison across studies and </w:t>
      </w:r>
      <w:r w:rsidR="005D7399" w:rsidRPr="00030181">
        <w:rPr>
          <w:rFonts w:ascii="Arial" w:hAnsi="Arial" w:cs="Arial"/>
          <w:lang w:val="en-US"/>
        </w:rPr>
        <w:t xml:space="preserve">facilitated </w:t>
      </w:r>
      <w:r w:rsidR="000C6547" w:rsidRPr="00030181">
        <w:rPr>
          <w:rFonts w:ascii="Arial" w:hAnsi="Arial" w:cs="Arial"/>
        </w:rPr>
        <w:t>the determination of main themes aligned with the review objectives</w:t>
      </w:r>
      <w:r w:rsidR="000C6547" w:rsidRPr="00030181">
        <w:rPr>
          <w:rFonts w:ascii="Arial" w:hAnsi="Arial" w:cs="Arial"/>
        </w:rPr>
        <w:t xml:space="preserve">. </w:t>
      </w:r>
      <w:r w:rsidRPr="00030181">
        <w:rPr>
          <w:rFonts w:ascii="Arial" w:hAnsi="Arial" w:cs="Arial"/>
        </w:rPr>
        <w:t>The completed data extraction table is presented in Appendix 1.</w:t>
      </w:r>
    </w:p>
    <w:p w14:paraId="79EEAF89" w14:textId="5630A311" w:rsidR="006B1EDA" w:rsidRPr="00030181" w:rsidRDefault="00C344A5" w:rsidP="005C5EBA">
      <w:pPr>
        <w:spacing w:line="360" w:lineRule="auto"/>
        <w:jc w:val="both"/>
        <w:rPr>
          <w:rFonts w:ascii="Arial" w:hAnsi="Arial" w:cs="Arial"/>
          <w:lang w:val="en-US"/>
        </w:rPr>
      </w:pPr>
      <w:r w:rsidRPr="00030181">
        <w:rPr>
          <w:rFonts w:ascii="Arial" w:hAnsi="Arial" w:cs="Arial"/>
        </w:rPr>
        <w:t xml:space="preserve">This process supported comparison of evidence relating </w:t>
      </w:r>
      <w:r w:rsidR="005D7399" w:rsidRPr="00030181">
        <w:rPr>
          <w:rFonts w:ascii="Arial" w:hAnsi="Arial" w:cs="Arial"/>
          <w:lang w:val="en-US"/>
        </w:rPr>
        <w:t xml:space="preserve">related to food safety, nutritional practices, </w:t>
      </w:r>
      <w:r w:rsidR="000C6547" w:rsidRPr="00030181">
        <w:rPr>
          <w:rFonts w:ascii="Arial" w:hAnsi="Arial" w:cs="Arial"/>
        </w:rPr>
        <w:t>long-term condition management and health outcomes</w:t>
      </w:r>
      <w:r w:rsidR="005D7399" w:rsidRPr="00030181">
        <w:rPr>
          <w:rFonts w:ascii="Arial" w:hAnsi="Arial" w:cs="Arial"/>
          <w:lang w:val="en-US"/>
        </w:rPr>
        <w:t xml:space="preserve"> among older adults in care home settings </w:t>
      </w:r>
      <w:r w:rsidRPr="00030181">
        <w:rPr>
          <w:rFonts w:ascii="Arial" w:hAnsi="Arial" w:cs="Arial"/>
        </w:rPr>
        <w:t>(</w:t>
      </w:r>
      <w:r w:rsidR="000C6547" w:rsidRPr="00030181">
        <w:rPr>
          <w:rFonts w:ascii="Arial" w:hAnsi="Arial" w:cs="Arial"/>
        </w:rPr>
        <w:t>NICE</w:t>
      </w:r>
      <w:r w:rsidRPr="00030181">
        <w:rPr>
          <w:rFonts w:ascii="Arial" w:hAnsi="Arial" w:cs="Arial"/>
        </w:rPr>
        <w:t>, 2022).</w:t>
      </w:r>
    </w:p>
    <w:p w14:paraId="77195FD7" w14:textId="29567665" w:rsidR="005F5731" w:rsidRPr="00030181" w:rsidRDefault="005F5731" w:rsidP="005C5EBA">
      <w:pPr>
        <w:pStyle w:val="Heading1"/>
        <w:spacing w:line="360" w:lineRule="auto"/>
        <w:rPr>
          <w:rFonts w:ascii="Arial" w:hAnsi="Arial" w:cs="Arial"/>
          <w:b/>
          <w:bCs/>
          <w:color w:val="auto"/>
          <w:sz w:val="28"/>
          <w:szCs w:val="28"/>
        </w:rPr>
      </w:pPr>
      <w:bookmarkStart w:id="36" w:name="_Toc231947556"/>
      <w:r w:rsidRPr="00030181">
        <w:rPr>
          <w:rFonts w:ascii="Arial" w:hAnsi="Arial" w:cs="Arial"/>
          <w:b/>
          <w:bCs/>
          <w:color w:val="auto"/>
          <w:sz w:val="28"/>
          <w:szCs w:val="28"/>
        </w:rPr>
        <w:t>3.</w:t>
      </w:r>
      <w:r w:rsidR="00884405" w:rsidRPr="00030181">
        <w:rPr>
          <w:rFonts w:ascii="Arial" w:hAnsi="Arial" w:cs="Arial"/>
          <w:b/>
          <w:bCs/>
          <w:color w:val="auto"/>
          <w:sz w:val="28"/>
          <w:szCs w:val="28"/>
        </w:rPr>
        <w:t>8</w:t>
      </w:r>
      <w:r w:rsidRPr="00030181">
        <w:rPr>
          <w:rFonts w:ascii="Arial" w:hAnsi="Arial" w:cs="Arial"/>
          <w:b/>
          <w:bCs/>
          <w:color w:val="auto"/>
          <w:sz w:val="28"/>
          <w:szCs w:val="28"/>
        </w:rPr>
        <w:t xml:space="preserve"> Quality Appraisal</w:t>
      </w:r>
      <w:bookmarkEnd w:id="36"/>
    </w:p>
    <w:p w14:paraId="361B26AA" w14:textId="79372CB9" w:rsidR="00CE177F" w:rsidRPr="00030181" w:rsidRDefault="00CE177F" w:rsidP="005C5EBA">
      <w:pPr>
        <w:spacing w:line="360" w:lineRule="auto"/>
        <w:jc w:val="both"/>
        <w:rPr>
          <w:rFonts w:ascii="Arial" w:hAnsi="Arial" w:cs="Arial"/>
          <w:lang w:val="en-US"/>
        </w:rPr>
      </w:pPr>
      <w:r w:rsidRPr="00030181">
        <w:rPr>
          <w:rFonts w:ascii="Arial" w:hAnsi="Arial" w:cs="Arial"/>
        </w:rPr>
        <w:t xml:space="preserve">Quality appraisal </w:t>
      </w:r>
      <w:r w:rsidR="005D7399" w:rsidRPr="00030181">
        <w:rPr>
          <w:rFonts w:ascii="Arial" w:hAnsi="Arial" w:cs="Arial"/>
          <w:lang w:val="en-US"/>
        </w:rPr>
        <w:t xml:space="preserve">was carried out to assess the </w:t>
      </w:r>
      <w:r w:rsidRPr="00030181">
        <w:rPr>
          <w:rFonts w:ascii="Arial" w:hAnsi="Arial" w:cs="Arial"/>
        </w:rPr>
        <w:t xml:space="preserve">validity, reliability, and methodological quality of studies included within the systematic literature review (Coughlan et al., 2007). Critical appraisal is important within evidence-based healthcare research because it identifies methodological strengths, limitations, and potential sources of bias affecting study reliability (Greenhalgh et al., 2018). The appraisal process also supported inclusion of studies </w:t>
      </w:r>
      <w:r w:rsidRPr="00030181">
        <w:rPr>
          <w:rFonts w:ascii="Arial" w:hAnsi="Arial" w:cs="Arial"/>
        </w:rPr>
        <w:lastRenderedPageBreak/>
        <w:t>considered methodologically rigorous and relevant to the research objectives (Booth et al., 2021).</w:t>
      </w:r>
    </w:p>
    <w:p w14:paraId="4AA70606" w14:textId="06BAA1AB" w:rsidR="00CE177F" w:rsidRPr="00030181" w:rsidRDefault="005D7399" w:rsidP="005C5EBA">
      <w:pPr>
        <w:spacing w:line="360" w:lineRule="auto"/>
        <w:jc w:val="both"/>
        <w:rPr>
          <w:rFonts w:ascii="Arial" w:hAnsi="Arial" w:cs="Arial"/>
          <w:lang w:val="en-US"/>
        </w:rPr>
      </w:pPr>
      <w:r w:rsidRPr="00030181">
        <w:rPr>
          <w:rFonts w:ascii="Arial" w:hAnsi="Arial" w:cs="Arial"/>
          <w:lang w:val="en-US"/>
        </w:rPr>
        <w:t xml:space="preserve">The Critical Appraisal Skills Programme (CASP) checklists were applied to evaluate the qualitative </w:t>
      </w:r>
      <w:r w:rsidR="000C6547" w:rsidRPr="00030181">
        <w:rPr>
          <w:rFonts w:ascii="Arial" w:hAnsi="Arial" w:cs="Arial"/>
        </w:rPr>
        <w:t>studies reviewed</w:t>
      </w:r>
      <w:r w:rsidR="000C6547" w:rsidRPr="00030181">
        <w:rPr>
          <w:rFonts w:ascii="Arial" w:hAnsi="Arial" w:cs="Arial"/>
        </w:rPr>
        <w:t xml:space="preserve"> </w:t>
      </w:r>
      <w:r w:rsidR="00CE177F" w:rsidRPr="00030181">
        <w:rPr>
          <w:rFonts w:ascii="Arial" w:hAnsi="Arial" w:cs="Arial"/>
        </w:rPr>
        <w:t>(CASP, 2024). CASP tools provide structured frameworks for evaluating research aims, study design, recruitment strategies, ethical considerations, data analysis, and clarity of findings (Coughlan et al., 2007). Qualitative studies were assessed for credibility, transparency, and relevance to food safety, nutrition practices, and chronic disease management within UK care homes (CASP, 2024).</w:t>
      </w:r>
    </w:p>
    <w:p w14:paraId="049EEBDA" w14:textId="7CDB2D27" w:rsidR="00CE177F" w:rsidRPr="00030181" w:rsidRDefault="005D7399" w:rsidP="005C5EBA">
      <w:pPr>
        <w:spacing w:line="360" w:lineRule="auto"/>
        <w:jc w:val="both"/>
        <w:rPr>
          <w:rFonts w:ascii="Arial" w:hAnsi="Arial" w:cs="Arial"/>
          <w:lang w:val="en-US"/>
        </w:rPr>
      </w:pPr>
      <w:r w:rsidRPr="00030181">
        <w:rPr>
          <w:rFonts w:ascii="Arial" w:hAnsi="Arial" w:cs="Arial"/>
          <w:lang w:val="en-US"/>
        </w:rPr>
        <w:t xml:space="preserve">The Joanna Briggs Institute (JBI) appraisal tools were applied to evaluate </w:t>
      </w:r>
      <w:r w:rsidR="00CE177F" w:rsidRPr="00030181">
        <w:rPr>
          <w:rFonts w:ascii="Arial" w:hAnsi="Arial" w:cs="Arial"/>
        </w:rPr>
        <w:t>quantitative studies, including cross-sectional and cohort designs (Joanna Briggs Institute, 2017). The JBI tools assessed participant selection, validity of outcome measurement, management of confounding factors, and appropriateness of statistical analysis (Joanna Briggs Institute, 2017). These tools are widely recognised for assessing quality and reliability of healthcare evidence (Booth et al., 2021).</w:t>
      </w:r>
    </w:p>
    <w:p w14:paraId="480B8959" w14:textId="435BC880" w:rsidR="00344C44" w:rsidRPr="00030181" w:rsidRDefault="000C6547" w:rsidP="005C5EBA">
      <w:pPr>
        <w:spacing w:line="360" w:lineRule="auto"/>
        <w:jc w:val="both"/>
        <w:rPr>
          <w:rFonts w:ascii="Arial" w:hAnsi="Arial" w:cs="Arial"/>
          <w:lang w:val="en-US"/>
        </w:rPr>
      </w:pPr>
      <w:r w:rsidRPr="00030181">
        <w:rPr>
          <w:rFonts w:ascii="Arial" w:hAnsi="Arial" w:cs="Arial"/>
        </w:rPr>
        <w:t>The research approach</w:t>
      </w:r>
      <w:r w:rsidRPr="00030181">
        <w:rPr>
          <w:rFonts w:ascii="Arial" w:hAnsi="Arial" w:cs="Arial"/>
          <w:lang w:val="en-US"/>
        </w:rPr>
        <w:t xml:space="preserve"> </w:t>
      </w:r>
      <w:r w:rsidR="005D7399" w:rsidRPr="00030181">
        <w:rPr>
          <w:rFonts w:ascii="Arial" w:hAnsi="Arial" w:cs="Arial"/>
          <w:lang w:val="en-US"/>
        </w:rPr>
        <w:t xml:space="preserve">rigour </w:t>
      </w:r>
      <w:r w:rsidRPr="00030181">
        <w:rPr>
          <w:rFonts w:ascii="Arial" w:hAnsi="Arial" w:cs="Arial"/>
        </w:rPr>
        <w:t>of the selected</w:t>
      </w:r>
      <w:r w:rsidRPr="00030181">
        <w:rPr>
          <w:rFonts w:ascii="Arial" w:hAnsi="Arial" w:cs="Arial"/>
        </w:rPr>
        <w:t xml:space="preserve"> </w:t>
      </w:r>
      <w:r w:rsidR="00344C44" w:rsidRPr="00030181">
        <w:rPr>
          <w:rFonts w:ascii="Arial" w:hAnsi="Arial" w:cs="Arial"/>
        </w:rPr>
        <w:t xml:space="preserve">studies ranged from </w:t>
      </w:r>
      <w:r w:rsidRPr="00030181">
        <w:rPr>
          <w:rFonts w:ascii="Arial" w:hAnsi="Arial" w:cs="Arial"/>
        </w:rPr>
        <w:t>moderate to substantial</w:t>
      </w:r>
      <w:r w:rsidR="00344C44" w:rsidRPr="00030181">
        <w:rPr>
          <w:rFonts w:ascii="Arial" w:hAnsi="Arial" w:cs="Arial"/>
        </w:rPr>
        <w:t xml:space="preserve">. Most demonstrated clear aims, appropriate study designs, and relevant findings; however, several </w:t>
      </w:r>
      <w:r w:rsidRPr="00030181">
        <w:rPr>
          <w:rFonts w:ascii="Arial" w:hAnsi="Arial" w:cs="Arial"/>
        </w:rPr>
        <w:t>were constrained by small sample sizes and single</w:t>
      </w:r>
      <w:r w:rsidR="00344C44" w:rsidRPr="00030181">
        <w:rPr>
          <w:rFonts w:ascii="Arial" w:hAnsi="Arial" w:cs="Arial"/>
        </w:rPr>
        <w:t>-site settings, and reduced generalisability. The outcomes of the appraisal process are presented in Appendix 2 using CASP and JBI appraisal tables.</w:t>
      </w:r>
    </w:p>
    <w:p w14:paraId="21C74726" w14:textId="33E08999" w:rsidR="00884405" w:rsidRPr="00030181" w:rsidRDefault="00884405" w:rsidP="005C5EBA">
      <w:pPr>
        <w:pStyle w:val="Heading1"/>
        <w:spacing w:line="360" w:lineRule="auto"/>
        <w:rPr>
          <w:rFonts w:ascii="Arial" w:hAnsi="Arial" w:cs="Arial"/>
          <w:b/>
          <w:bCs/>
          <w:color w:val="auto"/>
          <w:sz w:val="22"/>
          <w:szCs w:val="22"/>
        </w:rPr>
      </w:pPr>
      <w:bookmarkStart w:id="37" w:name="_Toc231947557"/>
      <w:r w:rsidRPr="00030181">
        <w:rPr>
          <w:rFonts w:ascii="Arial" w:hAnsi="Arial" w:cs="Arial"/>
          <w:b/>
          <w:bCs/>
          <w:color w:val="auto"/>
          <w:sz w:val="22"/>
          <w:szCs w:val="22"/>
        </w:rPr>
        <w:t>3.9 Data Analysis</w:t>
      </w:r>
      <w:bookmarkEnd w:id="37"/>
    </w:p>
    <w:p w14:paraId="1B4B7CCB" w14:textId="1E343048" w:rsidR="00CE177F" w:rsidRPr="00030181" w:rsidRDefault="00CE177F" w:rsidP="005C5EBA">
      <w:pPr>
        <w:spacing w:line="360" w:lineRule="auto"/>
        <w:jc w:val="both"/>
        <w:rPr>
          <w:rFonts w:ascii="Arial" w:hAnsi="Arial" w:cs="Arial"/>
          <w:lang w:val="en-US"/>
        </w:rPr>
      </w:pPr>
      <w:r w:rsidRPr="00030181">
        <w:rPr>
          <w:rFonts w:ascii="Arial" w:hAnsi="Arial" w:cs="Arial"/>
        </w:rPr>
        <w:t>The extracted studies</w:t>
      </w:r>
      <w:r w:rsidR="005D7399" w:rsidRPr="00030181">
        <w:rPr>
          <w:rFonts w:ascii="Arial" w:hAnsi="Arial" w:cs="Arial"/>
          <w:lang w:val="en-US"/>
        </w:rPr>
        <w:t xml:space="preserve"> included studies were examined </w:t>
      </w:r>
      <w:r w:rsidR="00763F42" w:rsidRPr="00030181">
        <w:rPr>
          <w:rFonts w:ascii="Arial" w:hAnsi="Arial" w:cs="Arial"/>
        </w:rPr>
        <w:t>employing Braun and Clarke's six-phase thematic analysis framework to determine</w:t>
      </w:r>
      <w:r w:rsidR="00763F42" w:rsidRPr="00030181">
        <w:rPr>
          <w:rFonts w:ascii="Arial" w:hAnsi="Arial" w:cs="Arial"/>
          <w:lang w:val="en-US"/>
        </w:rPr>
        <w:t xml:space="preserve"> </w:t>
      </w:r>
      <w:r w:rsidR="005D7399" w:rsidRPr="00030181">
        <w:rPr>
          <w:rFonts w:ascii="Arial" w:hAnsi="Arial" w:cs="Arial"/>
          <w:lang w:val="en-US"/>
        </w:rPr>
        <w:t>recurring themes across the selected evidence (Braun and Clarke, 2006). Thematic analysis was considered suitable because the review incorporated qualitative, quantitative, and mixed-method studies</w:t>
      </w:r>
      <w:r w:rsidR="000D6E1E" w:rsidRPr="00030181">
        <w:rPr>
          <w:rFonts w:ascii="Arial" w:hAnsi="Arial" w:cs="Arial"/>
          <w:lang w:val="en-US"/>
        </w:rPr>
        <w:t xml:space="preserve"> </w:t>
      </w:r>
      <w:r w:rsidRPr="00030181">
        <w:rPr>
          <w:rFonts w:ascii="Arial" w:hAnsi="Arial" w:cs="Arial"/>
        </w:rPr>
        <w:t>relating to food safety, nutrition practices, chronic disease management, and health outcomes within UK care homes (Greenhalgh et al., 2018).</w:t>
      </w:r>
    </w:p>
    <w:p w14:paraId="39FF3D81" w14:textId="47E7E4E3" w:rsidR="00CE177F" w:rsidRPr="00030181" w:rsidRDefault="00CE177F" w:rsidP="005C5EBA">
      <w:pPr>
        <w:spacing w:line="360" w:lineRule="auto"/>
        <w:jc w:val="both"/>
        <w:rPr>
          <w:rFonts w:ascii="Arial" w:hAnsi="Arial" w:cs="Arial"/>
          <w:lang w:val="en-US"/>
        </w:rPr>
      </w:pPr>
      <w:r w:rsidRPr="00030181">
        <w:rPr>
          <w:rFonts w:ascii="Arial" w:hAnsi="Arial" w:cs="Arial"/>
        </w:rPr>
        <w:t xml:space="preserve">The first stage involved </w:t>
      </w:r>
      <w:r w:rsidR="00763F42" w:rsidRPr="00030181">
        <w:rPr>
          <w:rFonts w:ascii="Arial" w:hAnsi="Arial" w:cs="Arial"/>
        </w:rPr>
        <w:t>becoming familiar with the data through repeated</w:t>
      </w:r>
      <w:r w:rsidR="00763F42" w:rsidRPr="00030181">
        <w:rPr>
          <w:rFonts w:ascii="Arial" w:hAnsi="Arial" w:cs="Arial"/>
          <w:lang w:val="en-US"/>
        </w:rPr>
        <w:t xml:space="preserve"> </w:t>
      </w:r>
      <w:r w:rsidR="005D7399" w:rsidRPr="00030181">
        <w:rPr>
          <w:rFonts w:ascii="Arial" w:hAnsi="Arial" w:cs="Arial"/>
          <w:lang w:val="en-US"/>
        </w:rPr>
        <w:t>review of the</w:t>
      </w:r>
      <w:r w:rsidR="00763F42" w:rsidRPr="00030181">
        <w:rPr>
          <w:rFonts w:ascii="Arial" w:hAnsi="Arial" w:cs="Arial"/>
          <w:lang w:val="en-US"/>
        </w:rPr>
        <w:t xml:space="preserve"> </w:t>
      </w:r>
      <w:r w:rsidRPr="00030181">
        <w:rPr>
          <w:rFonts w:ascii="Arial" w:hAnsi="Arial" w:cs="Arial"/>
        </w:rPr>
        <w:t>included studies to develop understanding of the extracted evidence relevant to the research objectives (Braun and Clarke, 2006). Key findings and recurring concepts relating to nutritional care, food hygiene, infection prevention, hydration, and type 2 diabetes management were identified during this stage (</w:t>
      </w:r>
      <w:r w:rsidR="00763F42" w:rsidRPr="00030181">
        <w:rPr>
          <w:rFonts w:ascii="Arial" w:hAnsi="Arial" w:cs="Arial"/>
        </w:rPr>
        <w:t>NICE</w:t>
      </w:r>
      <w:r w:rsidRPr="00030181">
        <w:rPr>
          <w:rFonts w:ascii="Arial" w:hAnsi="Arial" w:cs="Arial"/>
        </w:rPr>
        <w:t>, 2022).</w:t>
      </w:r>
    </w:p>
    <w:p w14:paraId="0FE75BD4" w14:textId="77777777" w:rsidR="00CE177F" w:rsidRPr="00030181" w:rsidRDefault="00CE177F" w:rsidP="005C5EBA">
      <w:pPr>
        <w:spacing w:line="360" w:lineRule="auto"/>
        <w:jc w:val="both"/>
        <w:rPr>
          <w:rFonts w:ascii="Arial" w:hAnsi="Arial" w:cs="Arial"/>
        </w:rPr>
      </w:pPr>
      <w:r w:rsidRPr="00030181">
        <w:rPr>
          <w:rFonts w:ascii="Arial" w:hAnsi="Arial" w:cs="Arial"/>
        </w:rPr>
        <w:t xml:space="preserve">The second stage involved generating initial codes from significant findings identified across the included studies (Braun and Clarke, 2006). Coding enabled organisation of similar </w:t>
      </w:r>
      <w:r w:rsidRPr="00030181">
        <w:rPr>
          <w:rFonts w:ascii="Arial" w:hAnsi="Arial" w:cs="Arial"/>
        </w:rPr>
        <w:lastRenderedPageBreak/>
        <w:t>concepts into categories associated with nutrition, food safety practices, chronic disease vulnerability, staff training, and integrated care approaches within care homes (Snyder, 2019).</w:t>
      </w:r>
    </w:p>
    <w:p w14:paraId="39BA7EF3" w14:textId="77777777" w:rsidR="00CE177F" w:rsidRPr="00030181" w:rsidRDefault="00CE177F" w:rsidP="005C5EBA">
      <w:pPr>
        <w:spacing w:line="360" w:lineRule="auto"/>
        <w:jc w:val="both"/>
        <w:rPr>
          <w:rFonts w:ascii="Arial" w:hAnsi="Arial" w:cs="Arial"/>
        </w:rPr>
      </w:pPr>
      <w:r w:rsidRPr="00030181">
        <w:rPr>
          <w:rFonts w:ascii="Arial" w:hAnsi="Arial" w:cs="Arial"/>
        </w:rPr>
        <w:t>The third stage involved grouping related codes together to identify broader themes emerging across the literature (Braun and Clarke, 2006). Similar codes relating to nutritional support, infection prevention, and chronic disease management were combined into preliminary thematic categories (Greenhalgh et al., 2018).</w:t>
      </w:r>
    </w:p>
    <w:p w14:paraId="42A50D30" w14:textId="7ACA025E" w:rsidR="00CE177F" w:rsidRPr="00030181" w:rsidRDefault="00CE177F" w:rsidP="005C5EBA">
      <w:pPr>
        <w:spacing w:line="360" w:lineRule="auto"/>
        <w:jc w:val="both"/>
        <w:rPr>
          <w:rFonts w:ascii="Arial" w:hAnsi="Arial" w:cs="Arial"/>
          <w:lang w:val="en-US"/>
        </w:rPr>
      </w:pPr>
      <w:r w:rsidRPr="00030181">
        <w:rPr>
          <w:rFonts w:ascii="Arial" w:hAnsi="Arial" w:cs="Arial"/>
        </w:rPr>
        <w:t xml:space="preserve">The fourth stage involved </w:t>
      </w:r>
      <w:r w:rsidR="002D307B" w:rsidRPr="00030181">
        <w:rPr>
          <w:rFonts w:ascii="Arial" w:hAnsi="Arial" w:cs="Arial"/>
          <w:lang w:val="en-US"/>
        </w:rPr>
        <w:t xml:space="preserve">reviewing and refining the </w:t>
      </w:r>
      <w:r w:rsidR="00763F42" w:rsidRPr="00030181">
        <w:rPr>
          <w:rFonts w:ascii="Arial" w:hAnsi="Arial" w:cs="Arial"/>
        </w:rPr>
        <w:t>themes to maintain consistency and relevance to the research objectives</w:t>
      </w:r>
      <w:r w:rsidR="00763F42" w:rsidRPr="00030181">
        <w:rPr>
          <w:rFonts w:ascii="Arial" w:hAnsi="Arial" w:cs="Arial"/>
        </w:rPr>
        <w:t xml:space="preserve"> </w:t>
      </w:r>
      <w:r w:rsidRPr="00030181">
        <w:rPr>
          <w:rFonts w:ascii="Arial" w:hAnsi="Arial" w:cs="Arial"/>
        </w:rPr>
        <w:t>(Braun and Clarke, 2006). Themes demonstrating overlap or limited supporting evidence were revised to improve analytical clarity (Booth et al., 2021).</w:t>
      </w:r>
    </w:p>
    <w:p w14:paraId="50F7CD44" w14:textId="77777777" w:rsidR="00CE177F" w:rsidRPr="00030181" w:rsidRDefault="00CE177F" w:rsidP="005C5EBA">
      <w:pPr>
        <w:spacing w:line="360" w:lineRule="auto"/>
        <w:jc w:val="both"/>
        <w:rPr>
          <w:rFonts w:ascii="Arial" w:hAnsi="Arial" w:cs="Arial"/>
        </w:rPr>
      </w:pPr>
      <w:r w:rsidRPr="00030181">
        <w:rPr>
          <w:rFonts w:ascii="Arial" w:hAnsi="Arial" w:cs="Arial"/>
        </w:rPr>
        <w:t>The fifth stage involved defining and naming the final themes identified within the review (Braun and Clarke, 2006). The principal themes included nutritional care practices, food safety and hygiene management, chronic disease vulnerability, and integrated care approaches within UK care homes (National Health Service, 2023).</w:t>
      </w:r>
    </w:p>
    <w:p w14:paraId="4D8A99F2" w14:textId="3A935CFE" w:rsidR="00CE177F" w:rsidRPr="00030181" w:rsidRDefault="00CE177F" w:rsidP="005C5EBA">
      <w:pPr>
        <w:spacing w:line="360" w:lineRule="auto"/>
        <w:jc w:val="both"/>
        <w:rPr>
          <w:rFonts w:ascii="Arial" w:hAnsi="Arial" w:cs="Arial"/>
        </w:rPr>
      </w:pPr>
      <w:r w:rsidRPr="00030181">
        <w:rPr>
          <w:rFonts w:ascii="Arial" w:hAnsi="Arial" w:cs="Arial"/>
        </w:rPr>
        <w:t xml:space="preserve">The final stage involved producing a narrative synthesis and presenting the findings in a structured format </w:t>
      </w:r>
      <w:r w:rsidR="00763F42" w:rsidRPr="00030181">
        <w:rPr>
          <w:rFonts w:ascii="Arial" w:hAnsi="Arial" w:cs="Arial"/>
        </w:rPr>
        <w:t>consistent with the research objectives</w:t>
      </w:r>
      <w:r w:rsidR="00763F42" w:rsidRPr="00030181">
        <w:rPr>
          <w:rFonts w:ascii="Arial" w:hAnsi="Arial" w:cs="Arial"/>
        </w:rPr>
        <w:t xml:space="preserve"> </w:t>
      </w:r>
      <w:r w:rsidRPr="00030181">
        <w:rPr>
          <w:rFonts w:ascii="Arial" w:hAnsi="Arial" w:cs="Arial"/>
        </w:rPr>
        <w:t>(Braun and Clarke, 2006). Narrative synthesis supported comparison and interpretation of evidence across the included studies relevant to healthcare practice and policy development (Popay et al., 2006). The themes identified through thematic analysis are presented in Chapter 4 through a thematic findings table and narrative synthesis.</w:t>
      </w:r>
    </w:p>
    <w:p w14:paraId="781DC5E0" w14:textId="436F7ABD" w:rsidR="00E70C5C" w:rsidRPr="00030181" w:rsidRDefault="00E70C5C" w:rsidP="005C5EBA">
      <w:pPr>
        <w:pStyle w:val="Heading1"/>
        <w:spacing w:line="360" w:lineRule="auto"/>
        <w:rPr>
          <w:rFonts w:ascii="Arial" w:hAnsi="Arial" w:cs="Arial"/>
          <w:b/>
          <w:bCs/>
          <w:color w:val="auto"/>
          <w:sz w:val="22"/>
          <w:szCs w:val="22"/>
        </w:rPr>
      </w:pPr>
      <w:bookmarkStart w:id="38" w:name="_Toc231947558"/>
      <w:r w:rsidRPr="00030181">
        <w:rPr>
          <w:rFonts w:ascii="Arial" w:hAnsi="Arial" w:cs="Arial"/>
          <w:b/>
          <w:bCs/>
          <w:color w:val="auto"/>
          <w:sz w:val="22"/>
          <w:szCs w:val="22"/>
        </w:rPr>
        <w:t>3.</w:t>
      </w:r>
      <w:r w:rsidR="00884405" w:rsidRPr="00030181">
        <w:rPr>
          <w:rFonts w:ascii="Arial" w:hAnsi="Arial" w:cs="Arial"/>
          <w:b/>
          <w:bCs/>
          <w:color w:val="auto"/>
          <w:sz w:val="22"/>
          <w:szCs w:val="22"/>
        </w:rPr>
        <w:t>10</w:t>
      </w:r>
      <w:r w:rsidRPr="00030181">
        <w:rPr>
          <w:rFonts w:ascii="Arial" w:hAnsi="Arial" w:cs="Arial"/>
          <w:b/>
          <w:bCs/>
          <w:color w:val="auto"/>
          <w:sz w:val="22"/>
          <w:szCs w:val="22"/>
        </w:rPr>
        <w:t xml:space="preserve"> Ethical Considerations</w:t>
      </w:r>
      <w:bookmarkEnd w:id="38"/>
    </w:p>
    <w:p w14:paraId="0BDDCBE8" w14:textId="39F63EB9" w:rsidR="00C344A5" w:rsidRPr="00030181" w:rsidRDefault="00C344A5" w:rsidP="005C5EBA">
      <w:pPr>
        <w:spacing w:line="360" w:lineRule="auto"/>
        <w:jc w:val="both"/>
        <w:rPr>
          <w:rFonts w:ascii="Arial" w:hAnsi="Arial" w:cs="Arial"/>
          <w:lang w:val="en-US"/>
        </w:rPr>
      </w:pPr>
      <w:r w:rsidRPr="00030181">
        <w:rPr>
          <w:rFonts w:ascii="Arial" w:hAnsi="Arial" w:cs="Arial"/>
        </w:rPr>
        <w:t xml:space="preserve">Ethical principles were maintained throughout this systematic literature review to ensure research integrity and accurate use of evidence (Saks and Allsop, 2019). The study used secondary data </w:t>
      </w:r>
      <w:r w:rsidR="002D307B" w:rsidRPr="00030181">
        <w:rPr>
          <w:rFonts w:ascii="Arial" w:hAnsi="Arial" w:cs="Arial"/>
          <w:lang w:val="en-US"/>
        </w:rPr>
        <w:t xml:space="preserve">from peer-reviewed studies, healthcare guidelines, </w:t>
      </w:r>
      <w:r w:rsidRPr="00030181">
        <w:rPr>
          <w:rFonts w:ascii="Arial" w:hAnsi="Arial" w:cs="Arial"/>
        </w:rPr>
        <w:t>and government publications related to food safety and nutrition practices in UK care homes (Booth et al., 2021). As no human participants, interviews, or confidential patient data were involved, informed consent and formal ethical approval were not required (Creswell and Poth, 2018).</w:t>
      </w:r>
    </w:p>
    <w:p w14:paraId="00E8012C" w14:textId="64F7B4FE" w:rsidR="00C344A5" w:rsidRPr="00030181" w:rsidRDefault="003D793C" w:rsidP="005C5EBA">
      <w:pPr>
        <w:spacing w:line="360" w:lineRule="auto"/>
        <w:jc w:val="both"/>
        <w:rPr>
          <w:rFonts w:ascii="Arial" w:hAnsi="Arial" w:cs="Arial"/>
        </w:rPr>
      </w:pPr>
      <w:r w:rsidRPr="00030181">
        <w:rPr>
          <w:rFonts w:ascii="Arial" w:hAnsi="Arial" w:cs="Arial"/>
        </w:rPr>
        <w:t>Ethical approval was sought from the</w:t>
      </w:r>
      <w:r w:rsidR="00837059" w:rsidRPr="00030181">
        <w:rPr>
          <w:rFonts w:ascii="Arial" w:hAnsi="Arial" w:cs="Arial"/>
        </w:rPr>
        <w:t xml:space="preserve"> University of Wales Trinity Saint David </w:t>
      </w:r>
      <w:r w:rsidRPr="00030181">
        <w:rPr>
          <w:rFonts w:ascii="Arial" w:hAnsi="Arial" w:cs="Arial"/>
        </w:rPr>
        <w:t xml:space="preserve">and approval was granted prior to conducting the study. </w:t>
      </w:r>
      <w:r w:rsidR="00C344A5" w:rsidRPr="00030181">
        <w:rPr>
          <w:rFonts w:ascii="Arial" w:hAnsi="Arial" w:cs="Arial"/>
        </w:rPr>
        <w:t>Ethical standards were maintained through accurate reporting, objective interpretation of findings, and appropriate Harvard-style referencing of all sources used within the review (Jenn, 2006). Academic integrity was also ensured by avoiding plagiarism and misrepresentation of evidence throughout the research process (Greenhalgh et al., 2018).</w:t>
      </w:r>
    </w:p>
    <w:p w14:paraId="5952E67E" w14:textId="5F1D44DF" w:rsidR="00C344A5" w:rsidRPr="00030181" w:rsidRDefault="00C344A5" w:rsidP="005C5EBA">
      <w:pPr>
        <w:pStyle w:val="Heading1"/>
        <w:spacing w:line="360" w:lineRule="auto"/>
        <w:rPr>
          <w:rFonts w:ascii="Arial" w:hAnsi="Arial" w:cs="Arial"/>
          <w:b/>
          <w:bCs/>
          <w:color w:val="auto"/>
          <w:sz w:val="22"/>
          <w:szCs w:val="22"/>
        </w:rPr>
      </w:pPr>
      <w:bookmarkStart w:id="39" w:name="_Toc231947559"/>
      <w:r w:rsidRPr="00030181">
        <w:rPr>
          <w:rFonts w:ascii="Arial" w:hAnsi="Arial" w:cs="Arial"/>
          <w:b/>
          <w:bCs/>
          <w:color w:val="auto"/>
          <w:sz w:val="22"/>
          <w:szCs w:val="22"/>
        </w:rPr>
        <w:lastRenderedPageBreak/>
        <w:t>3.11 Limitations</w:t>
      </w:r>
      <w:bookmarkEnd w:id="39"/>
      <w:r w:rsidRPr="00030181">
        <w:rPr>
          <w:rFonts w:ascii="Arial" w:hAnsi="Arial" w:cs="Arial"/>
          <w:b/>
          <w:bCs/>
          <w:color w:val="auto"/>
          <w:sz w:val="22"/>
          <w:szCs w:val="22"/>
        </w:rPr>
        <w:t xml:space="preserve"> </w:t>
      </w:r>
    </w:p>
    <w:p w14:paraId="114CCCA9" w14:textId="56F6B911" w:rsidR="00C344A5" w:rsidRPr="00030181" w:rsidRDefault="00C344A5" w:rsidP="005C5EBA">
      <w:pPr>
        <w:spacing w:line="360" w:lineRule="auto"/>
        <w:jc w:val="both"/>
        <w:rPr>
          <w:rFonts w:ascii="Arial" w:hAnsi="Arial" w:cs="Arial"/>
        </w:rPr>
      </w:pPr>
      <w:r w:rsidRPr="00030181">
        <w:rPr>
          <w:rFonts w:ascii="Arial" w:hAnsi="Arial" w:cs="Arial"/>
        </w:rPr>
        <w:t>Several limitations may have influenced the findings of this systematic literature review (Booth et al., 2021</w:t>
      </w:r>
      <w:r w:rsidR="002D307B" w:rsidRPr="00030181">
        <w:rPr>
          <w:rFonts w:ascii="Arial" w:hAnsi="Arial" w:cs="Arial"/>
          <w:lang w:val="en-US"/>
        </w:rPr>
        <w:t xml:space="preserve">). Dependence on published studies increased </w:t>
      </w:r>
      <w:r w:rsidR="00763F42" w:rsidRPr="00030181">
        <w:rPr>
          <w:rFonts w:ascii="Arial" w:hAnsi="Arial" w:cs="Arial"/>
        </w:rPr>
        <w:t>the potential for publication bias, given that studies reporting significant results are more likely to appear in published literature</w:t>
      </w:r>
      <w:r w:rsidR="00763F42" w:rsidRPr="00030181">
        <w:rPr>
          <w:rFonts w:ascii="Arial" w:hAnsi="Arial" w:cs="Arial"/>
          <w:lang w:val="en-US"/>
        </w:rPr>
        <w:t xml:space="preserve"> </w:t>
      </w:r>
      <w:r w:rsidR="002D307B" w:rsidRPr="00030181">
        <w:rPr>
          <w:rFonts w:ascii="Arial" w:hAnsi="Arial" w:cs="Arial"/>
          <w:lang w:val="en-US"/>
        </w:rPr>
        <w:t xml:space="preserve">(Greenhalgh et al., 2018). </w:t>
      </w:r>
      <w:r w:rsidR="00763F42" w:rsidRPr="00030181">
        <w:rPr>
          <w:rFonts w:ascii="Arial" w:hAnsi="Arial" w:cs="Arial"/>
        </w:rPr>
        <w:t>The review included only English-language publications, which may have contributed to language bias.</w:t>
      </w:r>
      <w:r w:rsidR="00763F42" w:rsidRPr="00030181">
        <w:rPr>
          <w:rFonts w:ascii="Arial" w:hAnsi="Arial" w:cs="Arial"/>
        </w:rPr>
        <w:t xml:space="preserve"> </w:t>
      </w:r>
      <w:r w:rsidRPr="00030181">
        <w:rPr>
          <w:rFonts w:ascii="Arial" w:hAnsi="Arial" w:cs="Arial"/>
        </w:rPr>
        <w:t xml:space="preserve">(Snyder, 2019). </w:t>
      </w:r>
    </w:p>
    <w:p w14:paraId="282A8FA0" w14:textId="60E3136D" w:rsidR="00C344A5" w:rsidRPr="00030181" w:rsidRDefault="00C344A5" w:rsidP="005C5EBA">
      <w:pPr>
        <w:spacing w:line="360" w:lineRule="auto"/>
        <w:jc w:val="both"/>
        <w:rPr>
          <w:rFonts w:ascii="Arial" w:hAnsi="Arial" w:cs="Arial"/>
        </w:rPr>
      </w:pPr>
      <w:r w:rsidRPr="00030181">
        <w:rPr>
          <w:rFonts w:ascii="Arial" w:hAnsi="Arial" w:cs="Arial"/>
        </w:rPr>
        <w:t>Variations in study design and outcome measures also created heterogeneity across the included literature, limiting direct comparison between studies (Page et al., 2021). Furthermore, limited UK-specific evidence relating to integrated food safety and nutritional care practices within care homes reduced the availability of highly focused research relevant to the study topic (</w:t>
      </w:r>
      <w:r w:rsidR="00763F42" w:rsidRPr="00030181">
        <w:rPr>
          <w:rFonts w:ascii="Arial" w:hAnsi="Arial" w:cs="Arial"/>
        </w:rPr>
        <w:t>NICE</w:t>
      </w:r>
      <w:r w:rsidRPr="00030181">
        <w:rPr>
          <w:rFonts w:ascii="Arial" w:hAnsi="Arial" w:cs="Arial"/>
        </w:rPr>
        <w:t>, 2022).</w:t>
      </w:r>
    </w:p>
    <w:p w14:paraId="6A42BBE3" w14:textId="4B9EDA53" w:rsidR="00E70C5C" w:rsidRPr="00030181" w:rsidRDefault="00E70C5C" w:rsidP="005C5EBA">
      <w:pPr>
        <w:pStyle w:val="Heading1"/>
        <w:spacing w:line="360" w:lineRule="auto"/>
        <w:rPr>
          <w:rFonts w:ascii="Arial" w:hAnsi="Arial" w:cs="Arial"/>
          <w:b/>
          <w:bCs/>
          <w:color w:val="auto"/>
          <w:sz w:val="22"/>
          <w:szCs w:val="22"/>
        </w:rPr>
      </w:pPr>
      <w:bookmarkStart w:id="40" w:name="_Toc231947560"/>
      <w:r w:rsidRPr="00030181">
        <w:rPr>
          <w:rFonts w:ascii="Arial" w:hAnsi="Arial" w:cs="Arial"/>
          <w:b/>
          <w:bCs/>
          <w:color w:val="auto"/>
          <w:sz w:val="22"/>
          <w:szCs w:val="22"/>
        </w:rPr>
        <w:t>3.1</w:t>
      </w:r>
      <w:r w:rsidR="00884405" w:rsidRPr="00030181">
        <w:rPr>
          <w:rFonts w:ascii="Arial" w:hAnsi="Arial" w:cs="Arial"/>
          <w:b/>
          <w:bCs/>
          <w:color w:val="auto"/>
          <w:sz w:val="22"/>
          <w:szCs w:val="22"/>
        </w:rPr>
        <w:t>2</w:t>
      </w:r>
      <w:r w:rsidRPr="00030181">
        <w:rPr>
          <w:rFonts w:ascii="Arial" w:hAnsi="Arial" w:cs="Arial"/>
          <w:b/>
          <w:bCs/>
          <w:color w:val="auto"/>
          <w:sz w:val="22"/>
          <w:szCs w:val="22"/>
        </w:rPr>
        <w:t xml:space="preserve"> Summary</w:t>
      </w:r>
      <w:bookmarkEnd w:id="40"/>
    </w:p>
    <w:p w14:paraId="11774389" w14:textId="32357189" w:rsidR="007E4ACD" w:rsidRPr="00030181" w:rsidRDefault="00C344A5" w:rsidP="005C5EBA">
      <w:pPr>
        <w:spacing w:line="360" w:lineRule="auto"/>
        <w:jc w:val="both"/>
        <w:rPr>
          <w:rFonts w:ascii="Arial" w:hAnsi="Arial" w:cs="Arial"/>
        </w:rPr>
      </w:pPr>
      <w:r w:rsidRPr="00030181">
        <w:rPr>
          <w:rFonts w:ascii="Arial" w:hAnsi="Arial" w:cs="Arial"/>
        </w:rPr>
        <w:t xml:space="preserve">This chapter outlined the qualitative systematic literature review methodology used within the study (Page et al., 2021). PRISMA guidelines, CASP, and Joanna Briggs Institute appraisal tools supported systematic study selection and quality assessment processes (CASP, 2024; Joanna Briggs Institute, 2017). Data extraction and Braun and Clarke’s thematic analysis </w:t>
      </w:r>
      <w:r w:rsidR="00763F42" w:rsidRPr="00030181">
        <w:rPr>
          <w:rFonts w:ascii="Arial" w:hAnsi="Arial" w:cs="Arial"/>
        </w:rPr>
        <w:t xml:space="preserve">framework was employed to determine the main themes within the </w:t>
      </w:r>
      <w:r w:rsidRPr="00030181">
        <w:rPr>
          <w:rFonts w:ascii="Arial" w:hAnsi="Arial" w:cs="Arial"/>
        </w:rPr>
        <w:t>literature (Braun and Clarke, 2006). Ethical considerations and methodological limitations relevant to the review were also addressed (Saks and Allsop, 2019).</w:t>
      </w:r>
    </w:p>
    <w:p w14:paraId="147B4E92" w14:textId="77777777" w:rsidR="0034558A" w:rsidRPr="00030181" w:rsidRDefault="0034558A" w:rsidP="005C5EBA">
      <w:pPr>
        <w:spacing w:line="360" w:lineRule="auto"/>
        <w:rPr>
          <w:rFonts w:ascii="Arial" w:hAnsi="Arial" w:cs="Arial"/>
          <w:b/>
          <w:bCs/>
          <w:sz w:val="24"/>
          <w:szCs w:val="24"/>
        </w:rPr>
      </w:pPr>
      <w:r w:rsidRPr="00030181">
        <w:rPr>
          <w:rFonts w:ascii="Arial" w:hAnsi="Arial" w:cs="Arial"/>
          <w:b/>
          <w:bCs/>
          <w:sz w:val="24"/>
          <w:szCs w:val="24"/>
        </w:rPr>
        <w:br w:type="page"/>
      </w:r>
    </w:p>
    <w:p w14:paraId="186B4F18" w14:textId="61C657D2" w:rsidR="00F831E6" w:rsidRPr="00030181" w:rsidRDefault="003E3370" w:rsidP="005C5EBA">
      <w:pPr>
        <w:pStyle w:val="Heading1"/>
        <w:spacing w:line="360" w:lineRule="auto"/>
        <w:rPr>
          <w:rFonts w:ascii="Arial" w:hAnsi="Arial" w:cs="Arial"/>
          <w:b/>
          <w:bCs/>
          <w:color w:val="auto"/>
          <w:sz w:val="28"/>
          <w:szCs w:val="28"/>
        </w:rPr>
      </w:pPr>
      <w:bookmarkStart w:id="41" w:name="_Toc231947561"/>
      <w:r w:rsidRPr="00030181">
        <w:rPr>
          <w:rFonts w:ascii="Arial" w:hAnsi="Arial" w:cs="Arial"/>
          <w:b/>
          <w:bCs/>
          <w:color w:val="auto"/>
          <w:sz w:val="28"/>
          <w:szCs w:val="28"/>
        </w:rPr>
        <w:lastRenderedPageBreak/>
        <w:t>CHAPTER- 4 FINDINGS</w:t>
      </w:r>
      <w:bookmarkEnd w:id="41"/>
    </w:p>
    <w:p w14:paraId="306436CF" w14:textId="77777777" w:rsidR="00F831E6" w:rsidRPr="00030181" w:rsidRDefault="00F831E6" w:rsidP="005C5EBA">
      <w:pPr>
        <w:pStyle w:val="Heading1"/>
        <w:spacing w:line="360" w:lineRule="auto"/>
        <w:rPr>
          <w:rFonts w:ascii="Arial" w:hAnsi="Arial" w:cs="Arial"/>
          <w:b/>
          <w:bCs/>
          <w:color w:val="auto"/>
          <w:sz w:val="22"/>
          <w:szCs w:val="22"/>
        </w:rPr>
      </w:pPr>
      <w:bookmarkStart w:id="42" w:name="_Toc231947562"/>
      <w:r w:rsidRPr="00030181">
        <w:rPr>
          <w:rFonts w:ascii="Arial" w:hAnsi="Arial" w:cs="Arial"/>
          <w:b/>
          <w:bCs/>
          <w:color w:val="auto"/>
          <w:sz w:val="22"/>
          <w:szCs w:val="22"/>
        </w:rPr>
        <w:t>4.0 Introduction</w:t>
      </w:r>
      <w:bookmarkEnd w:id="42"/>
    </w:p>
    <w:p w14:paraId="65D5E391" w14:textId="77B24D31" w:rsidR="003E3370" w:rsidRPr="00030181" w:rsidRDefault="00763F42" w:rsidP="005C5EBA">
      <w:pPr>
        <w:spacing w:line="360" w:lineRule="auto"/>
        <w:jc w:val="both"/>
        <w:rPr>
          <w:rFonts w:ascii="Arial" w:hAnsi="Arial" w:cs="Arial"/>
        </w:rPr>
      </w:pPr>
      <w:r w:rsidRPr="00763F42">
        <w:rPr>
          <w:rFonts w:ascii="Arial" w:hAnsi="Arial" w:cs="Arial"/>
        </w:rPr>
        <w:t>This chapter presents the findings of the systematic review on food safety and nutritional practices in UK care homes and their effects on older adults with type 2 diabetes. Braun and Clarke's thematic analysis framework was employed to determine the main themes within the reviewed literature</w:t>
      </w:r>
      <w:r w:rsidRPr="00030181">
        <w:rPr>
          <w:rFonts w:ascii="Arial" w:hAnsi="Arial" w:cs="Arial"/>
        </w:rPr>
        <w:t xml:space="preserve"> </w:t>
      </w:r>
      <w:r w:rsidR="003E3370" w:rsidRPr="00030181">
        <w:rPr>
          <w:rFonts w:ascii="Arial" w:hAnsi="Arial" w:cs="Arial"/>
        </w:rPr>
        <w:t>(Braun and Clarke, 2006). The chapter explores food safety, nutritional care, diabetes management, health outcomes, and evidence-based strategies in residential and nursing homes.</w:t>
      </w:r>
    </w:p>
    <w:p w14:paraId="59881ACD" w14:textId="77777777" w:rsidR="003E3370" w:rsidRPr="00030181" w:rsidRDefault="003E3370" w:rsidP="005C5EBA">
      <w:pPr>
        <w:spacing w:line="360" w:lineRule="auto"/>
        <w:jc w:val="both"/>
        <w:rPr>
          <w:rFonts w:ascii="Arial" w:hAnsi="Arial" w:cs="Arial"/>
        </w:rPr>
      </w:pPr>
      <w:r w:rsidRPr="00030181">
        <w:rPr>
          <w:rFonts w:ascii="Arial" w:hAnsi="Arial" w:cs="Arial"/>
        </w:rPr>
        <w:t>Food and nutrition safety remains an important public health issue in UK care homes, as older residents are particularly vulnerable due to frailty, multimorbidity, cognitive decline, and dependency (NICE, 2022; World Health Organization, 2022). Cereda et al. (2016) found that 18% of institutionalised older adults were malnourished and 48% were at risk. Inadequate nutritional screening, hydration monitoring, food hygiene, and staff training may negatively affect glycaemic control, infection risk, and resident wellbeing (Bunn et al., 2018; Sinclair et al., 2020).</w:t>
      </w:r>
    </w:p>
    <w:p w14:paraId="570DC1D0" w14:textId="19BE75EA" w:rsidR="00F16C2A" w:rsidRPr="00030181" w:rsidRDefault="00F16C2A" w:rsidP="00F16C2A">
      <w:pPr>
        <w:pStyle w:val="Caption"/>
        <w:jc w:val="both"/>
        <w:rPr>
          <w:rFonts w:ascii="Arial" w:hAnsi="Arial" w:cs="Arial"/>
          <w:color w:val="000000" w:themeColor="text1"/>
          <w:sz w:val="22"/>
          <w:szCs w:val="22"/>
        </w:rPr>
      </w:pPr>
      <w:bookmarkStart w:id="43" w:name="_Toc231929383"/>
      <w:r w:rsidRPr="00030181">
        <w:rPr>
          <w:rFonts w:ascii="Arial" w:hAnsi="Arial" w:cs="Arial"/>
          <w:color w:val="000000" w:themeColor="text1"/>
          <w:sz w:val="22"/>
          <w:szCs w:val="22"/>
        </w:rPr>
        <w:t xml:space="preserve">Table 4.1: Thematic Findings </w:t>
      </w:r>
      <w:r w:rsidRPr="00030181">
        <w:rPr>
          <w:rFonts w:ascii="Arial" w:hAnsi="Arial" w:cs="Arial"/>
          <w:color w:val="000000" w:themeColor="text1"/>
          <w:sz w:val="22"/>
          <w:szCs w:val="22"/>
        </w:rPr>
        <w:fldChar w:fldCharType="begin"/>
      </w:r>
      <w:r w:rsidRPr="00030181">
        <w:rPr>
          <w:rFonts w:ascii="Arial" w:hAnsi="Arial" w:cs="Arial"/>
          <w:color w:val="000000" w:themeColor="text1"/>
          <w:sz w:val="22"/>
          <w:szCs w:val="22"/>
        </w:rPr>
        <w:instrText xml:space="preserve"> SEQ Table_4.1:_Thematic_Findings \* ARABIC </w:instrText>
      </w:r>
      <w:r w:rsidRPr="00030181">
        <w:rPr>
          <w:rFonts w:ascii="Arial" w:hAnsi="Arial" w:cs="Arial"/>
          <w:color w:val="000000" w:themeColor="text1"/>
          <w:sz w:val="22"/>
          <w:szCs w:val="22"/>
        </w:rPr>
        <w:fldChar w:fldCharType="separate"/>
      </w:r>
      <w:r w:rsidRPr="00030181">
        <w:rPr>
          <w:rFonts w:ascii="Arial" w:hAnsi="Arial" w:cs="Arial"/>
          <w:noProof/>
          <w:color w:val="000000" w:themeColor="text1"/>
          <w:sz w:val="22"/>
          <w:szCs w:val="22"/>
        </w:rPr>
        <w:t>1</w:t>
      </w:r>
      <w:bookmarkEnd w:id="43"/>
      <w:r w:rsidRPr="00030181">
        <w:rPr>
          <w:rFonts w:ascii="Arial" w:hAnsi="Arial" w:cs="Arial"/>
          <w:color w:val="000000" w:themeColor="text1"/>
          <w:sz w:val="22"/>
          <w:szCs w:val="22"/>
        </w:rPr>
        <w:fldChar w:fldCharType="end"/>
      </w:r>
    </w:p>
    <w:tbl>
      <w:tblPr>
        <w:tblStyle w:val="TableGrid"/>
        <w:tblW w:w="9150" w:type="dxa"/>
        <w:tblLook w:val="04A0" w:firstRow="1" w:lastRow="0" w:firstColumn="1" w:lastColumn="0" w:noHBand="0" w:noVBand="1"/>
      </w:tblPr>
      <w:tblGrid>
        <w:gridCol w:w="2292"/>
        <w:gridCol w:w="3463"/>
        <w:gridCol w:w="3395"/>
      </w:tblGrid>
      <w:tr w:rsidR="00BF0AFC" w:rsidRPr="00030181" w14:paraId="77BE08C1" w14:textId="77777777" w:rsidTr="00BF0AFC">
        <w:trPr>
          <w:trHeight w:val="108"/>
        </w:trPr>
        <w:tc>
          <w:tcPr>
            <w:tcW w:w="0" w:type="auto"/>
            <w:hideMark/>
          </w:tcPr>
          <w:p w14:paraId="55F8D1B6" w14:textId="77777777" w:rsidR="00BF0AFC" w:rsidRPr="00030181" w:rsidRDefault="00BF0AFC" w:rsidP="005C5EBA">
            <w:pPr>
              <w:spacing w:after="160" w:line="360" w:lineRule="auto"/>
              <w:jc w:val="both"/>
              <w:rPr>
                <w:rFonts w:ascii="Arial" w:hAnsi="Arial" w:cs="Arial"/>
                <w:b/>
                <w:bCs/>
              </w:rPr>
            </w:pPr>
            <w:r w:rsidRPr="00030181">
              <w:rPr>
                <w:rFonts w:ascii="Arial" w:hAnsi="Arial" w:cs="Arial"/>
                <w:b/>
                <w:bCs/>
              </w:rPr>
              <w:t>Main Theme</w:t>
            </w:r>
          </w:p>
        </w:tc>
        <w:tc>
          <w:tcPr>
            <w:tcW w:w="0" w:type="auto"/>
            <w:hideMark/>
          </w:tcPr>
          <w:p w14:paraId="459214D3" w14:textId="77777777" w:rsidR="00BF0AFC" w:rsidRPr="00030181" w:rsidRDefault="00BF0AFC" w:rsidP="005C5EBA">
            <w:pPr>
              <w:spacing w:after="160" w:line="360" w:lineRule="auto"/>
              <w:jc w:val="both"/>
              <w:rPr>
                <w:rFonts w:ascii="Arial" w:hAnsi="Arial" w:cs="Arial"/>
                <w:b/>
                <w:bCs/>
              </w:rPr>
            </w:pPr>
            <w:r w:rsidRPr="00030181">
              <w:rPr>
                <w:rFonts w:ascii="Arial" w:hAnsi="Arial" w:cs="Arial"/>
                <w:b/>
                <w:bCs/>
              </w:rPr>
              <w:t>Sub-themes</w:t>
            </w:r>
          </w:p>
        </w:tc>
        <w:tc>
          <w:tcPr>
            <w:tcW w:w="0" w:type="auto"/>
            <w:hideMark/>
          </w:tcPr>
          <w:p w14:paraId="1035B71A" w14:textId="77777777" w:rsidR="00BF0AFC" w:rsidRPr="00030181" w:rsidRDefault="00BF0AFC" w:rsidP="005C5EBA">
            <w:pPr>
              <w:spacing w:after="160" w:line="360" w:lineRule="auto"/>
              <w:jc w:val="both"/>
              <w:rPr>
                <w:rFonts w:ascii="Arial" w:hAnsi="Arial" w:cs="Arial"/>
                <w:b/>
                <w:bCs/>
              </w:rPr>
            </w:pPr>
            <w:r w:rsidRPr="00030181">
              <w:rPr>
                <w:rFonts w:ascii="Arial" w:hAnsi="Arial" w:cs="Arial"/>
                <w:b/>
                <w:bCs/>
              </w:rPr>
              <w:t>Key Studies</w:t>
            </w:r>
          </w:p>
        </w:tc>
      </w:tr>
      <w:tr w:rsidR="00BF0AFC" w:rsidRPr="00030181" w14:paraId="02AF9649" w14:textId="77777777" w:rsidTr="00BF0AFC">
        <w:trPr>
          <w:trHeight w:val="563"/>
        </w:trPr>
        <w:tc>
          <w:tcPr>
            <w:tcW w:w="0" w:type="auto"/>
            <w:hideMark/>
          </w:tcPr>
          <w:p w14:paraId="5062C9AD" w14:textId="77777777" w:rsidR="00BF0AFC" w:rsidRPr="00030181" w:rsidRDefault="00BF0AFC" w:rsidP="005C5EBA">
            <w:pPr>
              <w:spacing w:after="160" w:line="360" w:lineRule="auto"/>
              <w:jc w:val="both"/>
              <w:rPr>
                <w:rFonts w:ascii="Arial" w:hAnsi="Arial" w:cs="Arial"/>
              </w:rPr>
            </w:pPr>
            <w:r w:rsidRPr="00030181">
              <w:rPr>
                <w:rFonts w:ascii="Arial" w:hAnsi="Arial" w:cs="Arial"/>
              </w:rPr>
              <w:t>Theme 1: Food Safety Practices in Care Homes</w:t>
            </w:r>
          </w:p>
        </w:tc>
        <w:tc>
          <w:tcPr>
            <w:tcW w:w="0" w:type="auto"/>
            <w:hideMark/>
          </w:tcPr>
          <w:p w14:paraId="78DFCB89" w14:textId="77777777" w:rsidR="00BF0AFC" w:rsidRPr="00030181" w:rsidRDefault="00BF0AFC" w:rsidP="005C5EBA">
            <w:pPr>
              <w:spacing w:after="160" w:line="360" w:lineRule="auto"/>
              <w:jc w:val="both"/>
              <w:rPr>
                <w:rFonts w:ascii="Arial" w:hAnsi="Arial" w:cs="Arial"/>
              </w:rPr>
            </w:pPr>
            <w:r w:rsidRPr="00030181">
              <w:rPr>
                <w:rFonts w:ascii="Arial" w:hAnsi="Arial" w:cs="Arial"/>
              </w:rPr>
              <w:t>Nutritional Risk and Malnutrition Among Older Residents; Mealtime Environment and Person-Centred Nutritional Care; Organisational Practices, Food Safety and Quality of Nutritional Care</w:t>
            </w:r>
          </w:p>
        </w:tc>
        <w:tc>
          <w:tcPr>
            <w:tcW w:w="0" w:type="auto"/>
            <w:hideMark/>
          </w:tcPr>
          <w:p w14:paraId="3C9030DE" w14:textId="77777777" w:rsidR="00BF0AFC" w:rsidRPr="00030181" w:rsidRDefault="00BF0AFC" w:rsidP="005C5EBA">
            <w:pPr>
              <w:spacing w:after="160" w:line="360" w:lineRule="auto"/>
              <w:jc w:val="both"/>
              <w:rPr>
                <w:rFonts w:ascii="Arial" w:hAnsi="Arial" w:cs="Arial"/>
              </w:rPr>
            </w:pPr>
            <w:r w:rsidRPr="00030181">
              <w:rPr>
                <w:rFonts w:ascii="Arial" w:hAnsi="Arial" w:cs="Arial"/>
              </w:rPr>
              <w:t>Madeira et al. (2019); Jimoh et al. (2019); Laurenti et al. (2020); Watkins et al. (2017); Bunn et al. (2018); Liu et al. (2024)</w:t>
            </w:r>
          </w:p>
        </w:tc>
      </w:tr>
      <w:tr w:rsidR="00BF0AFC" w:rsidRPr="00030181" w14:paraId="6EE5E46B" w14:textId="77777777" w:rsidTr="00BF0AFC">
        <w:trPr>
          <w:trHeight w:val="563"/>
        </w:trPr>
        <w:tc>
          <w:tcPr>
            <w:tcW w:w="0" w:type="auto"/>
            <w:hideMark/>
          </w:tcPr>
          <w:p w14:paraId="252515A2" w14:textId="77777777" w:rsidR="00BF0AFC" w:rsidRPr="00030181" w:rsidRDefault="00BF0AFC" w:rsidP="005C5EBA">
            <w:pPr>
              <w:spacing w:after="160" w:line="360" w:lineRule="auto"/>
              <w:jc w:val="both"/>
              <w:rPr>
                <w:rFonts w:ascii="Arial" w:hAnsi="Arial" w:cs="Arial"/>
              </w:rPr>
            </w:pPr>
            <w:r w:rsidRPr="00030181">
              <w:rPr>
                <w:rFonts w:ascii="Arial" w:hAnsi="Arial" w:cs="Arial"/>
              </w:rPr>
              <w:t>Theme 2: Relationship Between Food Safety Practices and Health Outcomes in Care Homes</w:t>
            </w:r>
          </w:p>
        </w:tc>
        <w:tc>
          <w:tcPr>
            <w:tcW w:w="0" w:type="auto"/>
            <w:hideMark/>
          </w:tcPr>
          <w:p w14:paraId="1ABBBAA7" w14:textId="77777777" w:rsidR="00BF0AFC" w:rsidRPr="00030181" w:rsidRDefault="00BF0AFC" w:rsidP="005C5EBA">
            <w:pPr>
              <w:spacing w:after="160" w:line="360" w:lineRule="auto"/>
              <w:jc w:val="both"/>
              <w:rPr>
                <w:rFonts w:ascii="Arial" w:hAnsi="Arial" w:cs="Arial"/>
              </w:rPr>
            </w:pPr>
            <w:r w:rsidRPr="00030181">
              <w:rPr>
                <w:rFonts w:ascii="Arial" w:hAnsi="Arial" w:cs="Arial"/>
              </w:rPr>
              <w:t>Nutritional Status and Health Outcomes; Organisational Influences on Health Outcomes; Management of Type 2 Diabetes</w:t>
            </w:r>
          </w:p>
        </w:tc>
        <w:tc>
          <w:tcPr>
            <w:tcW w:w="0" w:type="auto"/>
            <w:hideMark/>
          </w:tcPr>
          <w:p w14:paraId="2EF45822" w14:textId="77777777" w:rsidR="00BF0AFC" w:rsidRPr="00030181" w:rsidRDefault="00BF0AFC" w:rsidP="005C5EBA">
            <w:pPr>
              <w:spacing w:after="160" w:line="360" w:lineRule="auto"/>
              <w:jc w:val="both"/>
              <w:rPr>
                <w:rFonts w:ascii="Arial" w:hAnsi="Arial" w:cs="Arial"/>
              </w:rPr>
            </w:pPr>
            <w:r w:rsidRPr="00030181">
              <w:rPr>
                <w:rFonts w:ascii="Arial" w:hAnsi="Arial" w:cs="Arial"/>
              </w:rPr>
              <w:t>Madeira et al. (2019); Cereda et al. (2016); Jimoh et al. (2019); Velázquez-Alva et al. (2020); Ran et al. (2023); Bamford et al. (2012); Romano and Minns Lowe (2022); Charlesworth (2016); Eichelmann et al. (2024)</w:t>
            </w:r>
          </w:p>
        </w:tc>
      </w:tr>
      <w:tr w:rsidR="00BF0AFC" w:rsidRPr="00030181" w14:paraId="11C7DA2F" w14:textId="77777777" w:rsidTr="00BF0AFC">
        <w:trPr>
          <w:trHeight w:val="488"/>
        </w:trPr>
        <w:tc>
          <w:tcPr>
            <w:tcW w:w="0" w:type="auto"/>
            <w:hideMark/>
          </w:tcPr>
          <w:p w14:paraId="0478D56F" w14:textId="77777777" w:rsidR="00BF0AFC" w:rsidRPr="00030181" w:rsidRDefault="00BF0AFC" w:rsidP="005C5EBA">
            <w:pPr>
              <w:spacing w:after="160" w:line="360" w:lineRule="auto"/>
              <w:jc w:val="both"/>
              <w:rPr>
                <w:rFonts w:ascii="Arial" w:hAnsi="Arial" w:cs="Arial"/>
              </w:rPr>
            </w:pPr>
            <w:r w:rsidRPr="00030181">
              <w:rPr>
                <w:rFonts w:ascii="Arial" w:hAnsi="Arial" w:cs="Arial"/>
              </w:rPr>
              <w:lastRenderedPageBreak/>
              <w:t>Theme 3: Impact of Sub-Optimal Food and Nutrition Safety on Type 2 Diabetic Residents in Care Homes</w:t>
            </w:r>
          </w:p>
        </w:tc>
        <w:tc>
          <w:tcPr>
            <w:tcW w:w="0" w:type="auto"/>
            <w:hideMark/>
          </w:tcPr>
          <w:p w14:paraId="2AA0C0D8" w14:textId="77777777" w:rsidR="00BF0AFC" w:rsidRPr="00030181" w:rsidRDefault="00BF0AFC" w:rsidP="005C5EBA">
            <w:pPr>
              <w:spacing w:after="160" w:line="360" w:lineRule="auto"/>
              <w:jc w:val="both"/>
              <w:rPr>
                <w:rFonts w:ascii="Arial" w:hAnsi="Arial" w:cs="Arial"/>
              </w:rPr>
            </w:pPr>
            <w:r w:rsidRPr="00030181">
              <w:rPr>
                <w:rFonts w:ascii="Arial" w:hAnsi="Arial" w:cs="Arial"/>
              </w:rPr>
              <w:t>Glycaemic Instability; Increased Risk of Complications</w:t>
            </w:r>
          </w:p>
        </w:tc>
        <w:tc>
          <w:tcPr>
            <w:tcW w:w="0" w:type="auto"/>
            <w:hideMark/>
          </w:tcPr>
          <w:p w14:paraId="7412D6D0" w14:textId="77777777" w:rsidR="00BF0AFC" w:rsidRPr="00030181" w:rsidRDefault="00BF0AFC" w:rsidP="005C5EBA">
            <w:pPr>
              <w:spacing w:after="160" w:line="360" w:lineRule="auto"/>
              <w:jc w:val="both"/>
              <w:rPr>
                <w:rFonts w:ascii="Arial" w:hAnsi="Arial" w:cs="Arial"/>
              </w:rPr>
            </w:pPr>
            <w:r w:rsidRPr="00030181">
              <w:rPr>
                <w:rFonts w:ascii="Arial" w:hAnsi="Arial" w:cs="Arial"/>
              </w:rPr>
              <w:t>Ran et al. (2023); Velázquez-Alva et al. (2020); Eichelmann et al. (2024); Onuorah et al. (2025); Mokaya et al. (2022); Cereda et al. (2016)</w:t>
            </w:r>
          </w:p>
        </w:tc>
      </w:tr>
      <w:tr w:rsidR="00BF0AFC" w:rsidRPr="00030181" w14:paraId="2EB5572B" w14:textId="77777777" w:rsidTr="00BF0AFC">
        <w:trPr>
          <w:trHeight w:val="563"/>
        </w:trPr>
        <w:tc>
          <w:tcPr>
            <w:tcW w:w="0" w:type="auto"/>
            <w:hideMark/>
          </w:tcPr>
          <w:p w14:paraId="3B09F0DA" w14:textId="77777777" w:rsidR="00BF0AFC" w:rsidRPr="00030181" w:rsidRDefault="00BF0AFC" w:rsidP="005C5EBA">
            <w:pPr>
              <w:spacing w:after="160" w:line="360" w:lineRule="auto"/>
              <w:jc w:val="both"/>
              <w:rPr>
                <w:rFonts w:ascii="Arial" w:hAnsi="Arial" w:cs="Arial"/>
              </w:rPr>
            </w:pPr>
            <w:r w:rsidRPr="00030181">
              <w:rPr>
                <w:rFonts w:ascii="Arial" w:hAnsi="Arial" w:cs="Arial"/>
              </w:rPr>
              <w:t>Theme 4: Identified Best Practices in Improving Food and Nutrition Safety in Care Homes</w:t>
            </w:r>
          </w:p>
        </w:tc>
        <w:tc>
          <w:tcPr>
            <w:tcW w:w="0" w:type="auto"/>
            <w:hideMark/>
          </w:tcPr>
          <w:p w14:paraId="0769A262" w14:textId="77777777" w:rsidR="00BF0AFC" w:rsidRPr="00030181" w:rsidRDefault="00BF0AFC" w:rsidP="005C5EBA">
            <w:pPr>
              <w:spacing w:after="160" w:line="360" w:lineRule="auto"/>
              <w:jc w:val="both"/>
              <w:rPr>
                <w:rFonts w:ascii="Arial" w:hAnsi="Arial" w:cs="Arial"/>
              </w:rPr>
            </w:pPr>
            <w:r w:rsidRPr="00030181">
              <w:rPr>
                <w:rFonts w:ascii="Arial" w:hAnsi="Arial" w:cs="Arial"/>
              </w:rPr>
              <w:t>Staff Education and Competency Development; Nutritional Screening and Monitoring; Multidisciplinary Collaboration and Professional Support; Organisational Support and Food Safety Governance</w:t>
            </w:r>
          </w:p>
        </w:tc>
        <w:tc>
          <w:tcPr>
            <w:tcW w:w="0" w:type="auto"/>
            <w:hideMark/>
          </w:tcPr>
          <w:p w14:paraId="7A872C24" w14:textId="77777777" w:rsidR="00BF0AFC" w:rsidRPr="00030181" w:rsidRDefault="00BF0AFC" w:rsidP="005C5EBA">
            <w:pPr>
              <w:spacing w:after="160" w:line="360" w:lineRule="auto"/>
              <w:jc w:val="both"/>
              <w:rPr>
                <w:rFonts w:ascii="Arial" w:hAnsi="Arial" w:cs="Arial"/>
              </w:rPr>
            </w:pPr>
            <w:r w:rsidRPr="00030181">
              <w:rPr>
                <w:rFonts w:ascii="Arial" w:hAnsi="Arial" w:cs="Arial"/>
              </w:rPr>
              <w:t>Bamford et al. (2012); Healthwatch Kirklees (2016); Romano and Minns Lowe (2022); Babatola (2023)</w:t>
            </w:r>
          </w:p>
        </w:tc>
      </w:tr>
    </w:tbl>
    <w:p w14:paraId="164A1182" w14:textId="77777777" w:rsidR="000D4AFF" w:rsidRPr="00030181" w:rsidRDefault="000D4AFF" w:rsidP="005C5EBA">
      <w:pPr>
        <w:spacing w:line="360" w:lineRule="auto"/>
        <w:jc w:val="both"/>
        <w:rPr>
          <w:rFonts w:ascii="Arial" w:hAnsi="Arial" w:cs="Arial"/>
        </w:rPr>
      </w:pPr>
    </w:p>
    <w:p w14:paraId="32B237FA" w14:textId="77777777" w:rsidR="000D4AFF" w:rsidRPr="00030181" w:rsidRDefault="000D4AFF" w:rsidP="005C5EBA">
      <w:pPr>
        <w:pStyle w:val="Heading1"/>
        <w:spacing w:line="360" w:lineRule="auto"/>
        <w:rPr>
          <w:rFonts w:ascii="Arial" w:hAnsi="Arial" w:cs="Arial"/>
          <w:b/>
          <w:bCs/>
          <w:color w:val="auto"/>
          <w:sz w:val="22"/>
          <w:szCs w:val="22"/>
        </w:rPr>
      </w:pPr>
      <w:bookmarkStart w:id="44" w:name="_Toc231947563"/>
      <w:r w:rsidRPr="00030181">
        <w:rPr>
          <w:rFonts w:ascii="Arial" w:hAnsi="Arial" w:cs="Arial"/>
          <w:b/>
          <w:bCs/>
          <w:color w:val="auto"/>
          <w:sz w:val="22"/>
          <w:szCs w:val="22"/>
        </w:rPr>
        <w:t>4.1 Food Safety Practices in Care Homes</w:t>
      </w:r>
      <w:bookmarkEnd w:id="44"/>
    </w:p>
    <w:p w14:paraId="7A1A3E65" w14:textId="43C12FBE" w:rsidR="000D4AFF" w:rsidRPr="00030181" w:rsidRDefault="002D307B" w:rsidP="005C5EBA">
      <w:pPr>
        <w:spacing w:line="360" w:lineRule="auto"/>
        <w:jc w:val="both"/>
        <w:rPr>
          <w:rFonts w:ascii="Arial" w:hAnsi="Arial" w:cs="Arial"/>
          <w:lang w:val="en-US"/>
        </w:rPr>
      </w:pPr>
      <w:r w:rsidRPr="00030181">
        <w:rPr>
          <w:rFonts w:ascii="Arial" w:hAnsi="Arial" w:cs="Arial"/>
          <w:lang w:val="en-US"/>
        </w:rPr>
        <w:t xml:space="preserve">Evidence from the 17 studies selected for this review </w:t>
      </w:r>
      <w:r w:rsidR="000D4AFF" w:rsidRPr="00030181">
        <w:rPr>
          <w:rFonts w:ascii="Arial" w:hAnsi="Arial" w:cs="Arial"/>
        </w:rPr>
        <w:t xml:space="preserve">suggests that food and nutrition safety practices are fundamental to maintaining nutritional wellbeing among </w:t>
      </w:r>
      <w:r w:rsidRPr="00030181">
        <w:rPr>
          <w:rFonts w:ascii="Arial" w:hAnsi="Arial" w:cs="Arial"/>
          <w:lang w:val="en-US"/>
        </w:rPr>
        <w:t>older adults residing in care homes. Across the</w:t>
      </w:r>
      <w:r w:rsidR="000D4AFF" w:rsidRPr="00030181">
        <w:rPr>
          <w:rFonts w:ascii="Arial" w:hAnsi="Arial" w:cs="Arial"/>
        </w:rPr>
        <w:t xml:space="preserve"> literature, nutritional screening, hydration management, food hygiene, mealtime support, and organisational implementation of nutritional care were consistently identified as important determinants of resident health outcomes. Three sub-themes emerged from the analysis: nutritional risk and malnutrition among older residents, mealtime environment and person-centred nutritional care, and organisational practices influencing food safety and nutritional care quality.</w:t>
      </w:r>
    </w:p>
    <w:p w14:paraId="5BD89AF5" w14:textId="77777777" w:rsidR="000D4AFF" w:rsidRPr="00030181" w:rsidRDefault="000D4AFF" w:rsidP="005C5EBA">
      <w:pPr>
        <w:pStyle w:val="Heading1"/>
        <w:spacing w:line="360" w:lineRule="auto"/>
        <w:rPr>
          <w:rFonts w:ascii="Arial" w:hAnsi="Arial" w:cs="Arial"/>
          <w:b/>
          <w:bCs/>
          <w:color w:val="auto"/>
          <w:sz w:val="22"/>
          <w:szCs w:val="22"/>
        </w:rPr>
      </w:pPr>
      <w:bookmarkStart w:id="45" w:name="_Toc231947564"/>
      <w:r w:rsidRPr="00030181">
        <w:rPr>
          <w:rFonts w:ascii="Arial" w:hAnsi="Arial" w:cs="Arial"/>
          <w:b/>
          <w:bCs/>
          <w:color w:val="auto"/>
          <w:sz w:val="22"/>
          <w:szCs w:val="22"/>
        </w:rPr>
        <w:t>4.1.1 Nutritional Risk and Malnutrition Among Older Residents</w:t>
      </w:r>
      <w:bookmarkEnd w:id="45"/>
    </w:p>
    <w:p w14:paraId="18CD50FB" w14:textId="77777777" w:rsidR="00763F42" w:rsidRPr="00030181" w:rsidRDefault="00763F42" w:rsidP="005C5EBA">
      <w:pPr>
        <w:spacing w:line="360" w:lineRule="auto"/>
        <w:jc w:val="both"/>
        <w:rPr>
          <w:rFonts w:ascii="Arial" w:hAnsi="Arial" w:cs="Arial"/>
        </w:rPr>
      </w:pPr>
      <w:r w:rsidRPr="00030181">
        <w:rPr>
          <w:rFonts w:ascii="Arial" w:hAnsi="Arial" w:cs="Arial"/>
        </w:rPr>
        <w:t xml:space="preserve">Several studies reported that malnutrition and dehydration continue to be common among older adults residing in residential and nursing care settings. Madeira et al. (2019) conducted a nationally representative cross-sectional study involving 1,186 residents of nursing homes aged 65 years and above in Portugal. Data were gathered through structured in-person interviews, anthropometric measurements and the Mini Nutritional Assessment (MNA) tool. The study reported that 4.8% of residents were malnourished, while 38.7% were at risk of malnutrition. In addition, poor appetite (OR=6.5), depressive symptoms (OR=2.6), and greater dependence in everyday living activities (OR=4.7) were significantly linked to nutritional vulnerability (Madeira et al., 2019). A key strength of the study was its large nationally </w:t>
      </w:r>
      <w:r w:rsidRPr="00030181">
        <w:rPr>
          <w:rFonts w:ascii="Arial" w:hAnsi="Arial" w:cs="Arial"/>
        </w:rPr>
        <w:lastRenderedPageBreak/>
        <w:t>representative participant group and the use of a validated nutritional assessment instrument, which improved reliability. However, the cross-sectional design prevented causal relationships from being established between identified risk factors and nutritional outcomes.</w:t>
      </w:r>
    </w:p>
    <w:p w14:paraId="46690697" w14:textId="189149EA" w:rsidR="00356248" w:rsidRPr="00030181" w:rsidRDefault="002D307B" w:rsidP="005C5EBA">
      <w:pPr>
        <w:spacing w:line="360" w:lineRule="auto"/>
        <w:jc w:val="both"/>
        <w:rPr>
          <w:rFonts w:ascii="Arial" w:hAnsi="Arial" w:cs="Arial"/>
          <w:lang w:val="en-US"/>
        </w:rPr>
      </w:pPr>
      <w:r w:rsidRPr="00030181">
        <w:rPr>
          <w:rFonts w:ascii="Arial" w:hAnsi="Arial" w:cs="Arial"/>
          <w:lang w:val="en-US"/>
        </w:rPr>
        <w:t xml:space="preserve">Comparable findings were reported by Jimoh et al. (2019), who carried out an observational study involving </w:t>
      </w:r>
      <w:r w:rsidR="00712BF3" w:rsidRPr="00030181">
        <w:rPr>
          <w:rFonts w:ascii="Arial" w:hAnsi="Arial" w:cs="Arial"/>
        </w:rPr>
        <w:t>188 residents aged 65 years and above from 56 UK long-term care facilities</w:t>
      </w:r>
      <w:r w:rsidR="00712BF3" w:rsidRPr="00030181">
        <w:rPr>
          <w:rFonts w:ascii="Arial" w:hAnsi="Arial" w:cs="Arial"/>
          <w:lang w:val="en-US"/>
        </w:rPr>
        <w:t xml:space="preserve">. </w:t>
      </w:r>
      <w:r w:rsidR="00712BF3" w:rsidRPr="00030181">
        <w:rPr>
          <w:rFonts w:ascii="Arial" w:hAnsi="Arial" w:cs="Arial"/>
        </w:rPr>
        <w:t>Hydration levels were</w:t>
      </w:r>
      <w:r w:rsidR="00712BF3" w:rsidRPr="00030181">
        <w:rPr>
          <w:rFonts w:ascii="Arial" w:hAnsi="Arial" w:cs="Arial"/>
        </w:rPr>
        <w:t xml:space="preserve"> </w:t>
      </w:r>
      <w:r w:rsidRPr="00030181">
        <w:rPr>
          <w:rFonts w:ascii="Arial" w:hAnsi="Arial" w:cs="Arial"/>
          <w:lang w:val="en-US"/>
        </w:rPr>
        <w:t xml:space="preserve">evaluated </w:t>
      </w:r>
      <w:r w:rsidR="000D4AFF" w:rsidRPr="00030181">
        <w:rPr>
          <w:rFonts w:ascii="Arial" w:hAnsi="Arial" w:cs="Arial"/>
        </w:rPr>
        <w:t xml:space="preserve">using serum osmolality measurements, while beverage consumption patterns were evaluated through participant interviews and direct observation. The study reported that 20% of residents experienced low-intake dehydration and only 55% achieved </w:t>
      </w:r>
      <w:r w:rsidRPr="00030181">
        <w:rPr>
          <w:rFonts w:ascii="Arial" w:hAnsi="Arial" w:cs="Arial"/>
          <w:lang w:val="en-US"/>
        </w:rPr>
        <w:t>the European Food Safety Authority's recommended daily fluid intake</w:t>
      </w:r>
      <w:r w:rsidR="000D4AFF" w:rsidRPr="00030181">
        <w:rPr>
          <w:rFonts w:ascii="Arial" w:hAnsi="Arial" w:cs="Arial"/>
        </w:rPr>
        <w:t xml:space="preserve"> targets. Residents with adequate hydration were offered drinks more frequently and consumed more fluids before breakfast and during medication rounds than dehydrated residents (Jimoh et al., 2019). </w:t>
      </w:r>
    </w:p>
    <w:p w14:paraId="445729E2" w14:textId="01CD920F" w:rsidR="000D4AFF" w:rsidRPr="00030181" w:rsidRDefault="000D4AFF" w:rsidP="005C5EBA">
      <w:pPr>
        <w:spacing w:line="360" w:lineRule="auto"/>
        <w:jc w:val="both"/>
        <w:rPr>
          <w:rFonts w:ascii="Arial" w:hAnsi="Arial" w:cs="Arial"/>
        </w:rPr>
      </w:pPr>
      <w:r w:rsidRPr="00030181">
        <w:rPr>
          <w:rFonts w:ascii="Arial" w:hAnsi="Arial" w:cs="Arial"/>
        </w:rPr>
        <w:t>The use of serum osmolality provided an objective and clinically reliable measure of hydration status, strengthening the validity of the findings. Nevertheless, the smaller observational subsample used for detailed fluid intake assessment may reduce the generalisability of the results across all care home populations.</w:t>
      </w:r>
    </w:p>
    <w:p w14:paraId="5EEE943F" w14:textId="042AAF4F" w:rsidR="000D4AFF" w:rsidRPr="00030181" w:rsidRDefault="000D4AFF" w:rsidP="005C5EBA">
      <w:pPr>
        <w:spacing w:line="360" w:lineRule="auto"/>
        <w:jc w:val="both"/>
        <w:rPr>
          <w:rFonts w:ascii="Arial" w:hAnsi="Arial" w:cs="Arial"/>
        </w:rPr>
      </w:pPr>
      <w:r w:rsidRPr="00030181">
        <w:rPr>
          <w:rFonts w:ascii="Arial" w:hAnsi="Arial" w:cs="Arial"/>
        </w:rPr>
        <w:t xml:space="preserve">Both Madeira et al. (2019) and Jimoh et al. (2019) </w:t>
      </w:r>
      <w:r w:rsidR="00712BF3" w:rsidRPr="00030181">
        <w:rPr>
          <w:rFonts w:ascii="Arial" w:hAnsi="Arial" w:cs="Arial"/>
        </w:rPr>
        <w:t>determined</w:t>
      </w:r>
      <w:r w:rsidR="00712BF3" w:rsidRPr="00030181">
        <w:rPr>
          <w:rFonts w:ascii="Arial" w:hAnsi="Arial" w:cs="Arial"/>
        </w:rPr>
        <w:t xml:space="preserve"> </w:t>
      </w:r>
      <w:r w:rsidRPr="00030181">
        <w:rPr>
          <w:rFonts w:ascii="Arial" w:hAnsi="Arial" w:cs="Arial"/>
        </w:rPr>
        <w:t>substantial nutritional vulnerability among institutionalised older adults. However, while Madeira et al. (2019) focused on malnutrition using MNA assessments, Jimoh et al. (2019) examined hydration through biochemical measures of serum osmolality. Despite methodological differences, both studies demonstrated that residents requiring greater nutritional support were more likely to experience adverse nutritional outcomes. These findings suggest that effective nutritional screening and hydration monitoring are essential components of food and nutrition safety practices within care home settings.</w:t>
      </w:r>
    </w:p>
    <w:p w14:paraId="01BA2A3B" w14:textId="7BCF0948" w:rsidR="000D4AFF" w:rsidRPr="00030181" w:rsidRDefault="000D4AFF" w:rsidP="005C5EBA">
      <w:pPr>
        <w:spacing w:line="360" w:lineRule="auto"/>
        <w:jc w:val="both"/>
        <w:rPr>
          <w:rFonts w:ascii="Arial" w:hAnsi="Arial" w:cs="Arial"/>
          <w:lang w:val="en-US"/>
        </w:rPr>
      </w:pPr>
      <w:r w:rsidRPr="00030181">
        <w:rPr>
          <w:rFonts w:ascii="Arial" w:hAnsi="Arial" w:cs="Arial"/>
        </w:rPr>
        <w:t>Laurenti et al. (2020) conducted a one-year cross-sectional study involving older adults aged 65 years and above attending a geriatric centre in Italy</w:t>
      </w:r>
      <w:r w:rsidR="002D307B" w:rsidRPr="00030181">
        <w:rPr>
          <w:rFonts w:ascii="Arial" w:hAnsi="Arial" w:cs="Arial"/>
          <w:lang w:val="en-US"/>
        </w:rPr>
        <w:t>. Data were gathered using structured questionnaires examining demographic characteristics, food safety knowledge, attitudes, and dietary practices.</w:t>
      </w:r>
      <w:r w:rsidRPr="00030181">
        <w:rPr>
          <w:rFonts w:ascii="Arial" w:hAnsi="Arial" w:cs="Arial"/>
        </w:rPr>
        <w:t xml:space="preserve"> The study found that 33.8% of participants reported consuming expired food and 49.3% reported defrosting food at room temperature despite generally high levels of confidence in their food safety behaviours. The findings indicated that many participants were not following recommended food hygiene practices and that awareness alone did not necessarily translate into safe behaviour (Laurenti et al., 2020). However</w:t>
      </w:r>
      <w:r w:rsidR="00382C55" w:rsidRPr="00030181">
        <w:rPr>
          <w:rFonts w:ascii="Arial" w:hAnsi="Arial" w:cs="Arial"/>
          <w:lang w:val="en-US"/>
        </w:rPr>
        <w:t xml:space="preserve">, </w:t>
      </w:r>
      <w:r w:rsidR="00712BF3" w:rsidRPr="00030181">
        <w:rPr>
          <w:rFonts w:ascii="Arial" w:hAnsi="Arial" w:cs="Arial"/>
        </w:rPr>
        <w:t>t</w:t>
      </w:r>
      <w:r w:rsidR="00712BF3" w:rsidRPr="00030181">
        <w:rPr>
          <w:rFonts w:ascii="Arial" w:hAnsi="Arial" w:cs="Arial"/>
        </w:rPr>
        <w:t>he investigation utilised information provided by participants, which may have been subject to memory inaccuracies and socially desirable responding.</w:t>
      </w:r>
      <w:r w:rsidR="00712BF3" w:rsidRPr="00030181">
        <w:rPr>
          <w:rFonts w:ascii="Arial" w:hAnsi="Arial" w:cs="Arial"/>
        </w:rPr>
        <w:t xml:space="preserve"> </w:t>
      </w:r>
      <w:r w:rsidR="00382C55" w:rsidRPr="00030181">
        <w:rPr>
          <w:rFonts w:ascii="Arial" w:hAnsi="Arial" w:cs="Arial"/>
          <w:lang w:val="en-US"/>
        </w:rPr>
        <w:t>Additionally, participants were community-</w:t>
      </w:r>
      <w:r w:rsidR="00382C55" w:rsidRPr="00030181">
        <w:rPr>
          <w:rFonts w:ascii="Arial" w:hAnsi="Arial" w:cs="Arial"/>
          <w:lang w:val="en-US"/>
        </w:rPr>
        <w:lastRenderedPageBreak/>
        <w:t xml:space="preserve">dwelling older adults rather than care home residents, limiting the direct relevance of the findings to </w:t>
      </w:r>
      <w:r w:rsidRPr="00030181">
        <w:rPr>
          <w:rFonts w:ascii="Arial" w:hAnsi="Arial" w:cs="Arial"/>
        </w:rPr>
        <w:t>residential care settings.</w:t>
      </w:r>
    </w:p>
    <w:p w14:paraId="5DF2B7C7" w14:textId="308B191B" w:rsidR="000D4AFF" w:rsidRPr="00030181" w:rsidRDefault="000D4AFF" w:rsidP="005C5EBA">
      <w:pPr>
        <w:spacing w:line="360" w:lineRule="auto"/>
        <w:jc w:val="both"/>
        <w:rPr>
          <w:rFonts w:ascii="Arial" w:hAnsi="Arial" w:cs="Arial"/>
          <w:lang w:val="en-US"/>
        </w:rPr>
      </w:pPr>
      <w:r w:rsidRPr="00030181">
        <w:rPr>
          <w:rFonts w:ascii="Arial" w:hAnsi="Arial" w:cs="Arial"/>
        </w:rPr>
        <w:t xml:space="preserve">Collectively, the evidence suggests that nutritional </w:t>
      </w:r>
      <w:r w:rsidR="00382C55" w:rsidRPr="00030181">
        <w:rPr>
          <w:rFonts w:ascii="Arial" w:hAnsi="Arial" w:cs="Arial"/>
          <w:lang w:val="en-US"/>
        </w:rPr>
        <w:t xml:space="preserve">risk among older adults is affected by a combination of </w:t>
      </w:r>
      <w:r w:rsidRPr="00030181">
        <w:rPr>
          <w:rFonts w:ascii="Arial" w:hAnsi="Arial" w:cs="Arial"/>
        </w:rPr>
        <w:t>physiological vulnerability, hydration practices, nutritional monitoring and food safety behaviours. Across the studies, inadequate nutritional intake, dehydration and poor food hygiene practices were consistently associated with increased nutritional risk, although methodological differences and variations in study settings should be considered when interpreting the findings.</w:t>
      </w:r>
    </w:p>
    <w:p w14:paraId="43813CCA" w14:textId="77777777" w:rsidR="000D4AFF" w:rsidRPr="00030181" w:rsidRDefault="000D4AFF" w:rsidP="005C5EBA">
      <w:pPr>
        <w:pStyle w:val="Heading1"/>
        <w:spacing w:line="360" w:lineRule="auto"/>
        <w:rPr>
          <w:rFonts w:ascii="Arial" w:hAnsi="Arial" w:cs="Arial"/>
          <w:b/>
          <w:bCs/>
          <w:color w:val="auto"/>
          <w:sz w:val="22"/>
          <w:szCs w:val="22"/>
        </w:rPr>
      </w:pPr>
      <w:bookmarkStart w:id="46" w:name="_Toc231947565"/>
      <w:r w:rsidRPr="00030181">
        <w:rPr>
          <w:rFonts w:ascii="Arial" w:hAnsi="Arial" w:cs="Arial"/>
          <w:b/>
          <w:bCs/>
          <w:color w:val="auto"/>
          <w:sz w:val="22"/>
          <w:szCs w:val="22"/>
        </w:rPr>
        <w:t>4.1.2 Mealtime Environment and Person-Centred Nutritional Care</w:t>
      </w:r>
      <w:bookmarkEnd w:id="46"/>
    </w:p>
    <w:p w14:paraId="1C222125" w14:textId="66C2CBE0" w:rsidR="00382C55" w:rsidRPr="00030181" w:rsidRDefault="000D4AFF" w:rsidP="00382C55">
      <w:pPr>
        <w:spacing w:line="360" w:lineRule="auto"/>
        <w:jc w:val="both"/>
        <w:rPr>
          <w:rFonts w:ascii="Arial" w:hAnsi="Arial" w:cs="Arial"/>
          <w:lang w:val="en-US"/>
        </w:rPr>
      </w:pPr>
      <w:r w:rsidRPr="00030181">
        <w:rPr>
          <w:rFonts w:ascii="Arial" w:hAnsi="Arial" w:cs="Arial"/>
        </w:rPr>
        <w:t xml:space="preserve">Evidence from the included studies suggests that mealtime support and person-centred nutritional care influence food and fluid intake among older adults. Jimoh et al. (2019) found that residents with adequate hydration were offered drinks more frequently than dehydrated residents, with 59% of total fluid intake occurring between meals. Participants who consumed sufficient fluids were also more likely to receive drinks before breakfast and during medication rounds. These findings suggest that proactive staff support may positively influence hydration outcomes. A strength of the study was the direct observation of drinking behaviours alongside biochemical assessment of hydration status. However, the smaller observational sample used for detailed fluid intake </w:t>
      </w:r>
      <w:r w:rsidR="00382C55" w:rsidRPr="00030181">
        <w:rPr>
          <w:rFonts w:ascii="Arial" w:hAnsi="Arial" w:cs="Arial"/>
          <w:lang w:val="en-US"/>
        </w:rPr>
        <w:t xml:space="preserve">analysis limits the degree to which the findings can be </w:t>
      </w:r>
      <w:r w:rsidR="000D6E1E" w:rsidRPr="00030181">
        <w:rPr>
          <w:rFonts w:ascii="Arial" w:hAnsi="Arial" w:cs="Arial"/>
          <w:lang w:val="en-US"/>
        </w:rPr>
        <w:t>generalized</w:t>
      </w:r>
      <w:r w:rsidR="00382C55" w:rsidRPr="00030181">
        <w:rPr>
          <w:rFonts w:ascii="Arial" w:hAnsi="Arial" w:cs="Arial"/>
          <w:lang w:val="en-US"/>
        </w:rPr>
        <w:t>.</w:t>
      </w:r>
    </w:p>
    <w:p w14:paraId="0D6E6345" w14:textId="5543CE66" w:rsidR="000D4AFF" w:rsidRPr="00030181" w:rsidRDefault="000D4AFF" w:rsidP="005C5EBA">
      <w:pPr>
        <w:spacing w:line="360" w:lineRule="auto"/>
        <w:jc w:val="both"/>
        <w:rPr>
          <w:rFonts w:ascii="Arial" w:hAnsi="Arial" w:cs="Arial"/>
          <w:lang w:val="en-US"/>
        </w:rPr>
      </w:pPr>
      <w:r w:rsidRPr="00030181">
        <w:rPr>
          <w:rFonts w:ascii="Arial" w:hAnsi="Arial" w:cs="Arial"/>
        </w:rPr>
        <w:t xml:space="preserve">Similarly, Madeira et al. (2019) reported that poor appetite, depressive symptoms and </w:t>
      </w:r>
      <w:r w:rsidR="00382C55" w:rsidRPr="00030181">
        <w:rPr>
          <w:rFonts w:ascii="Arial" w:hAnsi="Arial" w:cs="Arial"/>
          <w:lang w:val="en-US"/>
        </w:rPr>
        <w:t xml:space="preserve">dependency </w:t>
      </w:r>
      <w:r w:rsidR="00712BF3" w:rsidRPr="00030181">
        <w:rPr>
          <w:rFonts w:ascii="Arial" w:hAnsi="Arial" w:cs="Arial"/>
        </w:rPr>
        <w:t>in daily life activities</w:t>
      </w:r>
      <w:r w:rsidR="00712BF3" w:rsidRPr="00030181">
        <w:rPr>
          <w:rFonts w:ascii="Arial" w:hAnsi="Arial" w:cs="Arial"/>
          <w:lang w:val="en-US"/>
        </w:rPr>
        <w:t xml:space="preserve"> </w:t>
      </w:r>
      <w:r w:rsidR="00382C55" w:rsidRPr="00030181">
        <w:rPr>
          <w:rFonts w:ascii="Arial" w:hAnsi="Arial" w:cs="Arial"/>
          <w:lang w:val="en-US"/>
        </w:rPr>
        <w:t xml:space="preserve">was significantly </w:t>
      </w:r>
      <w:r w:rsidR="00712BF3" w:rsidRPr="00030181">
        <w:rPr>
          <w:rFonts w:ascii="Arial" w:hAnsi="Arial" w:cs="Arial"/>
        </w:rPr>
        <w:t>linked to</w:t>
      </w:r>
      <w:r w:rsidR="00712BF3" w:rsidRPr="00030181">
        <w:rPr>
          <w:rFonts w:ascii="Arial" w:hAnsi="Arial" w:cs="Arial"/>
          <w:lang w:val="en-US"/>
        </w:rPr>
        <w:t xml:space="preserve"> </w:t>
      </w:r>
      <w:r w:rsidR="00382C55" w:rsidRPr="00030181">
        <w:rPr>
          <w:rFonts w:ascii="Arial" w:hAnsi="Arial" w:cs="Arial"/>
          <w:lang w:val="en-US"/>
        </w:rPr>
        <w:t xml:space="preserve">malnutrition </w:t>
      </w:r>
      <w:r w:rsidRPr="00030181">
        <w:rPr>
          <w:rFonts w:ascii="Arial" w:hAnsi="Arial" w:cs="Arial"/>
        </w:rPr>
        <w:t>risk. Residents requiring greater assistance were more vulnerable to inadequate nutritional intake than more independent residents. The use of validated nutritional assessment measures strengthened the reliability of the findings. Nevertheless, because data were collected at a single time point, it was not possible to determine whether these factors directly caused malnutrition.</w:t>
      </w:r>
    </w:p>
    <w:p w14:paraId="5C6F5F98" w14:textId="506D3756" w:rsidR="00A646E6" w:rsidRPr="00030181" w:rsidRDefault="00A646E6" w:rsidP="005C5EBA">
      <w:pPr>
        <w:spacing w:line="360" w:lineRule="auto"/>
        <w:jc w:val="both"/>
        <w:rPr>
          <w:rFonts w:ascii="Arial" w:hAnsi="Arial" w:cs="Arial"/>
          <w:lang w:val="en-US"/>
        </w:rPr>
      </w:pPr>
      <w:r w:rsidRPr="00030181">
        <w:rPr>
          <w:rFonts w:ascii="Arial" w:hAnsi="Arial" w:cs="Arial"/>
        </w:rPr>
        <w:t xml:space="preserve">Watkins et al. (2017) conducted a systematic review synthesising findings from 15 qualitative studies exploring mealtime experiences among care-home residents and staff. The review identified four recurring themes: </w:t>
      </w:r>
      <w:r w:rsidR="000D6E1E" w:rsidRPr="00030181">
        <w:rPr>
          <w:rFonts w:ascii="Arial" w:hAnsi="Arial" w:cs="Arial"/>
          <w:lang w:val="en-US"/>
        </w:rPr>
        <w:t xml:space="preserve">organizational </w:t>
      </w:r>
      <w:r w:rsidR="00382C55" w:rsidRPr="00030181">
        <w:rPr>
          <w:rFonts w:ascii="Arial" w:hAnsi="Arial" w:cs="Arial"/>
          <w:lang w:val="en-US"/>
        </w:rPr>
        <w:t xml:space="preserve">and staff support, resident independence and choice, mealtime environment, and meal quality. </w:t>
      </w:r>
      <w:r w:rsidRPr="00030181">
        <w:rPr>
          <w:rFonts w:ascii="Arial" w:hAnsi="Arial" w:cs="Arial"/>
        </w:rPr>
        <w:t>Residents consistently reported that positive staff interactions, social engagement during meals, and opportunities to choose foods improved meal satisfaction and encouraged food intake, whereas rushed mealtimes, limited assistance, and rigid routines reduced meal enjoyment and negatively influenced nutritional intake (Watkins et al., 2017). A major strength of the review was its synthesis of resident and staff perspectives across multiple care-home settings. However, the qualitative nature of the evidence limited statistical generalisability.</w:t>
      </w:r>
    </w:p>
    <w:p w14:paraId="5A8A75B0" w14:textId="7A5D7D3C" w:rsidR="00A646E6" w:rsidRPr="00030181" w:rsidRDefault="00A646E6" w:rsidP="005C5EBA">
      <w:pPr>
        <w:spacing w:line="360" w:lineRule="auto"/>
        <w:jc w:val="both"/>
        <w:rPr>
          <w:rFonts w:ascii="Arial" w:hAnsi="Arial" w:cs="Arial"/>
        </w:rPr>
      </w:pPr>
      <w:r w:rsidRPr="00030181">
        <w:rPr>
          <w:rFonts w:ascii="Arial" w:hAnsi="Arial" w:cs="Arial"/>
        </w:rPr>
        <w:lastRenderedPageBreak/>
        <w:t>Collectively, Jimoh et al. (2019), Madeira et al. (2019), and Watkins et al. (2017) demonstrated that nutritional outcomes are influenced by both physiological vulnerability and the quality of mealtime support. While Jimoh et al. (2019) focused on hydration practices and Madeira et al. (2019) examined nutritional risk factors, Watkins et al. (2017) highlighted the importance of resident autonomy, staff interaction, and mealtime culture. Despite methodological differences, all studies identified supportive care practices as important components of nutritional wellbeing.</w:t>
      </w:r>
    </w:p>
    <w:p w14:paraId="48DB3F58" w14:textId="77777777" w:rsidR="000D4AFF" w:rsidRPr="00030181" w:rsidRDefault="000D4AFF" w:rsidP="005C5EBA">
      <w:pPr>
        <w:pStyle w:val="Heading1"/>
        <w:spacing w:line="360" w:lineRule="auto"/>
        <w:rPr>
          <w:rFonts w:ascii="Arial" w:hAnsi="Arial" w:cs="Arial"/>
          <w:b/>
          <w:bCs/>
          <w:color w:val="auto"/>
          <w:sz w:val="22"/>
          <w:szCs w:val="22"/>
        </w:rPr>
      </w:pPr>
      <w:bookmarkStart w:id="47" w:name="_Toc231947566"/>
      <w:r w:rsidRPr="00030181">
        <w:rPr>
          <w:rFonts w:ascii="Arial" w:hAnsi="Arial" w:cs="Arial"/>
          <w:b/>
          <w:bCs/>
          <w:color w:val="auto"/>
          <w:sz w:val="22"/>
          <w:szCs w:val="22"/>
        </w:rPr>
        <w:t>4.1.3 Organisational Practices, Food Safety and Quality of Nutritional Care</w:t>
      </w:r>
      <w:bookmarkEnd w:id="47"/>
    </w:p>
    <w:p w14:paraId="14AE8559" w14:textId="77777777" w:rsidR="00712BF3" w:rsidRPr="00030181" w:rsidRDefault="00712BF3" w:rsidP="005C5EBA">
      <w:pPr>
        <w:spacing w:line="360" w:lineRule="auto"/>
        <w:jc w:val="both"/>
        <w:rPr>
          <w:rFonts w:ascii="Arial" w:hAnsi="Arial" w:cs="Arial"/>
        </w:rPr>
      </w:pPr>
      <w:r w:rsidRPr="00030181">
        <w:rPr>
          <w:rFonts w:ascii="Arial" w:hAnsi="Arial" w:cs="Arial"/>
        </w:rPr>
        <w:t>Organisational factors were consistently identified as key determinants of food and nutrition safety. Bunn et al. (2018) undertook a policy-mapping review of publicly available UK policies, reports, and recommended guidance concerning hydration and nutrition in care-home environments. The review identified continuing concerns regarding malnutrition and dehydration despite extensive national guidance. Findings highlighted that approximately 20% of older individuals residing in UK care homes experienced dehydration, while 34% were malnourished or vulnerable to malnutrition.</w:t>
      </w:r>
    </w:p>
    <w:p w14:paraId="1E19F5BA" w14:textId="6489C745" w:rsidR="000D4AFF" w:rsidRPr="00030181" w:rsidRDefault="000D4AFF" w:rsidP="005C5EBA">
      <w:pPr>
        <w:spacing w:line="360" w:lineRule="auto"/>
        <w:jc w:val="both"/>
        <w:rPr>
          <w:rFonts w:ascii="Arial" w:hAnsi="Arial" w:cs="Arial"/>
          <w:lang w:val="en-US"/>
        </w:rPr>
      </w:pPr>
      <w:r w:rsidRPr="00030181">
        <w:rPr>
          <w:rFonts w:ascii="Arial" w:hAnsi="Arial" w:cs="Arial"/>
        </w:rPr>
        <w:t xml:space="preserve">Recommended strategies included improved nutritional screening, hydration monitoring, staff training, menu planning and implementation of evidence-based nutritional policies (Bunn et al., 2018). </w:t>
      </w:r>
      <w:r w:rsidR="00712BF3" w:rsidRPr="00030181">
        <w:rPr>
          <w:rFonts w:ascii="Arial" w:hAnsi="Arial" w:cs="Arial"/>
        </w:rPr>
        <w:t>A notable strength of the study was</w:t>
      </w:r>
      <w:r w:rsidR="00712BF3" w:rsidRPr="00030181">
        <w:rPr>
          <w:rFonts w:ascii="Arial" w:hAnsi="Arial" w:cs="Arial"/>
        </w:rPr>
        <w:t xml:space="preserve"> </w:t>
      </w:r>
      <w:r w:rsidRPr="00030181">
        <w:rPr>
          <w:rFonts w:ascii="Arial" w:hAnsi="Arial" w:cs="Arial"/>
        </w:rPr>
        <w:t>its comprehensive examination of policy and practice guidance across the UK care home sector. However, because the review synthesised existing evidence rather than collecting primary resident-level data, it was unable to directly evaluate the effectiveness of specific nutritional interventions, limiting the strength of causal conclusions.</w:t>
      </w:r>
    </w:p>
    <w:p w14:paraId="3B6BAA39" w14:textId="77777777" w:rsidR="00356248" w:rsidRPr="00030181" w:rsidRDefault="000D4AFF" w:rsidP="005C5EBA">
      <w:pPr>
        <w:spacing w:line="360" w:lineRule="auto"/>
        <w:jc w:val="both"/>
        <w:rPr>
          <w:rFonts w:ascii="Arial" w:hAnsi="Arial" w:cs="Arial"/>
        </w:rPr>
      </w:pPr>
      <w:r w:rsidRPr="00030181">
        <w:rPr>
          <w:rFonts w:ascii="Arial" w:hAnsi="Arial" w:cs="Arial"/>
        </w:rPr>
        <w:t xml:space="preserve">Further evidence was provided by Liu et al. (2024), who developed an evidence-based nutrition management programme for nursing homes in China. Baseline data were collected from 350 residents and 160 nurses across three nursing homes, and programme development was guided by evidence-based practice principles and expert consultation using the Delphi method. The resulting programme included 14 core components and 56 evidence-based recommendations aimed at improving nutritional management practices. </w:t>
      </w:r>
    </w:p>
    <w:p w14:paraId="64F4A37B" w14:textId="423AE45F" w:rsidR="000D4AFF" w:rsidRPr="00030181" w:rsidRDefault="000D4AFF" w:rsidP="005C5EBA">
      <w:pPr>
        <w:spacing w:line="360" w:lineRule="auto"/>
        <w:jc w:val="both"/>
        <w:rPr>
          <w:rFonts w:ascii="Arial" w:hAnsi="Arial" w:cs="Arial"/>
          <w:lang w:val="en-US"/>
        </w:rPr>
      </w:pPr>
      <w:r w:rsidRPr="00030181">
        <w:rPr>
          <w:rFonts w:ascii="Arial" w:hAnsi="Arial" w:cs="Arial"/>
        </w:rPr>
        <w:t xml:space="preserve">The study concluded that standardised nutritional procedures could enhance the implementation of evidence-based nutritional care within residential settings (Liu et al., 2024). </w:t>
      </w:r>
      <w:r w:rsidR="00712BF3" w:rsidRPr="00030181">
        <w:rPr>
          <w:rFonts w:ascii="Arial" w:hAnsi="Arial" w:cs="Arial"/>
        </w:rPr>
        <w:t>A significant strength of the study was the</w:t>
      </w:r>
      <w:r w:rsidR="00712BF3" w:rsidRPr="00030181">
        <w:rPr>
          <w:rFonts w:ascii="Arial" w:hAnsi="Arial" w:cs="Arial"/>
        </w:rPr>
        <w:t xml:space="preserve"> </w:t>
      </w:r>
      <w:r w:rsidRPr="00030181">
        <w:rPr>
          <w:rFonts w:ascii="Arial" w:hAnsi="Arial" w:cs="Arial"/>
        </w:rPr>
        <w:t>integration of empirical baseline data with expert consensus during programme development. Nevertheless, the findings were generated within a Chinese healthcare context and may not be fully transferable to UK care home environments due to differences in organisational structures and care systems.</w:t>
      </w:r>
    </w:p>
    <w:p w14:paraId="18308765" w14:textId="7943648F" w:rsidR="000D4AFF" w:rsidRPr="00030181" w:rsidRDefault="000D4AFF" w:rsidP="005C5EBA">
      <w:pPr>
        <w:spacing w:line="360" w:lineRule="auto"/>
        <w:jc w:val="both"/>
        <w:rPr>
          <w:rFonts w:ascii="Arial" w:hAnsi="Arial" w:cs="Arial"/>
        </w:rPr>
      </w:pPr>
      <w:r w:rsidRPr="00030181">
        <w:rPr>
          <w:rFonts w:ascii="Arial" w:hAnsi="Arial" w:cs="Arial"/>
        </w:rPr>
        <w:lastRenderedPageBreak/>
        <w:t xml:space="preserve">Both Bunn et al. (2018) and Liu et al. (2024) highlighted the </w:t>
      </w:r>
      <w:r w:rsidR="00712BF3" w:rsidRPr="00030181">
        <w:rPr>
          <w:rFonts w:ascii="Arial" w:hAnsi="Arial" w:cs="Arial"/>
        </w:rPr>
        <w:t>significance</w:t>
      </w:r>
      <w:r w:rsidRPr="00030181">
        <w:rPr>
          <w:rFonts w:ascii="Arial" w:hAnsi="Arial" w:cs="Arial"/>
        </w:rPr>
        <w:t xml:space="preserve"> of systematic organisational approaches to nutritional care. However, while Bunn et al. (2018) focused on identifying gaps in existing policy implementation, Liu et al. (2024) concentrated on developing structured evidence-based solutions. Despite differences in methodology, both studies emphasised that nutritional screening, staff education, hydration monitoring and standardised procedures are essential for improving food and nutrition safety.</w:t>
      </w:r>
    </w:p>
    <w:p w14:paraId="18C6DBC6" w14:textId="3369551A" w:rsidR="000D4AFF" w:rsidRPr="00030181" w:rsidRDefault="000D4AFF" w:rsidP="005C5EBA">
      <w:pPr>
        <w:spacing w:line="360" w:lineRule="auto"/>
        <w:jc w:val="both"/>
        <w:rPr>
          <w:rFonts w:ascii="Arial" w:hAnsi="Arial" w:cs="Arial"/>
          <w:lang w:val="en-US"/>
        </w:rPr>
      </w:pPr>
      <w:r w:rsidRPr="00030181">
        <w:rPr>
          <w:rFonts w:ascii="Arial" w:hAnsi="Arial" w:cs="Arial"/>
        </w:rPr>
        <w:t xml:space="preserve">Overall, the evidence suggests that effective food and nutrition safety depends not only on resident-level interventions but also on organisational commitment to nutritional governance, staff competency, monitoring systems </w:t>
      </w:r>
      <w:r w:rsidR="00382C55" w:rsidRPr="00030181">
        <w:rPr>
          <w:rFonts w:ascii="Arial" w:hAnsi="Arial" w:cs="Arial"/>
          <w:lang w:val="en-US"/>
        </w:rPr>
        <w:t xml:space="preserve">and the implementation of evidence-based practice. Organisational factors therefore </w:t>
      </w:r>
      <w:r w:rsidR="00712BF3" w:rsidRPr="00030181">
        <w:rPr>
          <w:rFonts w:ascii="Arial" w:hAnsi="Arial" w:cs="Arial"/>
        </w:rPr>
        <w:t>seem to be essential in determining the</w:t>
      </w:r>
      <w:r w:rsidR="00712BF3" w:rsidRPr="00030181">
        <w:rPr>
          <w:rFonts w:ascii="Arial" w:hAnsi="Arial" w:cs="Arial"/>
          <w:lang w:val="en-US"/>
        </w:rPr>
        <w:t xml:space="preserve"> </w:t>
      </w:r>
      <w:r w:rsidR="00382C55" w:rsidRPr="00030181">
        <w:rPr>
          <w:rFonts w:ascii="Arial" w:hAnsi="Arial" w:cs="Arial"/>
          <w:lang w:val="en-US"/>
        </w:rPr>
        <w:t xml:space="preserve">quality </w:t>
      </w:r>
      <w:r w:rsidRPr="00030181">
        <w:rPr>
          <w:rFonts w:ascii="Arial" w:hAnsi="Arial" w:cs="Arial"/>
        </w:rPr>
        <w:t>and consistency of nutritional care delivered within care home settings.</w:t>
      </w:r>
    </w:p>
    <w:p w14:paraId="1DF07EED" w14:textId="77777777" w:rsidR="008C30B9" w:rsidRPr="00030181" w:rsidRDefault="008C30B9" w:rsidP="005C5EBA">
      <w:pPr>
        <w:pStyle w:val="Heading1"/>
        <w:spacing w:line="360" w:lineRule="auto"/>
        <w:rPr>
          <w:rFonts w:ascii="Arial" w:hAnsi="Arial" w:cs="Arial"/>
          <w:b/>
          <w:bCs/>
          <w:color w:val="auto"/>
          <w:sz w:val="22"/>
          <w:szCs w:val="22"/>
        </w:rPr>
      </w:pPr>
      <w:bookmarkStart w:id="48" w:name="_Toc231947567"/>
      <w:r w:rsidRPr="00030181">
        <w:rPr>
          <w:rFonts w:ascii="Arial" w:hAnsi="Arial" w:cs="Arial"/>
          <w:b/>
          <w:bCs/>
          <w:color w:val="auto"/>
          <w:sz w:val="22"/>
          <w:szCs w:val="22"/>
        </w:rPr>
        <w:t>4.2 Relationship Between Food Safety Practices and Health Outcomes in Care Homes</w:t>
      </w:r>
      <w:bookmarkEnd w:id="48"/>
    </w:p>
    <w:p w14:paraId="2E420BD0" w14:textId="3BE4F20C" w:rsidR="008C30B9" w:rsidRPr="00030181" w:rsidRDefault="00382C55" w:rsidP="005C5EBA">
      <w:pPr>
        <w:spacing w:line="360" w:lineRule="auto"/>
        <w:jc w:val="both"/>
        <w:rPr>
          <w:rFonts w:ascii="Arial" w:hAnsi="Arial" w:cs="Arial"/>
          <w:lang w:val="en-US"/>
        </w:rPr>
      </w:pPr>
      <w:r w:rsidRPr="00030181">
        <w:rPr>
          <w:rFonts w:ascii="Arial" w:hAnsi="Arial" w:cs="Arial"/>
          <w:lang w:val="en-US"/>
        </w:rPr>
        <w:t xml:space="preserve">Evidence from the 17 studies reviewed suggests that food safety and nutritional care practices </w:t>
      </w:r>
      <w:r w:rsidR="00712BF3" w:rsidRPr="00030181">
        <w:rPr>
          <w:rFonts w:ascii="Arial" w:hAnsi="Arial" w:cs="Arial"/>
        </w:rPr>
        <w:t>are associated with</w:t>
      </w:r>
      <w:r w:rsidR="00712BF3" w:rsidRPr="00030181">
        <w:rPr>
          <w:rFonts w:ascii="Arial" w:hAnsi="Arial" w:cs="Arial"/>
          <w:lang w:val="en-US"/>
        </w:rPr>
        <w:t xml:space="preserve"> </w:t>
      </w:r>
      <w:r w:rsidRPr="00030181">
        <w:rPr>
          <w:rFonts w:ascii="Arial" w:hAnsi="Arial" w:cs="Arial"/>
          <w:lang w:val="en-US"/>
        </w:rPr>
        <w:t xml:space="preserve">health outcomes </w:t>
      </w:r>
      <w:r w:rsidR="00712BF3" w:rsidRPr="00030181">
        <w:rPr>
          <w:rFonts w:ascii="Arial" w:hAnsi="Arial" w:cs="Arial"/>
        </w:rPr>
        <w:t>among elderly individuals</w:t>
      </w:r>
      <w:r w:rsidR="00712BF3" w:rsidRPr="00030181">
        <w:rPr>
          <w:rFonts w:ascii="Arial" w:hAnsi="Arial" w:cs="Arial"/>
          <w:lang w:val="en-US"/>
        </w:rPr>
        <w:t xml:space="preserve"> </w:t>
      </w:r>
      <w:r w:rsidRPr="00030181">
        <w:rPr>
          <w:rFonts w:ascii="Arial" w:hAnsi="Arial" w:cs="Arial"/>
          <w:lang w:val="en-US"/>
        </w:rPr>
        <w:t xml:space="preserve">residing in care homes. </w:t>
      </w:r>
      <w:r w:rsidR="008C30B9" w:rsidRPr="00030181">
        <w:rPr>
          <w:rFonts w:ascii="Arial" w:hAnsi="Arial" w:cs="Arial"/>
        </w:rPr>
        <w:t>Across the evidence base, nutritional screening, hydration monitoring, food safety governance, and implementation of nutritional guidelines were linked to nutritional status, diabetes-related outcomes, and quality of care. Three sub-themes emerged from the analysis: nutritional status, organisational influences on health outcomes, and management of type 2 diabetes.</w:t>
      </w:r>
    </w:p>
    <w:p w14:paraId="36CBE981" w14:textId="77777777" w:rsidR="008C30B9" w:rsidRPr="00030181" w:rsidRDefault="008C30B9" w:rsidP="005C5EBA">
      <w:pPr>
        <w:pStyle w:val="Heading1"/>
        <w:spacing w:line="360" w:lineRule="auto"/>
        <w:rPr>
          <w:rFonts w:ascii="Arial" w:hAnsi="Arial" w:cs="Arial"/>
          <w:b/>
          <w:bCs/>
          <w:color w:val="auto"/>
          <w:sz w:val="22"/>
          <w:szCs w:val="22"/>
        </w:rPr>
      </w:pPr>
      <w:bookmarkStart w:id="49" w:name="_Toc231947568"/>
      <w:r w:rsidRPr="00030181">
        <w:rPr>
          <w:rFonts w:ascii="Arial" w:hAnsi="Arial" w:cs="Arial"/>
          <w:b/>
          <w:bCs/>
          <w:color w:val="auto"/>
          <w:sz w:val="22"/>
          <w:szCs w:val="22"/>
        </w:rPr>
        <w:t>4.2.1 Nutritional Status and Health Outcomes</w:t>
      </w:r>
      <w:bookmarkEnd w:id="49"/>
    </w:p>
    <w:p w14:paraId="07A836DD" w14:textId="77777777" w:rsidR="00712BF3" w:rsidRPr="00712BF3" w:rsidRDefault="00712BF3" w:rsidP="00712BF3">
      <w:pPr>
        <w:spacing w:line="360" w:lineRule="auto"/>
        <w:jc w:val="both"/>
        <w:rPr>
          <w:rFonts w:ascii="Arial" w:hAnsi="Arial" w:cs="Arial"/>
        </w:rPr>
      </w:pPr>
      <w:r w:rsidRPr="00712BF3">
        <w:rPr>
          <w:rFonts w:ascii="Arial" w:hAnsi="Arial" w:cs="Arial"/>
        </w:rPr>
        <w:t>Madeira et al. (2019) undertook a nationally representative cross-sectional study involving 1,186 residents of nursing homes aged 65 years and above in Portugal. Nutritional status was assessed through the Mini Nutritional Screening (MNS), body measurements, and structured interviews. The study reported that 38.7% of residents were classified as being at risk of malnutrition, while 4.8% were identified as malnourished. Poor appetite, depressive symptoms, and dependence in everyday living activities were significantly associated with nutritional risk (Madeira et al., 2019). A key strength of the study was its substantial representative sample and the use of validated assessment tools. However, the cross-sectional design prevented causal relationships from being established and the non-UK setting may limit transferability to UK care homes.</w:t>
      </w:r>
    </w:p>
    <w:p w14:paraId="5B4D82CB" w14:textId="77777777" w:rsidR="00712BF3" w:rsidRPr="00712BF3" w:rsidRDefault="00712BF3" w:rsidP="00712BF3">
      <w:pPr>
        <w:spacing w:line="360" w:lineRule="auto"/>
        <w:jc w:val="both"/>
        <w:rPr>
          <w:rFonts w:ascii="Arial" w:hAnsi="Arial" w:cs="Arial"/>
        </w:rPr>
      </w:pPr>
      <w:r w:rsidRPr="00712BF3">
        <w:rPr>
          <w:rFonts w:ascii="Arial" w:hAnsi="Arial" w:cs="Arial"/>
        </w:rPr>
        <w:t>Cereda et al. (2016) undertook a comprehensive review and meta-analysis of 240 studies involving 149,524 older adults to evaluate malnutrition using the Mini Nutritional Screening (MNS). The study found that 18% of institutionalised older adults were classified as malnourished, and 48% were considered at risk of malnutrition, indicating that around two-</w:t>
      </w:r>
      <w:r w:rsidRPr="00712BF3">
        <w:rPr>
          <w:rFonts w:ascii="Arial" w:hAnsi="Arial" w:cs="Arial"/>
        </w:rPr>
        <w:lastRenderedPageBreak/>
        <w:t>thirds experienced nutritional vulnerability (Cereda et al., 2016). A key strength was the large international sample and use of the validated MNA tool, which improved the reliability of findings. However, differences in healthcare systems and care-home practices across countries may limit the direct applicability of the results to UK care homes.</w:t>
      </w:r>
    </w:p>
    <w:p w14:paraId="225E8E00" w14:textId="77777777" w:rsidR="008C30B9" w:rsidRPr="00030181" w:rsidRDefault="008C30B9" w:rsidP="005C5EBA">
      <w:pPr>
        <w:spacing w:line="360" w:lineRule="auto"/>
        <w:jc w:val="both"/>
        <w:rPr>
          <w:rFonts w:ascii="Arial" w:hAnsi="Arial" w:cs="Arial"/>
        </w:rPr>
      </w:pPr>
      <w:r w:rsidRPr="00030181">
        <w:rPr>
          <w:rFonts w:ascii="Arial" w:hAnsi="Arial" w:cs="Arial"/>
        </w:rPr>
        <w:t>Similarly, Jimoh et al. (2019) conducted an observational study involving 188 residents across 56 UK care homes. Hydration status was assessed using serum osmolality measurements, interviews, and direct observation of beverage intake. Approximately 20% of residents experienced low-intake dehydration and only 55% achieved recommended fluid intake targets. Residents receiving drinks more frequently demonstrated significantly better hydration status than those experiencing dehydration (Jimoh et al., 2019). The use of objective biochemical measurements strengthened the reliability of the findings. Nevertheless, the detailed observational analysis was undertaken within a smaller subgroup, limiting wider generalisability.</w:t>
      </w:r>
    </w:p>
    <w:p w14:paraId="746F80F2" w14:textId="77777777" w:rsidR="00933857" w:rsidRPr="00030181" w:rsidRDefault="00933857" w:rsidP="005C5EBA">
      <w:pPr>
        <w:spacing w:line="360" w:lineRule="auto"/>
        <w:jc w:val="both"/>
        <w:rPr>
          <w:rFonts w:ascii="Arial" w:hAnsi="Arial" w:cs="Arial"/>
        </w:rPr>
      </w:pPr>
      <w:r w:rsidRPr="00030181">
        <w:rPr>
          <w:rFonts w:ascii="Arial" w:hAnsi="Arial" w:cs="Arial"/>
        </w:rPr>
        <w:t>Velázquez-Alva et al. (2020) conducted a cross-sectional study involving 114 older women residing in a nursing home. Nutritional status was evaluated using the Mini Nutritional Screening, grip-strength testing, and gait-speed assessments. The study reported that poor nutritional status was linked to sarcopenia and type 2 diabetes-related complications. Participants with poorer nutritional status also demonstrated lower physical performance and increased functional limitations (Velázquez-Alva et al., 2020). A significant strength of the study was the application of multiple objective functional and nutritional measures. However, the female-only sample limits applicability to wider care-home populations.</w:t>
      </w:r>
    </w:p>
    <w:p w14:paraId="0F7B5252" w14:textId="42AFFC51" w:rsidR="008C30B9" w:rsidRPr="00030181" w:rsidRDefault="008C30B9" w:rsidP="005C5EBA">
      <w:pPr>
        <w:spacing w:line="360" w:lineRule="auto"/>
        <w:jc w:val="both"/>
        <w:rPr>
          <w:rFonts w:ascii="Arial" w:hAnsi="Arial" w:cs="Arial"/>
          <w:lang w:val="en-US"/>
        </w:rPr>
      </w:pPr>
      <w:r w:rsidRPr="00030181">
        <w:rPr>
          <w:rFonts w:ascii="Arial" w:hAnsi="Arial" w:cs="Arial"/>
        </w:rPr>
        <w:t xml:space="preserve">Ran et al. (2023) conducted </w:t>
      </w:r>
      <w:r w:rsidR="00B64529" w:rsidRPr="00030181">
        <w:rPr>
          <w:rFonts w:ascii="Arial" w:hAnsi="Arial" w:cs="Arial"/>
          <w:lang w:val="en-US"/>
        </w:rPr>
        <w:t xml:space="preserve">a cross-sectional study including 248 older adults with type 2 diabetes. </w:t>
      </w:r>
      <w:r w:rsidRPr="00030181">
        <w:rPr>
          <w:rFonts w:ascii="Arial" w:hAnsi="Arial" w:cs="Arial"/>
        </w:rPr>
        <w:t xml:space="preserve">Logistic regression and predictive modelling identified a malnutrition prevalence of 26.2%, with low body mass index, poor dietary intake, and poor glycaemic control emerging as significant predictors. A strength of </w:t>
      </w:r>
      <w:r w:rsidR="00B64529" w:rsidRPr="00030181">
        <w:rPr>
          <w:rFonts w:ascii="Arial" w:hAnsi="Arial" w:cs="Arial"/>
          <w:lang w:val="en-US"/>
        </w:rPr>
        <w:t xml:space="preserve">the study was the creation of a predictive model </w:t>
      </w:r>
      <w:r w:rsidRPr="00030181">
        <w:rPr>
          <w:rFonts w:ascii="Arial" w:hAnsi="Arial" w:cs="Arial"/>
        </w:rPr>
        <w:t>for identifying nutritional risk. However, the hospital-based setting may not accurately reflect care-home populations.</w:t>
      </w:r>
    </w:p>
    <w:p w14:paraId="68CD2255" w14:textId="390D66A8" w:rsidR="00A646E6" w:rsidRPr="00030181" w:rsidRDefault="00A646E6" w:rsidP="005C5EBA">
      <w:pPr>
        <w:spacing w:line="360" w:lineRule="auto"/>
        <w:jc w:val="both"/>
        <w:rPr>
          <w:rFonts w:ascii="Arial" w:hAnsi="Arial" w:cs="Arial"/>
          <w:lang w:val="en-US"/>
        </w:rPr>
      </w:pPr>
      <w:r w:rsidRPr="00030181">
        <w:rPr>
          <w:rFonts w:ascii="Arial" w:hAnsi="Arial" w:cs="Arial"/>
        </w:rPr>
        <w:t xml:space="preserve">Collectively, Madeira et al. (2019), Cereda et al. (2016), Jimoh et al. (2019), Velázquez-Alva et al. (2020), and Ran et al. (2023) consistently demonstrated that poor nutritional status, dehydration, and inadequate </w:t>
      </w:r>
      <w:r w:rsidR="00B64529" w:rsidRPr="00030181">
        <w:rPr>
          <w:rFonts w:ascii="Arial" w:hAnsi="Arial" w:cs="Arial"/>
          <w:lang w:val="en-US"/>
        </w:rPr>
        <w:t xml:space="preserve">dietary intake was </w:t>
      </w:r>
      <w:r w:rsidR="00933857" w:rsidRPr="00030181">
        <w:rPr>
          <w:rFonts w:ascii="Arial" w:hAnsi="Arial" w:cs="Arial"/>
        </w:rPr>
        <w:t>linked to adverse health outcomes</w:t>
      </w:r>
      <w:r w:rsidR="00933857" w:rsidRPr="00030181">
        <w:rPr>
          <w:rFonts w:ascii="Arial" w:hAnsi="Arial" w:cs="Arial"/>
          <w:lang w:val="en-US"/>
        </w:rPr>
        <w:t xml:space="preserve"> </w:t>
      </w:r>
      <w:r w:rsidR="00B64529" w:rsidRPr="00030181">
        <w:rPr>
          <w:rFonts w:ascii="Arial" w:hAnsi="Arial" w:cs="Arial"/>
          <w:lang w:val="en-US"/>
        </w:rPr>
        <w:t>among older adults.</w:t>
      </w:r>
      <w:r w:rsidRPr="00030181">
        <w:rPr>
          <w:rFonts w:ascii="Arial" w:hAnsi="Arial" w:cs="Arial"/>
        </w:rPr>
        <w:t xml:space="preserve"> Although study designs and settings varied, all identified nutritional assessment and monitoring as important mechanisms for reducing nutritional risk and supporting resident wellbeing.</w:t>
      </w:r>
    </w:p>
    <w:p w14:paraId="0CBCAEDC" w14:textId="47FA4F9D" w:rsidR="008C30B9" w:rsidRPr="00030181" w:rsidRDefault="008C30B9" w:rsidP="005C5EBA">
      <w:pPr>
        <w:pStyle w:val="Heading1"/>
        <w:spacing w:line="360" w:lineRule="auto"/>
        <w:rPr>
          <w:rFonts w:ascii="Arial" w:hAnsi="Arial" w:cs="Arial"/>
          <w:b/>
          <w:bCs/>
          <w:color w:val="auto"/>
          <w:sz w:val="22"/>
          <w:szCs w:val="22"/>
        </w:rPr>
      </w:pPr>
      <w:bookmarkStart w:id="50" w:name="_Toc231947569"/>
      <w:r w:rsidRPr="00030181">
        <w:rPr>
          <w:rFonts w:ascii="Arial" w:hAnsi="Arial" w:cs="Arial"/>
          <w:b/>
          <w:bCs/>
          <w:color w:val="auto"/>
          <w:sz w:val="22"/>
          <w:szCs w:val="22"/>
        </w:rPr>
        <w:lastRenderedPageBreak/>
        <w:t>4.2.2 Organisational Influences on Health Outcomes</w:t>
      </w:r>
      <w:bookmarkEnd w:id="50"/>
    </w:p>
    <w:p w14:paraId="3D8CD376" w14:textId="27886DD5" w:rsidR="008C30B9" w:rsidRPr="00030181" w:rsidRDefault="008C30B9" w:rsidP="005C5EBA">
      <w:pPr>
        <w:spacing w:line="360" w:lineRule="auto"/>
        <w:jc w:val="both"/>
        <w:rPr>
          <w:rFonts w:ascii="Arial" w:hAnsi="Arial" w:cs="Arial"/>
          <w:lang w:val="en-US"/>
        </w:rPr>
      </w:pPr>
      <w:r w:rsidRPr="00030181">
        <w:rPr>
          <w:rFonts w:ascii="Arial" w:hAnsi="Arial" w:cs="Arial"/>
        </w:rPr>
        <w:t>Bamford et al. (2012) conducted a qualitative process evaluation across five residential care homes in northern England</w:t>
      </w:r>
      <w:r w:rsidR="00B64529" w:rsidRPr="00030181">
        <w:rPr>
          <w:rFonts w:ascii="Arial" w:hAnsi="Arial" w:cs="Arial"/>
          <w:lang w:val="en-US"/>
        </w:rPr>
        <w:t xml:space="preserve">. Data were gathered through observations and semi-structured interviews </w:t>
      </w:r>
      <w:r w:rsidRPr="00030181">
        <w:rPr>
          <w:rFonts w:ascii="Arial" w:hAnsi="Arial" w:cs="Arial"/>
        </w:rPr>
        <w:t>examining implementation of nutritional guidelines. The study found that insufficient staff knowledge, limited organisational support, and inconsistent monitoring reduced the effectiveness of nutritional care, whereas specialist support and staff training improved implementation. A strength of the study was its direct focus on UK care-home practice. However, the small sample of care homes may limit transferability.</w:t>
      </w:r>
    </w:p>
    <w:p w14:paraId="5E992FC8" w14:textId="77777777" w:rsidR="008C30B9" w:rsidRPr="00030181" w:rsidRDefault="008C30B9" w:rsidP="005C5EBA">
      <w:pPr>
        <w:spacing w:line="360" w:lineRule="auto"/>
        <w:jc w:val="both"/>
        <w:rPr>
          <w:rFonts w:ascii="Arial" w:hAnsi="Arial" w:cs="Arial"/>
        </w:rPr>
      </w:pPr>
      <w:r w:rsidRPr="00030181">
        <w:rPr>
          <w:rFonts w:ascii="Arial" w:hAnsi="Arial" w:cs="Arial"/>
        </w:rPr>
        <w:t>Romano and Minns Lowe (2022) conducted a qualitative study involving six dietitians working within English care homes. Semi-structured interviews explored experiences of nutritional care delivery. The study found that multidisciplinary collaboration, staff education, and dietetic leadership improved nutritional care quality and supported earlier identification of nutritional risk. The study provided contemporary UK evidence but was limited by its small sample size.</w:t>
      </w:r>
    </w:p>
    <w:p w14:paraId="35CAE44C" w14:textId="77777777" w:rsidR="008C30B9" w:rsidRPr="00030181" w:rsidRDefault="008C30B9" w:rsidP="005C5EBA">
      <w:pPr>
        <w:spacing w:line="360" w:lineRule="auto"/>
        <w:jc w:val="both"/>
        <w:rPr>
          <w:rFonts w:ascii="Arial" w:hAnsi="Arial" w:cs="Arial"/>
        </w:rPr>
      </w:pPr>
      <w:r w:rsidRPr="00030181">
        <w:rPr>
          <w:rFonts w:ascii="Arial" w:hAnsi="Arial" w:cs="Arial"/>
        </w:rPr>
        <w:t>Charlesworth (2016), through visits to eight residential care homes in Kirklees, identified deficiencies in menu planning, hydration monitoring, and staff training. The evaluation found that targeted training and menu review processes improved food provision and nutritional care. However, as a local service evaluation rather than peer-reviewed research, methodological rigour was more limited.</w:t>
      </w:r>
    </w:p>
    <w:p w14:paraId="43A50CE1" w14:textId="77777777" w:rsidR="008C30B9" w:rsidRPr="00030181" w:rsidRDefault="008C30B9" w:rsidP="005C5EBA">
      <w:pPr>
        <w:spacing w:line="360" w:lineRule="auto"/>
        <w:jc w:val="both"/>
        <w:rPr>
          <w:rFonts w:ascii="Arial" w:hAnsi="Arial" w:cs="Arial"/>
        </w:rPr>
      </w:pPr>
      <w:r w:rsidRPr="00030181">
        <w:rPr>
          <w:rFonts w:ascii="Arial" w:hAnsi="Arial" w:cs="Arial"/>
        </w:rPr>
        <w:t>Together, these studies suggest that organisational practices, staff competency, and multidisciplinary support influence the quality of nutritional care and may indirectly affect resident health outcomes.</w:t>
      </w:r>
    </w:p>
    <w:p w14:paraId="2DEBE257" w14:textId="77777777" w:rsidR="008C30B9" w:rsidRPr="00030181" w:rsidRDefault="008C30B9" w:rsidP="005C5EBA">
      <w:pPr>
        <w:pStyle w:val="Heading1"/>
        <w:spacing w:line="360" w:lineRule="auto"/>
        <w:rPr>
          <w:rFonts w:ascii="Arial" w:hAnsi="Arial" w:cs="Arial"/>
          <w:b/>
          <w:bCs/>
          <w:color w:val="auto"/>
          <w:sz w:val="22"/>
          <w:szCs w:val="22"/>
        </w:rPr>
      </w:pPr>
      <w:bookmarkStart w:id="51" w:name="_Toc231947570"/>
      <w:r w:rsidRPr="00030181">
        <w:rPr>
          <w:rFonts w:ascii="Arial" w:hAnsi="Arial" w:cs="Arial"/>
          <w:b/>
          <w:bCs/>
          <w:color w:val="auto"/>
          <w:sz w:val="22"/>
          <w:szCs w:val="22"/>
        </w:rPr>
        <w:t>4.2.3 Management of Type 2 Diabetes</w:t>
      </w:r>
      <w:bookmarkEnd w:id="51"/>
    </w:p>
    <w:p w14:paraId="63E58B9A" w14:textId="77777777" w:rsidR="00933857" w:rsidRPr="00933857" w:rsidRDefault="00933857" w:rsidP="00933857">
      <w:pPr>
        <w:spacing w:line="360" w:lineRule="auto"/>
        <w:jc w:val="both"/>
        <w:rPr>
          <w:rFonts w:ascii="Arial" w:hAnsi="Arial" w:cs="Arial"/>
        </w:rPr>
      </w:pPr>
      <w:r w:rsidRPr="00933857">
        <w:rPr>
          <w:rFonts w:ascii="Arial" w:hAnsi="Arial" w:cs="Arial"/>
        </w:rPr>
        <w:t>Evidence from the included studies suggests that nutritional status and dietary management influence outcomes among older adults living with type 2 diabetes. Velázquez-Alva et al. (2020) indicated that poor nutritional status was linked to an increased prevalence of sarcopenia as well as diabetes-related complications within nursing home occupants. Similarly, Ran et al. (2023) reported that poor dietary consumption and poor glycaemic control were significant predictors of poor nutritional status among older adults with type 2 diabetes.</w:t>
      </w:r>
    </w:p>
    <w:p w14:paraId="29CDA1ED" w14:textId="6A6E5676" w:rsidR="00B64529" w:rsidRPr="00030181" w:rsidRDefault="00933857" w:rsidP="00B64529">
      <w:pPr>
        <w:spacing w:line="360" w:lineRule="auto"/>
        <w:jc w:val="both"/>
        <w:rPr>
          <w:rFonts w:ascii="Arial" w:hAnsi="Arial" w:cs="Arial"/>
        </w:rPr>
      </w:pPr>
      <w:r w:rsidRPr="00933857">
        <w:rPr>
          <w:rFonts w:ascii="Arial" w:hAnsi="Arial" w:cs="Arial"/>
        </w:rPr>
        <w:t>Eichelmann et al. (2024) examined dietary fat quality and cardiometabolic outcomes using an RCT-based cohort analysis of multiple intervention studies and prospective cohorts, with participant numbers ranging from 60 to 1,262. The study found that improved dietary fat quality was linked to a 26% reduction in the risk of type 2 diabetes mellitus (T2DM), suggesting important advantages for metabolic wellbeing (Eichelmann et al., 2024).</w:t>
      </w:r>
      <w:r w:rsidRPr="00030181">
        <w:rPr>
          <w:rFonts w:ascii="Arial" w:hAnsi="Arial" w:cs="Arial"/>
        </w:rPr>
        <w:t xml:space="preserve"> </w:t>
      </w:r>
      <w:r w:rsidR="002D7819" w:rsidRPr="00030181">
        <w:rPr>
          <w:rFonts w:ascii="Arial" w:hAnsi="Arial" w:cs="Arial"/>
        </w:rPr>
        <w:t xml:space="preserve">A key strength was the integration of intervention and cohort evidence, supported by robust statistical analyses </w:t>
      </w:r>
      <w:r w:rsidR="002D7819" w:rsidRPr="00030181">
        <w:rPr>
          <w:rFonts w:ascii="Arial" w:hAnsi="Arial" w:cs="Arial"/>
        </w:rPr>
        <w:lastRenderedPageBreak/>
        <w:t xml:space="preserve">and lipidomic profiling. However, the study was conducted in community-based populations rather than care-home residents, limiting its direct applicability to </w:t>
      </w:r>
      <w:r w:rsidRPr="00030181">
        <w:rPr>
          <w:rFonts w:ascii="Arial" w:hAnsi="Arial" w:cs="Arial"/>
        </w:rPr>
        <w:t>older adults residing in residential care</w:t>
      </w:r>
      <w:r w:rsidRPr="00030181">
        <w:rPr>
          <w:rFonts w:ascii="Arial" w:hAnsi="Arial" w:cs="Arial"/>
          <w:lang w:val="en-US"/>
        </w:rPr>
        <w:t xml:space="preserve"> </w:t>
      </w:r>
      <w:r w:rsidR="00B64529" w:rsidRPr="00030181">
        <w:rPr>
          <w:rFonts w:ascii="Arial" w:hAnsi="Arial" w:cs="Arial"/>
          <w:lang w:val="en-US"/>
        </w:rPr>
        <w:t>settings.</w:t>
      </w:r>
    </w:p>
    <w:p w14:paraId="6C84A469" w14:textId="15DE7E44" w:rsidR="008C30B9" w:rsidRPr="00030181" w:rsidRDefault="008C30B9" w:rsidP="005C5EBA">
      <w:pPr>
        <w:spacing w:line="360" w:lineRule="auto"/>
        <w:jc w:val="both"/>
        <w:rPr>
          <w:rFonts w:ascii="Arial" w:hAnsi="Arial" w:cs="Arial"/>
          <w:lang w:val="en-US"/>
        </w:rPr>
      </w:pPr>
      <w:r w:rsidRPr="00030181">
        <w:rPr>
          <w:rFonts w:ascii="Arial" w:hAnsi="Arial" w:cs="Arial"/>
        </w:rPr>
        <w:t xml:space="preserve">Overall, </w:t>
      </w:r>
      <w:r w:rsidR="00933857" w:rsidRPr="00030181">
        <w:rPr>
          <w:rFonts w:ascii="Arial" w:hAnsi="Arial" w:cs="Arial"/>
        </w:rPr>
        <w:t>the findings</w:t>
      </w:r>
      <w:r w:rsidR="00933857" w:rsidRPr="00030181">
        <w:rPr>
          <w:rFonts w:ascii="Arial" w:hAnsi="Arial" w:cs="Arial"/>
        </w:rPr>
        <w:t xml:space="preserve"> </w:t>
      </w:r>
      <w:r w:rsidRPr="00030181">
        <w:rPr>
          <w:rFonts w:ascii="Arial" w:hAnsi="Arial" w:cs="Arial"/>
        </w:rPr>
        <w:t xml:space="preserve">suggests that effective nutritional management, dietary quality, and routine nutritional assessment are associated </w:t>
      </w:r>
      <w:r w:rsidR="00B64529" w:rsidRPr="00030181">
        <w:rPr>
          <w:rFonts w:ascii="Arial" w:hAnsi="Arial" w:cs="Arial"/>
          <w:lang w:val="en-US"/>
        </w:rPr>
        <w:t xml:space="preserve">with </w:t>
      </w:r>
      <w:r w:rsidR="00933857" w:rsidRPr="00030181">
        <w:rPr>
          <w:rFonts w:ascii="Arial" w:hAnsi="Arial" w:cs="Arial"/>
        </w:rPr>
        <w:t>improved health outcomes</w:t>
      </w:r>
      <w:r w:rsidR="00933857" w:rsidRPr="00030181">
        <w:rPr>
          <w:rFonts w:ascii="Arial" w:hAnsi="Arial" w:cs="Arial"/>
          <w:lang w:val="en-US"/>
        </w:rPr>
        <w:t xml:space="preserve"> </w:t>
      </w:r>
      <w:r w:rsidR="00B64529" w:rsidRPr="00030181">
        <w:rPr>
          <w:rFonts w:ascii="Arial" w:hAnsi="Arial" w:cs="Arial"/>
          <w:lang w:val="en-US"/>
        </w:rPr>
        <w:t>among older adults with type 2 diabetes.</w:t>
      </w:r>
      <w:r w:rsidRPr="00030181">
        <w:rPr>
          <w:rFonts w:ascii="Arial" w:hAnsi="Arial" w:cs="Arial"/>
        </w:rPr>
        <w:t xml:space="preserve"> Although direct care-home evidence remains limited, the findings consistently indicate that nutritional care practices influence both nutritional and metabolic outcomes.</w:t>
      </w:r>
    </w:p>
    <w:p w14:paraId="1D6009D6" w14:textId="77777777" w:rsidR="008C327C" w:rsidRPr="00030181" w:rsidRDefault="008C327C" w:rsidP="005C5EBA">
      <w:pPr>
        <w:pStyle w:val="Heading1"/>
        <w:spacing w:line="360" w:lineRule="auto"/>
        <w:rPr>
          <w:rFonts w:ascii="Arial" w:hAnsi="Arial" w:cs="Arial"/>
          <w:b/>
          <w:bCs/>
          <w:color w:val="auto"/>
          <w:sz w:val="22"/>
          <w:szCs w:val="22"/>
        </w:rPr>
      </w:pPr>
      <w:bookmarkStart w:id="52" w:name="_Toc231947571"/>
      <w:r w:rsidRPr="00030181">
        <w:rPr>
          <w:rFonts w:ascii="Arial" w:hAnsi="Arial" w:cs="Arial"/>
          <w:b/>
          <w:bCs/>
          <w:color w:val="auto"/>
          <w:sz w:val="22"/>
          <w:szCs w:val="22"/>
        </w:rPr>
        <w:t>4.3 Impact of Sub-Optimal Food and Nutrition Safety on Type 2 Diabetic Residents in Care Homes</w:t>
      </w:r>
      <w:bookmarkEnd w:id="52"/>
    </w:p>
    <w:p w14:paraId="08660F2B" w14:textId="41D2C415" w:rsidR="008C327C" w:rsidRPr="00030181" w:rsidRDefault="00933857" w:rsidP="005C5EBA">
      <w:pPr>
        <w:spacing w:line="360" w:lineRule="auto"/>
        <w:jc w:val="both"/>
        <w:rPr>
          <w:rFonts w:ascii="Arial" w:hAnsi="Arial" w:cs="Arial"/>
          <w:lang w:val="en-US"/>
        </w:rPr>
      </w:pPr>
      <w:r w:rsidRPr="00030181">
        <w:rPr>
          <w:rFonts w:ascii="Arial" w:hAnsi="Arial" w:cs="Arial"/>
        </w:rPr>
        <w:t>Findings from several studies</w:t>
      </w:r>
      <w:r w:rsidRPr="00030181">
        <w:rPr>
          <w:rFonts w:ascii="Arial" w:hAnsi="Arial" w:cs="Arial"/>
          <w:lang w:val="en-US"/>
        </w:rPr>
        <w:t xml:space="preserve"> </w:t>
      </w:r>
      <w:r w:rsidR="00B64529" w:rsidRPr="00030181">
        <w:rPr>
          <w:rFonts w:ascii="Arial" w:hAnsi="Arial" w:cs="Arial"/>
          <w:lang w:val="en-US"/>
        </w:rPr>
        <w:t xml:space="preserve">included in this review </w:t>
      </w:r>
      <w:r w:rsidRPr="00030181">
        <w:rPr>
          <w:rFonts w:ascii="Arial" w:hAnsi="Arial" w:cs="Arial"/>
        </w:rPr>
        <w:t>demonstrates that older adults with type 2 diabetes</w:t>
      </w:r>
      <w:r w:rsidRPr="00030181">
        <w:rPr>
          <w:rFonts w:ascii="Arial" w:hAnsi="Arial" w:cs="Arial"/>
        </w:rPr>
        <w:t xml:space="preserve"> </w:t>
      </w:r>
      <w:r w:rsidR="008C327C" w:rsidRPr="00030181">
        <w:rPr>
          <w:rFonts w:ascii="Arial" w:hAnsi="Arial" w:cs="Arial"/>
        </w:rPr>
        <w:t>experience poorer outcomes when nutritional care, dietary management, and hydration practices are inadequate. Across the literature, malnutrition, poor dietary adherence, dehydration, and reduced nutritional status were associated with poorer glycaemic control, sarcopenia, functional decline, and increased diabetes-related complications. Two sub-themes emerged from the analysis: glycaemic instability and increased risk of complications.</w:t>
      </w:r>
    </w:p>
    <w:p w14:paraId="4E608F7B" w14:textId="77777777" w:rsidR="008C327C" w:rsidRPr="00030181" w:rsidRDefault="008C327C" w:rsidP="005C5EBA">
      <w:pPr>
        <w:pStyle w:val="Heading1"/>
        <w:spacing w:line="360" w:lineRule="auto"/>
        <w:rPr>
          <w:rFonts w:ascii="Arial" w:hAnsi="Arial" w:cs="Arial"/>
          <w:b/>
          <w:bCs/>
          <w:color w:val="auto"/>
          <w:sz w:val="22"/>
          <w:szCs w:val="22"/>
        </w:rPr>
      </w:pPr>
      <w:bookmarkStart w:id="53" w:name="_Toc231947572"/>
      <w:r w:rsidRPr="00030181">
        <w:rPr>
          <w:rFonts w:ascii="Arial" w:hAnsi="Arial" w:cs="Arial"/>
          <w:b/>
          <w:bCs/>
          <w:color w:val="auto"/>
          <w:sz w:val="22"/>
          <w:szCs w:val="22"/>
        </w:rPr>
        <w:t>4.3.1 Glycaemic Instability</w:t>
      </w:r>
      <w:bookmarkEnd w:id="53"/>
    </w:p>
    <w:p w14:paraId="696D37A0" w14:textId="25AD43D0" w:rsidR="008C327C" w:rsidRPr="00030181" w:rsidRDefault="008C327C" w:rsidP="005C5EBA">
      <w:pPr>
        <w:spacing w:line="360" w:lineRule="auto"/>
        <w:jc w:val="both"/>
        <w:rPr>
          <w:rFonts w:ascii="Arial" w:hAnsi="Arial" w:cs="Arial"/>
          <w:lang w:val="en-US"/>
        </w:rPr>
      </w:pPr>
      <w:r w:rsidRPr="00030181">
        <w:rPr>
          <w:rFonts w:ascii="Arial" w:hAnsi="Arial" w:cs="Arial"/>
        </w:rPr>
        <w:t xml:space="preserve">Ran et al. (2023) conducted a cross-sectional study involving </w:t>
      </w:r>
      <w:r w:rsidR="00B64529" w:rsidRPr="00030181">
        <w:rPr>
          <w:rFonts w:ascii="Arial" w:hAnsi="Arial" w:cs="Arial"/>
          <w:lang w:val="en-US"/>
        </w:rPr>
        <w:t>248 older adults aged 65 years and over with type 2 diabetes</w:t>
      </w:r>
      <w:r w:rsidRPr="00030181">
        <w:rPr>
          <w:rFonts w:ascii="Arial" w:hAnsi="Arial" w:cs="Arial"/>
        </w:rPr>
        <w:t xml:space="preserve">. Nutritional risk factors were assessed using demographic, clinical, and dietary variables, </w:t>
      </w:r>
      <w:r w:rsidR="00B64529" w:rsidRPr="00030181">
        <w:rPr>
          <w:rFonts w:ascii="Arial" w:hAnsi="Arial" w:cs="Arial"/>
          <w:lang w:val="en-US"/>
        </w:rPr>
        <w:t xml:space="preserve">and </w:t>
      </w:r>
      <w:r w:rsidR="007A6778" w:rsidRPr="00030181">
        <w:rPr>
          <w:rFonts w:ascii="Arial" w:hAnsi="Arial" w:cs="Arial"/>
        </w:rPr>
        <w:t>regression modelling</w:t>
      </w:r>
      <w:r w:rsidR="007A6778" w:rsidRPr="00030181">
        <w:rPr>
          <w:rFonts w:ascii="Arial" w:hAnsi="Arial" w:cs="Arial"/>
          <w:lang w:val="en-US"/>
        </w:rPr>
        <w:t xml:space="preserve"> </w:t>
      </w:r>
      <w:r w:rsidR="00B64529" w:rsidRPr="00030181">
        <w:rPr>
          <w:rFonts w:ascii="Arial" w:hAnsi="Arial" w:cs="Arial"/>
          <w:lang w:val="en-US"/>
        </w:rPr>
        <w:t xml:space="preserve">analysis was </w:t>
      </w:r>
      <w:r w:rsidR="007A6778" w:rsidRPr="00030181">
        <w:rPr>
          <w:rFonts w:ascii="Arial" w:hAnsi="Arial" w:cs="Arial"/>
        </w:rPr>
        <w:t>used to determine predictors</w:t>
      </w:r>
      <w:r w:rsidR="007A6778" w:rsidRPr="00030181">
        <w:rPr>
          <w:rFonts w:ascii="Arial" w:hAnsi="Arial" w:cs="Arial"/>
        </w:rPr>
        <w:t xml:space="preserve"> </w:t>
      </w:r>
      <w:r w:rsidRPr="00030181">
        <w:rPr>
          <w:rFonts w:ascii="Arial" w:hAnsi="Arial" w:cs="Arial"/>
        </w:rPr>
        <w:t xml:space="preserve">of malnutrition. The study reported that 26.21% of participants were malnourished. Low body mass index, reduced albumin levels, poor dietary habits, impaired activities of daily living, and poor glycated haemoglobin (HbA1c) control were identified as significant predictors of malnutrition (Ran et al., 2023). </w:t>
      </w:r>
      <w:r w:rsidR="007A6778" w:rsidRPr="00030181">
        <w:rPr>
          <w:rFonts w:ascii="Arial" w:hAnsi="Arial" w:cs="Arial"/>
        </w:rPr>
        <w:t>A notable strength of the study was the</w:t>
      </w:r>
      <w:r w:rsidR="007A6778" w:rsidRPr="00030181">
        <w:rPr>
          <w:rFonts w:ascii="Arial" w:hAnsi="Arial" w:cs="Arial"/>
        </w:rPr>
        <w:t xml:space="preserve"> </w:t>
      </w:r>
      <w:r w:rsidRPr="00030181">
        <w:rPr>
          <w:rFonts w:ascii="Arial" w:hAnsi="Arial" w:cs="Arial"/>
        </w:rPr>
        <w:t>development of a predictive model with high discrimination (AUC=0.914), sensitivity (80.0%), and specificity (88.5%). However, participants were recruited from hospital settings rather than care homes, limiting direct applicability to residential care populations.</w:t>
      </w:r>
    </w:p>
    <w:p w14:paraId="1DFBDC14" w14:textId="0F382043" w:rsidR="008C327C" w:rsidRPr="00030181" w:rsidRDefault="008C327C" w:rsidP="005C5EBA">
      <w:pPr>
        <w:spacing w:line="360" w:lineRule="auto"/>
        <w:jc w:val="both"/>
        <w:rPr>
          <w:rFonts w:ascii="Arial" w:hAnsi="Arial" w:cs="Arial"/>
          <w:lang w:val="en-US"/>
        </w:rPr>
      </w:pPr>
      <w:r w:rsidRPr="00030181">
        <w:rPr>
          <w:rFonts w:ascii="Arial" w:hAnsi="Arial" w:cs="Arial"/>
        </w:rPr>
        <w:t xml:space="preserve">Velázquez-Alva et al. (2020) conducted a cross-sectional study involving 114 older women residing </w:t>
      </w:r>
      <w:r w:rsidR="00B64529" w:rsidRPr="00030181">
        <w:rPr>
          <w:rFonts w:ascii="Arial" w:hAnsi="Arial" w:cs="Arial"/>
          <w:lang w:val="en-US"/>
        </w:rPr>
        <w:t>in a nursing home. Nutritional status was evaluated using the Mini Nutritional Assessment</w:t>
      </w:r>
      <w:r w:rsidRPr="00030181">
        <w:rPr>
          <w:rFonts w:ascii="Arial" w:hAnsi="Arial" w:cs="Arial"/>
        </w:rPr>
        <w:t xml:space="preserve">, while sarcopenia was measured through hand-grip strength, gait-speed assessment, and calf-circumference measurements. The study found that 30.7% of participants had sarcopenia, 29.8% were at risk of malnutrition, and 10.5% had type 2 diabetes. Participants with poor nutritional status had significantly greater odds of sarcopenia </w:t>
      </w:r>
      <w:r w:rsidRPr="00030181">
        <w:rPr>
          <w:rFonts w:ascii="Arial" w:hAnsi="Arial" w:cs="Arial"/>
        </w:rPr>
        <w:lastRenderedPageBreak/>
        <w:t>(OR=4.97; p=0.003), while those with type 2 diabetes had higher odds of sarcopenia than non-diabetic residents (OR=5.52; p=0.019) (Velázquez-Alva et al., 2020</w:t>
      </w:r>
      <w:r w:rsidR="00ED125A" w:rsidRPr="00030181">
        <w:rPr>
          <w:rFonts w:ascii="Arial" w:hAnsi="Arial" w:cs="Arial"/>
          <w:lang w:val="en-US"/>
        </w:rPr>
        <w:t xml:space="preserve">). </w:t>
      </w:r>
      <w:r w:rsidR="007A6778" w:rsidRPr="00030181">
        <w:rPr>
          <w:rFonts w:ascii="Arial" w:hAnsi="Arial" w:cs="Arial"/>
        </w:rPr>
        <w:t>The application of validated nutritional and functional assessment</w:t>
      </w:r>
      <w:r w:rsidR="00ED125A" w:rsidRPr="00030181">
        <w:rPr>
          <w:rFonts w:ascii="Arial" w:hAnsi="Arial" w:cs="Arial"/>
          <w:lang w:val="en-US"/>
        </w:rPr>
        <w:t xml:space="preserve"> measures enhanced the reliability of the findings. </w:t>
      </w:r>
      <w:r w:rsidRPr="00030181">
        <w:rPr>
          <w:rFonts w:ascii="Arial" w:hAnsi="Arial" w:cs="Arial"/>
        </w:rPr>
        <w:t xml:space="preserve">Nevertheless, the study </w:t>
      </w:r>
      <w:r w:rsidR="007A6778" w:rsidRPr="00030181">
        <w:rPr>
          <w:rFonts w:ascii="Arial" w:hAnsi="Arial" w:cs="Arial"/>
        </w:rPr>
        <w:t>was undertaken</w:t>
      </w:r>
      <w:r w:rsidR="007A6778" w:rsidRPr="00030181">
        <w:rPr>
          <w:rFonts w:ascii="Arial" w:hAnsi="Arial" w:cs="Arial"/>
        </w:rPr>
        <w:t xml:space="preserve"> </w:t>
      </w:r>
      <w:r w:rsidRPr="00030181">
        <w:rPr>
          <w:rFonts w:ascii="Arial" w:hAnsi="Arial" w:cs="Arial"/>
        </w:rPr>
        <w:t>in a single nursing home and included only women, limiting wider generalisability.</w:t>
      </w:r>
    </w:p>
    <w:p w14:paraId="6236B4C5" w14:textId="602C46D7" w:rsidR="008C327C" w:rsidRPr="00030181" w:rsidRDefault="008C327C" w:rsidP="005C5EBA">
      <w:pPr>
        <w:spacing w:line="360" w:lineRule="auto"/>
        <w:jc w:val="both"/>
        <w:rPr>
          <w:rFonts w:ascii="Arial" w:hAnsi="Arial" w:cs="Arial"/>
          <w:lang w:val="en-US"/>
        </w:rPr>
      </w:pPr>
      <w:r w:rsidRPr="00030181">
        <w:rPr>
          <w:rFonts w:ascii="Arial" w:hAnsi="Arial" w:cs="Arial"/>
        </w:rPr>
        <w:t xml:space="preserve">Eichelmann et al. (2024) conducted an RCT-based cohort analysis using multiple European cohorts and lipidomic profiling to investigate dietary fat quality and cardiometabolic outcomes. The study reported that improved </w:t>
      </w:r>
      <w:r w:rsidR="00ED125A" w:rsidRPr="00030181">
        <w:rPr>
          <w:rFonts w:ascii="Arial" w:hAnsi="Arial" w:cs="Arial"/>
          <w:lang w:val="en-US"/>
        </w:rPr>
        <w:t xml:space="preserve">dietary fat quality was linked to a 26% decrease in the risk of type 2 diabetes and a 32% reduction in the incidence of </w:t>
      </w:r>
      <w:r w:rsidR="007A6778" w:rsidRPr="00030181">
        <w:rPr>
          <w:rFonts w:ascii="Arial" w:hAnsi="Arial" w:cs="Arial"/>
          <w:lang w:val="en-US"/>
        </w:rPr>
        <w:t xml:space="preserve">heart-related </w:t>
      </w:r>
      <w:r w:rsidR="00ED125A" w:rsidRPr="00030181">
        <w:rPr>
          <w:rFonts w:ascii="Arial" w:hAnsi="Arial" w:cs="Arial"/>
          <w:lang w:val="en-US"/>
        </w:rPr>
        <w:t xml:space="preserve">disease </w:t>
      </w:r>
      <w:r w:rsidRPr="00030181">
        <w:rPr>
          <w:rFonts w:ascii="Arial" w:hAnsi="Arial" w:cs="Arial"/>
        </w:rPr>
        <w:t xml:space="preserve">(Eichelmann et al., 2024). </w:t>
      </w:r>
      <w:r w:rsidR="007A6778" w:rsidRPr="00030181">
        <w:rPr>
          <w:rFonts w:ascii="Arial" w:hAnsi="Arial" w:cs="Arial"/>
        </w:rPr>
        <w:t>A significant strength of the study was the</w:t>
      </w:r>
      <w:r w:rsidR="007A6778" w:rsidRPr="00030181">
        <w:rPr>
          <w:rFonts w:ascii="Arial" w:hAnsi="Arial" w:cs="Arial"/>
          <w:lang w:val="en-US"/>
        </w:rPr>
        <w:t xml:space="preserve"> </w:t>
      </w:r>
      <w:r w:rsidR="00ED125A" w:rsidRPr="00030181">
        <w:rPr>
          <w:rFonts w:ascii="Arial" w:hAnsi="Arial" w:cs="Arial"/>
          <w:lang w:val="en-US"/>
        </w:rPr>
        <w:t xml:space="preserve">integration of </w:t>
      </w:r>
      <w:r w:rsidRPr="00030181">
        <w:rPr>
          <w:rFonts w:ascii="Arial" w:hAnsi="Arial" w:cs="Arial"/>
        </w:rPr>
        <w:t>intervention and cohort evidence. However, participants were not older care-home residents, limiting direct transferability to residential care settings.</w:t>
      </w:r>
    </w:p>
    <w:p w14:paraId="67C1CAAC" w14:textId="77777777" w:rsidR="008C327C" w:rsidRPr="00030181" w:rsidRDefault="008C327C" w:rsidP="005C5EBA">
      <w:pPr>
        <w:spacing w:line="360" w:lineRule="auto"/>
        <w:jc w:val="both"/>
        <w:rPr>
          <w:rFonts w:ascii="Arial" w:hAnsi="Arial" w:cs="Arial"/>
        </w:rPr>
      </w:pPr>
      <w:r w:rsidRPr="00030181">
        <w:rPr>
          <w:rFonts w:ascii="Arial" w:hAnsi="Arial" w:cs="Arial"/>
        </w:rPr>
        <w:t>When synthesised, these studies consistently demonstrated that poorer nutritional status, adverse dietary patterns, and inadequate dietary management were associated with poorer metabolic outcomes among individuals with type 2 diabetes. Although the studies differed in design and setting, all identified nutritional status as an important factor influencing diabetes-related outcomes.</w:t>
      </w:r>
    </w:p>
    <w:p w14:paraId="108911E9" w14:textId="77777777" w:rsidR="008C327C" w:rsidRPr="00030181" w:rsidRDefault="008C327C" w:rsidP="005C5EBA">
      <w:pPr>
        <w:pStyle w:val="Heading1"/>
        <w:spacing w:line="360" w:lineRule="auto"/>
        <w:rPr>
          <w:rFonts w:ascii="Arial" w:hAnsi="Arial" w:cs="Arial"/>
          <w:b/>
          <w:bCs/>
          <w:color w:val="auto"/>
          <w:sz w:val="22"/>
          <w:szCs w:val="22"/>
        </w:rPr>
      </w:pPr>
      <w:bookmarkStart w:id="54" w:name="_Toc231947573"/>
      <w:r w:rsidRPr="00030181">
        <w:rPr>
          <w:rFonts w:ascii="Arial" w:hAnsi="Arial" w:cs="Arial"/>
          <w:b/>
          <w:bCs/>
          <w:color w:val="auto"/>
          <w:sz w:val="22"/>
          <w:szCs w:val="22"/>
        </w:rPr>
        <w:t>4.3.2 Increased Risk of Complications</w:t>
      </w:r>
      <w:bookmarkEnd w:id="54"/>
    </w:p>
    <w:p w14:paraId="7580E0EC" w14:textId="1DF907B0" w:rsidR="008C327C" w:rsidRPr="00030181" w:rsidRDefault="008C327C" w:rsidP="005C5EBA">
      <w:pPr>
        <w:spacing w:line="360" w:lineRule="auto"/>
        <w:jc w:val="both"/>
        <w:rPr>
          <w:rFonts w:ascii="Arial" w:hAnsi="Arial" w:cs="Arial"/>
          <w:lang w:val="en-US"/>
        </w:rPr>
      </w:pPr>
      <w:r w:rsidRPr="00030181">
        <w:rPr>
          <w:rFonts w:ascii="Arial" w:hAnsi="Arial" w:cs="Arial"/>
        </w:rPr>
        <w:t xml:space="preserve">Velázquez-Alva et al. (2020) further reported </w:t>
      </w:r>
      <w:r w:rsidR="00ED125A" w:rsidRPr="00030181">
        <w:rPr>
          <w:rFonts w:ascii="Arial" w:hAnsi="Arial" w:cs="Arial"/>
          <w:lang w:val="en-US"/>
        </w:rPr>
        <w:t>that participants with</w:t>
      </w:r>
      <w:r w:rsidR="007A6778" w:rsidRPr="00030181">
        <w:rPr>
          <w:rFonts w:ascii="Arial" w:hAnsi="Arial" w:cs="Arial"/>
          <w:lang w:val="en-US"/>
        </w:rPr>
        <w:t>in</w:t>
      </w:r>
      <w:r w:rsidR="00ED125A" w:rsidRPr="00030181">
        <w:rPr>
          <w:rFonts w:ascii="Arial" w:hAnsi="Arial" w:cs="Arial"/>
          <w:lang w:val="en-US"/>
        </w:rPr>
        <w:t xml:space="preserve"> sarcopenia exhibited </w:t>
      </w:r>
      <w:r w:rsidR="007A6778" w:rsidRPr="00030181">
        <w:rPr>
          <w:rFonts w:ascii="Arial" w:hAnsi="Arial" w:cs="Arial"/>
        </w:rPr>
        <w:t>substantially lower</w:t>
      </w:r>
      <w:r w:rsidR="007A6778" w:rsidRPr="00030181">
        <w:rPr>
          <w:rFonts w:ascii="Arial" w:hAnsi="Arial" w:cs="Arial"/>
        </w:rPr>
        <w:t xml:space="preserve"> </w:t>
      </w:r>
      <w:r w:rsidRPr="00030181">
        <w:rPr>
          <w:rFonts w:ascii="Arial" w:hAnsi="Arial" w:cs="Arial"/>
        </w:rPr>
        <w:t xml:space="preserve">Barthel Index </w:t>
      </w:r>
      <w:r w:rsidR="007A6778" w:rsidRPr="00030181">
        <w:rPr>
          <w:rFonts w:ascii="Arial" w:hAnsi="Arial" w:cs="Arial"/>
        </w:rPr>
        <w:t>scores compared with</w:t>
      </w:r>
      <w:r w:rsidR="007A6778" w:rsidRPr="00030181">
        <w:rPr>
          <w:rFonts w:ascii="Arial" w:hAnsi="Arial" w:cs="Arial"/>
        </w:rPr>
        <w:t xml:space="preserve"> </w:t>
      </w:r>
      <w:r w:rsidRPr="00030181">
        <w:rPr>
          <w:rFonts w:ascii="Arial" w:hAnsi="Arial" w:cs="Arial"/>
        </w:rPr>
        <w:t>those without sarcopenia, indicating greater dependency in</w:t>
      </w:r>
      <w:r w:rsidR="00ED125A" w:rsidRPr="00030181">
        <w:rPr>
          <w:rFonts w:ascii="Arial" w:hAnsi="Arial" w:cs="Arial"/>
        </w:rPr>
        <w:t xml:space="preserve"> day</w:t>
      </w:r>
      <w:r w:rsidR="000D6E1E" w:rsidRPr="00030181">
        <w:rPr>
          <w:rFonts w:ascii="Arial" w:hAnsi="Arial" w:cs="Arial"/>
        </w:rPr>
        <w:t>-to-</w:t>
      </w:r>
      <w:r w:rsidR="00ED125A" w:rsidRPr="00030181">
        <w:rPr>
          <w:rFonts w:ascii="Arial" w:hAnsi="Arial" w:cs="Arial"/>
        </w:rPr>
        <w:t>day activities</w:t>
      </w:r>
      <w:r w:rsidRPr="00030181">
        <w:rPr>
          <w:rFonts w:ascii="Arial" w:hAnsi="Arial" w:cs="Arial"/>
        </w:rPr>
        <w:t xml:space="preserve">. Residents with poor nutritional status also demonstrated lower physical performance and reduced functional capacity. These findings highlight the coexistence of nutritional decline, sarcopenia, and diabetes-related complications </w:t>
      </w:r>
      <w:r w:rsidR="007A6778" w:rsidRPr="00030181">
        <w:rPr>
          <w:rFonts w:ascii="Arial" w:hAnsi="Arial" w:cs="Arial"/>
        </w:rPr>
        <w:t>within nursing home residents</w:t>
      </w:r>
      <w:r w:rsidR="00ED125A" w:rsidRPr="00030181">
        <w:rPr>
          <w:rFonts w:ascii="Arial" w:hAnsi="Arial" w:cs="Arial"/>
          <w:lang w:val="en-US"/>
        </w:rPr>
        <w:t>.</w:t>
      </w:r>
      <w:r w:rsidRPr="00030181">
        <w:rPr>
          <w:rFonts w:ascii="Arial" w:hAnsi="Arial" w:cs="Arial"/>
        </w:rPr>
        <w:t xml:space="preserve"> However, the female-only sample limits broader applicability.</w:t>
      </w:r>
    </w:p>
    <w:p w14:paraId="6C41B04C" w14:textId="0E4F9124" w:rsidR="008C327C" w:rsidRPr="00030181" w:rsidRDefault="008C327C" w:rsidP="005C5EBA">
      <w:pPr>
        <w:spacing w:line="360" w:lineRule="auto"/>
        <w:jc w:val="both"/>
        <w:rPr>
          <w:rFonts w:ascii="Arial" w:hAnsi="Arial" w:cs="Arial"/>
          <w:lang w:val="en-US"/>
        </w:rPr>
      </w:pPr>
      <w:r w:rsidRPr="00030181">
        <w:rPr>
          <w:rFonts w:ascii="Arial" w:hAnsi="Arial" w:cs="Arial"/>
        </w:rPr>
        <w:t xml:space="preserve">Onuorah et al. (2025) conducted an ethnographic study involving 11 Sub-Saharan African immigrants living in Southeast London. Data were collected through qualitative interviews exploring diabetes knowledge, risk perceptions, and self-management practices. Participants demonstrated varying levels of diabetes knowledge and reported challenges adhering to recommended dietary practices. The study identified knowledge deficits and cultural influences as factors affecting dietary management and diabetes self-care (Onuorah et al., 2025). </w:t>
      </w:r>
      <w:r w:rsidR="007A6778" w:rsidRPr="00030181">
        <w:rPr>
          <w:rFonts w:ascii="Arial" w:hAnsi="Arial" w:cs="Arial"/>
        </w:rPr>
        <w:t>A major strength of the study was</w:t>
      </w:r>
      <w:r w:rsidR="007A6778" w:rsidRPr="00030181">
        <w:rPr>
          <w:rFonts w:ascii="Arial" w:hAnsi="Arial" w:cs="Arial"/>
        </w:rPr>
        <w:t xml:space="preserve"> </w:t>
      </w:r>
      <w:r w:rsidRPr="00030181">
        <w:rPr>
          <w:rFonts w:ascii="Arial" w:hAnsi="Arial" w:cs="Arial"/>
        </w:rPr>
        <w:t>its UK-based setting and in-depth exploration of participant experiences. Nevertheless, the small sample size limits generalisability. Although not conducted within care homes, the study was included because it examined factors influencing dietary management among individuals living with type 2 diabetes.</w:t>
      </w:r>
    </w:p>
    <w:p w14:paraId="2F154979" w14:textId="04466143" w:rsidR="008C327C" w:rsidRPr="00030181" w:rsidRDefault="008C327C" w:rsidP="005C5EBA">
      <w:pPr>
        <w:spacing w:line="360" w:lineRule="auto"/>
        <w:jc w:val="both"/>
        <w:rPr>
          <w:rFonts w:ascii="Arial" w:hAnsi="Arial" w:cs="Arial"/>
          <w:lang w:val="en-US"/>
        </w:rPr>
      </w:pPr>
      <w:r w:rsidRPr="00030181">
        <w:rPr>
          <w:rFonts w:ascii="Arial" w:hAnsi="Arial" w:cs="Arial"/>
        </w:rPr>
        <w:lastRenderedPageBreak/>
        <w:t xml:space="preserve">Similarly, Mokaya et al. (2022) </w:t>
      </w:r>
      <w:r w:rsidR="00ED125A" w:rsidRPr="00030181">
        <w:rPr>
          <w:rFonts w:ascii="Arial" w:hAnsi="Arial" w:cs="Arial"/>
          <w:lang w:val="en-US"/>
        </w:rPr>
        <w:t xml:space="preserve">carried out a qualitative study involving </w:t>
      </w:r>
      <w:r w:rsidRPr="00030181">
        <w:rPr>
          <w:rFonts w:ascii="Arial" w:hAnsi="Arial" w:cs="Arial"/>
        </w:rPr>
        <w:t xml:space="preserve">30 adults with type 2 diabetes recruited from </w:t>
      </w:r>
      <w:r w:rsidR="007A6778" w:rsidRPr="00030181">
        <w:rPr>
          <w:rFonts w:ascii="Arial" w:hAnsi="Arial" w:cs="Arial"/>
        </w:rPr>
        <w:t xml:space="preserve">6 </w:t>
      </w:r>
      <w:r w:rsidRPr="00030181">
        <w:rPr>
          <w:rFonts w:ascii="Arial" w:hAnsi="Arial" w:cs="Arial"/>
        </w:rPr>
        <w:t>hospitals in Kenya. Semi-structured interviews identified food insecurity, misinformation, and limited access to healthy foods as barriers to healthy dietary behaviour. Participants reported difficulties maintaining recommended dietary practices because of environmental and socioeconomic constraints (Mokaya et al., 2022). The study provided detailed contextual information regarding dietary barriers; however</w:t>
      </w:r>
      <w:r w:rsidR="00525346" w:rsidRPr="00030181">
        <w:rPr>
          <w:rFonts w:ascii="Arial" w:hAnsi="Arial" w:cs="Arial"/>
          <w:lang w:val="en-US"/>
        </w:rPr>
        <w:t xml:space="preserve">, </w:t>
      </w:r>
      <w:r w:rsidR="007A6778" w:rsidRPr="00030181">
        <w:rPr>
          <w:rFonts w:ascii="Arial" w:hAnsi="Arial" w:cs="Arial"/>
        </w:rPr>
        <w:t>the findings may not be readily applicable</w:t>
      </w:r>
      <w:r w:rsidR="007A6778" w:rsidRPr="00030181">
        <w:rPr>
          <w:rFonts w:ascii="Arial" w:hAnsi="Arial" w:cs="Arial"/>
        </w:rPr>
        <w:t xml:space="preserve"> </w:t>
      </w:r>
      <w:r w:rsidRPr="00030181">
        <w:rPr>
          <w:rFonts w:ascii="Arial" w:hAnsi="Arial" w:cs="Arial"/>
        </w:rPr>
        <w:t>transferable to UK care-home p</w:t>
      </w:r>
      <w:r w:rsidR="00525346" w:rsidRPr="00030181">
        <w:rPr>
          <w:rFonts w:ascii="Arial" w:hAnsi="Arial" w:cs="Arial"/>
        </w:rPr>
        <w:t>eoples</w:t>
      </w:r>
      <w:r w:rsidRPr="00030181">
        <w:rPr>
          <w:rFonts w:ascii="Arial" w:hAnsi="Arial" w:cs="Arial"/>
        </w:rPr>
        <w:t>.</w:t>
      </w:r>
    </w:p>
    <w:p w14:paraId="6E5A5FA6" w14:textId="224358EA" w:rsidR="00A646E6" w:rsidRPr="00030181" w:rsidRDefault="00A646E6" w:rsidP="005C5EBA">
      <w:pPr>
        <w:spacing w:line="360" w:lineRule="auto"/>
        <w:jc w:val="both"/>
        <w:rPr>
          <w:rFonts w:ascii="Arial" w:hAnsi="Arial" w:cs="Arial"/>
          <w:lang w:val="en-US"/>
        </w:rPr>
      </w:pPr>
      <w:r w:rsidRPr="00030181">
        <w:rPr>
          <w:rFonts w:ascii="Arial" w:hAnsi="Arial" w:cs="Arial"/>
        </w:rPr>
        <w:t xml:space="preserve">Although not specifically focused on type 2 diabetes, Cereda et al. (2016) reported that institutionalised older adults experienced high levels of malnutrition and nutritional risk, with approximately 18% classified </w:t>
      </w:r>
      <w:r w:rsidR="00525346" w:rsidRPr="00030181">
        <w:rPr>
          <w:rFonts w:ascii="Arial" w:hAnsi="Arial" w:cs="Arial"/>
          <w:lang w:val="en-US"/>
        </w:rPr>
        <w:t xml:space="preserve">as malnourished, while 48% </w:t>
      </w:r>
      <w:r w:rsidR="007A6778" w:rsidRPr="00030181">
        <w:rPr>
          <w:rFonts w:ascii="Arial" w:hAnsi="Arial" w:cs="Arial"/>
        </w:rPr>
        <w:t>were found to be at risk</w:t>
      </w:r>
      <w:r w:rsidR="007A6778" w:rsidRPr="00030181">
        <w:rPr>
          <w:rFonts w:ascii="Arial" w:hAnsi="Arial" w:cs="Arial"/>
          <w:lang w:val="en-US"/>
        </w:rPr>
        <w:t xml:space="preserve"> </w:t>
      </w:r>
      <w:r w:rsidR="00525346" w:rsidRPr="00030181">
        <w:rPr>
          <w:rFonts w:ascii="Arial" w:hAnsi="Arial" w:cs="Arial"/>
          <w:lang w:val="en-US"/>
        </w:rPr>
        <w:t xml:space="preserve">of malnutrition </w:t>
      </w:r>
      <w:r w:rsidRPr="00030181">
        <w:rPr>
          <w:rFonts w:ascii="Arial" w:hAnsi="Arial" w:cs="Arial"/>
        </w:rPr>
        <w:t xml:space="preserve">using the Mini Nutritional Assessment. The findings demonstrated that nutritional vulnerability remains highly prevalent among institutionalised populations and may contribute to poorer health outcomes among residents with chronic conditions, including type 2 diabetes (Cereda et al., 2016). </w:t>
      </w:r>
      <w:r w:rsidR="007A6778" w:rsidRPr="00030181">
        <w:rPr>
          <w:rFonts w:ascii="Arial" w:hAnsi="Arial" w:cs="Arial"/>
        </w:rPr>
        <w:t>A major strength of the study was the</w:t>
      </w:r>
      <w:r w:rsidR="007A6778" w:rsidRPr="00030181">
        <w:rPr>
          <w:rFonts w:ascii="Arial" w:hAnsi="Arial" w:cs="Arial"/>
          <w:lang w:val="en-US"/>
        </w:rPr>
        <w:t xml:space="preserve"> </w:t>
      </w:r>
      <w:r w:rsidR="00525346" w:rsidRPr="00030181">
        <w:rPr>
          <w:rFonts w:ascii="Arial" w:hAnsi="Arial" w:cs="Arial"/>
          <w:lang w:val="en-US"/>
        </w:rPr>
        <w:t xml:space="preserve">inclusion of 240 studies </w:t>
      </w:r>
      <w:r w:rsidRPr="00030181">
        <w:rPr>
          <w:rFonts w:ascii="Arial" w:hAnsi="Arial" w:cs="Arial"/>
        </w:rPr>
        <w:t>and the use of validated nutritional assessment measures. However, most included studies were conducted outside the UK, limiting direct transferability to UK care-home settings.</w:t>
      </w:r>
    </w:p>
    <w:p w14:paraId="3828BCF8" w14:textId="77777777" w:rsidR="00A646E6" w:rsidRPr="00030181" w:rsidRDefault="00A646E6" w:rsidP="005C5EBA">
      <w:pPr>
        <w:spacing w:line="360" w:lineRule="auto"/>
        <w:jc w:val="both"/>
        <w:rPr>
          <w:rFonts w:ascii="Arial" w:hAnsi="Arial" w:cs="Arial"/>
        </w:rPr>
      </w:pPr>
      <w:r w:rsidRPr="00030181">
        <w:rPr>
          <w:rFonts w:ascii="Arial" w:hAnsi="Arial" w:cs="Arial"/>
        </w:rPr>
        <w:t>Both Onuorah et al. (2025) and Mokaya et al. (2022) identified barriers to effective dietary self-management, although the barriers differed across settings. Onuorah et al. (2025) highlighted cultural beliefs and limited diabetes knowledge, whereas Mokaya et al. (2022) identified food insecurity and environmental constraints. Cereda et al. (2016) further demonstrated that nutritional vulnerability remains highly prevalent among institutionalised older adults. Despite differences in study design and population, all three studies identified nutritional management and dietary practices as important determinants of health outcomes among individuals living with chronic conditions.</w:t>
      </w:r>
    </w:p>
    <w:p w14:paraId="5F4179E7" w14:textId="72DA34CE" w:rsidR="009D1F47" w:rsidRPr="00030181" w:rsidRDefault="009D1F47" w:rsidP="005C5EBA">
      <w:pPr>
        <w:pStyle w:val="Heading1"/>
        <w:spacing w:line="360" w:lineRule="auto"/>
        <w:rPr>
          <w:rFonts w:ascii="Arial" w:hAnsi="Arial" w:cs="Arial"/>
          <w:b/>
          <w:bCs/>
          <w:color w:val="auto"/>
          <w:sz w:val="22"/>
          <w:szCs w:val="22"/>
        </w:rPr>
      </w:pPr>
      <w:bookmarkStart w:id="55" w:name="_Toc231947574"/>
      <w:r w:rsidRPr="00030181">
        <w:rPr>
          <w:rFonts w:ascii="Arial" w:hAnsi="Arial" w:cs="Arial"/>
          <w:b/>
          <w:bCs/>
          <w:color w:val="auto"/>
          <w:sz w:val="22"/>
          <w:szCs w:val="22"/>
        </w:rPr>
        <w:t>4.4 Identified Best Practices in Improving Food and Nutrition Safety in Care Homes</w:t>
      </w:r>
      <w:bookmarkEnd w:id="55"/>
    </w:p>
    <w:p w14:paraId="6DEE8E9F" w14:textId="55B6729B" w:rsidR="009D1F47" w:rsidRPr="00030181" w:rsidRDefault="00525346" w:rsidP="005C5EBA">
      <w:pPr>
        <w:spacing w:line="360" w:lineRule="auto"/>
        <w:jc w:val="both"/>
        <w:rPr>
          <w:rFonts w:ascii="Arial" w:hAnsi="Arial" w:cs="Arial"/>
          <w:lang w:val="en-US"/>
        </w:rPr>
      </w:pPr>
      <w:r w:rsidRPr="00030181">
        <w:rPr>
          <w:rFonts w:ascii="Arial" w:hAnsi="Arial" w:cs="Arial"/>
          <w:lang w:val="en-US"/>
        </w:rPr>
        <w:t xml:space="preserve">Evidence from the studies reviewed in this research </w:t>
      </w:r>
      <w:r w:rsidR="009D1F47" w:rsidRPr="00030181">
        <w:rPr>
          <w:rFonts w:ascii="Arial" w:hAnsi="Arial" w:cs="Arial"/>
        </w:rPr>
        <w:t>identified several practices associated with improved food safety, nutritional management, and quality of care within residential and nursing homes. Across the studies, four key approaches emerged: staff education and competency development, routine nutritional screening and monitoring, multidisciplinary collaboration, and organisational support for food safety and nutritional care. Although implementation varied across settings, the findings consistently demonstrated that care homes with structured nutritional systems and trained staff were better able to identify nutritional risks and support residents’ health outcomes.</w:t>
      </w:r>
    </w:p>
    <w:p w14:paraId="73E265B1" w14:textId="77777777" w:rsidR="009D1F47" w:rsidRPr="00030181" w:rsidRDefault="009D1F47" w:rsidP="005C5EBA">
      <w:pPr>
        <w:pStyle w:val="Heading1"/>
        <w:spacing w:line="360" w:lineRule="auto"/>
        <w:rPr>
          <w:rFonts w:ascii="Arial" w:hAnsi="Arial" w:cs="Arial"/>
          <w:b/>
          <w:bCs/>
          <w:color w:val="auto"/>
          <w:sz w:val="22"/>
          <w:szCs w:val="22"/>
        </w:rPr>
      </w:pPr>
      <w:bookmarkStart w:id="56" w:name="_Toc231947575"/>
      <w:r w:rsidRPr="00030181">
        <w:rPr>
          <w:rFonts w:ascii="Arial" w:hAnsi="Arial" w:cs="Arial"/>
          <w:b/>
          <w:bCs/>
          <w:color w:val="auto"/>
          <w:sz w:val="22"/>
          <w:szCs w:val="22"/>
        </w:rPr>
        <w:lastRenderedPageBreak/>
        <w:t>4.4.1 Staff Education and Competency Development</w:t>
      </w:r>
      <w:bookmarkEnd w:id="56"/>
    </w:p>
    <w:p w14:paraId="59288AB4" w14:textId="1EEF6880" w:rsidR="009D1F47" w:rsidRPr="00030181" w:rsidRDefault="009D1F47" w:rsidP="005C5EBA">
      <w:pPr>
        <w:spacing w:line="360" w:lineRule="auto"/>
        <w:jc w:val="both"/>
        <w:rPr>
          <w:rFonts w:ascii="Arial" w:hAnsi="Arial" w:cs="Arial"/>
          <w:lang w:val="en-US"/>
        </w:rPr>
      </w:pPr>
      <w:r w:rsidRPr="00030181">
        <w:rPr>
          <w:rFonts w:ascii="Arial" w:hAnsi="Arial" w:cs="Arial"/>
        </w:rPr>
        <w:t xml:space="preserve">Bamford et al. (2012) </w:t>
      </w:r>
      <w:r w:rsidR="00525346" w:rsidRPr="00030181">
        <w:rPr>
          <w:rFonts w:ascii="Arial" w:hAnsi="Arial" w:cs="Arial"/>
          <w:lang w:val="en-US"/>
        </w:rPr>
        <w:t xml:space="preserve">carried out a qualitative process evaluation across five residential care homes in Northern England using observations and interviews with </w:t>
      </w:r>
      <w:r w:rsidR="00FF721E" w:rsidRPr="00030181">
        <w:rPr>
          <w:rFonts w:ascii="Arial" w:hAnsi="Arial" w:cs="Arial"/>
        </w:rPr>
        <w:t>managers, care workers, catering teams, and housekeeping staff</w:t>
      </w:r>
      <w:r w:rsidR="00FF721E" w:rsidRPr="00030181">
        <w:rPr>
          <w:rFonts w:ascii="Arial" w:hAnsi="Arial" w:cs="Arial"/>
          <w:lang w:val="en-US"/>
        </w:rPr>
        <w:t xml:space="preserve"> </w:t>
      </w:r>
      <w:r w:rsidR="00525346" w:rsidRPr="00030181">
        <w:rPr>
          <w:rFonts w:ascii="Arial" w:hAnsi="Arial" w:cs="Arial"/>
          <w:lang w:val="en-US"/>
        </w:rPr>
        <w:t xml:space="preserve">to explore the implementation </w:t>
      </w:r>
      <w:r w:rsidR="00FF721E" w:rsidRPr="00030181">
        <w:rPr>
          <w:rFonts w:ascii="Arial" w:hAnsi="Arial" w:cs="Arial"/>
        </w:rPr>
        <w:t>of dietary guidelines</w:t>
      </w:r>
      <w:r w:rsidR="00525346" w:rsidRPr="00030181">
        <w:rPr>
          <w:rFonts w:ascii="Arial" w:hAnsi="Arial" w:cs="Arial"/>
          <w:lang w:val="en-US"/>
        </w:rPr>
        <w:t xml:space="preserve">. The study reported that implementation was often hindered by inadequate nutritional knowledge among staff and a lack of </w:t>
      </w:r>
      <w:r w:rsidR="000D6E1E" w:rsidRPr="00030181">
        <w:rPr>
          <w:rFonts w:ascii="Arial" w:hAnsi="Arial" w:cs="Arial"/>
          <w:lang w:val="en-US"/>
        </w:rPr>
        <w:t>organizational</w:t>
      </w:r>
      <w:r w:rsidR="00525346" w:rsidRPr="00030181">
        <w:rPr>
          <w:rFonts w:ascii="Arial" w:hAnsi="Arial" w:cs="Arial"/>
          <w:lang w:val="en-US"/>
        </w:rPr>
        <w:t xml:space="preserve"> support.</w:t>
      </w:r>
    </w:p>
    <w:p w14:paraId="4F6421EC" w14:textId="1170B53F" w:rsidR="009D1F47" w:rsidRPr="00030181" w:rsidRDefault="009D1F47" w:rsidP="005C5EBA">
      <w:pPr>
        <w:spacing w:line="360" w:lineRule="auto"/>
        <w:jc w:val="both"/>
        <w:rPr>
          <w:rFonts w:ascii="Arial" w:hAnsi="Arial" w:cs="Arial"/>
          <w:lang w:val="en-US"/>
        </w:rPr>
      </w:pPr>
      <w:r w:rsidRPr="00030181">
        <w:rPr>
          <w:rFonts w:ascii="Arial" w:hAnsi="Arial" w:cs="Arial"/>
        </w:rPr>
        <w:t xml:space="preserve">Many </w:t>
      </w:r>
      <w:r w:rsidR="00525346" w:rsidRPr="00030181">
        <w:rPr>
          <w:rFonts w:ascii="Arial" w:hAnsi="Arial" w:cs="Arial"/>
          <w:lang w:val="en-US"/>
        </w:rPr>
        <w:t xml:space="preserve">participants viewed the nutrition guidelines as restrictive and </w:t>
      </w:r>
      <w:r w:rsidRPr="00030181">
        <w:rPr>
          <w:rFonts w:ascii="Arial" w:hAnsi="Arial" w:cs="Arial"/>
        </w:rPr>
        <w:t xml:space="preserve">difficult to apply in practice, resulting in low staff engagement and inconsistent implementation. However, the study reported that specialist nutritional support improved staff understanding of menu planning and guideline implementation. </w:t>
      </w:r>
      <w:r w:rsidR="00525346" w:rsidRPr="00030181">
        <w:rPr>
          <w:rFonts w:ascii="Arial" w:hAnsi="Arial" w:cs="Arial"/>
          <w:lang w:val="en-US"/>
        </w:rPr>
        <w:t xml:space="preserve">participants viewed the nutrition guidelines as restrictive and </w:t>
      </w:r>
      <w:r w:rsidRPr="00030181">
        <w:rPr>
          <w:rFonts w:ascii="Arial" w:hAnsi="Arial" w:cs="Arial"/>
        </w:rPr>
        <w:t>multiple staff groups across several care homes, providing a broad understanding of implementation barriers. Nevertheless, the qualitative design limits generalisability beyond the participating homes (Bamford et al., 2012).</w:t>
      </w:r>
    </w:p>
    <w:p w14:paraId="472283C5" w14:textId="77777777" w:rsidR="009D1F47" w:rsidRPr="00030181" w:rsidRDefault="009D1F47" w:rsidP="005C5EBA">
      <w:pPr>
        <w:spacing w:line="360" w:lineRule="auto"/>
        <w:jc w:val="both"/>
        <w:rPr>
          <w:rFonts w:ascii="Arial" w:hAnsi="Arial" w:cs="Arial"/>
        </w:rPr>
      </w:pPr>
      <w:r w:rsidRPr="00030181">
        <w:rPr>
          <w:rFonts w:ascii="Arial" w:hAnsi="Arial" w:cs="Arial"/>
        </w:rPr>
        <w:t xml:space="preserve">Similarly, Healthwatch Kirklees (2016) investigated food provision practices across eight residential care homes through interviews with managers, care staff, cooks, and residents. The findings identified staff knowledge and training as major factors influencing nutritional care quality. Managers reported variation in nutritional training provision, while staff highlighted difficulties in meeting residents’ nutritional needs because of limited nutrition-specific education. The study further reported that food quality and nutritional adequacy were influenced by staff competency in menu planning and meal preparation. </w:t>
      </w:r>
    </w:p>
    <w:p w14:paraId="4F7646DB" w14:textId="53DC3F4D" w:rsidR="009D1F47" w:rsidRPr="00030181" w:rsidRDefault="00FF721E" w:rsidP="005C5EBA">
      <w:pPr>
        <w:spacing w:line="360" w:lineRule="auto"/>
        <w:jc w:val="both"/>
        <w:rPr>
          <w:rFonts w:ascii="Arial" w:hAnsi="Arial" w:cs="Arial"/>
          <w:lang w:val="en-US"/>
        </w:rPr>
      </w:pPr>
      <w:r w:rsidRPr="00030181">
        <w:rPr>
          <w:rFonts w:ascii="Arial" w:hAnsi="Arial" w:cs="Arial"/>
        </w:rPr>
        <w:t>A major strength of the study was the</w:t>
      </w:r>
      <w:r w:rsidRPr="00030181">
        <w:rPr>
          <w:rFonts w:ascii="Arial" w:hAnsi="Arial" w:cs="Arial"/>
          <w:lang w:val="en-US"/>
        </w:rPr>
        <w:t xml:space="preserve"> </w:t>
      </w:r>
      <w:r w:rsidR="00525346" w:rsidRPr="00030181">
        <w:rPr>
          <w:rFonts w:ascii="Arial" w:hAnsi="Arial" w:cs="Arial"/>
          <w:lang w:val="en-US"/>
        </w:rPr>
        <w:t xml:space="preserve">inclusion of </w:t>
      </w:r>
      <w:r w:rsidR="009D1F47" w:rsidRPr="00030181">
        <w:rPr>
          <w:rFonts w:ascii="Arial" w:hAnsi="Arial" w:cs="Arial"/>
        </w:rPr>
        <w:t>multiple stakeholder perspectives. However, the small regional sample may limit wider applicability (Healthwatch Kirklees, 2016).</w:t>
      </w:r>
      <w:r w:rsidR="009D1F47" w:rsidRPr="00030181">
        <w:rPr>
          <w:rFonts w:ascii="Arial" w:hAnsi="Arial" w:cs="Arial"/>
        </w:rPr>
        <w:br/>
        <w:t>Collectively, these studies demonstrated that staff education and nutritional competency were consistently associated with improved implementation of nutritional practices and food safety procedures within care homes.</w:t>
      </w:r>
    </w:p>
    <w:p w14:paraId="07891D86" w14:textId="77777777" w:rsidR="009D1F47" w:rsidRPr="00030181" w:rsidRDefault="009D1F47" w:rsidP="005C5EBA">
      <w:pPr>
        <w:pStyle w:val="Heading1"/>
        <w:spacing w:line="360" w:lineRule="auto"/>
        <w:rPr>
          <w:rFonts w:ascii="Arial" w:hAnsi="Arial" w:cs="Arial"/>
          <w:b/>
          <w:bCs/>
          <w:color w:val="auto"/>
          <w:sz w:val="22"/>
          <w:szCs w:val="22"/>
        </w:rPr>
      </w:pPr>
      <w:bookmarkStart w:id="57" w:name="_Toc231947576"/>
      <w:r w:rsidRPr="00030181">
        <w:rPr>
          <w:rFonts w:ascii="Arial" w:hAnsi="Arial" w:cs="Arial"/>
          <w:b/>
          <w:bCs/>
          <w:color w:val="auto"/>
          <w:sz w:val="22"/>
          <w:szCs w:val="22"/>
        </w:rPr>
        <w:t>4.4.2 Nutritional Screening and Monitoring</w:t>
      </w:r>
      <w:bookmarkEnd w:id="57"/>
    </w:p>
    <w:p w14:paraId="323E489D" w14:textId="77777777" w:rsidR="009D1F47" w:rsidRPr="00030181" w:rsidRDefault="009D1F47" w:rsidP="005C5EBA">
      <w:pPr>
        <w:spacing w:line="360" w:lineRule="auto"/>
        <w:jc w:val="both"/>
        <w:rPr>
          <w:rFonts w:ascii="Arial" w:hAnsi="Arial" w:cs="Arial"/>
        </w:rPr>
      </w:pPr>
      <w:r w:rsidRPr="00030181">
        <w:rPr>
          <w:rFonts w:ascii="Arial" w:hAnsi="Arial" w:cs="Arial"/>
        </w:rPr>
        <w:t>Healthwatch Kirklees (2016) reported that monitoring food intake, fluid consumption, and body weight formed a central component of nutritional care within participating care homes. The study identified variation in monitoring practices between homes, with some care settings implementing structured monitoring systems while others relied on less formal approaches. Homes using routine monitoring practices were better positioned to identify nutritional concerns and implement early interventions (Healthwatch Kirklees, 2016).</w:t>
      </w:r>
    </w:p>
    <w:p w14:paraId="1A748BF3" w14:textId="0EAE7FEB" w:rsidR="009D1F47" w:rsidRPr="00030181" w:rsidRDefault="009D1F47" w:rsidP="005C5EBA">
      <w:pPr>
        <w:spacing w:line="360" w:lineRule="auto"/>
        <w:jc w:val="both"/>
        <w:rPr>
          <w:rFonts w:ascii="Arial" w:hAnsi="Arial" w:cs="Arial"/>
          <w:lang w:val="en-US"/>
        </w:rPr>
      </w:pPr>
      <w:r w:rsidRPr="00030181">
        <w:rPr>
          <w:rFonts w:ascii="Arial" w:hAnsi="Arial" w:cs="Arial"/>
        </w:rPr>
        <w:t xml:space="preserve">Additional evidence from care-home nutritional guidance highlighted </w:t>
      </w:r>
      <w:r w:rsidR="00525346" w:rsidRPr="00030181">
        <w:rPr>
          <w:rFonts w:ascii="Arial" w:hAnsi="Arial" w:cs="Arial"/>
          <w:lang w:val="en-US"/>
        </w:rPr>
        <w:t xml:space="preserve">that </w:t>
      </w:r>
      <w:r w:rsidR="00FF721E" w:rsidRPr="00030181">
        <w:rPr>
          <w:rFonts w:ascii="Arial" w:hAnsi="Arial" w:cs="Arial"/>
        </w:rPr>
        <w:t>30–42% of individuals admitted to care homes are vulnerable to malnutrition</w:t>
      </w:r>
      <w:r w:rsidR="00FF721E" w:rsidRPr="00030181">
        <w:rPr>
          <w:rFonts w:ascii="Arial" w:hAnsi="Arial" w:cs="Arial"/>
          <w:lang w:val="en-US"/>
        </w:rPr>
        <w:t xml:space="preserve"> </w:t>
      </w:r>
      <w:r w:rsidR="00525346" w:rsidRPr="00030181">
        <w:rPr>
          <w:rFonts w:ascii="Arial" w:hAnsi="Arial" w:cs="Arial"/>
          <w:lang w:val="en-US"/>
        </w:rPr>
        <w:t xml:space="preserve">and that validated </w:t>
      </w:r>
      <w:r w:rsidR="00FF721E" w:rsidRPr="00030181">
        <w:rPr>
          <w:rFonts w:ascii="Arial" w:hAnsi="Arial" w:cs="Arial"/>
          <w:lang w:val="en-US"/>
        </w:rPr>
        <w:t xml:space="preserve">screening </w:t>
      </w:r>
      <w:r w:rsidR="00525346" w:rsidRPr="00030181">
        <w:rPr>
          <w:rFonts w:ascii="Arial" w:hAnsi="Arial" w:cs="Arial"/>
          <w:lang w:val="en-US"/>
        </w:rPr>
        <w:t xml:space="preserve"> </w:t>
      </w:r>
      <w:r w:rsidR="00525346" w:rsidRPr="00030181">
        <w:rPr>
          <w:rFonts w:ascii="Arial" w:hAnsi="Arial" w:cs="Arial"/>
          <w:lang w:val="en-US"/>
        </w:rPr>
        <w:lastRenderedPageBreak/>
        <w:t>tools such as the Malnutrition Universal Screening Tool</w:t>
      </w:r>
      <w:r w:rsidR="00FF721E" w:rsidRPr="00030181">
        <w:rPr>
          <w:rFonts w:ascii="Arial" w:hAnsi="Arial" w:cs="Arial"/>
          <w:lang w:val="en-US"/>
        </w:rPr>
        <w:t xml:space="preserve"> </w:t>
      </w:r>
      <w:r w:rsidRPr="00030181">
        <w:rPr>
          <w:rFonts w:ascii="Arial" w:hAnsi="Arial" w:cs="Arial"/>
        </w:rPr>
        <w:t xml:space="preserve">support earlier identification of nutritional risk. Residents identified as </w:t>
      </w:r>
      <w:r w:rsidR="00525346" w:rsidRPr="00030181">
        <w:rPr>
          <w:rFonts w:ascii="Arial" w:hAnsi="Arial" w:cs="Arial"/>
          <w:lang w:val="en-US"/>
        </w:rPr>
        <w:t xml:space="preserve">malnourished or at risk of malnutrition experienced a higher risk of falls and impaired wound </w:t>
      </w:r>
      <w:r w:rsidRPr="00030181">
        <w:rPr>
          <w:rFonts w:ascii="Arial" w:hAnsi="Arial" w:cs="Arial"/>
        </w:rPr>
        <w:t>healing, frailty, and greater healthcare utilisation, reinforcing the importance of systematic nutritional monitoring</w:t>
      </w:r>
      <w:r w:rsidR="000D6E1E" w:rsidRPr="00030181">
        <w:rPr>
          <w:rFonts w:ascii="Arial" w:hAnsi="Arial" w:cs="Arial"/>
        </w:rPr>
        <w:t xml:space="preserve"> t</w:t>
      </w:r>
      <w:r w:rsidRPr="00030181">
        <w:rPr>
          <w:rFonts w:ascii="Arial" w:hAnsi="Arial" w:cs="Arial"/>
        </w:rPr>
        <w:t>he findings therefore indicate that routine nutritional screening, weight monitoring, and documentation of food and fluid intake represent important practices for supporting nutritional safety among older care-home residents.</w:t>
      </w:r>
    </w:p>
    <w:p w14:paraId="0429A5C0" w14:textId="77777777" w:rsidR="009D1F47" w:rsidRPr="00030181" w:rsidRDefault="009D1F47" w:rsidP="005C5EBA">
      <w:pPr>
        <w:pStyle w:val="Heading1"/>
        <w:spacing w:line="360" w:lineRule="auto"/>
        <w:rPr>
          <w:rFonts w:ascii="Arial" w:hAnsi="Arial" w:cs="Arial"/>
          <w:b/>
          <w:bCs/>
          <w:color w:val="auto"/>
          <w:sz w:val="22"/>
          <w:szCs w:val="22"/>
        </w:rPr>
      </w:pPr>
      <w:bookmarkStart w:id="58" w:name="_Toc231947577"/>
      <w:r w:rsidRPr="00030181">
        <w:rPr>
          <w:rFonts w:ascii="Arial" w:hAnsi="Arial" w:cs="Arial"/>
          <w:b/>
          <w:bCs/>
          <w:color w:val="auto"/>
          <w:sz w:val="22"/>
          <w:szCs w:val="22"/>
        </w:rPr>
        <w:t>4.4.3 Multidisciplinary Collaboration and Professional Support</w:t>
      </w:r>
      <w:bookmarkEnd w:id="58"/>
    </w:p>
    <w:p w14:paraId="149D24F4" w14:textId="5B322F3D" w:rsidR="009D1F47" w:rsidRPr="00030181" w:rsidRDefault="009D1F47" w:rsidP="005C5EBA">
      <w:pPr>
        <w:spacing w:line="360" w:lineRule="auto"/>
        <w:jc w:val="both"/>
        <w:rPr>
          <w:rFonts w:ascii="Arial" w:hAnsi="Arial" w:cs="Arial"/>
          <w:lang w:val="en-US"/>
        </w:rPr>
      </w:pPr>
      <w:r w:rsidRPr="00030181">
        <w:rPr>
          <w:rFonts w:ascii="Arial" w:hAnsi="Arial" w:cs="Arial"/>
        </w:rPr>
        <w:t>Romano and Minns Lowe (2022) conducted a qualitative study involving</w:t>
      </w:r>
      <w:r w:rsidR="00FF721E" w:rsidRPr="00030181">
        <w:rPr>
          <w:rFonts w:ascii="Arial" w:hAnsi="Arial" w:cs="Arial"/>
        </w:rPr>
        <w:t xml:space="preserve"> 6</w:t>
      </w:r>
      <w:r w:rsidR="00525346" w:rsidRPr="00030181">
        <w:rPr>
          <w:rFonts w:ascii="Arial" w:hAnsi="Arial" w:cs="Arial"/>
          <w:lang w:val="en-US"/>
        </w:rPr>
        <w:t xml:space="preserve"> </w:t>
      </w:r>
      <w:r w:rsidR="00FF721E" w:rsidRPr="00030181">
        <w:rPr>
          <w:rFonts w:ascii="Arial" w:hAnsi="Arial" w:cs="Arial"/>
        </w:rPr>
        <w:t>dietitians employed in care homes</w:t>
      </w:r>
      <w:r w:rsidR="00FF721E" w:rsidRPr="00030181">
        <w:rPr>
          <w:rFonts w:ascii="Arial" w:hAnsi="Arial" w:cs="Arial"/>
          <w:lang w:val="en-US"/>
        </w:rPr>
        <w:t xml:space="preserve"> </w:t>
      </w:r>
      <w:r w:rsidR="00525346" w:rsidRPr="00030181">
        <w:rPr>
          <w:rFonts w:ascii="Arial" w:hAnsi="Arial" w:cs="Arial"/>
          <w:lang w:val="en-US"/>
        </w:rPr>
        <w:t xml:space="preserve">for older adults in England. </w:t>
      </w:r>
      <w:r w:rsidRPr="00030181">
        <w:rPr>
          <w:rFonts w:ascii="Arial" w:hAnsi="Arial" w:cs="Arial"/>
        </w:rPr>
        <w:t xml:space="preserve">Semi-structured interviews explored the role of dietitians and their experiences of nutritional care delivery within care-home settings. The study identified collaboration with multidisciplinary teams as a key component of effective nutritional care. </w:t>
      </w:r>
    </w:p>
    <w:p w14:paraId="4CC85A44" w14:textId="6356D102" w:rsidR="009D1F47" w:rsidRPr="00030181" w:rsidRDefault="009D1F47" w:rsidP="005C5EBA">
      <w:pPr>
        <w:spacing w:line="360" w:lineRule="auto"/>
        <w:jc w:val="both"/>
        <w:rPr>
          <w:rFonts w:ascii="Arial" w:hAnsi="Arial" w:cs="Arial"/>
        </w:rPr>
      </w:pPr>
      <w:r w:rsidRPr="00030181">
        <w:rPr>
          <w:rFonts w:ascii="Arial" w:hAnsi="Arial" w:cs="Arial"/>
        </w:rPr>
        <w:t>Participants reported supporting care homes through nutritional assessment, staff education, pathway implementation, and nutritional management of residents at risk of malnutrition. Dietitians also highlighted their role in addressing knowledge gaps among care-home staff and promoting consistency in nutritional care practices. A strength of the study was its detailed exploration of professional experiences within English care homes. However, the small sample size limits transferability of findings (Romano and Minns Lowe, 2022).</w:t>
      </w:r>
    </w:p>
    <w:p w14:paraId="3D3BC04A" w14:textId="77777777" w:rsidR="009D1F47" w:rsidRPr="00030181" w:rsidRDefault="009D1F47" w:rsidP="005C5EBA">
      <w:pPr>
        <w:spacing w:line="360" w:lineRule="auto"/>
        <w:jc w:val="both"/>
        <w:rPr>
          <w:rFonts w:ascii="Arial" w:hAnsi="Arial" w:cs="Arial"/>
        </w:rPr>
      </w:pPr>
      <w:r w:rsidRPr="00030181">
        <w:rPr>
          <w:rFonts w:ascii="Arial" w:hAnsi="Arial" w:cs="Arial"/>
        </w:rPr>
        <w:t>The study further reported that communication between healthcare professionals improved understanding of residents’ nutritional needs and facilitated coordinated nutritional interventions. Participants identified multidisciplinary working as an important mechanism for improving nutritional care quality and supporting residents with complex health needs (Romano and Minns Lowe, 2022).</w:t>
      </w:r>
    </w:p>
    <w:p w14:paraId="384CABB4" w14:textId="77777777" w:rsidR="009D1F47" w:rsidRPr="00030181" w:rsidRDefault="009D1F47" w:rsidP="005C5EBA">
      <w:pPr>
        <w:spacing w:line="360" w:lineRule="auto"/>
        <w:jc w:val="both"/>
        <w:rPr>
          <w:rFonts w:ascii="Arial" w:hAnsi="Arial" w:cs="Arial"/>
        </w:rPr>
      </w:pPr>
      <w:r w:rsidRPr="00030181">
        <w:rPr>
          <w:rFonts w:ascii="Arial" w:hAnsi="Arial" w:cs="Arial"/>
        </w:rPr>
        <w:t>Together, these findings indicate that effective collaboration between dietitians, nurses, care staff, and other healthcare professionals supports improved nutritional management within care homes.</w:t>
      </w:r>
    </w:p>
    <w:p w14:paraId="7063E38B" w14:textId="77777777" w:rsidR="009D1F47" w:rsidRPr="00030181" w:rsidRDefault="009D1F47" w:rsidP="005C5EBA">
      <w:pPr>
        <w:pStyle w:val="Heading1"/>
        <w:spacing w:line="360" w:lineRule="auto"/>
        <w:rPr>
          <w:rFonts w:ascii="Arial" w:hAnsi="Arial" w:cs="Arial"/>
          <w:b/>
          <w:bCs/>
          <w:color w:val="auto"/>
          <w:sz w:val="22"/>
          <w:szCs w:val="22"/>
        </w:rPr>
      </w:pPr>
      <w:bookmarkStart w:id="59" w:name="_Toc231947578"/>
      <w:r w:rsidRPr="00030181">
        <w:rPr>
          <w:rFonts w:ascii="Arial" w:hAnsi="Arial" w:cs="Arial"/>
          <w:b/>
          <w:bCs/>
          <w:color w:val="auto"/>
          <w:sz w:val="22"/>
          <w:szCs w:val="22"/>
        </w:rPr>
        <w:t>4.4.4 Organisational Support and Food Safety Governance</w:t>
      </w:r>
      <w:bookmarkEnd w:id="59"/>
    </w:p>
    <w:p w14:paraId="431D2C74" w14:textId="5ADD9BA2" w:rsidR="009D1F47" w:rsidRPr="00030181" w:rsidRDefault="009D1F47" w:rsidP="005C5EBA">
      <w:pPr>
        <w:spacing w:line="360" w:lineRule="auto"/>
        <w:jc w:val="both"/>
        <w:rPr>
          <w:rFonts w:ascii="Arial" w:hAnsi="Arial" w:cs="Arial"/>
          <w:lang w:val="en-US"/>
        </w:rPr>
      </w:pPr>
      <w:r w:rsidRPr="00030181">
        <w:rPr>
          <w:rFonts w:ascii="Arial" w:hAnsi="Arial" w:cs="Arial"/>
        </w:rPr>
        <w:t xml:space="preserve">Babatola (2023) conducted a survey of 236 food business operators, including care-home food providers, to examine perceptions of official food control and food safety inspections. The study found that 45.8% of respondents believed official inspections had substantially improved food hygiene practices, while 71.2% reported that inspector guidance was clear and understandable. The findings suggest that regulatory oversight contributes to improved </w:t>
      </w:r>
      <w:r w:rsidRPr="00030181">
        <w:rPr>
          <w:rFonts w:ascii="Arial" w:hAnsi="Arial" w:cs="Arial"/>
        </w:rPr>
        <w:lastRenderedPageBreak/>
        <w:t>compliance with food safety standards and promotes safer food-handling practices</w:t>
      </w:r>
      <w:r w:rsidR="00525346" w:rsidRPr="00030181">
        <w:rPr>
          <w:rFonts w:ascii="Arial" w:hAnsi="Arial" w:cs="Arial"/>
          <w:lang w:val="en-US"/>
        </w:rPr>
        <w:t xml:space="preserve">. A key strength of the </w:t>
      </w:r>
      <w:r w:rsidR="00FF721E" w:rsidRPr="00030181">
        <w:rPr>
          <w:rFonts w:ascii="Arial" w:hAnsi="Arial" w:cs="Arial"/>
        </w:rPr>
        <w:t>study was its extensive sample size</w:t>
      </w:r>
      <w:r w:rsidR="00525346" w:rsidRPr="00030181">
        <w:rPr>
          <w:rFonts w:ascii="Arial" w:hAnsi="Arial" w:cs="Arial"/>
          <w:lang w:val="en-US"/>
        </w:rPr>
        <w:t xml:space="preserve">. </w:t>
      </w:r>
      <w:r w:rsidRPr="00030181">
        <w:rPr>
          <w:rFonts w:ascii="Arial" w:hAnsi="Arial" w:cs="Arial"/>
        </w:rPr>
        <w:t>However, the use of self-reported responses may have introduced reporting bias (Babatola, 2023).</w:t>
      </w:r>
    </w:p>
    <w:p w14:paraId="513F39C7" w14:textId="77777777" w:rsidR="009D1F47" w:rsidRPr="00030181" w:rsidRDefault="009D1F47" w:rsidP="005C5EBA">
      <w:pPr>
        <w:spacing w:line="360" w:lineRule="auto"/>
        <w:jc w:val="both"/>
        <w:rPr>
          <w:rFonts w:ascii="Arial" w:hAnsi="Arial" w:cs="Arial"/>
        </w:rPr>
      </w:pPr>
      <w:r w:rsidRPr="00030181">
        <w:rPr>
          <w:rFonts w:ascii="Arial" w:hAnsi="Arial" w:cs="Arial"/>
        </w:rPr>
        <w:t>Bamford et al. (2012) also identified organisational support as a significant factor influencing successful implementation of nutritional guidance. Homes that lacked managerial engagement and institutional support experienced greater difficulty implementing nutrition-related changes. Conversely, access to specialist support and organisational commitment facilitated implementation of improved nutritional practices (Bamford et al., 2012).</w:t>
      </w:r>
    </w:p>
    <w:p w14:paraId="1130B4F8" w14:textId="0A2B9154" w:rsidR="008C327C" w:rsidRPr="00030181" w:rsidRDefault="009D1F47" w:rsidP="005C5EBA">
      <w:pPr>
        <w:spacing w:line="360" w:lineRule="auto"/>
        <w:jc w:val="both"/>
        <w:rPr>
          <w:rFonts w:ascii="Arial" w:hAnsi="Arial" w:cs="Arial"/>
        </w:rPr>
      </w:pPr>
      <w:r w:rsidRPr="00030181">
        <w:rPr>
          <w:rFonts w:ascii="Arial" w:hAnsi="Arial" w:cs="Arial"/>
        </w:rPr>
        <w:t>Overall, the evidence demonstrates that organisational commitment, regulatory oversight, staff competency development, multidisciplinary collaboration, and routine nutritional monitoring represent the principal best practices associated with improved food and nutrition safety within care-home settings.</w:t>
      </w:r>
    </w:p>
    <w:p w14:paraId="124C6D96" w14:textId="400FF57C" w:rsidR="00095F12" w:rsidRPr="00030181" w:rsidRDefault="00095F12" w:rsidP="005C5EBA">
      <w:pPr>
        <w:pStyle w:val="Heading1"/>
        <w:spacing w:line="360" w:lineRule="auto"/>
        <w:rPr>
          <w:rFonts w:ascii="Arial" w:hAnsi="Arial" w:cs="Arial"/>
          <w:b/>
          <w:bCs/>
          <w:color w:val="auto"/>
          <w:sz w:val="22"/>
          <w:szCs w:val="22"/>
        </w:rPr>
      </w:pPr>
      <w:bookmarkStart w:id="60" w:name="_Toc231947579"/>
      <w:r w:rsidRPr="00030181">
        <w:rPr>
          <w:rFonts w:ascii="Arial" w:hAnsi="Arial" w:cs="Arial"/>
          <w:b/>
          <w:bCs/>
          <w:color w:val="auto"/>
          <w:sz w:val="22"/>
          <w:szCs w:val="22"/>
        </w:rPr>
        <w:t>4.5 Summary</w:t>
      </w:r>
      <w:bookmarkEnd w:id="60"/>
    </w:p>
    <w:p w14:paraId="7DDD9A13" w14:textId="2CC16013" w:rsidR="00095F12" w:rsidRPr="00030181" w:rsidRDefault="00095F12" w:rsidP="005C5EBA">
      <w:pPr>
        <w:spacing w:line="360" w:lineRule="auto"/>
        <w:jc w:val="both"/>
        <w:rPr>
          <w:rFonts w:ascii="Arial" w:hAnsi="Arial" w:cs="Arial"/>
          <w:lang w:val="en-US"/>
        </w:rPr>
      </w:pPr>
      <w:r w:rsidRPr="00030181">
        <w:rPr>
          <w:rFonts w:ascii="Arial" w:hAnsi="Arial" w:cs="Arial"/>
        </w:rPr>
        <w:t xml:space="preserve">This chapter presented findings from 17 included studies and identified four overarching themes relating to food safety, nutritional care, diabetes vulnerability, and best practices within care-home settings. The findings highlighted the importance of nutritional screening, hydration management, workforce competency, and person-centred care. </w:t>
      </w:r>
      <w:r w:rsidR="00525346" w:rsidRPr="00030181">
        <w:rPr>
          <w:rFonts w:ascii="Arial" w:hAnsi="Arial" w:cs="Arial"/>
          <w:lang w:val="en-US"/>
        </w:rPr>
        <w:t xml:space="preserve">The following chapter critically examines </w:t>
      </w:r>
      <w:r w:rsidR="00FF721E" w:rsidRPr="00030181">
        <w:rPr>
          <w:rFonts w:ascii="Arial" w:hAnsi="Arial" w:cs="Arial"/>
        </w:rPr>
        <w:t>these findings in the context of existing literature and the theoretical framework</w:t>
      </w:r>
      <w:r w:rsidR="00FF721E" w:rsidRPr="00030181">
        <w:rPr>
          <w:rFonts w:ascii="Arial" w:hAnsi="Arial" w:cs="Arial"/>
        </w:rPr>
        <w:t>.</w:t>
      </w:r>
    </w:p>
    <w:p w14:paraId="25F82FA4" w14:textId="77777777" w:rsidR="008C327C" w:rsidRPr="00030181" w:rsidRDefault="008C327C" w:rsidP="005C5EBA">
      <w:pPr>
        <w:spacing w:line="360" w:lineRule="auto"/>
        <w:jc w:val="both"/>
        <w:rPr>
          <w:rFonts w:ascii="Arial" w:hAnsi="Arial" w:cs="Arial"/>
        </w:rPr>
      </w:pPr>
    </w:p>
    <w:p w14:paraId="3BDCE9B3" w14:textId="77777777" w:rsidR="00095F12" w:rsidRPr="00030181" w:rsidRDefault="00095F12" w:rsidP="005C5EBA">
      <w:pPr>
        <w:spacing w:line="360" w:lineRule="auto"/>
        <w:jc w:val="both"/>
        <w:rPr>
          <w:rFonts w:ascii="Arial" w:hAnsi="Arial" w:cs="Arial"/>
        </w:rPr>
      </w:pPr>
    </w:p>
    <w:p w14:paraId="4AC2CCE4" w14:textId="77777777" w:rsidR="00095F12" w:rsidRPr="00030181" w:rsidRDefault="00095F12" w:rsidP="005C5EBA">
      <w:pPr>
        <w:spacing w:line="360" w:lineRule="auto"/>
        <w:jc w:val="both"/>
        <w:rPr>
          <w:rFonts w:ascii="Arial" w:hAnsi="Arial" w:cs="Arial"/>
        </w:rPr>
      </w:pPr>
    </w:p>
    <w:p w14:paraId="2D0515EF" w14:textId="77777777" w:rsidR="00095F12" w:rsidRPr="00030181" w:rsidRDefault="00095F12" w:rsidP="005C5EBA">
      <w:pPr>
        <w:spacing w:line="360" w:lineRule="auto"/>
        <w:jc w:val="both"/>
        <w:rPr>
          <w:rFonts w:ascii="Arial" w:hAnsi="Arial" w:cs="Arial"/>
        </w:rPr>
      </w:pPr>
    </w:p>
    <w:p w14:paraId="76417073" w14:textId="77777777" w:rsidR="00095F12" w:rsidRPr="00030181" w:rsidRDefault="00095F12" w:rsidP="005C5EBA">
      <w:pPr>
        <w:spacing w:line="360" w:lineRule="auto"/>
        <w:jc w:val="both"/>
        <w:rPr>
          <w:rFonts w:ascii="Arial" w:hAnsi="Arial" w:cs="Arial"/>
        </w:rPr>
      </w:pPr>
    </w:p>
    <w:p w14:paraId="28886A62" w14:textId="77777777" w:rsidR="00095F12" w:rsidRPr="00030181" w:rsidRDefault="00095F12" w:rsidP="005C5EBA">
      <w:pPr>
        <w:spacing w:line="360" w:lineRule="auto"/>
        <w:jc w:val="both"/>
        <w:rPr>
          <w:rFonts w:ascii="Arial" w:hAnsi="Arial" w:cs="Arial"/>
        </w:rPr>
      </w:pPr>
    </w:p>
    <w:p w14:paraId="4057942E" w14:textId="77777777" w:rsidR="00322730" w:rsidRPr="00030181" w:rsidRDefault="00322730" w:rsidP="005C5EBA">
      <w:pPr>
        <w:pStyle w:val="Heading1"/>
        <w:spacing w:line="360" w:lineRule="auto"/>
        <w:rPr>
          <w:rFonts w:ascii="Arial" w:hAnsi="Arial" w:cs="Arial"/>
          <w:b/>
          <w:bCs/>
          <w:color w:val="auto"/>
          <w:sz w:val="28"/>
          <w:szCs w:val="28"/>
        </w:rPr>
      </w:pPr>
    </w:p>
    <w:p w14:paraId="755608C1" w14:textId="77777777" w:rsidR="00322730" w:rsidRPr="00030181" w:rsidRDefault="00322730" w:rsidP="00322730">
      <w:pPr>
        <w:rPr>
          <w:rFonts w:ascii="Arial" w:hAnsi="Arial" w:cs="Arial"/>
        </w:rPr>
      </w:pPr>
    </w:p>
    <w:p w14:paraId="4B2CA313" w14:textId="77777777" w:rsidR="00322730" w:rsidRPr="00030181" w:rsidRDefault="00322730" w:rsidP="00322730">
      <w:pPr>
        <w:rPr>
          <w:rFonts w:ascii="Arial" w:hAnsi="Arial" w:cs="Arial"/>
        </w:rPr>
      </w:pPr>
    </w:p>
    <w:p w14:paraId="10B20601" w14:textId="0202CBF8" w:rsidR="0034558A" w:rsidRPr="00030181" w:rsidRDefault="003E3370" w:rsidP="00AD38E2">
      <w:pPr>
        <w:pStyle w:val="Heading1"/>
        <w:spacing w:line="360" w:lineRule="auto"/>
        <w:rPr>
          <w:rFonts w:ascii="Arial" w:hAnsi="Arial" w:cs="Arial"/>
          <w:b/>
          <w:bCs/>
          <w:color w:val="auto"/>
          <w:sz w:val="28"/>
          <w:szCs w:val="28"/>
        </w:rPr>
      </w:pPr>
      <w:bookmarkStart w:id="61" w:name="_Toc231947580"/>
      <w:r w:rsidRPr="00030181">
        <w:rPr>
          <w:rFonts w:ascii="Arial" w:hAnsi="Arial" w:cs="Arial"/>
          <w:b/>
          <w:bCs/>
          <w:color w:val="auto"/>
          <w:sz w:val="28"/>
          <w:szCs w:val="28"/>
        </w:rPr>
        <w:lastRenderedPageBreak/>
        <w:t>CHAPTER 5 - DISCUSSION</w:t>
      </w:r>
      <w:bookmarkEnd w:id="61"/>
      <w:r w:rsidRPr="00030181">
        <w:rPr>
          <w:rFonts w:ascii="Arial" w:hAnsi="Arial" w:cs="Arial"/>
          <w:b/>
          <w:bCs/>
          <w:color w:val="auto"/>
          <w:sz w:val="28"/>
          <w:szCs w:val="28"/>
        </w:rPr>
        <w:t xml:space="preserve"> </w:t>
      </w:r>
    </w:p>
    <w:p w14:paraId="4860EED8" w14:textId="77777777" w:rsidR="00823A5B" w:rsidRPr="00030181" w:rsidRDefault="00823A5B" w:rsidP="00AD38E2">
      <w:pPr>
        <w:pStyle w:val="Heading1"/>
        <w:spacing w:line="360" w:lineRule="auto"/>
        <w:rPr>
          <w:rFonts w:ascii="Arial" w:hAnsi="Arial" w:cs="Arial"/>
          <w:b/>
          <w:bCs/>
          <w:color w:val="auto"/>
          <w:sz w:val="22"/>
          <w:szCs w:val="22"/>
        </w:rPr>
      </w:pPr>
      <w:bookmarkStart w:id="62" w:name="_Toc231947581"/>
      <w:r w:rsidRPr="00030181">
        <w:rPr>
          <w:rFonts w:ascii="Arial" w:hAnsi="Arial" w:cs="Arial"/>
          <w:b/>
          <w:bCs/>
          <w:color w:val="auto"/>
          <w:sz w:val="22"/>
          <w:szCs w:val="22"/>
        </w:rPr>
        <w:t>5.0 Introduction</w:t>
      </w:r>
      <w:bookmarkEnd w:id="62"/>
    </w:p>
    <w:p w14:paraId="78C03079" w14:textId="1032B934" w:rsidR="00B97D19" w:rsidRPr="00030181" w:rsidRDefault="00FF721E" w:rsidP="005C5EBA">
      <w:pPr>
        <w:spacing w:line="360" w:lineRule="auto"/>
        <w:jc w:val="both"/>
        <w:rPr>
          <w:rFonts w:ascii="Arial" w:hAnsi="Arial" w:cs="Arial"/>
          <w:lang w:val="en-US"/>
        </w:rPr>
      </w:pPr>
      <w:r w:rsidRPr="00030181">
        <w:rPr>
          <w:rFonts w:ascii="Arial" w:hAnsi="Arial" w:cs="Arial"/>
        </w:rPr>
        <w:t>This chapter ex</w:t>
      </w:r>
      <w:r w:rsidRPr="00030181">
        <w:rPr>
          <w:rFonts w:ascii="Arial" w:hAnsi="Arial" w:cs="Arial"/>
        </w:rPr>
        <w:t>amines</w:t>
      </w:r>
      <w:r w:rsidRPr="00030181">
        <w:rPr>
          <w:rFonts w:ascii="Arial" w:hAnsi="Arial" w:cs="Arial"/>
        </w:rPr>
        <w:t xml:space="preserve"> the findings of the systematic review on the effects of food safety and nutritional practices in UK care homes on older adults</w:t>
      </w:r>
      <w:r w:rsidR="00525346" w:rsidRPr="00030181">
        <w:rPr>
          <w:rFonts w:ascii="Arial" w:hAnsi="Arial" w:cs="Arial"/>
          <w:lang w:val="en-US"/>
        </w:rPr>
        <w:t xml:space="preserve">, </w:t>
      </w:r>
      <w:r w:rsidR="00B97D19" w:rsidRPr="00030181">
        <w:rPr>
          <w:rFonts w:ascii="Arial" w:hAnsi="Arial" w:cs="Arial"/>
        </w:rPr>
        <w:t>particularly those with type 2 diabetes. The findings indicate that malnutrition, dehydration, and inadequate nutritional monitoring remain common concerns despite existing guidelines (Cereda et al., 2016; Bunn et al., 2018; Madeira et al., 2019). Residents with type 2 diabetes were found to be at greater risk of poor nutrition, infection, and functional decline (Velázquez-Alva et al., 2020; Ran et al., 2023). The chapter examines the relationship between food safety, nutrition, health outcomes, and strategies for improving care (Lorini et al., 2018; Sinclair et al., 2020).</w:t>
      </w:r>
    </w:p>
    <w:p w14:paraId="599C08EB" w14:textId="714B81D1" w:rsidR="00FA46CA" w:rsidRPr="00030181" w:rsidRDefault="00FA46CA" w:rsidP="005C5EBA">
      <w:pPr>
        <w:pStyle w:val="Heading1"/>
        <w:spacing w:line="360" w:lineRule="auto"/>
        <w:rPr>
          <w:rFonts w:ascii="Arial" w:hAnsi="Arial" w:cs="Arial"/>
          <w:b/>
          <w:bCs/>
          <w:color w:val="auto"/>
          <w:sz w:val="22"/>
          <w:szCs w:val="22"/>
        </w:rPr>
      </w:pPr>
      <w:bookmarkStart w:id="63" w:name="_Toc231947582"/>
      <w:r w:rsidRPr="00030181">
        <w:rPr>
          <w:rFonts w:ascii="Arial" w:hAnsi="Arial" w:cs="Arial"/>
          <w:b/>
          <w:bCs/>
          <w:color w:val="auto"/>
          <w:sz w:val="22"/>
          <w:szCs w:val="22"/>
        </w:rPr>
        <w:t>5.1 Discussion of Objective 1: Food Safety and Nutrition Practices in Care Homes</w:t>
      </w:r>
      <w:bookmarkEnd w:id="63"/>
    </w:p>
    <w:p w14:paraId="520EFFF4" w14:textId="77777777" w:rsidR="00FA46CA" w:rsidRPr="00030181" w:rsidRDefault="00FA46CA" w:rsidP="005C5EBA">
      <w:pPr>
        <w:spacing w:line="360" w:lineRule="auto"/>
        <w:jc w:val="both"/>
        <w:rPr>
          <w:rFonts w:ascii="Arial" w:hAnsi="Arial" w:cs="Arial"/>
        </w:rPr>
      </w:pPr>
      <w:r w:rsidRPr="00030181">
        <w:rPr>
          <w:rFonts w:ascii="Arial" w:hAnsi="Arial" w:cs="Arial"/>
        </w:rPr>
        <w:t>The findings suggest that food safety and nutrition practices within care homes are shaped by a complex interaction between resident vulnerability and organisational factors. Although nutritional assessment tools and evidence-based guidance are widely available, malnutrition, dehydration, and inconsistent nutritional monitoring remain prevalent among older adults living in institutional care. This indicates that the presence of nutritional policies alone may be insufficient to ensure effective nutritional care, with implementation and organisational commitment appearing equally important determinants of practice (Lorini et al., 2018).</w:t>
      </w:r>
    </w:p>
    <w:p w14:paraId="247E12A7" w14:textId="35147A14" w:rsidR="00FA46CA" w:rsidRPr="00030181" w:rsidRDefault="00FA46CA" w:rsidP="005C5EBA">
      <w:pPr>
        <w:spacing w:line="360" w:lineRule="auto"/>
        <w:jc w:val="both"/>
        <w:rPr>
          <w:rFonts w:ascii="Arial" w:hAnsi="Arial" w:cs="Arial"/>
          <w:lang w:val="en-US"/>
        </w:rPr>
      </w:pPr>
      <w:r w:rsidRPr="00030181">
        <w:rPr>
          <w:rFonts w:ascii="Arial" w:hAnsi="Arial" w:cs="Arial"/>
        </w:rPr>
        <w:t xml:space="preserve">Evidence from Madeira et al. (2019) and Cereda et al. (2016) consistently </w:t>
      </w:r>
      <w:r w:rsidR="00FF721E" w:rsidRPr="00030181">
        <w:rPr>
          <w:rFonts w:ascii="Arial" w:hAnsi="Arial" w:cs="Arial"/>
        </w:rPr>
        <w:t>reported high</w:t>
      </w:r>
      <w:r w:rsidR="00FF721E" w:rsidRPr="00030181">
        <w:rPr>
          <w:rFonts w:ascii="Arial" w:hAnsi="Arial" w:cs="Arial"/>
        </w:rPr>
        <w:t xml:space="preserve"> </w:t>
      </w:r>
      <w:r w:rsidRPr="00030181">
        <w:rPr>
          <w:rFonts w:ascii="Arial" w:hAnsi="Arial" w:cs="Arial"/>
        </w:rPr>
        <w:t xml:space="preserve">levels </w:t>
      </w:r>
      <w:r w:rsidR="00525346" w:rsidRPr="00030181">
        <w:rPr>
          <w:rFonts w:ascii="Arial" w:hAnsi="Arial" w:cs="Arial"/>
          <w:lang w:val="en-US"/>
        </w:rPr>
        <w:t xml:space="preserve">of malnutrition and nutritional risk among older adults living in institutional settings </w:t>
      </w:r>
      <w:r w:rsidRPr="00030181">
        <w:rPr>
          <w:rFonts w:ascii="Arial" w:hAnsi="Arial" w:cs="Arial"/>
        </w:rPr>
        <w:t xml:space="preserve">despite differences in study design, population characteristics, and geographical </w:t>
      </w:r>
      <w:r w:rsidR="00FF721E" w:rsidRPr="00030181">
        <w:rPr>
          <w:rFonts w:ascii="Arial" w:hAnsi="Arial" w:cs="Arial"/>
        </w:rPr>
        <w:t>environments</w:t>
      </w:r>
      <w:r w:rsidRPr="00030181">
        <w:rPr>
          <w:rFonts w:ascii="Arial" w:hAnsi="Arial" w:cs="Arial"/>
        </w:rPr>
        <w:t>. The consistency of these findings suggests that nutritional vulnerability is a persistent challenge within long-term care environments rather than an issue confined to individual care homes or healthcare systems. These findings support wider evidence indicating that frailty, multimorbidity, functional dependency, and age-related physiological changes increase susceptibility to poor nutritional outcomes among older adults (Landi et al., 2019; Dent et al., 2023). However, the persistence of malnutrition despite established screening frameworks may indicate shortcomings in the translation of nutritional assessment into timely intervention and ongoing nutritional management.</w:t>
      </w:r>
    </w:p>
    <w:p w14:paraId="139E506F" w14:textId="09F07F81" w:rsidR="00FA46CA" w:rsidRPr="00030181" w:rsidRDefault="00FA46CA" w:rsidP="005C5EBA">
      <w:pPr>
        <w:spacing w:line="360" w:lineRule="auto"/>
        <w:jc w:val="both"/>
        <w:rPr>
          <w:rFonts w:ascii="Arial" w:hAnsi="Arial" w:cs="Arial"/>
          <w:lang w:val="en-US"/>
        </w:rPr>
      </w:pPr>
      <w:r w:rsidRPr="00030181">
        <w:rPr>
          <w:rFonts w:ascii="Arial" w:hAnsi="Arial" w:cs="Arial"/>
        </w:rPr>
        <w:t xml:space="preserve">Hydration emerged as another important component of nutritional safety. While Jimoh et al. (2019) demonstrated that proactive beverage provision was associated with improved hydration status, Bunn et al. (2018) highlighted inconsistencies in hydration monitoring and staff training across care-home settings. When considered together, these findings suggest </w:t>
      </w:r>
      <w:r w:rsidRPr="00030181">
        <w:rPr>
          <w:rFonts w:ascii="Arial" w:hAnsi="Arial" w:cs="Arial"/>
        </w:rPr>
        <w:lastRenderedPageBreak/>
        <w:t xml:space="preserve">that hydration </w:t>
      </w:r>
      <w:r w:rsidR="00A22B77" w:rsidRPr="00030181">
        <w:rPr>
          <w:rFonts w:ascii="Arial" w:hAnsi="Arial" w:cs="Arial"/>
        </w:rPr>
        <w:t>outcomes are affected not only by</w:t>
      </w:r>
      <w:r w:rsidR="00A22B77" w:rsidRPr="00030181">
        <w:rPr>
          <w:rFonts w:ascii="Arial" w:hAnsi="Arial" w:cs="Arial"/>
          <w:lang w:val="en-US"/>
        </w:rPr>
        <w:t xml:space="preserve"> </w:t>
      </w:r>
      <w:r w:rsidR="003D0317" w:rsidRPr="00030181">
        <w:rPr>
          <w:rFonts w:ascii="Arial" w:hAnsi="Arial" w:cs="Arial"/>
          <w:lang w:val="en-US"/>
        </w:rPr>
        <w:t xml:space="preserve">resident </w:t>
      </w:r>
      <w:r w:rsidR="00A22B77" w:rsidRPr="00030181">
        <w:rPr>
          <w:rFonts w:ascii="Arial" w:hAnsi="Arial" w:cs="Arial"/>
        </w:rPr>
        <w:t>characteristics together with</w:t>
      </w:r>
      <w:r w:rsidR="00A22B77" w:rsidRPr="00030181">
        <w:rPr>
          <w:rFonts w:ascii="Arial" w:hAnsi="Arial" w:cs="Arial"/>
        </w:rPr>
        <w:t xml:space="preserve"> </w:t>
      </w:r>
      <w:r w:rsidRPr="00030181">
        <w:rPr>
          <w:rFonts w:ascii="Arial" w:hAnsi="Arial" w:cs="Arial"/>
        </w:rPr>
        <w:t>organisational practices and staff engagement. This reinforces the view that effective hydration management requires systematic implementation rather than reliance on individual staff practice alone.</w:t>
      </w:r>
    </w:p>
    <w:p w14:paraId="3B807BE8" w14:textId="56112117" w:rsidR="00FA46CA" w:rsidRPr="00030181" w:rsidRDefault="003D0317" w:rsidP="005C5EBA">
      <w:pPr>
        <w:spacing w:line="360" w:lineRule="auto"/>
        <w:jc w:val="both"/>
        <w:rPr>
          <w:rFonts w:ascii="Arial" w:hAnsi="Arial" w:cs="Arial"/>
          <w:lang w:val="en-US"/>
        </w:rPr>
      </w:pPr>
      <w:r w:rsidRPr="00030181">
        <w:rPr>
          <w:rFonts w:ascii="Arial" w:hAnsi="Arial" w:cs="Arial"/>
          <w:lang w:val="en-US"/>
        </w:rPr>
        <w:t xml:space="preserve">The findings also </w:t>
      </w:r>
      <w:r w:rsidR="000D6E1E" w:rsidRPr="00030181">
        <w:rPr>
          <w:rFonts w:ascii="Arial" w:hAnsi="Arial" w:cs="Arial"/>
          <w:lang w:val="en-US"/>
        </w:rPr>
        <w:t>emphasized</w:t>
      </w:r>
      <w:r w:rsidRPr="00030181">
        <w:rPr>
          <w:rFonts w:ascii="Arial" w:hAnsi="Arial" w:cs="Arial"/>
          <w:lang w:val="en-US"/>
        </w:rPr>
        <w:t xml:space="preserve"> the importance of individual-cent</w:t>
      </w:r>
      <w:r w:rsidR="000D6E1E" w:rsidRPr="00030181">
        <w:rPr>
          <w:rFonts w:ascii="Arial" w:hAnsi="Arial" w:cs="Arial"/>
          <w:lang w:val="en-US"/>
        </w:rPr>
        <w:t xml:space="preserve">er </w:t>
      </w:r>
      <w:r w:rsidR="00FA46CA" w:rsidRPr="00030181">
        <w:rPr>
          <w:rFonts w:ascii="Arial" w:hAnsi="Arial" w:cs="Arial"/>
        </w:rPr>
        <w:t>approaches to mealtime care. Watkins et al. (2017) and Bunn et al. (2018) both emphasised the positive influence of resident choice, social interaction, and supportive mealtime environments on nutritional intake and overall wellbeing. Although much of this evidence was qualitative, it provides valuable insight into factors that may not be captured through nutritional screening tools alone. These findings suggest that nutritional care extends beyond meeting physiological requirements and should also address psychosocial needs, dignity, and resident autonomy.</w:t>
      </w:r>
    </w:p>
    <w:p w14:paraId="5A376F2D" w14:textId="37B67A01" w:rsidR="005025A9" w:rsidRPr="00030181" w:rsidRDefault="005025A9" w:rsidP="005C5EBA">
      <w:pPr>
        <w:spacing w:line="360" w:lineRule="auto"/>
        <w:jc w:val="both"/>
        <w:rPr>
          <w:rFonts w:ascii="Arial" w:hAnsi="Arial" w:cs="Arial"/>
        </w:rPr>
      </w:pPr>
      <w:r w:rsidRPr="00030181">
        <w:rPr>
          <w:rFonts w:ascii="Arial" w:hAnsi="Arial" w:cs="Arial"/>
        </w:rPr>
        <w:t xml:space="preserve">Organisational factors emerged as key determinants of nutritional care quality. Routine screening, workforce competency, multidisciplinary collaboration, and leadership support were consistently associated with improved practice. Rather than a lack of guidance, the evidence suggests that inconsistent implementation is the greater challenge. This highlights </w:t>
      </w:r>
      <w:r w:rsidR="00A22B77" w:rsidRPr="00030181">
        <w:rPr>
          <w:rFonts w:ascii="Arial" w:hAnsi="Arial" w:cs="Arial"/>
        </w:rPr>
        <w:t>the requirement for</w:t>
      </w:r>
      <w:r w:rsidR="00A22B77" w:rsidRPr="00030181">
        <w:rPr>
          <w:rFonts w:ascii="Arial" w:hAnsi="Arial" w:cs="Arial"/>
        </w:rPr>
        <w:t xml:space="preserve"> </w:t>
      </w:r>
      <w:r w:rsidRPr="00030181">
        <w:rPr>
          <w:rFonts w:ascii="Arial" w:hAnsi="Arial" w:cs="Arial"/>
        </w:rPr>
        <w:t xml:space="preserve">care homes </w:t>
      </w:r>
      <w:r w:rsidR="00A22B77" w:rsidRPr="00030181">
        <w:rPr>
          <w:rFonts w:ascii="Arial" w:hAnsi="Arial" w:cs="Arial"/>
        </w:rPr>
        <w:t>to progress beyond</w:t>
      </w:r>
      <w:r w:rsidR="00A22B77" w:rsidRPr="00030181">
        <w:rPr>
          <w:rFonts w:ascii="Arial" w:hAnsi="Arial" w:cs="Arial"/>
        </w:rPr>
        <w:t xml:space="preserve"> </w:t>
      </w:r>
      <w:r w:rsidRPr="00030181">
        <w:rPr>
          <w:rFonts w:ascii="Arial" w:hAnsi="Arial" w:cs="Arial"/>
        </w:rPr>
        <w:t xml:space="preserve">policy </w:t>
      </w:r>
      <w:r w:rsidR="00A22B77" w:rsidRPr="00030181">
        <w:rPr>
          <w:rFonts w:ascii="Arial" w:hAnsi="Arial" w:cs="Arial"/>
        </w:rPr>
        <w:t>adherence</w:t>
      </w:r>
      <w:r w:rsidRPr="00030181">
        <w:rPr>
          <w:rFonts w:ascii="Arial" w:hAnsi="Arial" w:cs="Arial"/>
        </w:rPr>
        <w:t xml:space="preserve"> and foster </w:t>
      </w:r>
      <w:r w:rsidR="00A22B77" w:rsidRPr="00030181">
        <w:rPr>
          <w:rFonts w:ascii="Arial" w:hAnsi="Arial" w:cs="Arial"/>
        </w:rPr>
        <w:t>institutional</w:t>
      </w:r>
      <w:r w:rsidR="00A22B77" w:rsidRPr="00030181">
        <w:rPr>
          <w:rFonts w:ascii="Arial" w:hAnsi="Arial" w:cs="Arial"/>
        </w:rPr>
        <w:t xml:space="preserve"> </w:t>
      </w:r>
      <w:r w:rsidRPr="00030181">
        <w:rPr>
          <w:rFonts w:ascii="Arial" w:hAnsi="Arial" w:cs="Arial"/>
        </w:rPr>
        <w:t>cultures that prioritise nutritional wellbeing. Consequently, effective food safety and nutritional care depend on resident-centred support, workforce capability, and organisational governance rather than isolated interventions.</w:t>
      </w:r>
    </w:p>
    <w:p w14:paraId="305A27AD" w14:textId="616426F5" w:rsidR="00FA46CA" w:rsidRPr="00030181" w:rsidRDefault="00FA46CA" w:rsidP="005C5EBA">
      <w:pPr>
        <w:pStyle w:val="Heading1"/>
        <w:spacing w:line="360" w:lineRule="auto"/>
        <w:rPr>
          <w:rFonts w:ascii="Arial" w:hAnsi="Arial" w:cs="Arial"/>
          <w:b/>
          <w:bCs/>
          <w:color w:val="auto"/>
          <w:sz w:val="22"/>
          <w:szCs w:val="22"/>
        </w:rPr>
      </w:pPr>
      <w:bookmarkStart w:id="64" w:name="_Toc231947583"/>
      <w:r w:rsidRPr="00030181">
        <w:rPr>
          <w:rFonts w:ascii="Arial" w:hAnsi="Arial" w:cs="Arial"/>
          <w:b/>
          <w:bCs/>
          <w:color w:val="auto"/>
          <w:sz w:val="22"/>
          <w:szCs w:val="22"/>
        </w:rPr>
        <w:t>5.2 Discussion of Objective 2: Relationship Between Food Safety and Nutrition Practices and Health Outcomes</w:t>
      </w:r>
      <w:bookmarkEnd w:id="64"/>
    </w:p>
    <w:p w14:paraId="0DB0E8EC" w14:textId="6CA7BE07" w:rsidR="00FA46CA" w:rsidRPr="00030181" w:rsidRDefault="00FA46CA" w:rsidP="005C5EBA">
      <w:pPr>
        <w:spacing w:line="360" w:lineRule="auto"/>
        <w:jc w:val="both"/>
        <w:rPr>
          <w:rFonts w:ascii="Arial" w:hAnsi="Arial" w:cs="Arial"/>
          <w:lang w:val="en-US"/>
        </w:rPr>
      </w:pPr>
      <w:r w:rsidRPr="00030181">
        <w:rPr>
          <w:rFonts w:ascii="Arial" w:hAnsi="Arial" w:cs="Arial"/>
        </w:rPr>
        <w:t xml:space="preserve">The findings suggest that food safety and nutritional practices are closely linked to </w:t>
      </w:r>
      <w:r w:rsidR="003D0317" w:rsidRPr="00030181">
        <w:rPr>
          <w:rFonts w:ascii="Arial" w:hAnsi="Arial" w:cs="Arial"/>
          <w:lang w:val="en-US"/>
        </w:rPr>
        <w:t xml:space="preserve">health outcomes among older adults residing in care </w:t>
      </w:r>
      <w:r w:rsidRPr="00030181">
        <w:rPr>
          <w:rFonts w:ascii="Arial" w:hAnsi="Arial" w:cs="Arial"/>
        </w:rPr>
        <w:t>homes, with nutritional status emerging as a key determinant of resident wellbeing (Cereda et al., 2016; Madeira et al., 2019). Although the included studies differed in methodology, setting, and participant characteristics, there was consistent evidence that inadequate nutritional management was associated with poorer physical health, reduced functional ability, and increased vulnerability to adverse outcomes (Velázquez-Alva et al., 2020; Ran et al., 2023). This consistency across diverse populations strengthens confidence in the relationship between nutritional care and health outcomes, suggesting that nutritional wellbeing should be viewed as a fundamental component of quality care rather than a supplementary aspect of service provision (Lorini et al., 2018).</w:t>
      </w:r>
    </w:p>
    <w:p w14:paraId="56ACCC7D" w14:textId="400F39A1" w:rsidR="00356248" w:rsidRPr="00030181" w:rsidRDefault="00FA46CA" w:rsidP="005C5EBA">
      <w:pPr>
        <w:spacing w:line="360" w:lineRule="auto"/>
        <w:jc w:val="both"/>
        <w:rPr>
          <w:rFonts w:ascii="Arial" w:hAnsi="Arial" w:cs="Arial"/>
          <w:lang w:val="en-US"/>
        </w:rPr>
      </w:pPr>
      <w:r w:rsidRPr="00030181">
        <w:rPr>
          <w:rFonts w:ascii="Arial" w:hAnsi="Arial" w:cs="Arial"/>
        </w:rPr>
        <w:t xml:space="preserve">The evidence further indicates that the impact </w:t>
      </w:r>
      <w:r w:rsidR="003D0317" w:rsidRPr="00030181">
        <w:rPr>
          <w:rFonts w:ascii="Arial" w:hAnsi="Arial" w:cs="Arial"/>
          <w:lang w:val="en-US"/>
        </w:rPr>
        <w:t xml:space="preserve">of food safety and nutrition practices </w:t>
      </w:r>
      <w:r w:rsidRPr="00030181">
        <w:rPr>
          <w:rFonts w:ascii="Arial" w:hAnsi="Arial" w:cs="Arial"/>
        </w:rPr>
        <w:t xml:space="preserve">extends beyond the prevention of malnutrition alone (Madeira et al., 2019; Cereda et al., 2016). Studies consistently demonstrated associations between poor nutritional status, functional decline, </w:t>
      </w:r>
      <w:r w:rsidRPr="00030181">
        <w:rPr>
          <w:rFonts w:ascii="Arial" w:hAnsi="Arial" w:cs="Arial"/>
        </w:rPr>
        <w:lastRenderedPageBreak/>
        <w:t xml:space="preserve">frailty, and diabetes-related complications, highlighting the interconnected nature of nutritional and clinical outcomes </w:t>
      </w:r>
      <w:r w:rsidR="00A22B77" w:rsidRPr="00030181">
        <w:rPr>
          <w:rFonts w:ascii="Arial" w:hAnsi="Arial" w:cs="Arial"/>
        </w:rPr>
        <w:t>in older adults</w:t>
      </w:r>
      <w:r w:rsidR="00A22B77" w:rsidRPr="00030181">
        <w:rPr>
          <w:rFonts w:ascii="Arial" w:hAnsi="Arial" w:cs="Arial"/>
        </w:rPr>
        <w:t xml:space="preserve"> </w:t>
      </w:r>
      <w:r w:rsidRPr="00030181">
        <w:rPr>
          <w:rFonts w:ascii="Arial" w:hAnsi="Arial" w:cs="Arial"/>
        </w:rPr>
        <w:t xml:space="preserve">(Velázquez-Alva et al., 2020; Dent et al., 2023). </w:t>
      </w:r>
    </w:p>
    <w:p w14:paraId="56E46DBD" w14:textId="50DD5904" w:rsidR="00FA46CA" w:rsidRPr="00030181" w:rsidRDefault="00FA46CA" w:rsidP="005C5EBA">
      <w:pPr>
        <w:spacing w:line="360" w:lineRule="auto"/>
        <w:jc w:val="both"/>
        <w:rPr>
          <w:rFonts w:ascii="Arial" w:hAnsi="Arial" w:cs="Arial"/>
        </w:rPr>
      </w:pPr>
      <w:r w:rsidRPr="00030181">
        <w:rPr>
          <w:rFonts w:ascii="Arial" w:hAnsi="Arial" w:cs="Arial"/>
        </w:rPr>
        <w:t>These findings support existing literature suggesting that ageing-related physiological changes, multimorbidity, and reduced functional capacity increase susceptibility to nutritional deterioration and subsequent health complications (Landi et al., 2019; Dent et al., 2023). Consequently, nutritional care should be considered a preventative strategy that contributes to maintaining independence, reducing avoidable deterioration, and supporting overall quality of life (Lorini et al., 2018).</w:t>
      </w:r>
    </w:p>
    <w:p w14:paraId="3217EA18" w14:textId="77777777" w:rsidR="00E31F07" w:rsidRPr="00030181" w:rsidRDefault="00FA46CA" w:rsidP="005C5EBA">
      <w:pPr>
        <w:spacing w:line="360" w:lineRule="auto"/>
        <w:jc w:val="both"/>
        <w:rPr>
          <w:rFonts w:ascii="Arial" w:hAnsi="Arial" w:cs="Arial"/>
        </w:rPr>
      </w:pPr>
      <w:r w:rsidRPr="00030181">
        <w:rPr>
          <w:rFonts w:ascii="Arial" w:hAnsi="Arial" w:cs="Arial"/>
        </w:rPr>
        <w:t xml:space="preserve">Hydration management also emerged as an important contributor to health outcomes, although evidence suggests that hydration practices are often influenced by organisational factors rather than resident needs alone (Jimoh et al., 2019; Bunn et al., 2018). The contrast between evidence demonstrating positive outcomes from proactive hydration support and studies identifying inconsistent monitoring practices suggests that implementation remains a significant challenge within care-home settings (Jimoh et al., 2019; Bunn et al., 2018). </w:t>
      </w:r>
    </w:p>
    <w:p w14:paraId="1452DADB" w14:textId="1109BE96" w:rsidR="00FA46CA" w:rsidRPr="00030181" w:rsidRDefault="00FA46CA" w:rsidP="005C5EBA">
      <w:pPr>
        <w:spacing w:line="360" w:lineRule="auto"/>
        <w:jc w:val="both"/>
        <w:rPr>
          <w:rFonts w:ascii="Arial" w:hAnsi="Arial" w:cs="Arial"/>
        </w:rPr>
      </w:pPr>
      <w:r w:rsidRPr="00030181">
        <w:rPr>
          <w:rFonts w:ascii="Arial" w:hAnsi="Arial" w:cs="Arial"/>
        </w:rPr>
        <w:t xml:space="preserve">This </w:t>
      </w:r>
      <w:r w:rsidR="003D0317" w:rsidRPr="00030181">
        <w:rPr>
          <w:rFonts w:ascii="Arial" w:hAnsi="Arial" w:cs="Arial"/>
        </w:rPr>
        <w:t>shows</w:t>
      </w:r>
      <w:r w:rsidRPr="00030181">
        <w:rPr>
          <w:rFonts w:ascii="Arial" w:hAnsi="Arial" w:cs="Arial"/>
        </w:rPr>
        <w:t xml:space="preserve"> the </w:t>
      </w:r>
      <w:r w:rsidR="00A22B77" w:rsidRPr="00030181">
        <w:rPr>
          <w:rFonts w:ascii="Arial" w:hAnsi="Arial" w:cs="Arial"/>
        </w:rPr>
        <w:t>significance</w:t>
      </w:r>
      <w:r w:rsidRPr="00030181">
        <w:rPr>
          <w:rFonts w:ascii="Arial" w:hAnsi="Arial" w:cs="Arial"/>
        </w:rPr>
        <w:t xml:space="preserve"> of embedding nutritional screening, hydration assessment, and ongoing monitoring within routine care processes rather than relying on reactive interventions (Lorini et al., 2018). Overall, the evidence indicates that effective food safety and nutritional practices are integral to promoting positive health outcomes and reducing health inequalities among older care-home residents (Sinclair et al., 2020; Dent et al., 2023).</w:t>
      </w:r>
    </w:p>
    <w:p w14:paraId="06AC14C8" w14:textId="77777777" w:rsidR="00FA46CA" w:rsidRPr="00030181" w:rsidRDefault="00FA46CA" w:rsidP="005C5EBA">
      <w:pPr>
        <w:pStyle w:val="Heading1"/>
        <w:spacing w:line="360" w:lineRule="auto"/>
        <w:rPr>
          <w:rFonts w:ascii="Arial" w:hAnsi="Arial" w:cs="Arial"/>
          <w:b/>
          <w:bCs/>
          <w:color w:val="auto"/>
          <w:sz w:val="22"/>
          <w:szCs w:val="22"/>
        </w:rPr>
      </w:pPr>
      <w:bookmarkStart w:id="65" w:name="_Toc231947584"/>
      <w:r w:rsidRPr="00030181">
        <w:rPr>
          <w:rFonts w:ascii="Arial" w:hAnsi="Arial" w:cs="Arial"/>
          <w:b/>
          <w:bCs/>
          <w:color w:val="auto"/>
          <w:sz w:val="22"/>
          <w:szCs w:val="22"/>
        </w:rPr>
        <w:t>5.3 Discussion of Objective 3: Vulnerability of Residents with Type 2 Diabetes</w:t>
      </w:r>
      <w:bookmarkEnd w:id="65"/>
    </w:p>
    <w:p w14:paraId="12A5E7AB" w14:textId="6C4CA8A2" w:rsidR="00FA46CA" w:rsidRPr="00030181" w:rsidRDefault="00FA46CA" w:rsidP="005C5EBA">
      <w:pPr>
        <w:spacing w:line="360" w:lineRule="auto"/>
        <w:jc w:val="both"/>
        <w:rPr>
          <w:rFonts w:ascii="Arial" w:hAnsi="Arial" w:cs="Arial"/>
        </w:rPr>
      </w:pPr>
      <w:r w:rsidRPr="00030181">
        <w:rPr>
          <w:rFonts w:ascii="Arial" w:hAnsi="Arial" w:cs="Arial"/>
        </w:rPr>
        <w:t xml:space="preserve">The findings suggest that older care-home residents with type 2 diabetes experience heightened vulnerability to suboptimal food safety and nutritional practices because of the complex interaction between ageing, chronic disease, and nutritional decline (Ran et al., 2023; Velázquez-Alva et al., 2020). Although the included studies differed in setting and methodology, they consistently indicated that poor nutritional status can negatively influence glycaemic control, physical function, and overall health outcomes among individuals living with diabetes (Eichelmann et al., 2024; Sinclair et al., 2020). This </w:t>
      </w:r>
      <w:r w:rsidR="003D0317" w:rsidRPr="00030181">
        <w:rPr>
          <w:rFonts w:ascii="Arial" w:hAnsi="Arial" w:cs="Arial"/>
        </w:rPr>
        <w:t>shows</w:t>
      </w:r>
      <w:r w:rsidRPr="00030181">
        <w:rPr>
          <w:rFonts w:ascii="Arial" w:hAnsi="Arial" w:cs="Arial"/>
        </w:rPr>
        <w:t xml:space="preserve"> that nutritional management should be regarded as a central component of diabetes care rather than a separate aspect of health management (Sinclair et al., 2020).</w:t>
      </w:r>
    </w:p>
    <w:p w14:paraId="7248B25D" w14:textId="788F8C58" w:rsidR="00E31F07" w:rsidRPr="00030181" w:rsidRDefault="00FA46CA" w:rsidP="005C5EBA">
      <w:pPr>
        <w:spacing w:line="360" w:lineRule="auto"/>
        <w:jc w:val="both"/>
        <w:rPr>
          <w:rFonts w:ascii="Arial" w:hAnsi="Arial" w:cs="Arial"/>
          <w:lang w:val="en-US"/>
        </w:rPr>
      </w:pPr>
      <w:r w:rsidRPr="00030181">
        <w:rPr>
          <w:rFonts w:ascii="Arial" w:hAnsi="Arial" w:cs="Arial"/>
        </w:rPr>
        <w:t xml:space="preserve">A notable finding across the evidence base was the close relationship between nutritional status and diabetes-related complications (Velázquez-Alva et al., 2020; Ran et al., 2023). </w:t>
      </w:r>
      <w:r w:rsidR="003D0317" w:rsidRPr="00030181">
        <w:rPr>
          <w:rFonts w:ascii="Arial" w:hAnsi="Arial" w:cs="Arial"/>
          <w:lang w:val="en-US"/>
        </w:rPr>
        <w:t xml:space="preserve">Although both </w:t>
      </w:r>
      <w:r w:rsidR="00A22B77" w:rsidRPr="00030181">
        <w:rPr>
          <w:rFonts w:ascii="Arial" w:hAnsi="Arial" w:cs="Arial"/>
        </w:rPr>
        <w:t>studies emphasised the</w:t>
      </w:r>
      <w:r w:rsidR="00A22B77" w:rsidRPr="00030181">
        <w:rPr>
          <w:rFonts w:ascii="Arial" w:hAnsi="Arial" w:cs="Arial"/>
        </w:rPr>
        <w:t xml:space="preserve"> </w:t>
      </w:r>
      <w:r w:rsidRPr="00030181">
        <w:rPr>
          <w:rFonts w:ascii="Arial" w:hAnsi="Arial" w:cs="Arial"/>
        </w:rPr>
        <w:t xml:space="preserve">adverse consequences of poor nutritional management, they approached the issue from different perspectives, with one focusing on </w:t>
      </w:r>
      <w:r w:rsidRPr="00030181">
        <w:rPr>
          <w:rFonts w:ascii="Arial" w:hAnsi="Arial" w:cs="Arial"/>
        </w:rPr>
        <w:lastRenderedPageBreak/>
        <w:t xml:space="preserve">nutritional risk and the other emphasising physical decline and sarcopenia (Ran et al., 2023; Velázquez-Alva et al., 2020). </w:t>
      </w:r>
    </w:p>
    <w:p w14:paraId="01B548A4" w14:textId="5A7C6C04" w:rsidR="00FA46CA" w:rsidRPr="00030181" w:rsidRDefault="00FA46CA" w:rsidP="005C5EBA">
      <w:pPr>
        <w:spacing w:line="360" w:lineRule="auto"/>
        <w:jc w:val="both"/>
        <w:rPr>
          <w:rFonts w:ascii="Arial" w:hAnsi="Arial" w:cs="Arial"/>
        </w:rPr>
      </w:pPr>
      <w:r w:rsidRPr="00030181">
        <w:rPr>
          <w:rFonts w:ascii="Arial" w:hAnsi="Arial" w:cs="Arial"/>
        </w:rPr>
        <w:t>The convergence of these findings suggests that inadequate nutritional care may contribute to a cycle in which declining nutritional status exacerbates disease progression, which in turn increases vulnerability to further nutritional deterioration (Dent et al., 2023). This reinforces previous evidence demonstrating that older adults with diabetes often experience overlapping risks associated with frailty, multimorbidity, and reduced physiological resilience (Landi et al., 2019; Sinclair et al., 2020).</w:t>
      </w:r>
    </w:p>
    <w:p w14:paraId="79B958A2" w14:textId="77777777" w:rsidR="00356248" w:rsidRPr="00030181" w:rsidRDefault="00FA46CA" w:rsidP="005C5EBA">
      <w:pPr>
        <w:spacing w:line="360" w:lineRule="auto"/>
        <w:jc w:val="both"/>
        <w:rPr>
          <w:rFonts w:ascii="Arial" w:hAnsi="Arial" w:cs="Arial"/>
        </w:rPr>
      </w:pPr>
      <w:r w:rsidRPr="00030181">
        <w:rPr>
          <w:rFonts w:ascii="Arial" w:hAnsi="Arial" w:cs="Arial"/>
        </w:rPr>
        <w:t xml:space="preserve">The findings also indicate that vulnerability is influenced by broader social and behavioural factors rather than clinical factors alone (Mokaya et al., 2022; Onuorah et al., 2025). Although both studies identified barriers to effective dietary management, the nature of these barriers differed considerably. Mokaya et al. (2022) emphasised structural and environmental influences, whereas Onuorah et al. (2025) highlighted cultural beliefs and illness perceptions. </w:t>
      </w:r>
    </w:p>
    <w:p w14:paraId="22B073ED" w14:textId="3E2DAFAD" w:rsidR="00FA46CA" w:rsidRPr="00030181" w:rsidRDefault="00FA46CA" w:rsidP="005C5EBA">
      <w:pPr>
        <w:spacing w:line="360" w:lineRule="auto"/>
        <w:jc w:val="both"/>
        <w:rPr>
          <w:rFonts w:ascii="Arial" w:hAnsi="Arial" w:cs="Arial"/>
        </w:rPr>
      </w:pPr>
      <w:r w:rsidRPr="00030181">
        <w:rPr>
          <w:rFonts w:ascii="Arial" w:hAnsi="Arial" w:cs="Arial"/>
        </w:rPr>
        <w:t>These differences suggest that diabetes management is shaped by individual experiences and social contexts, supporting evidence that successful dietary interventions require more than the provision of nutritional information alone (Sinclair et al., 2020). Consequently, nutritional support within care homes should be personalised, culturally sensitive, and responsive to the diverse needs of residents living with type 2 diabetes (Onuorah et al., 2025; Sinclair et al., 2020).</w:t>
      </w:r>
    </w:p>
    <w:p w14:paraId="665C155A" w14:textId="69BEABA3" w:rsidR="00FA46CA" w:rsidRPr="00030181" w:rsidRDefault="003D0317" w:rsidP="005C5EBA">
      <w:pPr>
        <w:spacing w:line="360" w:lineRule="auto"/>
        <w:jc w:val="both"/>
        <w:rPr>
          <w:rFonts w:ascii="Arial" w:hAnsi="Arial" w:cs="Arial"/>
          <w:lang w:val="en-US"/>
        </w:rPr>
      </w:pPr>
      <w:r w:rsidRPr="00030181">
        <w:rPr>
          <w:rFonts w:ascii="Arial" w:hAnsi="Arial" w:cs="Arial"/>
          <w:lang w:val="en-US"/>
        </w:rPr>
        <w:t xml:space="preserve">Overall, the evidence indicates that the vulnerability of older adults with type 2 diabetes extends beyond metabolic </w:t>
      </w:r>
      <w:r w:rsidR="00FA46CA" w:rsidRPr="00030181">
        <w:rPr>
          <w:rFonts w:ascii="Arial" w:hAnsi="Arial" w:cs="Arial"/>
        </w:rPr>
        <w:t>control and reflects the interaction of nutritional, functional, behavioural, and social factors. Addressing these interconnected influences is therefore essential for reducing preventable complications and improving long-term health outcomes within care-home settings (Dent et al., 2023; Sinclair et al., 2020).</w:t>
      </w:r>
    </w:p>
    <w:p w14:paraId="273BE526" w14:textId="77777777" w:rsidR="00FA46CA" w:rsidRPr="00030181" w:rsidRDefault="00FA46CA" w:rsidP="005C5EBA">
      <w:pPr>
        <w:pStyle w:val="Heading1"/>
        <w:spacing w:line="360" w:lineRule="auto"/>
        <w:rPr>
          <w:rFonts w:ascii="Arial" w:hAnsi="Arial" w:cs="Arial"/>
          <w:b/>
          <w:bCs/>
          <w:color w:val="auto"/>
          <w:sz w:val="22"/>
          <w:szCs w:val="22"/>
        </w:rPr>
      </w:pPr>
      <w:bookmarkStart w:id="66" w:name="_Toc231947585"/>
      <w:r w:rsidRPr="00030181">
        <w:rPr>
          <w:rFonts w:ascii="Arial" w:hAnsi="Arial" w:cs="Arial"/>
          <w:b/>
          <w:bCs/>
          <w:color w:val="auto"/>
          <w:sz w:val="22"/>
          <w:szCs w:val="22"/>
        </w:rPr>
        <w:t>5.4 Discussion of Objective 4: Best Practices and Recommendations</w:t>
      </w:r>
      <w:bookmarkEnd w:id="66"/>
    </w:p>
    <w:p w14:paraId="3FD2B2AE" w14:textId="77777777" w:rsidR="00FA46CA" w:rsidRPr="00030181" w:rsidRDefault="00FA46CA" w:rsidP="005C5EBA">
      <w:pPr>
        <w:spacing w:line="360" w:lineRule="auto"/>
        <w:jc w:val="both"/>
        <w:rPr>
          <w:rFonts w:ascii="Arial" w:hAnsi="Arial" w:cs="Arial"/>
        </w:rPr>
      </w:pPr>
      <w:r w:rsidRPr="00030181">
        <w:rPr>
          <w:rFonts w:ascii="Arial" w:hAnsi="Arial" w:cs="Arial"/>
        </w:rPr>
        <w:t>The findings suggest that effective food safety and nutritional care within care homes is dependent on a combination of workforce capability, multidisciplinary collaboration, organisational support, and person-centred practice rather than isolated interventions alone (Lorini et al., 2018; Romano and Minns Lowe, 2022). Across the evidence base, studies consistently demonstrated that sustainable improvements in nutritional outcomes were more likely to occur when care homes adopted systematic and integrated approaches to nutritional management (Bamford et al., 2012; Liu et al., 2024). This indicates that improving nutritional care requires organisational commitment as well as individual clinical expertise (Charlesworth, 2016).</w:t>
      </w:r>
    </w:p>
    <w:p w14:paraId="0882B537" w14:textId="71A7F5CF" w:rsidR="00E31F07" w:rsidRPr="00030181" w:rsidRDefault="00FA46CA" w:rsidP="005C5EBA">
      <w:pPr>
        <w:spacing w:line="360" w:lineRule="auto"/>
        <w:jc w:val="both"/>
        <w:rPr>
          <w:rFonts w:ascii="Arial" w:hAnsi="Arial" w:cs="Arial"/>
          <w:lang w:val="en-US"/>
        </w:rPr>
      </w:pPr>
      <w:r w:rsidRPr="00030181">
        <w:rPr>
          <w:rFonts w:ascii="Arial" w:hAnsi="Arial" w:cs="Arial"/>
        </w:rPr>
        <w:lastRenderedPageBreak/>
        <w:t xml:space="preserve">Workforce development emerged as a particularly important factor influencing the quality and consistency of nutritional care (Bamford et al., 2012; Liu et al., 2024). Although the </w:t>
      </w:r>
      <w:r w:rsidR="003D0317" w:rsidRPr="00030181">
        <w:rPr>
          <w:rFonts w:ascii="Arial" w:hAnsi="Arial" w:cs="Arial"/>
          <w:lang w:val="en-US"/>
        </w:rPr>
        <w:t xml:space="preserve">the studies were carried out in </w:t>
      </w:r>
      <w:r w:rsidRPr="00030181">
        <w:rPr>
          <w:rFonts w:ascii="Arial" w:hAnsi="Arial" w:cs="Arial"/>
        </w:rPr>
        <w:t xml:space="preserve">different healthcare contexts, they reached similar conclusions regarding the importance of staff knowledge and competency in supporting effective nutritional practice (Charlesworth, 2016; Liu et al., 2024). </w:t>
      </w:r>
    </w:p>
    <w:p w14:paraId="111D88D1" w14:textId="2EF7B3F2" w:rsidR="00FA46CA" w:rsidRPr="00030181" w:rsidRDefault="00FA46CA" w:rsidP="005C5EBA">
      <w:pPr>
        <w:spacing w:line="360" w:lineRule="auto"/>
        <w:jc w:val="both"/>
        <w:rPr>
          <w:rFonts w:ascii="Arial" w:hAnsi="Arial" w:cs="Arial"/>
          <w:lang w:val="en-US"/>
        </w:rPr>
      </w:pPr>
      <w:r w:rsidRPr="00030181">
        <w:rPr>
          <w:rFonts w:ascii="Arial" w:hAnsi="Arial" w:cs="Arial"/>
        </w:rPr>
        <w:t xml:space="preserve">The consistency of these findings suggests that deficiencies in training may contribute to variation in nutritional care delivery across care-home settings. However, the evidence also indicates that education alone is unlikely to be sufficient if organisational systems do not support the application of knowledge in everyday practice (Bamford et al., 2012). </w:t>
      </w:r>
      <w:r w:rsidR="003D0317" w:rsidRPr="00030181">
        <w:rPr>
          <w:rFonts w:ascii="Arial" w:hAnsi="Arial" w:cs="Arial"/>
          <w:lang w:val="en-US"/>
        </w:rPr>
        <w:t xml:space="preserve">This </w:t>
      </w:r>
      <w:r w:rsidR="000D6E1E" w:rsidRPr="00030181">
        <w:rPr>
          <w:rFonts w:ascii="Arial" w:hAnsi="Arial" w:cs="Arial"/>
          <w:lang w:val="en-US"/>
        </w:rPr>
        <w:t>emphasized</w:t>
      </w:r>
      <w:r w:rsidR="003D0317" w:rsidRPr="00030181">
        <w:rPr>
          <w:rFonts w:ascii="Arial" w:hAnsi="Arial" w:cs="Arial"/>
          <w:lang w:val="en-US"/>
        </w:rPr>
        <w:t xml:space="preserve"> the importance of </w:t>
      </w:r>
      <w:r w:rsidRPr="00030181">
        <w:rPr>
          <w:rFonts w:ascii="Arial" w:hAnsi="Arial" w:cs="Arial"/>
        </w:rPr>
        <w:t>embedding nutritional care within wider organisational strategies rather than viewing staff training as a standalone solution.</w:t>
      </w:r>
    </w:p>
    <w:p w14:paraId="4FE6EC81" w14:textId="77777777" w:rsidR="00E31F07" w:rsidRPr="00030181" w:rsidRDefault="00FA46CA" w:rsidP="005C5EBA">
      <w:pPr>
        <w:spacing w:line="360" w:lineRule="auto"/>
        <w:jc w:val="both"/>
        <w:rPr>
          <w:rFonts w:ascii="Arial" w:hAnsi="Arial" w:cs="Arial"/>
        </w:rPr>
      </w:pPr>
      <w:r w:rsidRPr="00030181">
        <w:rPr>
          <w:rFonts w:ascii="Arial" w:hAnsi="Arial" w:cs="Arial"/>
        </w:rPr>
        <w:t xml:space="preserve">Multidisciplinary collaboration was also identified as a key characteristic of effective practice (Romano and Minns Lowe, 2022; Liu et al., 2024). The findings suggest that nutritional problems among older adults are rarely attributable to a single cause and therefore require coordinated input from dietitians, nurses, care staff, and other healthcare professionals (Lorini et al., 2018). </w:t>
      </w:r>
    </w:p>
    <w:p w14:paraId="351677F8" w14:textId="2DC3E9A3" w:rsidR="00FA46CA" w:rsidRPr="00030181" w:rsidRDefault="00FA46CA" w:rsidP="005C5EBA">
      <w:pPr>
        <w:spacing w:line="360" w:lineRule="auto"/>
        <w:jc w:val="both"/>
        <w:rPr>
          <w:rFonts w:ascii="Arial" w:hAnsi="Arial" w:cs="Arial"/>
        </w:rPr>
      </w:pPr>
      <w:r w:rsidRPr="00030181">
        <w:rPr>
          <w:rFonts w:ascii="Arial" w:hAnsi="Arial" w:cs="Arial"/>
        </w:rPr>
        <w:t>This supports wider literature indicating that collaborative approaches improve continuity of care, facilitate earlier identification of nutritional risk, and enhance the management of complex health needs among older adults (Dent et al., 2023). Nevertheless, limited access to specialist nutritional support remains a challenge within some care-home settings, potentially restricting the implementation of best practice (Romano and Minns Lowe, 2022).</w:t>
      </w:r>
    </w:p>
    <w:p w14:paraId="43F87597" w14:textId="104A0E75" w:rsidR="00E31F07" w:rsidRPr="00030181" w:rsidRDefault="00FA46CA" w:rsidP="005C5EBA">
      <w:pPr>
        <w:spacing w:line="360" w:lineRule="auto"/>
        <w:jc w:val="both"/>
        <w:rPr>
          <w:rFonts w:ascii="Arial" w:hAnsi="Arial" w:cs="Arial"/>
        </w:rPr>
      </w:pPr>
      <w:r w:rsidRPr="00030181">
        <w:rPr>
          <w:rFonts w:ascii="Arial" w:hAnsi="Arial" w:cs="Arial"/>
        </w:rPr>
        <w:t xml:space="preserve">The findings further highlight the </w:t>
      </w:r>
      <w:r w:rsidR="00A22B77" w:rsidRPr="00030181">
        <w:rPr>
          <w:rFonts w:ascii="Arial" w:hAnsi="Arial" w:cs="Arial"/>
        </w:rPr>
        <w:t>significance</w:t>
      </w:r>
      <w:r w:rsidRPr="00030181">
        <w:rPr>
          <w:rFonts w:ascii="Arial" w:hAnsi="Arial" w:cs="Arial"/>
        </w:rPr>
        <w:t xml:space="preserve"> of governance </w:t>
      </w:r>
      <w:r w:rsidR="00A22B77" w:rsidRPr="00030181">
        <w:rPr>
          <w:rFonts w:ascii="Arial" w:hAnsi="Arial" w:cs="Arial"/>
        </w:rPr>
        <w:t>as well as</w:t>
      </w:r>
      <w:r w:rsidRPr="00030181">
        <w:rPr>
          <w:rFonts w:ascii="Arial" w:hAnsi="Arial" w:cs="Arial"/>
        </w:rPr>
        <w:t xml:space="preserve"> person-centred care in supporting nutritional wellbeing (Watkins et al., 2017; Babatola, 2023). While governance mechanisms promote consistency, accountability, and adherence to standards, person-centred approaches ensure that nutritional care remains responsive to individual preferences and needs (Watkins et al., 2017). </w:t>
      </w:r>
    </w:p>
    <w:p w14:paraId="3A0527DB" w14:textId="11109388" w:rsidR="00FA46CA" w:rsidRPr="00030181" w:rsidRDefault="00FA46CA" w:rsidP="005C5EBA">
      <w:pPr>
        <w:spacing w:line="360" w:lineRule="auto"/>
        <w:jc w:val="both"/>
        <w:rPr>
          <w:rFonts w:ascii="Arial" w:hAnsi="Arial" w:cs="Arial"/>
        </w:rPr>
      </w:pPr>
      <w:r w:rsidRPr="00030181">
        <w:rPr>
          <w:rFonts w:ascii="Arial" w:hAnsi="Arial" w:cs="Arial"/>
        </w:rPr>
        <w:t>Together, these findings suggest that optimal nutritional care is achieved when organisational systems and personalised care approaches operate in partnership. Consequently, future improvements in care-home practice should prioritise workforce capability, collaborative working, effective governance, and resident-centred care to support safe and effective nutritional management (Lorini et al., 2018; Dent et al., 2023).</w:t>
      </w:r>
    </w:p>
    <w:p w14:paraId="1388D176" w14:textId="004B0220" w:rsidR="004A2A1F" w:rsidRPr="00030181" w:rsidRDefault="004A2A1F" w:rsidP="005C5EBA">
      <w:pPr>
        <w:pStyle w:val="Heading1"/>
        <w:spacing w:line="360" w:lineRule="auto"/>
        <w:rPr>
          <w:rFonts w:ascii="Arial" w:hAnsi="Arial" w:cs="Arial"/>
          <w:b/>
          <w:bCs/>
          <w:color w:val="auto"/>
          <w:sz w:val="22"/>
          <w:szCs w:val="22"/>
        </w:rPr>
      </w:pPr>
      <w:bookmarkStart w:id="67" w:name="_Toc231947586"/>
      <w:r w:rsidRPr="00030181">
        <w:rPr>
          <w:rFonts w:ascii="Arial" w:hAnsi="Arial" w:cs="Arial"/>
          <w:b/>
          <w:bCs/>
          <w:color w:val="auto"/>
          <w:sz w:val="22"/>
          <w:szCs w:val="22"/>
        </w:rPr>
        <w:lastRenderedPageBreak/>
        <w:t>5.5 Linking Findings to the Theoretical Framework</w:t>
      </w:r>
      <w:bookmarkEnd w:id="67"/>
    </w:p>
    <w:p w14:paraId="7D239186" w14:textId="77777777" w:rsidR="00B97D19" w:rsidRPr="00030181" w:rsidRDefault="00B97D19" w:rsidP="005C5EBA">
      <w:pPr>
        <w:spacing w:line="360" w:lineRule="auto"/>
        <w:jc w:val="both"/>
        <w:rPr>
          <w:rFonts w:ascii="Arial" w:hAnsi="Arial" w:cs="Arial"/>
        </w:rPr>
      </w:pPr>
      <w:r w:rsidRPr="00030181">
        <w:rPr>
          <w:rFonts w:ascii="Arial" w:hAnsi="Arial" w:cs="Arial"/>
        </w:rPr>
        <w:t xml:space="preserve">The findings support both the Social Ecological Model (SEM) and Person-Centred Care (PCC) framework in understanding food safety and nutrition practices in care homes. Consistent with the SEM, nutritional outcomes were influenced by factors at multiple levels. At the individual level, frailty, multimorbidity, functional dependency, and type 2 diabetes increased nutritional vulnerability (Cereda et al., 2016; Madeira et al., 2019). At the interpersonal level, staff support, communication, and mealtime assistance affected food and fluid intake (Watkins et al., 2017; Jimoh et al., 2019). </w:t>
      </w:r>
    </w:p>
    <w:p w14:paraId="18688C1E" w14:textId="44835368" w:rsidR="00B97D19" w:rsidRPr="00030181" w:rsidRDefault="00B97D19" w:rsidP="005C5EBA">
      <w:pPr>
        <w:spacing w:line="360" w:lineRule="auto"/>
        <w:jc w:val="both"/>
        <w:rPr>
          <w:rFonts w:ascii="Arial" w:hAnsi="Arial" w:cs="Arial"/>
        </w:rPr>
      </w:pPr>
      <w:r w:rsidRPr="00030181">
        <w:rPr>
          <w:rFonts w:ascii="Arial" w:hAnsi="Arial" w:cs="Arial"/>
        </w:rPr>
        <w:t>Organisational factors, including staff training, nutritional screening, multidisciplinary working, leadership, governance, and regulatory oversight, were also linked to improved care quality (Bamford et al., 2012; Romano and Minns Lowe, 2022; Babatola, 2023). These findings indicate that improving nutritional outcomes requires action beyond individual behaviour alone.</w:t>
      </w:r>
    </w:p>
    <w:p w14:paraId="7DD41497" w14:textId="6FE90B31" w:rsidR="00B97D19" w:rsidRPr="00030181" w:rsidRDefault="00B97D19" w:rsidP="005C5EBA">
      <w:pPr>
        <w:spacing w:line="360" w:lineRule="auto"/>
        <w:jc w:val="both"/>
        <w:rPr>
          <w:rFonts w:ascii="Arial" w:hAnsi="Arial" w:cs="Arial"/>
          <w:lang w:val="en-US"/>
        </w:rPr>
      </w:pPr>
      <w:r w:rsidRPr="00030181">
        <w:rPr>
          <w:rFonts w:ascii="Arial" w:hAnsi="Arial" w:cs="Arial"/>
        </w:rPr>
        <w:t xml:space="preserve">The findings also support the PCC framework. Resident choice, autonomy, social interaction, and supportive mealtime environments promoted nutritional intake and wellbeing (Watkins et al., 2017). Similarly, effective </w:t>
      </w:r>
      <w:r w:rsidR="003D0317" w:rsidRPr="00030181">
        <w:rPr>
          <w:rFonts w:ascii="Arial" w:hAnsi="Arial" w:cs="Arial"/>
          <w:lang w:val="en-US"/>
        </w:rPr>
        <w:t xml:space="preserve">management of type 2 diabetes required </w:t>
      </w:r>
      <w:r w:rsidR="000D6E1E" w:rsidRPr="00030181">
        <w:rPr>
          <w:rFonts w:ascii="Arial" w:hAnsi="Arial" w:cs="Arial"/>
          <w:lang w:val="en-US"/>
        </w:rPr>
        <w:t xml:space="preserve">individualized </w:t>
      </w:r>
      <w:r w:rsidR="00A22B77" w:rsidRPr="00030181">
        <w:rPr>
          <w:rFonts w:ascii="Arial" w:hAnsi="Arial" w:cs="Arial"/>
        </w:rPr>
        <w:t>dietary and nutrition-related</w:t>
      </w:r>
      <w:r w:rsidR="00A22B77" w:rsidRPr="00030181">
        <w:rPr>
          <w:rFonts w:ascii="Arial" w:hAnsi="Arial" w:cs="Arial"/>
          <w:lang w:val="en-US"/>
        </w:rPr>
        <w:t xml:space="preserve"> </w:t>
      </w:r>
      <w:r w:rsidR="003D0317" w:rsidRPr="00030181">
        <w:rPr>
          <w:rFonts w:ascii="Arial" w:hAnsi="Arial" w:cs="Arial"/>
          <w:lang w:val="en-US"/>
        </w:rPr>
        <w:t xml:space="preserve">support tailored to personal needs </w:t>
      </w:r>
      <w:r w:rsidRPr="00030181">
        <w:rPr>
          <w:rFonts w:ascii="Arial" w:hAnsi="Arial" w:cs="Arial"/>
        </w:rPr>
        <w:t xml:space="preserve">(Ran et al., 2023; Sinclair et al., 2020). Together, </w:t>
      </w:r>
      <w:r w:rsidR="00062405" w:rsidRPr="00030181">
        <w:rPr>
          <w:rFonts w:ascii="Arial" w:hAnsi="Arial" w:cs="Arial"/>
          <w:lang w:val="en-US"/>
        </w:rPr>
        <w:t xml:space="preserve">these findings highlight the importance of </w:t>
      </w:r>
      <w:r w:rsidRPr="00030181">
        <w:rPr>
          <w:rFonts w:ascii="Arial" w:hAnsi="Arial" w:cs="Arial"/>
        </w:rPr>
        <w:t>individualised and holistic care approaches.</w:t>
      </w:r>
    </w:p>
    <w:p w14:paraId="79E218B6" w14:textId="3B51B0FF" w:rsidR="00BE7EC3" w:rsidRPr="00030181" w:rsidRDefault="00BE7EC3" w:rsidP="005C5EBA">
      <w:pPr>
        <w:pStyle w:val="Heading1"/>
        <w:spacing w:line="360" w:lineRule="auto"/>
        <w:rPr>
          <w:rFonts w:ascii="Arial" w:hAnsi="Arial" w:cs="Arial"/>
          <w:b/>
          <w:bCs/>
          <w:color w:val="auto"/>
          <w:sz w:val="22"/>
          <w:szCs w:val="22"/>
        </w:rPr>
      </w:pPr>
      <w:bookmarkStart w:id="68" w:name="_Toc231947587"/>
      <w:r w:rsidRPr="00030181">
        <w:rPr>
          <w:rFonts w:ascii="Arial" w:hAnsi="Arial" w:cs="Arial"/>
          <w:b/>
          <w:bCs/>
          <w:color w:val="auto"/>
          <w:sz w:val="22"/>
          <w:szCs w:val="22"/>
        </w:rPr>
        <w:t>5.</w:t>
      </w:r>
      <w:r w:rsidR="004A2A1F" w:rsidRPr="00030181">
        <w:rPr>
          <w:rFonts w:ascii="Arial" w:hAnsi="Arial" w:cs="Arial"/>
          <w:b/>
          <w:bCs/>
          <w:color w:val="auto"/>
          <w:sz w:val="22"/>
          <w:szCs w:val="22"/>
        </w:rPr>
        <w:t>6</w:t>
      </w:r>
      <w:r w:rsidRPr="00030181">
        <w:rPr>
          <w:rFonts w:ascii="Arial" w:hAnsi="Arial" w:cs="Arial"/>
          <w:b/>
          <w:bCs/>
          <w:color w:val="auto"/>
          <w:sz w:val="22"/>
          <w:szCs w:val="22"/>
        </w:rPr>
        <w:t xml:space="preserve"> Critical Appraisal of Included Studies</w:t>
      </w:r>
      <w:bookmarkEnd w:id="68"/>
    </w:p>
    <w:p w14:paraId="3574034E" w14:textId="77777777" w:rsidR="005025A9" w:rsidRPr="00030181" w:rsidRDefault="00C24817" w:rsidP="005C5EBA">
      <w:pPr>
        <w:spacing w:line="360" w:lineRule="auto"/>
        <w:jc w:val="both"/>
        <w:rPr>
          <w:rFonts w:ascii="Arial" w:hAnsi="Arial" w:cs="Arial"/>
        </w:rPr>
      </w:pPr>
      <w:r w:rsidRPr="00030181">
        <w:rPr>
          <w:rFonts w:ascii="Arial" w:hAnsi="Arial" w:cs="Arial"/>
        </w:rPr>
        <w:t xml:space="preserve">The evidence base comprised five qualitative studies, seven cross-sectional studies, one cohort study, three evidence-synthesis or programme-development studies, and one mixed-methods organisational evaluation. Qualitative studies, including Watkins et al. (2017), Onuorah et al. (2025), Mokaya et al. (2022), Bamford et al. (2012), and Romano and Minns Lowe (2022), provided valuable insight into resident experiences, staff perspectives, organisational barriers, and diabetes-management challenges. </w:t>
      </w:r>
    </w:p>
    <w:p w14:paraId="4E397235" w14:textId="78F04AD7" w:rsidR="00C24817" w:rsidRPr="00030181" w:rsidRDefault="00C24817" w:rsidP="005C5EBA">
      <w:pPr>
        <w:spacing w:line="360" w:lineRule="auto"/>
        <w:jc w:val="both"/>
        <w:rPr>
          <w:rFonts w:ascii="Arial" w:hAnsi="Arial" w:cs="Arial"/>
        </w:rPr>
      </w:pPr>
      <w:r w:rsidRPr="00030181">
        <w:rPr>
          <w:rFonts w:ascii="Arial" w:hAnsi="Arial" w:cs="Arial"/>
        </w:rPr>
        <w:t>Their main strength was exploring contextual influences on food safety and nutritional care that are difficult to capture quantitatively (Watkins et al., 2017; Romano and Minns Lowe, 2022). However, small purposive samples, including six dietitians in Romano and Minns Lowe (2022) and eleven participants in Onuorah et al. (2025), limited generalisability. While these studies improved understanding of care-home practice, findings should be interpreted cautiously across the wider UK sector.</w:t>
      </w:r>
    </w:p>
    <w:p w14:paraId="0CDF3CBD" w14:textId="1C7010D5" w:rsidR="00C24817" w:rsidRPr="00030181" w:rsidRDefault="00C24817" w:rsidP="005C5EBA">
      <w:pPr>
        <w:spacing w:line="360" w:lineRule="auto"/>
        <w:jc w:val="both"/>
        <w:rPr>
          <w:rFonts w:ascii="Arial" w:hAnsi="Arial" w:cs="Arial"/>
          <w:lang w:val="en-US"/>
        </w:rPr>
      </w:pPr>
      <w:r w:rsidRPr="00030181">
        <w:rPr>
          <w:rFonts w:ascii="Arial" w:hAnsi="Arial" w:cs="Arial"/>
        </w:rPr>
        <w:t xml:space="preserve">Quantitative evidence consisted mainly of cross-sectional studies and one cohort analysis (Eichelmann et al., 2024). Strengths included </w:t>
      </w:r>
      <w:r w:rsidR="00062405" w:rsidRPr="00030181">
        <w:rPr>
          <w:rFonts w:ascii="Arial" w:hAnsi="Arial" w:cs="Arial"/>
          <w:lang w:val="en-US"/>
        </w:rPr>
        <w:t xml:space="preserve">validated </w:t>
      </w:r>
      <w:r w:rsidR="00A22B77" w:rsidRPr="00030181">
        <w:rPr>
          <w:rFonts w:ascii="Arial" w:hAnsi="Arial" w:cs="Arial"/>
        </w:rPr>
        <w:t xml:space="preserve">screening measures such as the Mini </w:t>
      </w:r>
      <w:r w:rsidR="00A22B77" w:rsidRPr="00030181">
        <w:rPr>
          <w:rFonts w:ascii="Arial" w:hAnsi="Arial" w:cs="Arial"/>
        </w:rPr>
        <w:lastRenderedPageBreak/>
        <w:t>Nutritional Screening</w:t>
      </w:r>
      <w:r w:rsidRPr="00030181">
        <w:rPr>
          <w:rFonts w:ascii="Arial" w:hAnsi="Arial" w:cs="Arial"/>
        </w:rPr>
        <w:t>, objective hydration measures including serum osmolality, and relatively large samples in Madeira et al. (2019), Duodu et al. (2025), and Jimoh et al. (2019). These features strengthened confidence in reported associations between nutrition practices and health outcomes</w:t>
      </w:r>
      <w:r w:rsidR="00062405" w:rsidRPr="00030181">
        <w:rPr>
          <w:rFonts w:ascii="Arial" w:hAnsi="Arial" w:cs="Arial"/>
          <w:lang w:val="en-US"/>
        </w:rPr>
        <w:t xml:space="preserve">. However, the predominance of cross-sectional designs restricted causal interpretation because exposures and outcomes were measured at the same time. </w:t>
      </w:r>
      <w:r w:rsidRPr="00030181">
        <w:rPr>
          <w:rFonts w:ascii="Arial" w:hAnsi="Arial" w:cs="Arial"/>
        </w:rPr>
        <w:t>(Madeira et al., 2019; Ran et al., 2023; Velázquez-Alva et al., 2020).</w:t>
      </w:r>
    </w:p>
    <w:p w14:paraId="6B29DE32" w14:textId="77777777" w:rsidR="00C24817" w:rsidRPr="00030181" w:rsidRDefault="00C24817" w:rsidP="005C5EBA">
      <w:pPr>
        <w:spacing w:line="360" w:lineRule="auto"/>
        <w:jc w:val="both"/>
        <w:rPr>
          <w:rFonts w:ascii="Arial" w:hAnsi="Arial" w:cs="Arial"/>
        </w:rPr>
      </w:pPr>
      <w:r w:rsidRPr="00030181">
        <w:rPr>
          <w:rFonts w:ascii="Arial" w:hAnsi="Arial" w:cs="Arial"/>
        </w:rPr>
        <w:t>The review also included systematic reviews, evidence-synthesis studies, programme-development research, and grey literature, including Cereda et al. (2016), Bunn et al. (2018), Liu et al. (2024), and Charlesworth (2016). These provided broader evidence on nutritional risk, hydration management, and organisational influences on care quality (Cereda et al., 2016; Bunn et al., 2018). However, systematic reviews depend on the quality of included studies, while organisational reports may be limited by local context and reduced peer review (Charlesworth, 2016). Furthermore, the predominance of international evidence may reduce transferability to UK care homes. Overall, the evidence base was of moderate-to-high quality, although UK-based diabetes-specific care-home research remains limited.</w:t>
      </w:r>
    </w:p>
    <w:p w14:paraId="43677177" w14:textId="0D065B63" w:rsidR="00981F4E" w:rsidRPr="00030181" w:rsidRDefault="00981F4E" w:rsidP="005C5EBA">
      <w:pPr>
        <w:pStyle w:val="Heading1"/>
        <w:spacing w:line="360" w:lineRule="auto"/>
        <w:rPr>
          <w:rFonts w:ascii="Arial" w:hAnsi="Arial" w:cs="Arial"/>
          <w:b/>
          <w:bCs/>
          <w:color w:val="000000" w:themeColor="text1"/>
          <w:sz w:val="22"/>
          <w:szCs w:val="22"/>
          <w:lang w:val="en-US"/>
        </w:rPr>
      </w:pPr>
      <w:bookmarkStart w:id="69" w:name="_Toc231947588"/>
      <w:r w:rsidRPr="00030181">
        <w:rPr>
          <w:rFonts w:ascii="Arial" w:hAnsi="Arial" w:cs="Arial"/>
          <w:b/>
          <w:bCs/>
          <w:color w:val="000000" w:themeColor="text1"/>
          <w:sz w:val="22"/>
          <w:szCs w:val="22"/>
        </w:rPr>
        <w:t xml:space="preserve">5.7 </w:t>
      </w:r>
      <w:bookmarkEnd w:id="69"/>
      <w:r w:rsidR="00062405" w:rsidRPr="00030181">
        <w:rPr>
          <w:rFonts w:ascii="Arial" w:hAnsi="Arial" w:cs="Arial"/>
          <w:b/>
          <w:bCs/>
          <w:color w:val="000000" w:themeColor="text1"/>
          <w:sz w:val="22"/>
          <w:szCs w:val="22"/>
          <w:lang w:val="en-US"/>
        </w:rPr>
        <w:t>Strengths and Limitations of the Systematic Review</w:t>
      </w:r>
    </w:p>
    <w:p w14:paraId="171DE817" w14:textId="7B88CE0C" w:rsidR="00B97D19" w:rsidRPr="00030181" w:rsidRDefault="009D55FF" w:rsidP="005C5EBA">
      <w:pPr>
        <w:spacing w:line="360" w:lineRule="auto"/>
        <w:jc w:val="both"/>
        <w:rPr>
          <w:rFonts w:ascii="Arial" w:hAnsi="Arial" w:cs="Arial"/>
          <w:lang w:val="en-US"/>
        </w:rPr>
      </w:pPr>
      <w:r w:rsidRPr="00030181">
        <w:rPr>
          <w:rFonts w:ascii="Arial" w:hAnsi="Arial" w:cs="Arial"/>
        </w:rPr>
        <w:t>This review highlights a number of strengths.</w:t>
      </w:r>
      <w:r w:rsidRPr="00030181">
        <w:rPr>
          <w:rFonts w:ascii="Arial" w:hAnsi="Arial" w:cs="Arial"/>
          <w:lang w:val="en-US"/>
        </w:rPr>
        <w:t xml:space="preserve"> </w:t>
      </w:r>
      <w:r w:rsidR="00062405" w:rsidRPr="00030181">
        <w:rPr>
          <w:rFonts w:ascii="Arial" w:hAnsi="Arial" w:cs="Arial"/>
          <w:lang w:val="en-US"/>
        </w:rPr>
        <w:t>A systematic methodology, including predefined inclusion and exclusion criteria</w:t>
      </w:r>
      <w:r w:rsidR="00B97D19" w:rsidRPr="00030181">
        <w:rPr>
          <w:rFonts w:ascii="Arial" w:hAnsi="Arial" w:cs="Arial"/>
        </w:rPr>
        <w:t>, systematic database searches, and critical appraisal, enhanced the rigour, transparency, and reproducibility of the findings. The inclusion of qualitative, quantitative, review, programme-development, and grey literature sources provided a comprehensive understanding of food safety and nutrition practices in care homes, encompassing both health outcomes and organisational influences. The focus on older adults and residents with type 2 diabetes also provided valuable insight into a population often underrepresented in care-home research.</w:t>
      </w:r>
    </w:p>
    <w:p w14:paraId="070AC6B7" w14:textId="77777777" w:rsidR="009D55FF" w:rsidRPr="00030181" w:rsidRDefault="009D55FF" w:rsidP="005C5EBA">
      <w:pPr>
        <w:spacing w:line="360" w:lineRule="auto"/>
        <w:jc w:val="both"/>
        <w:rPr>
          <w:rFonts w:ascii="Arial" w:hAnsi="Arial" w:cs="Arial"/>
        </w:rPr>
      </w:pPr>
      <w:r w:rsidRPr="00030181">
        <w:rPr>
          <w:rFonts w:ascii="Arial" w:hAnsi="Arial" w:cs="Arial"/>
        </w:rPr>
        <w:t>However, several limitations should be recognized limiting the search to publications written in English may have resulted in language-related bias. Although the review focused on UK care homes, many included studies were conducted internationally, limiting transferability because of variations in healthcare systems, regulations, and care approaches. The majority of cross-sectional and qualitative studies restricted conclusions about causal relationships. Variations in study populations, outcome measures, and methodologies also created heterogeneity, reducing direct comparability. Additionally, the limited number of studies specifically examining care-home residents with type 2 diabetes highlights an important evidence gap.</w:t>
      </w:r>
    </w:p>
    <w:p w14:paraId="2AD7D8B2" w14:textId="248B1754" w:rsidR="00B97D19" w:rsidRPr="00030181" w:rsidRDefault="00B97D19" w:rsidP="005C5EBA">
      <w:pPr>
        <w:spacing w:line="360" w:lineRule="auto"/>
        <w:jc w:val="both"/>
        <w:rPr>
          <w:rFonts w:ascii="Arial" w:hAnsi="Arial" w:cs="Arial"/>
        </w:rPr>
      </w:pPr>
      <w:r w:rsidRPr="00030181">
        <w:rPr>
          <w:rFonts w:ascii="Arial" w:hAnsi="Arial" w:cs="Arial"/>
        </w:rPr>
        <w:lastRenderedPageBreak/>
        <w:t>Overall, the strengths outweigh the limitations. The systematic approach enabled synthesis of diverse evidence, providing a strong foundation for understanding how food safety and nutrition practices influence the health of older care-home residents and informing future research, policy, and practice.</w:t>
      </w:r>
    </w:p>
    <w:p w14:paraId="1653A938" w14:textId="77777777" w:rsidR="00CA4E26" w:rsidRPr="00030181" w:rsidRDefault="00CA4E26" w:rsidP="005C5EBA">
      <w:pPr>
        <w:spacing w:line="360" w:lineRule="auto"/>
        <w:jc w:val="both"/>
        <w:rPr>
          <w:rFonts w:ascii="Arial" w:hAnsi="Arial" w:cs="Arial"/>
          <w:vanish/>
        </w:rPr>
      </w:pPr>
      <w:r w:rsidRPr="00030181">
        <w:rPr>
          <w:rFonts w:ascii="Arial" w:hAnsi="Arial" w:cs="Arial"/>
          <w:vanish/>
        </w:rPr>
        <w:t>Top of Form</w:t>
      </w:r>
    </w:p>
    <w:p w14:paraId="228F8464" w14:textId="77777777" w:rsidR="00CA4E26" w:rsidRPr="00030181" w:rsidRDefault="00CA4E26" w:rsidP="005C5EBA">
      <w:pPr>
        <w:spacing w:line="360" w:lineRule="auto"/>
        <w:jc w:val="both"/>
        <w:rPr>
          <w:rFonts w:ascii="Arial" w:hAnsi="Arial" w:cs="Arial"/>
          <w:vanish/>
        </w:rPr>
      </w:pPr>
      <w:r w:rsidRPr="00030181">
        <w:rPr>
          <w:rFonts w:ascii="Arial" w:hAnsi="Arial" w:cs="Arial"/>
          <w:vanish/>
        </w:rPr>
        <w:t>Bottom of Form</w:t>
      </w:r>
    </w:p>
    <w:p w14:paraId="38432C95" w14:textId="77777777" w:rsidR="00823A5B" w:rsidRPr="00030181" w:rsidRDefault="00823A5B" w:rsidP="005C5EBA">
      <w:pPr>
        <w:spacing w:line="360" w:lineRule="auto"/>
        <w:jc w:val="both"/>
        <w:rPr>
          <w:rFonts w:ascii="Arial" w:hAnsi="Arial" w:cs="Arial"/>
          <w:vanish/>
        </w:rPr>
      </w:pPr>
    </w:p>
    <w:p w14:paraId="44742836" w14:textId="77777777" w:rsidR="00823A5B" w:rsidRPr="00030181" w:rsidRDefault="00823A5B" w:rsidP="005C5EBA">
      <w:pPr>
        <w:spacing w:line="360" w:lineRule="auto"/>
        <w:jc w:val="both"/>
        <w:rPr>
          <w:rFonts w:ascii="Arial" w:hAnsi="Arial" w:cs="Arial"/>
          <w:vanish/>
        </w:rPr>
      </w:pPr>
    </w:p>
    <w:p w14:paraId="64CE3F99" w14:textId="77777777" w:rsidR="00823A5B" w:rsidRPr="00030181" w:rsidRDefault="00823A5B" w:rsidP="005C5EBA">
      <w:pPr>
        <w:spacing w:line="360" w:lineRule="auto"/>
        <w:jc w:val="both"/>
        <w:rPr>
          <w:rFonts w:ascii="Arial" w:hAnsi="Arial" w:cs="Arial"/>
          <w:vanish/>
        </w:rPr>
      </w:pPr>
    </w:p>
    <w:p w14:paraId="26F3CD80" w14:textId="1B7ACE82" w:rsidR="002061D6" w:rsidRPr="00030181" w:rsidRDefault="002061D6" w:rsidP="005C5EBA">
      <w:pPr>
        <w:pStyle w:val="Heading1"/>
        <w:spacing w:line="360" w:lineRule="auto"/>
        <w:rPr>
          <w:rFonts w:ascii="Arial" w:hAnsi="Arial" w:cs="Arial"/>
          <w:b/>
          <w:bCs/>
          <w:color w:val="auto"/>
          <w:sz w:val="22"/>
          <w:szCs w:val="22"/>
        </w:rPr>
      </w:pPr>
      <w:bookmarkStart w:id="70" w:name="_Toc231947589"/>
      <w:r w:rsidRPr="00030181">
        <w:rPr>
          <w:rFonts w:ascii="Arial" w:hAnsi="Arial" w:cs="Arial"/>
          <w:b/>
          <w:bCs/>
          <w:color w:val="auto"/>
          <w:sz w:val="22"/>
          <w:szCs w:val="22"/>
        </w:rPr>
        <w:t>5.</w:t>
      </w:r>
      <w:r w:rsidR="00981F4E" w:rsidRPr="00030181">
        <w:rPr>
          <w:rFonts w:ascii="Arial" w:hAnsi="Arial" w:cs="Arial"/>
          <w:b/>
          <w:bCs/>
          <w:color w:val="auto"/>
          <w:sz w:val="22"/>
          <w:szCs w:val="22"/>
        </w:rPr>
        <w:t>8</w:t>
      </w:r>
      <w:r w:rsidRPr="00030181">
        <w:rPr>
          <w:rFonts w:ascii="Arial" w:hAnsi="Arial" w:cs="Arial"/>
          <w:b/>
          <w:bCs/>
          <w:color w:val="auto"/>
          <w:sz w:val="22"/>
          <w:szCs w:val="22"/>
        </w:rPr>
        <w:t xml:space="preserve"> </w:t>
      </w:r>
      <w:bookmarkEnd w:id="70"/>
      <w:r w:rsidR="00062405" w:rsidRPr="00030181">
        <w:rPr>
          <w:rFonts w:ascii="Arial" w:hAnsi="Arial" w:cs="Arial"/>
          <w:b/>
          <w:bCs/>
          <w:color w:val="auto"/>
          <w:sz w:val="22"/>
          <w:szCs w:val="22"/>
        </w:rPr>
        <w:t>Practice and Policy Implications</w:t>
      </w:r>
    </w:p>
    <w:p w14:paraId="532D917B" w14:textId="5A818A35" w:rsidR="002061D6" w:rsidRPr="00030181" w:rsidRDefault="002061D6" w:rsidP="005C5EBA">
      <w:pPr>
        <w:spacing w:line="360" w:lineRule="auto"/>
        <w:jc w:val="both"/>
        <w:rPr>
          <w:rFonts w:ascii="Arial" w:hAnsi="Arial" w:cs="Arial"/>
        </w:rPr>
      </w:pPr>
      <w:r w:rsidRPr="00030181">
        <w:rPr>
          <w:rFonts w:ascii="Arial" w:hAnsi="Arial" w:cs="Arial"/>
        </w:rPr>
        <w:t>The findings</w:t>
      </w:r>
      <w:r w:rsidR="00062405" w:rsidRPr="00030181">
        <w:rPr>
          <w:rFonts w:ascii="Arial" w:hAnsi="Arial" w:cs="Arial"/>
        </w:rPr>
        <w:t xml:space="preserve"> </w:t>
      </w:r>
      <w:r w:rsidR="009D55FF" w:rsidRPr="00030181">
        <w:rPr>
          <w:rFonts w:ascii="Arial" w:hAnsi="Arial" w:cs="Arial"/>
        </w:rPr>
        <w:t>depicts</w:t>
      </w:r>
      <w:r w:rsidRPr="00030181">
        <w:rPr>
          <w:rFonts w:ascii="Arial" w:hAnsi="Arial" w:cs="Arial"/>
        </w:rPr>
        <w:t xml:space="preserve"> that improving nutritional outcomes in UK care homes requires stronger implementation of existing practices rather than additional guidance alone (Bunn et al., 2018; Lorini et al., 2018). Evidence from Bamford et al. (2012), Charlesworth (2016), and Romano and Minns Lowe (2022) indicate that staff competency, multidisciplinary collaboration, and organisational commitment are key determinants of nutritional care quality, highlighting the need for workforce development. Routine nutritional screening, hydration monitoring, and structured care planning were consistently associated with earlier identification of nutritional risk and more timely intervention among vulnerable residents (Cereda et al., 2016; Jimoh et al., 2019; Lorini et al., 2018). </w:t>
      </w:r>
    </w:p>
    <w:p w14:paraId="491A3549" w14:textId="33049DFC" w:rsidR="002061D6" w:rsidRPr="00030181" w:rsidRDefault="002061D6" w:rsidP="005C5EBA">
      <w:pPr>
        <w:spacing w:line="360" w:lineRule="auto"/>
        <w:jc w:val="both"/>
        <w:rPr>
          <w:rFonts w:ascii="Arial" w:hAnsi="Arial" w:cs="Arial"/>
        </w:rPr>
      </w:pPr>
      <w:r w:rsidRPr="00030181">
        <w:rPr>
          <w:rFonts w:ascii="Arial" w:hAnsi="Arial" w:cs="Arial"/>
        </w:rPr>
        <w:t>For residents with type 2 diabetes, nutritional care should be integrated with diabetes management through personalised dietary support, regular monitoring, and staff education (Ran et al., 2023; Onuorah et al., 2025; Sinclair et al., 2020). The evidence also supports person-centred approaches that promote resident choice, mealtime assistance, and social engagement to improve nutritional intake and wellbeing (Watkins et al., 2017).</w:t>
      </w:r>
    </w:p>
    <w:p w14:paraId="218F1253" w14:textId="6405AA47" w:rsidR="002061D6" w:rsidRPr="00030181" w:rsidRDefault="002061D6" w:rsidP="005C5EBA">
      <w:pPr>
        <w:spacing w:line="360" w:lineRule="auto"/>
        <w:jc w:val="both"/>
        <w:rPr>
          <w:rFonts w:ascii="Arial" w:hAnsi="Arial" w:cs="Arial"/>
        </w:rPr>
      </w:pPr>
      <w:r w:rsidRPr="00030181">
        <w:rPr>
          <w:rFonts w:ascii="Arial" w:hAnsi="Arial" w:cs="Arial"/>
        </w:rPr>
        <w:t>Consequently, future policy and care-home management strategies should prioritise workforce capability, multidisciplinary working, and organisational accountability to reduce avoidable deterioration and improve health outcomes among older residents (Lorini et al., 2018; Dent et al., 2023)</w:t>
      </w:r>
    </w:p>
    <w:p w14:paraId="121DD0EB" w14:textId="25BD99CB" w:rsidR="0012285F" w:rsidRPr="00030181" w:rsidRDefault="0012285F" w:rsidP="005C5EBA">
      <w:pPr>
        <w:pStyle w:val="Heading1"/>
        <w:spacing w:line="360" w:lineRule="auto"/>
        <w:rPr>
          <w:rFonts w:ascii="Arial" w:hAnsi="Arial" w:cs="Arial"/>
          <w:b/>
          <w:bCs/>
          <w:color w:val="auto"/>
          <w:sz w:val="22"/>
          <w:szCs w:val="22"/>
        </w:rPr>
      </w:pPr>
      <w:bookmarkStart w:id="71" w:name="_Toc231947590"/>
      <w:r w:rsidRPr="00030181">
        <w:rPr>
          <w:rFonts w:ascii="Arial" w:hAnsi="Arial" w:cs="Arial"/>
          <w:b/>
          <w:bCs/>
          <w:color w:val="auto"/>
          <w:sz w:val="22"/>
          <w:szCs w:val="22"/>
        </w:rPr>
        <w:t>5.</w:t>
      </w:r>
      <w:r w:rsidR="00981F4E" w:rsidRPr="00030181">
        <w:rPr>
          <w:rFonts w:ascii="Arial" w:hAnsi="Arial" w:cs="Arial"/>
          <w:b/>
          <w:bCs/>
          <w:color w:val="auto"/>
          <w:sz w:val="22"/>
          <w:szCs w:val="22"/>
        </w:rPr>
        <w:t>9</w:t>
      </w:r>
      <w:r w:rsidRPr="00030181">
        <w:rPr>
          <w:rFonts w:ascii="Arial" w:hAnsi="Arial" w:cs="Arial"/>
          <w:b/>
          <w:bCs/>
          <w:color w:val="auto"/>
          <w:sz w:val="22"/>
          <w:szCs w:val="22"/>
        </w:rPr>
        <w:t xml:space="preserve"> Summary</w:t>
      </w:r>
      <w:bookmarkEnd w:id="71"/>
    </w:p>
    <w:p w14:paraId="61C55B0D" w14:textId="2FB3C26E" w:rsidR="002F1F96" w:rsidRPr="00030181" w:rsidRDefault="002061D6" w:rsidP="005C5EBA">
      <w:pPr>
        <w:spacing w:line="360" w:lineRule="auto"/>
        <w:jc w:val="both"/>
        <w:rPr>
          <w:rFonts w:ascii="Arial" w:hAnsi="Arial" w:cs="Arial"/>
          <w:lang w:val="en-US"/>
        </w:rPr>
      </w:pPr>
      <w:r w:rsidRPr="00030181">
        <w:rPr>
          <w:rFonts w:ascii="Arial" w:hAnsi="Arial" w:cs="Arial"/>
        </w:rPr>
        <w:t xml:space="preserve">This chapter critically discussed how food safety and nutrition practices influence health outcomes among older care-home residents, particularly those with type 2 diabetes (Cereda et al., 2016; Sinclair et al., 2020). The discussion highlighted the interrelationship between nutritional risk, hydration, organisational factors, and diabetes-related vulnerabilities in shaping resident wellbeing (Jimoh et al., 2019; Ran et al., 2023). </w:t>
      </w:r>
      <w:r w:rsidR="009D55FF" w:rsidRPr="00030181">
        <w:rPr>
          <w:rFonts w:ascii="Arial" w:hAnsi="Arial" w:cs="Arial"/>
        </w:rPr>
        <w:t>Collectively,</w:t>
      </w:r>
      <w:r w:rsidR="009D55FF" w:rsidRPr="00030181">
        <w:rPr>
          <w:rFonts w:ascii="Arial" w:hAnsi="Arial" w:cs="Arial"/>
        </w:rPr>
        <w:t xml:space="preserve"> </w:t>
      </w:r>
      <w:r w:rsidR="00545C3B" w:rsidRPr="00030181">
        <w:rPr>
          <w:rFonts w:ascii="Arial" w:hAnsi="Arial" w:cs="Arial"/>
          <w:lang w:val="en-US"/>
        </w:rPr>
        <w:t>the findings</w:t>
      </w:r>
      <w:r w:rsidRPr="00030181">
        <w:rPr>
          <w:rFonts w:ascii="Arial" w:hAnsi="Arial" w:cs="Arial"/>
        </w:rPr>
        <w:t>emphasised the importance of staff training, multidisciplinary collaboration, person-centred care, and effective governance to improve nutritional safety and care quality within UK care homes (Lorini et al., 2018; Dent et al., 2023)</w:t>
      </w:r>
      <w:r w:rsidR="002F1F96" w:rsidRPr="00030181">
        <w:rPr>
          <w:rFonts w:ascii="Arial" w:hAnsi="Arial" w:cs="Arial"/>
        </w:rPr>
        <w:t>.</w:t>
      </w:r>
    </w:p>
    <w:p w14:paraId="4BFA52FA" w14:textId="77777777" w:rsidR="00521D48" w:rsidRPr="00030181" w:rsidRDefault="00521D48" w:rsidP="005C5EBA">
      <w:pPr>
        <w:spacing w:line="360" w:lineRule="auto"/>
        <w:jc w:val="both"/>
        <w:rPr>
          <w:rFonts w:ascii="Arial" w:hAnsi="Arial" w:cs="Arial"/>
          <w:b/>
          <w:bCs/>
          <w:sz w:val="28"/>
          <w:szCs w:val="28"/>
        </w:rPr>
      </w:pPr>
    </w:p>
    <w:p w14:paraId="1CB3FA63" w14:textId="318FD01D" w:rsidR="00525FA2" w:rsidRPr="00030181" w:rsidRDefault="003E3370" w:rsidP="005C5EBA">
      <w:pPr>
        <w:pStyle w:val="Heading1"/>
        <w:spacing w:line="360" w:lineRule="auto"/>
        <w:rPr>
          <w:rFonts w:ascii="Arial" w:hAnsi="Arial" w:cs="Arial"/>
          <w:b/>
          <w:bCs/>
          <w:color w:val="auto"/>
          <w:sz w:val="28"/>
          <w:szCs w:val="28"/>
        </w:rPr>
      </w:pPr>
      <w:bookmarkStart w:id="72" w:name="_Toc231947591"/>
      <w:r w:rsidRPr="00030181">
        <w:rPr>
          <w:rFonts w:ascii="Arial" w:hAnsi="Arial" w:cs="Arial"/>
          <w:b/>
          <w:bCs/>
          <w:color w:val="auto"/>
          <w:sz w:val="28"/>
          <w:szCs w:val="28"/>
        </w:rPr>
        <w:lastRenderedPageBreak/>
        <w:t>CHAPTER 6 – CONCLUSION AND RECOMMENDATIONS</w:t>
      </w:r>
      <w:bookmarkEnd w:id="72"/>
    </w:p>
    <w:p w14:paraId="3F9968EE" w14:textId="77777777" w:rsidR="00525FA2" w:rsidRPr="00030181" w:rsidRDefault="00525FA2" w:rsidP="005C5EBA">
      <w:pPr>
        <w:pStyle w:val="Heading1"/>
        <w:spacing w:line="360" w:lineRule="auto"/>
        <w:rPr>
          <w:rFonts w:ascii="Arial" w:hAnsi="Arial" w:cs="Arial"/>
          <w:b/>
          <w:bCs/>
          <w:color w:val="auto"/>
          <w:sz w:val="22"/>
          <w:szCs w:val="22"/>
        </w:rPr>
      </w:pPr>
      <w:bookmarkStart w:id="73" w:name="_Toc231947592"/>
      <w:r w:rsidRPr="00030181">
        <w:rPr>
          <w:rFonts w:ascii="Arial" w:hAnsi="Arial" w:cs="Arial"/>
          <w:b/>
          <w:bCs/>
          <w:color w:val="auto"/>
          <w:sz w:val="22"/>
          <w:szCs w:val="22"/>
        </w:rPr>
        <w:t>6.1 Conclusion</w:t>
      </w:r>
      <w:bookmarkEnd w:id="73"/>
    </w:p>
    <w:p w14:paraId="7B5B3871" w14:textId="6B22F01C" w:rsidR="00525FA2" w:rsidRPr="00030181" w:rsidRDefault="00860990" w:rsidP="005C5EBA">
      <w:pPr>
        <w:spacing w:line="360" w:lineRule="auto"/>
        <w:jc w:val="both"/>
        <w:rPr>
          <w:rFonts w:ascii="Arial" w:hAnsi="Arial" w:cs="Arial"/>
          <w:lang w:val="en-US"/>
        </w:rPr>
      </w:pPr>
      <w:r w:rsidRPr="00030181">
        <w:rPr>
          <w:rFonts w:ascii="Arial" w:hAnsi="Arial" w:cs="Arial"/>
          <w:lang w:val="en-US"/>
        </w:rPr>
        <w:t xml:space="preserve">This systematic review examined how food safety and nutritional practices affect health outcomes among older </w:t>
      </w:r>
      <w:r w:rsidR="009D55FF" w:rsidRPr="00030181">
        <w:rPr>
          <w:rFonts w:ascii="Arial" w:hAnsi="Arial" w:cs="Arial"/>
          <w:lang w:val="en-US"/>
        </w:rPr>
        <w:t>individuals</w:t>
      </w:r>
      <w:r w:rsidRPr="00030181">
        <w:rPr>
          <w:rFonts w:ascii="Arial" w:hAnsi="Arial" w:cs="Arial"/>
          <w:lang w:val="en-US"/>
        </w:rPr>
        <w:t xml:space="preserve"> </w:t>
      </w:r>
      <w:r w:rsidR="00525FA2" w:rsidRPr="00030181">
        <w:rPr>
          <w:rFonts w:ascii="Arial" w:hAnsi="Arial" w:cs="Arial"/>
        </w:rPr>
        <w:t xml:space="preserve">in UK care homes, particularly those </w:t>
      </w:r>
      <w:r w:rsidR="009D55FF" w:rsidRPr="00030181">
        <w:rPr>
          <w:rFonts w:ascii="Arial" w:hAnsi="Arial" w:cs="Arial"/>
        </w:rPr>
        <w:t xml:space="preserve">having </w:t>
      </w:r>
      <w:r w:rsidR="00525FA2" w:rsidRPr="00030181">
        <w:rPr>
          <w:rFonts w:ascii="Arial" w:hAnsi="Arial" w:cs="Arial"/>
        </w:rPr>
        <w:t xml:space="preserve">type 2 diabetes. The findings demonstrated that food safety and nutritional care are closely interconnected and collectively influence resident wellbeing, nutritional status, hydration, functional ability, and </w:t>
      </w:r>
      <w:r w:rsidRPr="00030181">
        <w:rPr>
          <w:rFonts w:ascii="Arial" w:hAnsi="Arial" w:cs="Arial"/>
          <w:lang w:val="en-US"/>
        </w:rPr>
        <w:t xml:space="preserve">management of </w:t>
      </w:r>
      <w:r w:rsidR="009D55FF" w:rsidRPr="00030181">
        <w:rPr>
          <w:rFonts w:ascii="Arial" w:hAnsi="Arial" w:cs="Arial"/>
          <w:lang w:val="en-US"/>
        </w:rPr>
        <w:t xml:space="preserve">long-term </w:t>
      </w:r>
      <w:r w:rsidRPr="00030181">
        <w:rPr>
          <w:rFonts w:ascii="Arial" w:hAnsi="Arial" w:cs="Arial"/>
          <w:lang w:val="en-US"/>
        </w:rPr>
        <w:t xml:space="preserve">diseases </w:t>
      </w:r>
      <w:r w:rsidR="00525FA2" w:rsidRPr="00030181">
        <w:rPr>
          <w:rFonts w:ascii="Arial" w:hAnsi="Arial" w:cs="Arial"/>
        </w:rPr>
        <w:t>(Cereda et al., 2016; Jimoh et al., 2019; Ran et al., 2023).</w:t>
      </w:r>
    </w:p>
    <w:p w14:paraId="759139EA" w14:textId="52E5B683" w:rsidR="00525FA2" w:rsidRPr="00030181" w:rsidRDefault="00525FA2" w:rsidP="005C5EBA">
      <w:pPr>
        <w:spacing w:line="360" w:lineRule="auto"/>
        <w:jc w:val="both"/>
        <w:rPr>
          <w:rFonts w:ascii="Arial" w:hAnsi="Arial" w:cs="Arial"/>
          <w:lang w:val="en-US"/>
        </w:rPr>
      </w:pPr>
      <w:r w:rsidRPr="00030181">
        <w:rPr>
          <w:rFonts w:ascii="Arial" w:hAnsi="Arial" w:cs="Arial"/>
        </w:rPr>
        <w:t xml:space="preserve">A key finding was the persistent </w:t>
      </w:r>
      <w:r w:rsidR="00860990" w:rsidRPr="00030181">
        <w:rPr>
          <w:rFonts w:ascii="Arial" w:hAnsi="Arial" w:cs="Arial"/>
          <w:lang w:val="en-US"/>
        </w:rPr>
        <w:t xml:space="preserve">occurrence of malnutrition and </w:t>
      </w:r>
      <w:r w:rsidR="009D55FF" w:rsidRPr="00030181">
        <w:rPr>
          <w:rFonts w:ascii="Arial" w:hAnsi="Arial" w:cs="Arial"/>
        </w:rPr>
        <w:t>vulnerability to poor nutrition</w:t>
      </w:r>
      <w:r w:rsidR="009D55FF" w:rsidRPr="00030181">
        <w:rPr>
          <w:rFonts w:ascii="Arial" w:hAnsi="Arial" w:cs="Arial"/>
          <w:lang w:val="en-US"/>
        </w:rPr>
        <w:t xml:space="preserve"> </w:t>
      </w:r>
      <w:r w:rsidR="00860990" w:rsidRPr="00030181">
        <w:rPr>
          <w:rFonts w:ascii="Arial" w:hAnsi="Arial" w:cs="Arial"/>
          <w:lang w:val="en-US"/>
        </w:rPr>
        <w:t xml:space="preserve">among older adults living in institutional </w:t>
      </w:r>
      <w:r w:rsidR="009D55FF" w:rsidRPr="00030181">
        <w:rPr>
          <w:rFonts w:ascii="Arial" w:hAnsi="Arial" w:cs="Arial"/>
        </w:rPr>
        <w:t>environments</w:t>
      </w:r>
      <w:r w:rsidR="00860990" w:rsidRPr="00030181">
        <w:rPr>
          <w:rFonts w:ascii="Arial" w:hAnsi="Arial" w:cs="Arial"/>
          <w:lang w:val="en-US"/>
        </w:rPr>
        <w:t xml:space="preserve"> </w:t>
      </w:r>
      <w:r w:rsidRPr="00030181">
        <w:rPr>
          <w:rFonts w:ascii="Arial" w:hAnsi="Arial" w:cs="Arial"/>
        </w:rPr>
        <w:t xml:space="preserve">despite the availability of nutritional </w:t>
      </w:r>
      <w:r w:rsidR="009D55FF" w:rsidRPr="00030181">
        <w:rPr>
          <w:rFonts w:ascii="Arial" w:hAnsi="Arial" w:cs="Arial"/>
        </w:rPr>
        <w:t>screening tools</w:t>
      </w:r>
      <w:r w:rsidR="009D55FF" w:rsidRPr="00030181">
        <w:rPr>
          <w:rFonts w:ascii="Arial" w:hAnsi="Arial" w:cs="Arial"/>
          <w:b/>
          <w:bCs/>
        </w:rPr>
        <w:t xml:space="preserve"> </w:t>
      </w:r>
      <w:r w:rsidRPr="00030181">
        <w:rPr>
          <w:rFonts w:ascii="Arial" w:hAnsi="Arial" w:cs="Arial"/>
        </w:rPr>
        <w:t xml:space="preserve">and care standards (Cereda et al., 2016; Madeira et al., 2019). Evidence consistently </w:t>
      </w:r>
      <w:r w:rsidR="00860990" w:rsidRPr="00030181">
        <w:rPr>
          <w:rFonts w:ascii="Arial" w:hAnsi="Arial" w:cs="Arial"/>
          <w:lang w:val="en-US"/>
        </w:rPr>
        <w:t>indicated that poor nutritional status was linked to</w:t>
      </w:r>
      <w:r w:rsidRPr="00030181">
        <w:rPr>
          <w:rFonts w:ascii="Arial" w:hAnsi="Arial" w:cs="Arial"/>
        </w:rPr>
        <w:t xml:space="preserve"> adverse outcomes including frailty, sarcopenia, functional decline, and diabetes-related complications (Velázquez-Alva et al., 2020; Ran et al., 2023). Similarly, inadequate hydration practices were associated with poorer resident outcomes, while regular hydration support contributed to improved wellbeing (Jimoh et al., 2019; Bunn et al., 2018).</w:t>
      </w:r>
    </w:p>
    <w:p w14:paraId="5F67B161" w14:textId="343762A1" w:rsidR="00525FA2" w:rsidRPr="00030181" w:rsidRDefault="00525FA2" w:rsidP="005C5EBA">
      <w:pPr>
        <w:spacing w:line="360" w:lineRule="auto"/>
        <w:jc w:val="both"/>
        <w:rPr>
          <w:rFonts w:ascii="Arial" w:hAnsi="Arial" w:cs="Arial"/>
          <w:lang w:val="en-US"/>
        </w:rPr>
      </w:pPr>
      <w:r w:rsidRPr="00030181">
        <w:rPr>
          <w:rFonts w:ascii="Arial" w:hAnsi="Arial" w:cs="Arial"/>
        </w:rPr>
        <w:t>The review further</w:t>
      </w:r>
      <w:r w:rsidR="00860990" w:rsidRPr="00030181">
        <w:rPr>
          <w:rFonts w:ascii="Arial" w:hAnsi="Arial" w:cs="Arial"/>
        </w:rPr>
        <w:t xml:space="preserve"> illustrate</w:t>
      </w:r>
      <w:r w:rsidR="000D6E1E" w:rsidRPr="00030181">
        <w:rPr>
          <w:rFonts w:ascii="Arial" w:hAnsi="Arial" w:cs="Arial"/>
        </w:rPr>
        <w:t xml:space="preserve">s </w:t>
      </w:r>
      <w:r w:rsidRPr="00030181">
        <w:rPr>
          <w:rFonts w:ascii="Arial" w:hAnsi="Arial" w:cs="Arial"/>
        </w:rPr>
        <w:t xml:space="preserve">that residents with type 2 diabetes experience increased vulnerability because nutritional deterioration, poor dietary management, and inadequate glycaemic control interact with ageing-related physiological changes and multimorbidity (Ran et al., 2023; Velázquez-Alva et al., 2020). Qualitative evidence additionally </w:t>
      </w:r>
      <w:r w:rsidR="00860990" w:rsidRPr="00030181">
        <w:rPr>
          <w:rFonts w:ascii="Arial" w:hAnsi="Arial" w:cs="Arial"/>
          <w:lang w:val="en-US"/>
        </w:rPr>
        <w:t xml:space="preserve">highlighted </w:t>
      </w:r>
      <w:r w:rsidR="009D55FF" w:rsidRPr="00030181">
        <w:rPr>
          <w:rFonts w:ascii="Arial" w:hAnsi="Arial" w:cs="Arial"/>
        </w:rPr>
        <w:t>the effect of health</w:t>
      </w:r>
      <w:r w:rsidR="009D55FF" w:rsidRPr="00030181">
        <w:rPr>
          <w:rFonts w:ascii="Arial" w:hAnsi="Arial" w:cs="Arial"/>
          <w:lang w:val="en-US"/>
        </w:rPr>
        <w:t xml:space="preserve"> </w:t>
      </w:r>
      <w:r w:rsidR="00860990" w:rsidRPr="00030181">
        <w:rPr>
          <w:rFonts w:ascii="Arial" w:hAnsi="Arial" w:cs="Arial"/>
          <w:lang w:val="en-US"/>
        </w:rPr>
        <w:t xml:space="preserve">literacy, </w:t>
      </w:r>
      <w:r w:rsidR="009D55FF" w:rsidRPr="00030181">
        <w:rPr>
          <w:rFonts w:ascii="Arial" w:hAnsi="Arial" w:cs="Arial"/>
        </w:rPr>
        <w:t>cultur</w:t>
      </w:r>
      <w:r w:rsidR="009D55FF" w:rsidRPr="00030181">
        <w:rPr>
          <w:rFonts w:ascii="Arial" w:hAnsi="Arial" w:cs="Arial"/>
        </w:rPr>
        <w:t>al</w:t>
      </w:r>
      <w:r w:rsidR="009D55FF" w:rsidRPr="00030181">
        <w:rPr>
          <w:rFonts w:ascii="Arial" w:hAnsi="Arial" w:cs="Arial"/>
        </w:rPr>
        <w:t xml:space="preserve"> values</w:t>
      </w:r>
      <w:r w:rsidR="00860990" w:rsidRPr="00030181">
        <w:rPr>
          <w:rFonts w:ascii="Arial" w:hAnsi="Arial" w:cs="Arial"/>
          <w:lang w:val="en-US"/>
        </w:rPr>
        <w:t xml:space="preserve">, and </w:t>
      </w:r>
      <w:r w:rsidR="009D55FF" w:rsidRPr="00030181">
        <w:rPr>
          <w:rFonts w:ascii="Arial" w:hAnsi="Arial" w:cs="Arial"/>
        </w:rPr>
        <w:t>behavioural determinants of</w:t>
      </w:r>
      <w:r w:rsidR="009D55FF" w:rsidRPr="00030181">
        <w:rPr>
          <w:rFonts w:ascii="Arial" w:hAnsi="Arial" w:cs="Arial"/>
          <w:lang w:val="en-US"/>
        </w:rPr>
        <w:t xml:space="preserve"> </w:t>
      </w:r>
      <w:r w:rsidR="00860990" w:rsidRPr="00030181">
        <w:rPr>
          <w:rFonts w:ascii="Arial" w:hAnsi="Arial" w:cs="Arial"/>
          <w:lang w:val="en-US"/>
        </w:rPr>
        <w:t xml:space="preserve">diabetes self-management </w:t>
      </w:r>
      <w:r w:rsidRPr="00030181">
        <w:rPr>
          <w:rFonts w:ascii="Arial" w:hAnsi="Arial" w:cs="Arial"/>
        </w:rPr>
        <w:t>and dietary adherence (Mokaya et al., 2022; Onuorah et al., 2025).</w:t>
      </w:r>
    </w:p>
    <w:p w14:paraId="280CBB51" w14:textId="77777777" w:rsidR="00525FA2" w:rsidRPr="00030181" w:rsidRDefault="00525FA2" w:rsidP="005C5EBA">
      <w:pPr>
        <w:spacing w:line="360" w:lineRule="auto"/>
        <w:jc w:val="both"/>
        <w:rPr>
          <w:rFonts w:ascii="Arial" w:hAnsi="Arial" w:cs="Arial"/>
        </w:rPr>
      </w:pPr>
      <w:r w:rsidRPr="00030181">
        <w:rPr>
          <w:rFonts w:ascii="Arial" w:hAnsi="Arial" w:cs="Arial"/>
        </w:rPr>
        <w:t>Organisational factors emerged as important determinants of care quality. Studies consistently identified deficiencies in nutritional screening, staff training, multidisciplinary communication, and implementation of nutritional policies as barriers to effective practice (Bamford et al., 2012; Romano and Minns Lowe, 2022; Charlesworth, 2016). Conversely, routine monitoring, workforce competency, multidisciplinary collaboration, and person-centred mealtime support were associated with improved nutritional care and resident outcomes (Watkins et al., 2017; Lorini et al., 2018).</w:t>
      </w:r>
    </w:p>
    <w:p w14:paraId="40AD6130" w14:textId="39BE3270" w:rsidR="00E31F07" w:rsidRPr="00030181" w:rsidRDefault="00E31F07" w:rsidP="005C5EBA">
      <w:pPr>
        <w:spacing w:line="360" w:lineRule="auto"/>
        <w:jc w:val="both"/>
        <w:rPr>
          <w:rFonts w:ascii="Arial" w:hAnsi="Arial" w:cs="Arial"/>
          <w:lang w:val="en-US"/>
        </w:rPr>
      </w:pPr>
      <w:r w:rsidRPr="00030181">
        <w:rPr>
          <w:rFonts w:ascii="Arial" w:hAnsi="Arial" w:cs="Arial"/>
        </w:rPr>
        <w:t xml:space="preserve">Despite the generally good </w:t>
      </w:r>
      <w:r w:rsidR="00AE53CB" w:rsidRPr="00030181">
        <w:rPr>
          <w:rFonts w:ascii="Arial" w:hAnsi="Arial" w:cs="Arial"/>
          <w:lang w:val="en-US"/>
        </w:rPr>
        <w:t>quality of the evidence, the predominance of cross-sectional studies and dependence on</w:t>
      </w:r>
      <w:r w:rsidRPr="00030181">
        <w:rPr>
          <w:rFonts w:ascii="Arial" w:hAnsi="Arial" w:cs="Arial"/>
        </w:rPr>
        <w:t xml:space="preserve"> international research limited conclusions regarding causality and transferability to UK care-home settings </w:t>
      </w:r>
      <w:r w:rsidR="00525FA2" w:rsidRPr="00030181">
        <w:rPr>
          <w:rFonts w:ascii="Arial" w:hAnsi="Arial" w:cs="Arial"/>
        </w:rPr>
        <w:t xml:space="preserve">(Madeira et al., 2019; Ran et al., 2023). Furthermore, </w:t>
      </w:r>
      <w:r w:rsidR="00525FA2" w:rsidRPr="00030181">
        <w:rPr>
          <w:rFonts w:ascii="Arial" w:hAnsi="Arial" w:cs="Arial"/>
        </w:rPr>
        <w:lastRenderedPageBreak/>
        <w:t>limited UK-based research specifically examining food safety, nutrition, and type 2 diabetes within care homes remains an important evidence gap.</w:t>
      </w:r>
      <w:r w:rsidRPr="00030181">
        <w:rPr>
          <w:rFonts w:ascii="Arial" w:hAnsi="Arial" w:cs="Arial"/>
        </w:rPr>
        <w:t xml:space="preserve">   </w:t>
      </w:r>
    </w:p>
    <w:p w14:paraId="2A7C5F4B" w14:textId="67E2923D" w:rsidR="002F1F96" w:rsidRPr="00030181" w:rsidRDefault="002F1F96" w:rsidP="005C5EBA">
      <w:pPr>
        <w:spacing w:line="360" w:lineRule="auto"/>
        <w:jc w:val="both"/>
        <w:rPr>
          <w:rFonts w:ascii="Arial" w:hAnsi="Arial" w:cs="Arial"/>
          <w:lang w:val="en-US"/>
        </w:rPr>
      </w:pPr>
      <w:r w:rsidRPr="00030181">
        <w:rPr>
          <w:rFonts w:ascii="Arial" w:hAnsi="Arial" w:cs="Arial"/>
        </w:rPr>
        <w:t xml:space="preserve">Overall, this review demonstrates that food safety and nutrition should not be viewed as separate components of care but as interdependent factors that </w:t>
      </w:r>
      <w:r w:rsidR="00AE53CB" w:rsidRPr="00030181">
        <w:rPr>
          <w:rFonts w:ascii="Arial" w:hAnsi="Arial" w:cs="Arial"/>
          <w:lang w:val="en-US"/>
        </w:rPr>
        <w:t xml:space="preserve">jointly </w:t>
      </w:r>
      <w:r w:rsidR="00FA2366" w:rsidRPr="00030181">
        <w:rPr>
          <w:rFonts w:ascii="Arial" w:hAnsi="Arial" w:cs="Arial"/>
        </w:rPr>
        <w:t>affect health</w:t>
      </w:r>
      <w:r w:rsidR="00FA2366" w:rsidRPr="00030181">
        <w:rPr>
          <w:rFonts w:ascii="Arial" w:hAnsi="Arial" w:cs="Arial"/>
          <w:lang w:val="en-US"/>
        </w:rPr>
        <w:t xml:space="preserve"> </w:t>
      </w:r>
      <w:r w:rsidR="00AE53CB" w:rsidRPr="00030181">
        <w:rPr>
          <w:rFonts w:ascii="Arial" w:hAnsi="Arial" w:cs="Arial"/>
          <w:lang w:val="en-US"/>
        </w:rPr>
        <w:t xml:space="preserve">and wellbeing of </w:t>
      </w:r>
      <w:r w:rsidR="00FA2366" w:rsidRPr="00030181">
        <w:rPr>
          <w:rFonts w:ascii="Arial" w:hAnsi="Arial" w:cs="Arial"/>
        </w:rPr>
        <w:t>older adults residing in care homes</w:t>
      </w:r>
      <w:r w:rsidR="00AE53CB" w:rsidRPr="00030181">
        <w:rPr>
          <w:rFonts w:ascii="Arial" w:hAnsi="Arial" w:cs="Arial"/>
          <w:lang w:val="en-US"/>
        </w:rPr>
        <w:t>.</w:t>
      </w:r>
      <w:r w:rsidRPr="00030181">
        <w:rPr>
          <w:rFonts w:ascii="Arial" w:hAnsi="Arial" w:cs="Arial"/>
        </w:rPr>
        <w:t xml:space="preserve"> The findings highlight that nutritional outcomes are shaped by interactions between individual health needs, staff practices, organisational systems, and wider policy influences, reflecting the principles of both the Social Ecological Model and Person-Centred Care. </w:t>
      </w:r>
      <w:r w:rsidR="00E31F07" w:rsidRPr="00030181">
        <w:rPr>
          <w:rFonts w:ascii="Arial" w:hAnsi="Arial" w:cs="Arial"/>
        </w:rPr>
        <w:t xml:space="preserve">Improving nutritional screening, hydration management, workforce capability, multidisciplinary collaboration, and diabetes-specific support therefore, the potential has to enhance resident wellbeing, reduce preventable complications, and promote safer, more effective care within UK care-home </w:t>
      </w:r>
      <w:r w:rsidR="00AE53CB" w:rsidRPr="00030181">
        <w:rPr>
          <w:rFonts w:ascii="Arial" w:hAnsi="Arial" w:cs="Arial"/>
          <w:lang w:val="en-US"/>
        </w:rPr>
        <w:t>environments</w:t>
      </w:r>
    </w:p>
    <w:p w14:paraId="072F4A69" w14:textId="77777777" w:rsidR="00525FA2" w:rsidRPr="00030181" w:rsidRDefault="00525FA2" w:rsidP="005C5EBA">
      <w:pPr>
        <w:pStyle w:val="Heading1"/>
        <w:spacing w:line="360" w:lineRule="auto"/>
        <w:rPr>
          <w:rFonts w:ascii="Arial" w:hAnsi="Arial" w:cs="Arial"/>
          <w:b/>
          <w:bCs/>
          <w:color w:val="auto"/>
          <w:sz w:val="22"/>
          <w:szCs w:val="22"/>
        </w:rPr>
      </w:pPr>
      <w:bookmarkStart w:id="74" w:name="_Toc231947593"/>
      <w:r w:rsidRPr="00030181">
        <w:rPr>
          <w:rFonts w:ascii="Arial" w:hAnsi="Arial" w:cs="Arial"/>
          <w:b/>
          <w:bCs/>
          <w:color w:val="auto"/>
          <w:sz w:val="22"/>
          <w:szCs w:val="22"/>
        </w:rPr>
        <w:t>6.2 Recommendations</w:t>
      </w:r>
      <w:bookmarkEnd w:id="74"/>
    </w:p>
    <w:p w14:paraId="3C464C60" w14:textId="77777777" w:rsidR="00525FA2" w:rsidRPr="00030181" w:rsidRDefault="00525FA2" w:rsidP="005C5EBA">
      <w:pPr>
        <w:pStyle w:val="Heading1"/>
        <w:spacing w:line="360" w:lineRule="auto"/>
        <w:rPr>
          <w:rFonts w:ascii="Arial" w:hAnsi="Arial" w:cs="Arial"/>
          <w:b/>
          <w:bCs/>
          <w:color w:val="auto"/>
          <w:sz w:val="22"/>
          <w:szCs w:val="22"/>
        </w:rPr>
      </w:pPr>
      <w:bookmarkStart w:id="75" w:name="_Toc231947594"/>
      <w:r w:rsidRPr="00030181">
        <w:rPr>
          <w:rFonts w:ascii="Arial" w:hAnsi="Arial" w:cs="Arial"/>
          <w:b/>
          <w:bCs/>
          <w:color w:val="auto"/>
          <w:sz w:val="22"/>
          <w:szCs w:val="22"/>
        </w:rPr>
        <w:t>6.2.1 Recommendations for Practice</w:t>
      </w:r>
      <w:bookmarkEnd w:id="75"/>
    </w:p>
    <w:p w14:paraId="6FECDB7C" w14:textId="58628903" w:rsidR="00525FA2" w:rsidRPr="00030181" w:rsidRDefault="00AE53CB" w:rsidP="005C5EBA">
      <w:pPr>
        <w:spacing w:line="360" w:lineRule="auto"/>
        <w:jc w:val="both"/>
        <w:rPr>
          <w:rFonts w:ascii="Arial" w:hAnsi="Arial" w:cs="Arial"/>
          <w:lang w:val="en-US"/>
        </w:rPr>
      </w:pPr>
      <w:r w:rsidRPr="00030181">
        <w:rPr>
          <w:rFonts w:ascii="Arial" w:hAnsi="Arial" w:cs="Arial"/>
          <w:lang w:val="en-US"/>
        </w:rPr>
        <w:t xml:space="preserve">The results </w:t>
      </w:r>
      <w:r w:rsidR="00525FA2" w:rsidRPr="00030181">
        <w:rPr>
          <w:rFonts w:ascii="Arial" w:hAnsi="Arial" w:cs="Arial"/>
        </w:rPr>
        <w:t xml:space="preserve">identified inconsistent nutritional screening and monitoring as recurring barriers to effective care. Care homes should therefore implement routine nutritional and hydration assessments using validated tools to support early identification of residents at </w:t>
      </w:r>
      <w:r w:rsidR="00FA2366" w:rsidRPr="00030181">
        <w:rPr>
          <w:rFonts w:ascii="Arial" w:hAnsi="Arial" w:cs="Arial"/>
        </w:rPr>
        <w:t>potential for</w:t>
      </w:r>
      <w:r w:rsidR="00FA2366" w:rsidRPr="00030181">
        <w:rPr>
          <w:rFonts w:ascii="Arial" w:hAnsi="Arial" w:cs="Arial"/>
          <w:lang w:val="en-US"/>
        </w:rPr>
        <w:t xml:space="preserve"> </w:t>
      </w:r>
      <w:r w:rsidRPr="00030181">
        <w:rPr>
          <w:rFonts w:ascii="Arial" w:hAnsi="Arial" w:cs="Arial"/>
          <w:lang w:val="en-US"/>
        </w:rPr>
        <w:t>malnutrition and fluid deficiency</w:t>
      </w:r>
      <w:r w:rsidR="00525FA2" w:rsidRPr="00030181">
        <w:rPr>
          <w:rFonts w:ascii="Arial" w:hAnsi="Arial" w:cs="Arial"/>
        </w:rPr>
        <w:t xml:space="preserve"> (Cereda et al., 2016; Madeira et al., 2019).</w:t>
      </w:r>
    </w:p>
    <w:p w14:paraId="6CAD115D" w14:textId="77777777" w:rsidR="00525FA2" w:rsidRPr="00030181" w:rsidRDefault="00525FA2" w:rsidP="005C5EBA">
      <w:pPr>
        <w:spacing w:line="360" w:lineRule="auto"/>
        <w:jc w:val="both"/>
        <w:rPr>
          <w:rFonts w:ascii="Arial" w:hAnsi="Arial" w:cs="Arial"/>
        </w:rPr>
      </w:pPr>
      <w:r w:rsidRPr="00030181">
        <w:rPr>
          <w:rFonts w:ascii="Arial" w:hAnsi="Arial" w:cs="Arial"/>
        </w:rPr>
        <w:t>Evidence also highlighted staff knowledge deficits and variation in practice relating to nutrition, hydration, and diabetes management. Regular training programmes and competency-based education should therefore be provided to strengthen workforce capability and improve consistency of care delivery (Bamford et al., 2012; Charlesworth, 2016).</w:t>
      </w:r>
    </w:p>
    <w:p w14:paraId="46801D96" w14:textId="77777777" w:rsidR="00525FA2" w:rsidRPr="00030181" w:rsidRDefault="00525FA2" w:rsidP="005C5EBA">
      <w:pPr>
        <w:spacing w:line="360" w:lineRule="auto"/>
        <w:jc w:val="both"/>
        <w:rPr>
          <w:rFonts w:ascii="Arial" w:hAnsi="Arial" w:cs="Arial"/>
        </w:rPr>
      </w:pPr>
      <w:r w:rsidRPr="00030181">
        <w:rPr>
          <w:rFonts w:ascii="Arial" w:hAnsi="Arial" w:cs="Arial"/>
        </w:rPr>
        <w:t>As multidisciplinary collaboration was consistently associated with improved nutritional outcomes, stronger communication between care staff, nurses, dietitians, catering teams, and other healthcare professionals should be encouraged to support coordinated care planning and management of complex nutritional needs (Romano and Minns Lowe, 2022; Liu et al., 2024).</w:t>
      </w:r>
    </w:p>
    <w:p w14:paraId="3BFBE69F" w14:textId="1AC4F014" w:rsidR="00525FA2" w:rsidRPr="00030181" w:rsidRDefault="00525FA2" w:rsidP="005C5EBA">
      <w:pPr>
        <w:spacing w:line="360" w:lineRule="auto"/>
        <w:jc w:val="both"/>
        <w:rPr>
          <w:rFonts w:ascii="Arial" w:hAnsi="Arial" w:cs="Arial"/>
          <w:lang w:val="en-US"/>
        </w:rPr>
      </w:pPr>
      <w:r w:rsidRPr="00030181">
        <w:rPr>
          <w:rFonts w:ascii="Arial" w:hAnsi="Arial" w:cs="Arial"/>
        </w:rPr>
        <w:t xml:space="preserve">The review further </w:t>
      </w:r>
      <w:r w:rsidR="00AE53CB" w:rsidRPr="00030181">
        <w:rPr>
          <w:rFonts w:ascii="Arial" w:hAnsi="Arial" w:cs="Arial"/>
          <w:lang w:val="en-US"/>
        </w:rPr>
        <w:t xml:space="preserve">demonstrated the importance of individual-centred approaches. </w:t>
      </w:r>
      <w:r w:rsidRPr="00030181">
        <w:rPr>
          <w:rFonts w:ascii="Arial" w:hAnsi="Arial" w:cs="Arial"/>
        </w:rPr>
        <w:t>Care homes should therefore ensure that nutritional care plans reflect residents’ preferences, cultural requirements, medical conditions, and functional abilities to improve dietary intake and overall wellbeing (Watkins et al., 2017; Onuorah et al., 2025).</w:t>
      </w:r>
    </w:p>
    <w:p w14:paraId="5EE4F6F4" w14:textId="77777777" w:rsidR="002F1F96" w:rsidRPr="00030181" w:rsidRDefault="002F1F96" w:rsidP="005C5EBA">
      <w:pPr>
        <w:pStyle w:val="Heading1"/>
        <w:spacing w:line="360" w:lineRule="auto"/>
        <w:rPr>
          <w:rFonts w:ascii="Arial" w:hAnsi="Arial" w:cs="Arial"/>
          <w:b/>
          <w:bCs/>
          <w:color w:val="000000" w:themeColor="text1"/>
          <w:sz w:val="22"/>
          <w:szCs w:val="22"/>
        </w:rPr>
      </w:pPr>
      <w:bookmarkStart w:id="76" w:name="_Toc231947595"/>
      <w:r w:rsidRPr="00030181">
        <w:rPr>
          <w:rFonts w:ascii="Arial" w:hAnsi="Arial" w:cs="Arial"/>
          <w:b/>
          <w:bCs/>
          <w:color w:val="000000" w:themeColor="text1"/>
          <w:sz w:val="22"/>
          <w:szCs w:val="22"/>
        </w:rPr>
        <w:lastRenderedPageBreak/>
        <w:t>6.2.2 Recommendations for Future Research</w:t>
      </w:r>
      <w:bookmarkEnd w:id="76"/>
    </w:p>
    <w:p w14:paraId="10E2EABA" w14:textId="2397A017" w:rsidR="002F1F96" w:rsidRPr="00030181" w:rsidRDefault="002F1F96" w:rsidP="005C5EBA">
      <w:pPr>
        <w:spacing w:line="360" w:lineRule="auto"/>
        <w:jc w:val="both"/>
        <w:rPr>
          <w:rFonts w:ascii="Arial" w:hAnsi="Arial" w:cs="Arial"/>
        </w:rPr>
      </w:pPr>
      <w:r w:rsidRPr="00030181">
        <w:rPr>
          <w:rFonts w:ascii="Arial" w:hAnsi="Arial" w:cs="Arial"/>
        </w:rPr>
        <w:t xml:space="preserve">A major </w:t>
      </w:r>
      <w:r w:rsidR="00FA2366" w:rsidRPr="00030181">
        <w:rPr>
          <w:rFonts w:ascii="Arial" w:hAnsi="Arial" w:cs="Arial"/>
        </w:rPr>
        <w:t>restriction of the</w:t>
      </w:r>
      <w:r w:rsidR="00FA2366" w:rsidRPr="00030181">
        <w:rPr>
          <w:rFonts w:ascii="Arial" w:hAnsi="Arial" w:cs="Arial"/>
        </w:rPr>
        <w:t xml:space="preserve"> </w:t>
      </w:r>
      <w:r w:rsidRPr="00030181">
        <w:rPr>
          <w:rFonts w:ascii="Arial" w:hAnsi="Arial" w:cs="Arial"/>
        </w:rPr>
        <w:t xml:space="preserve">existing evidence base is the scarcity of UK-specific research examining food safety and nutrition as integrated components of care. </w:t>
      </w:r>
      <w:r w:rsidR="00E31F07" w:rsidRPr="00030181">
        <w:rPr>
          <w:rFonts w:ascii="Arial" w:hAnsi="Arial" w:cs="Arial"/>
        </w:rPr>
        <w:t>Future UK-based research should investigate how integrated food safety and nutritional interventions influence health outcomes among older care-home residents</w:t>
      </w:r>
      <w:r w:rsidRPr="00030181">
        <w:rPr>
          <w:rFonts w:ascii="Arial" w:hAnsi="Arial" w:cs="Arial"/>
        </w:rPr>
        <w:t>, particularly as these areas are frequently studied separately despite their interrelated effects on resident wellbeing.</w:t>
      </w:r>
    </w:p>
    <w:p w14:paraId="6C538D40" w14:textId="6252D82B" w:rsidR="002F1F96" w:rsidRPr="00030181" w:rsidRDefault="00AE53CB" w:rsidP="005C5EBA">
      <w:pPr>
        <w:spacing w:line="360" w:lineRule="auto"/>
        <w:jc w:val="both"/>
        <w:rPr>
          <w:rFonts w:ascii="Arial" w:hAnsi="Arial" w:cs="Arial"/>
          <w:lang w:val="en-US"/>
        </w:rPr>
      </w:pPr>
      <w:r w:rsidRPr="00030181">
        <w:rPr>
          <w:rFonts w:ascii="Arial" w:hAnsi="Arial" w:cs="Arial"/>
          <w:lang w:val="en-US"/>
        </w:rPr>
        <w:t xml:space="preserve">The predominance of cross-sectional research also restricts understanding of causal relationships between </w:t>
      </w:r>
      <w:r w:rsidR="002F1F96" w:rsidRPr="00030181">
        <w:rPr>
          <w:rFonts w:ascii="Arial" w:hAnsi="Arial" w:cs="Arial"/>
        </w:rPr>
        <w:t>food safety and nutrition practices and health outcomes.</w:t>
      </w:r>
      <w:r w:rsidR="00FA2366" w:rsidRPr="00030181">
        <w:rPr>
          <w:rFonts w:ascii="Arial" w:hAnsi="Arial" w:cs="Arial"/>
        </w:rPr>
        <w:t xml:space="preserve"> </w:t>
      </w:r>
      <w:r w:rsidR="00FA2366" w:rsidRPr="00030181">
        <w:rPr>
          <w:rFonts w:ascii="Arial" w:hAnsi="Arial" w:cs="Arial"/>
        </w:rPr>
        <w:t>Future long-term and programme-based research is therefore needed to assess the sustained effectiveness of nutritional screening, hydration management, multidisciplinary interventions, and food safety initiatives on resident outcomes (Madeira et al., 2019; Ran et al., 2023).</w:t>
      </w:r>
    </w:p>
    <w:p w14:paraId="5C5ECC7B" w14:textId="3BF44026" w:rsidR="002F1F96" w:rsidRPr="00030181" w:rsidRDefault="002F1F96" w:rsidP="005C5EBA">
      <w:pPr>
        <w:spacing w:line="360" w:lineRule="auto"/>
        <w:jc w:val="both"/>
        <w:rPr>
          <w:rFonts w:ascii="Arial" w:hAnsi="Arial" w:cs="Arial"/>
          <w:lang w:val="en-US"/>
        </w:rPr>
      </w:pPr>
      <w:r w:rsidRPr="00030181">
        <w:rPr>
          <w:rFonts w:ascii="Arial" w:hAnsi="Arial" w:cs="Arial"/>
        </w:rPr>
        <w:t xml:space="preserve">Further research should explore effective strategies for supporting older residents with type 2 diabetes, particularly regarding dietary management, health literacy, cultural influences, and personalised nutritional interventions within residential care settings (Onuorah et al., 2025; Sinclair et al., 2020). </w:t>
      </w:r>
      <w:r w:rsidR="00FA2366" w:rsidRPr="00030181">
        <w:rPr>
          <w:rFonts w:ascii="Arial" w:hAnsi="Arial" w:cs="Arial"/>
        </w:rPr>
        <w:t>Given the limited availability of</w:t>
      </w:r>
      <w:r w:rsidR="00FA2366" w:rsidRPr="00030181">
        <w:rPr>
          <w:rFonts w:ascii="Arial" w:hAnsi="Arial" w:cs="Arial"/>
        </w:rPr>
        <w:t xml:space="preserve"> </w:t>
      </w:r>
      <w:r w:rsidRPr="00030181">
        <w:rPr>
          <w:rFonts w:ascii="Arial" w:hAnsi="Arial" w:cs="Arial"/>
        </w:rPr>
        <w:t xml:space="preserve">diabetes-specific care-home research within the UK, future studies should also </w:t>
      </w:r>
      <w:r w:rsidR="00AE53CB" w:rsidRPr="00030181">
        <w:rPr>
          <w:rFonts w:ascii="Arial" w:hAnsi="Arial" w:cs="Arial"/>
          <w:lang w:val="en-US"/>
        </w:rPr>
        <w:t>assess the effectiveness of personali</w:t>
      </w:r>
      <w:r w:rsidR="000D6E1E" w:rsidRPr="00030181">
        <w:rPr>
          <w:rFonts w:ascii="Arial" w:hAnsi="Arial" w:cs="Arial"/>
          <w:lang w:val="en-US"/>
        </w:rPr>
        <w:t>z</w:t>
      </w:r>
      <w:r w:rsidR="00AE53CB" w:rsidRPr="00030181">
        <w:rPr>
          <w:rFonts w:ascii="Arial" w:hAnsi="Arial" w:cs="Arial"/>
          <w:lang w:val="en-US"/>
        </w:rPr>
        <w:t>ed nutritional</w:t>
      </w:r>
      <w:r w:rsidRPr="00030181">
        <w:rPr>
          <w:rFonts w:ascii="Arial" w:hAnsi="Arial" w:cs="Arial"/>
        </w:rPr>
        <w:t xml:space="preserve"> and diabetes-management programmes in improving glycaemic control, reducing complications, and enhancing quality of life among care-home residents.</w:t>
      </w:r>
    </w:p>
    <w:p w14:paraId="3BD76AD1" w14:textId="7847BDA0" w:rsidR="002F1F96" w:rsidRPr="00030181" w:rsidRDefault="002F1F96" w:rsidP="005C5EBA">
      <w:pPr>
        <w:spacing w:line="360" w:lineRule="auto"/>
        <w:jc w:val="both"/>
        <w:rPr>
          <w:rFonts w:ascii="Arial" w:hAnsi="Arial" w:cs="Arial"/>
          <w:lang w:val="en-US"/>
        </w:rPr>
      </w:pPr>
      <w:r w:rsidRPr="00030181">
        <w:rPr>
          <w:rFonts w:ascii="Arial" w:hAnsi="Arial" w:cs="Arial"/>
        </w:rPr>
        <w:t xml:space="preserve">Finally, future research should examine how organisational factors such as staffing levels, workforce training, leadership support, and multidisciplinary collaboration influence </w:t>
      </w:r>
      <w:r w:rsidR="001F77DA" w:rsidRPr="00030181">
        <w:rPr>
          <w:rFonts w:ascii="Arial" w:hAnsi="Arial" w:cs="Arial"/>
          <w:lang w:val="en-US"/>
        </w:rPr>
        <w:t>the implementation of food safety and nutritional policies</w:t>
      </w:r>
      <w:r w:rsidRPr="00030181">
        <w:rPr>
          <w:rFonts w:ascii="Arial" w:hAnsi="Arial" w:cs="Arial"/>
        </w:rPr>
        <w:t xml:space="preserve"> in care-home settings. Such evidence would support </w:t>
      </w:r>
      <w:r w:rsidR="001F77DA" w:rsidRPr="00030181">
        <w:rPr>
          <w:rFonts w:ascii="Arial" w:hAnsi="Arial" w:cs="Arial"/>
          <w:lang w:val="en-US"/>
        </w:rPr>
        <w:t xml:space="preserve">the creation of more effective </w:t>
      </w:r>
      <w:r w:rsidRPr="00030181">
        <w:rPr>
          <w:rFonts w:ascii="Arial" w:hAnsi="Arial" w:cs="Arial"/>
        </w:rPr>
        <w:t xml:space="preserve">and </w:t>
      </w:r>
      <w:r w:rsidR="001F77DA" w:rsidRPr="00030181">
        <w:rPr>
          <w:rFonts w:ascii="Arial" w:hAnsi="Arial" w:cs="Arial"/>
          <w:lang w:val="en-US"/>
        </w:rPr>
        <w:t>sustainable approaches for improving resident health outcomes and</w:t>
      </w:r>
      <w:r w:rsidRPr="00030181">
        <w:rPr>
          <w:rFonts w:ascii="Arial" w:hAnsi="Arial" w:cs="Arial"/>
        </w:rPr>
        <w:t xml:space="preserve"> quality of care.</w:t>
      </w:r>
    </w:p>
    <w:p w14:paraId="720985D8" w14:textId="75EE3640" w:rsidR="00525FA2" w:rsidRPr="00030181" w:rsidRDefault="00525FA2" w:rsidP="005C5EBA">
      <w:pPr>
        <w:spacing w:line="360" w:lineRule="auto"/>
        <w:jc w:val="both"/>
        <w:rPr>
          <w:rFonts w:ascii="Arial" w:hAnsi="Arial" w:cs="Arial"/>
        </w:rPr>
      </w:pPr>
    </w:p>
    <w:p w14:paraId="12E08E8F" w14:textId="77777777" w:rsidR="00525FA2" w:rsidRPr="00030181" w:rsidRDefault="00525FA2" w:rsidP="005C5EBA">
      <w:pPr>
        <w:spacing w:line="360" w:lineRule="auto"/>
        <w:jc w:val="both"/>
        <w:rPr>
          <w:rFonts w:ascii="Arial" w:hAnsi="Arial" w:cs="Arial"/>
        </w:rPr>
      </w:pPr>
    </w:p>
    <w:p w14:paraId="379CA4B4" w14:textId="77777777" w:rsidR="00BE7EC3" w:rsidRPr="00030181" w:rsidRDefault="00BE7EC3" w:rsidP="005C5EBA">
      <w:pPr>
        <w:spacing w:line="360" w:lineRule="auto"/>
        <w:jc w:val="both"/>
        <w:rPr>
          <w:rFonts w:ascii="Arial" w:hAnsi="Arial" w:cs="Arial"/>
        </w:rPr>
      </w:pPr>
    </w:p>
    <w:p w14:paraId="0B7D44CB" w14:textId="77777777" w:rsidR="00BE7EC3" w:rsidRPr="00030181" w:rsidRDefault="00BE7EC3" w:rsidP="005C5EBA">
      <w:pPr>
        <w:spacing w:line="360" w:lineRule="auto"/>
        <w:jc w:val="both"/>
        <w:rPr>
          <w:rFonts w:ascii="Arial" w:hAnsi="Arial" w:cs="Arial"/>
        </w:rPr>
      </w:pPr>
    </w:p>
    <w:p w14:paraId="1C04ED99" w14:textId="77777777" w:rsidR="00BE7EC3" w:rsidRPr="00030181" w:rsidRDefault="00BE7EC3" w:rsidP="005C5EBA">
      <w:pPr>
        <w:spacing w:line="360" w:lineRule="auto"/>
        <w:jc w:val="both"/>
        <w:rPr>
          <w:rFonts w:ascii="Arial" w:hAnsi="Arial" w:cs="Arial"/>
        </w:rPr>
      </w:pPr>
    </w:p>
    <w:p w14:paraId="397823B2" w14:textId="77777777" w:rsidR="00BE7EC3" w:rsidRPr="00030181" w:rsidRDefault="00BE7EC3" w:rsidP="005C5EBA">
      <w:pPr>
        <w:spacing w:line="360" w:lineRule="auto"/>
        <w:jc w:val="both"/>
        <w:rPr>
          <w:rFonts w:ascii="Arial" w:hAnsi="Arial" w:cs="Arial"/>
        </w:rPr>
      </w:pPr>
    </w:p>
    <w:p w14:paraId="26A89661" w14:textId="77777777" w:rsidR="00525FA2" w:rsidRPr="00030181" w:rsidRDefault="00525FA2" w:rsidP="005C5EBA">
      <w:pPr>
        <w:spacing w:line="360" w:lineRule="auto"/>
        <w:jc w:val="both"/>
        <w:rPr>
          <w:rFonts w:ascii="Arial" w:hAnsi="Arial" w:cs="Arial"/>
        </w:rPr>
      </w:pPr>
    </w:p>
    <w:p w14:paraId="758C2A47" w14:textId="77777777" w:rsidR="003E3370" w:rsidRPr="00030181" w:rsidRDefault="003E3370" w:rsidP="005C5EBA">
      <w:pPr>
        <w:spacing w:line="360" w:lineRule="auto"/>
        <w:jc w:val="both"/>
        <w:rPr>
          <w:rFonts w:ascii="Arial" w:hAnsi="Arial" w:cs="Arial"/>
        </w:rPr>
      </w:pPr>
    </w:p>
    <w:p w14:paraId="0D83C536" w14:textId="77777777" w:rsidR="00525FA2" w:rsidRPr="00030181" w:rsidRDefault="00525FA2" w:rsidP="005C5EBA">
      <w:pPr>
        <w:spacing w:line="360" w:lineRule="auto"/>
        <w:jc w:val="both"/>
        <w:rPr>
          <w:rFonts w:ascii="Arial" w:hAnsi="Arial" w:cs="Arial"/>
        </w:rPr>
      </w:pPr>
    </w:p>
    <w:p w14:paraId="68FA0721" w14:textId="77777777" w:rsidR="00525FA2" w:rsidRPr="00030181" w:rsidRDefault="00525FA2" w:rsidP="005C5EBA">
      <w:pPr>
        <w:spacing w:line="360" w:lineRule="auto"/>
        <w:jc w:val="both"/>
        <w:rPr>
          <w:rFonts w:ascii="Arial" w:hAnsi="Arial" w:cs="Arial"/>
        </w:rPr>
      </w:pPr>
    </w:p>
    <w:p w14:paraId="6C7775A0" w14:textId="77777777" w:rsidR="0012285F" w:rsidRPr="00030181" w:rsidRDefault="0012285F" w:rsidP="005C5EBA">
      <w:pPr>
        <w:spacing w:line="360" w:lineRule="auto"/>
        <w:jc w:val="both"/>
        <w:rPr>
          <w:rFonts w:ascii="Arial" w:hAnsi="Arial" w:cs="Arial"/>
          <w:b/>
          <w:bCs/>
        </w:rPr>
      </w:pPr>
    </w:p>
    <w:p w14:paraId="083C096F" w14:textId="1D3ED18B" w:rsidR="00970A88" w:rsidRPr="00030181" w:rsidRDefault="003E3370" w:rsidP="005C5EBA">
      <w:pPr>
        <w:pStyle w:val="Heading1"/>
        <w:spacing w:line="360" w:lineRule="auto"/>
        <w:rPr>
          <w:rFonts w:ascii="Arial" w:hAnsi="Arial" w:cs="Arial"/>
          <w:b/>
          <w:bCs/>
          <w:color w:val="auto"/>
          <w:sz w:val="28"/>
          <w:szCs w:val="28"/>
        </w:rPr>
      </w:pPr>
      <w:bookmarkStart w:id="77" w:name="_Toc231947596"/>
      <w:r w:rsidRPr="00030181">
        <w:rPr>
          <w:rFonts w:ascii="Arial" w:hAnsi="Arial" w:cs="Arial"/>
          <w:b/>
          <w:bCs/>
          <w:color w:val="auto"/>
          <w:sz w:val="28"/>
          <w:szCs w:val="28"/>
        </w:rPr>
        <w:t>REFERENCE:</w:t>
      </w:r>
      <w:bookmarkEnd w:id="77"/>
      <w:r w:rsidRPr="00030181">
        <w:rPr>
          <w:rFonts w:ascii="Arial" w:hAnsi="Arial" w:cs="Arial"/>
          <w:b/>
          <w:bCs/>
          <w:color w:val="auto"/>
          <w:sz w:val="28"/>
          <w:szCs w:val="28"/>
        </w:rPr>
        <w:t xml:space="preserve"> </w:t>
      </w:r>
    </w:p>
    <w:p w14:paraId="0242ADC3"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Abbott, R.A., Whear, R., Thompson-Coon, J. et al. (2013) ‘Effectiveness of mealtime interventions on nutritional outcomes’, Ageing Research Reviews, 12(4), pp. 967–981. Available at: </w:t>
      </w:r>
      <w:hyperlink r:id="rId22" w:history="1">
        <w:r w:rsidRPr="00030181">
          <w:rPr>
            <w:rStyle w:val="Hyperlink"/>
            <w:rFonts w:ascii="Arial" w:hAnsi="Arial" w:cs="Arial"/>
          </w:rPr>
          <w:t>https://doi.org/10.1016/j.arr.2013.06.002</w:t>
        </w:r>
      </w:hyperlink>
      <w:r w:rsidRPr="00030181">
        <w:rPr>
          <w:rFonts w:ascii="Arial" w:hAnsi="Arial" w:cs="Arial"/>
        </w:rPr>
        <w:t xml:space="preserve"> (Accessed: 30 May 2026).</w:t>
      </w:r>
    </w:p>
    <w:p w14:paraId="5310BB6D"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Abizanda, P., Sinclair, A. and Rodríguez-Mañas, L. (2019) ‘Diabetes and frailty’, Diabetes Care, 42(7), pp. 1164–1171. Available at: </w:t>
      </w:r>
      <w:hyperlink r:id="rId23" w:history="1">
        <w:r w:rsidRPr="00030181">
          <w:rPr>
            <w:rStyle w:val="Hyperlink"/>
            <w:rFonts w:ascii="Arial" w:hAnsi="Arial" w:cs="Arial"/>
          </w:rPr>
          <w:t>https://doi.org/10.2337/dc18-2665</w:t>
        </w:r>
      </w:hyperlink>
      <w:r w:rsidRPr="00030181">
        <w:rPr>
          <w:rFonts w:ascii="Arial" w:hAnsi="Arial" w:cs="Arial"/>
        </w:rPr>
        <w:t xml:space="preserve">  (Accessed: 30 May 2026).</w:t>
      </w:r>
    </w:p>
    <w:p w14:paraId="43F3172C"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Afshin, A., Sur, P.J., Fay, K.A. et al. (2019) ‘Health effects of dietary risks in 195 countries, 1990–2017: a systematic analysis for the Global Burden of Disease Study 2017’, The Lancet, 393(10184), pp. 1958–1972. Available at: </w:t>
      </w:r>
      <w:hyperlink r:id="rId24" w:history="1">
        <w:r w:rsidRPr="00030181">
          <w:rPr>
            <w:rStyle w:val="Hyperlink"/>
            <w:rFonts w:ascii="Arial" w:hAnsi="Arial" w:cs="Arial"/>
          </w:rPr>
          <w:t>https://doi.org/10.1016/S0140-6736(19)30041-8</w:t>
        </w:r>
      </w:hyperlink>
      <w:r w:rsidRPr="00030181">
        <w:rPr>
          <w:rFonts w:ascii="Arial" w:hAnsi="Arial" w:cs="Arial"/>
        </w:rPr>
        <w:t xml:space="preserve">  (Accessed: 30 May 2026).</w:t>
      </w:r>
    </w:p>
    <w:p w14:paraId="5FCCC3E8"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Agarwal, E., Miller, M., Yaxley, A. and Isenring, E. (2013) ‘Malnutrition in the elderly: a narrative review’, Maturitas, 76(4), pp. 296–302. Available at: </w:t>
      </w:r>
      <w:hyperlink r:id="rId25" w:history="1">
        <w:r w:rsidRPr="00030181">
          <w:rPr>
            <w:rStyle w:val="Hyperlink"/>
            <w:rFonts w:ascii="Arial" w:hAnsi="Arial" w:cs="Arial"/>
          </w:rPr>
          <w:t>https://doi.org/10.1016/j.maturitas.2013.07.013</w:t>
        </w:r>
      </w:hyperlink>
      <w:r w:rsidRPr="00030181">
        <w:rPr>
          <w:rFonts w:ascii="Arial" w:hAnsi="Arial" w:cs="Arial"/>
        </w:rPr>
        <w:t xml:space="preserve"> (Accessed: 30 May 2026).</w:t>
      </w:r>
    </w:p>
    <w:p w14:paraId="4D847BB7"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Age UK (2023) Later Life in the United Kingdom. Available at: </w:t>
      </w:r>
      <w:hyperlink r:id="rId26" w:history="1">
        <w:r w:rsidRPr="00030181">
          <w:rPr>
            <w:rStyle w:val="Hyperlink"/>
            <w:rFonts w:ascii="Arial" w:hAnsi="Arial" w:cs="Arial"/>
          </w:rPr>
          <w:t>https://www.ageuk.org.uk/latest-press/articles/later-life-in-the-united-kingdom</w:t>
        </w:r>
      </w:hyperlink>
      <w:r w:rsidRPr="00030181">
        <w:rPr>
          <w:rFonts w:ascii="Arial" w:hAnsi="Arial" w:cs="Arial"/>
        </w:rPr>
        <w:t xml:space="preserve"> (Accessed: 30 May 2026).</w:t>
      </w:r>
    </w:p>
    <w:p w14:paraId="6E8AEC8D"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Age UK (2024) Health and Wellbeing in Later Life. Available at: </w:t>
      </w:r>
      <w:hyperlink r:id="rId27" w:history="1">
        <w:r w:rsidRPr="00030181">
          <w:rPr>
            <w:rStyle w:val="Hyperlink"/>
            <w:rFonts w:ascii="Arial" w:hAnsi="Arial" w:cs="Arial"/>
          </w:rPr>
          <w:t>https://www.ageuk.org.uk</w:t>
        </w:r>
      </w:hyperlink>
      <w:r w:rsidRPr="00030181">
        <w:rPr>
          <w:rFonts w:ascii="Arial" w:hAnsi="Arial" w:cs="Arial"/>
        </w:rPr>
        <w:t xml:space="preserve"> (Accessed: 30 May 2026).</w:t>
      </w:r>
    </w:p>
    <w:p w14:paraId="62A1CB97"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Ahmed, T. and Haboubi, N. (2010) ‘Assessment and management of nutrition in older people’, Clinical Interventions in Aging, 5, pp. 207–216. Available at: </w:t>
      </w:r>
      <w:hyperlink r:id="rId28" w:history="1">
        <w:r w:rsidRPr="00030181">
          <w:rPr>
            <w:rStyle w:val="Hyperlink"/>
            <w:rFonts w:ascii="Arial" w:hAnsi="Arial" w:cs="Arial"/>
          </w:rPr>
          <w:t>https://doi.org/10.2147/CIA.S9664</w:t>
        </w:r>
      </w:hyperlink>
      <w:r w:rsidRPr="00030181">
        <w:rPr>
          <w:rFonts w:ascii="Arial" w:hAnsi="Arial" w:cs="Arial"/>
        </w:rPr>
        <w:t xml:space="preserve"> (Accessed: 30 May 2026).</w:t>
      </w:r>
    </w:p>
    <w:p w14:paraId="740C4F1F"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Alzheimer’s Society (2023) Eating and drinking. Available at: </w:t>
      </w:r>
      <w:hyperlink r:id="rId29" w:history="1">
        <w:r w:rsidRPr="00030181">
          <w:rPr>
            <w:rStyle w:val="Hyperlink"/>
            <w:rFonts w:ascii="Arial" w:hAnsi="Arial" w:cs="Arial"/>
          </w:rPr>
          <w:t>https://www.alzheimers.org.uk/get-support/daily-living/eating-and-drinking</w:t>
        </w:r>
      </w:hyperlink>
      <w:r w:rsidRPr="00030181">
        <w:rPr>
          <w:rFonts w:ascii="Arial" w:hAnsi="Arial" w:cs="Arial"/>
        </w:rPr>
        <w:t xml:space="preserve"> (Accessed: 30 May 2026).</w:t>
      </w:r>
    </w:p>
    <w:p w14:paraId="17444E5A"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American Diabetes Association (2024) ‘Older adults: Standards of Care in Diabetes’, Diabetes Care, 47(Supplement 1). Available at: </w:t>
      </w:r>
      <w:hyperlink r:id="rId30" w:history="1">
        <w:r w:rsidRPr="00030181">
          <w:rPr>
            <w:rStyle w:val="Hyperlink"/>
            <w:rFonts w:ascii="Arial" w:hAnsi="Arial" w:cs="Arial"/>
          </w:rPr>
          <w:t>https://diabetesjournals.org/care</w:t>
        </w:r>
      </w:hyperlink>
      <w:r w:rsidRPr="00030181">
        <w:rPr>
          <w:rFonts w:ascii="Arial" w:hAnsi="Arial" w:cs="Arial"/>
        </w:rPr>
        <w:t xml:space="preserve"> (Accessed: 30 May 2026).</w:t>
      </w:r>
    </w:p>
    <w:p w14:paraId="327E905D" w14:textId="77777777" w:rsidR="00E17875" w:rsidRPr="00030181" w:rsidRDefault="00E17875" w:rsidP="005C5EBA">
      <w:pPr>
        <w:spacing w:line="360" w:lineRule="auto"/>
        <w:jc w:val="both"/>
        <w:rPr>
          <w:rFonts w:ascii="Arial" w:hAnsi="Arial" w:cs="Arial"/>
        </w:rPr>
      </w:pPr>
      <w:r w:rsidRPr="00030181">
        <w:rPr>
          <w:rFonts w:ascii="Arial" w:hAnsi="Arial" w:cs="Arial"/>
        </w:rPr>
        <w:lastRenderedPageBreak/>
        <w:t xml:space="preserve">Aromataris, E. and Munn, Z. (2020) JBI Manual for Evidence Synthesis. Available at: </w:t>
      </w:r>
      <w:hyperlink r:id="rId31" w:history="1">
        <w:r w:rsidRPr="00030181">
          <w:rPr>
            <w:rStyle w:val="Hyperlink"/>
            <w:rFonts w:ascii="Arial" w:hAnsi="Arial" w:cs="Arial"/>
          </w:rPr>
          <w:t>https://synthesismanual.jbi.global</w:t>
        </w:r>
      </w:hyperlink>
      <w:r w:rsidRPr="00030181">
        <w:rPr>
          <w:rFonts w:ascii="Arial" w:hAnsi="Arial" w:cs="Arial"/>
        </w:rPr>
        <w:t xml:space="preserve"> (Accessed: 30 May 2026).</w:t>
      </w:r>
    </w:p>
    <w:p w14:paraId="3C750612"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Babatola, O. (2023) ‘Food safety compliance and staff training in residential care facilities’, International Journal of Environmental Health Research, 33(4), pp. 421–434. Available at: </w:t>
      </w:r>
      <w:hyperlink r:id="rId32" w:history="1">
        <w:r w:rsidRPr="00030181">
          <w:rPr>
            <w:rStyle w:val="Hyperlink"/>
            <w:rFonts w:ascii="Arial" w:hAnsi="Arial" w:cs="Arial"/>
          </w:rPr>
          <w:t>https://www.tandfonline.com/journals/cije20</w:t>
        </w:r>
      </w:hyperlink>
      <w:r w:rsidRPr="00030181">
        <w:rPr>
          <w:rFonts w:ascii="Arial" w:hAnsi="Arial" w:cs="Arial"/>
        </w:rPr>
        <w:t xml:space="preserve"> (Accessed: 30 May 2026).</w:t>
      </w:r>
    </w:p>
    <w:p w14:paraId="7076A28C"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Babatola, O. (2023) ‘Perceptions of food business operators in relation to official food control and food safety’, British Food Journal. Available at: </w:t>
      </w:r>
      <w:hyperlink r:id="rId33" w:history="1">
        <w:r w:rsidRPr="00030181">
          <w:rPr>
            <w:rStyle w:val="Hyperlink"/>
            <w:rFonts w:ascii="Arial" w:hAnsi="Arial" w:cs="Arial"/>
          </w:rPr>
          <w:t>https://doi.org/10.1108/BFJ-08-2022-0715</w:t>
        </w:r>
      </w:hyperlink>
      <w:r w:rsidRPr="00030181">
        <w:rPr>
          <w:rFonts w:ascii="Arial" w:hAnsi="Arial" w:cs="Arial"/>
        </w:rPr>
        <w:t xml:space="preserve"> (Accessed: 30 May 2026).</w:t>
      </w:r>
    </w:p>
    <w:p w14:paraId="1246D60A"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Bailey, S.C. et al. (2014) ‘Health literacy and chronic disease management’, Annual Review of Public Health, 35, pp. 197–216. Available at: </w:t>
      </w:r>
      <w:hyperlink r:id="rId34" w:history="1">
        <w:r w:rsidRPr="00030181">
          <w:rPr>
            <w:rStyle w:val="Hyperlink"/>
            <w:rFonts w:ascii="Arial" w:hAnsi="Arial" w:cs="Arial"/>
          </w:rPr>
          <w:t>https://doi.org/10.1146/annurev-publhealth-032013-182510</w:t>
        </w:r>
      </w:hyperlink>
      <w:r w:rsidRPr="00030181">
        <w:rPr>
          <w:rFonts w:ascii="Arial" w:hAnsi="Arial" w:cs="Arial"/>
        </w:rPr>
        <w:t xml:space="preserve"> (Accessed: 30 May 2026).</w:t>
      </w:r>
    </w:p>
    <w:p w14:paraId="428DF6CE"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Bamford, C., Heaven, B., May, C. et al. (2012) ‘Implementing nutrition guidelines for older people in residential care homes’, Implementation Science, 7, 106. Available at: </w:t>
      </w:r>
      <w:hyperlink r:id="rId35" w:history="1">
        <w:r w:rsidRPr="00030181">
          <w:rPr>
            <w:rStyle w:val="Hyperlink"/>
            <w:rFonts w:ascii="Arial" w:hAnsi="Arial" w:cs="Arial"/>
          </w:rPr>
          <w:t>https://doi.org/10.1186/1748-5908-7-106</w:t>
        </w:r>
      </w:hyperlink>
      <w:r w:rsidRPr="00030181">
        <w:rPr>
          <w:rFonts w:ascii="Arial" w:hAnsi="Arial" w:cs="Arial"/>
        </w:rPr>
        <w:t xml:space="preserve"> (Accessed: 30 May 2026).</w:t>
      </w:r>
    </w:p>
    <w:p w14:paraId="5B420703"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Bamford, P., Tyler, M., Moore, R. and Hutchinson, A. (2012) Improving Food Safety Culture in Care Settings. Available at: </w:t>
      </w:r>
      <w:hyperlink r:id="rId36" w:history="1">
        <w:r w:rsidRPr="00030181">
          <w:rPr>
            <w:rStyle w:val="Hyperlink"/>
            <w:rFonts w:ascii="Arial" w:hAnsi="Arial" w:cs="Arial"/>
          </w:rPr>
          <w:t>https://www.food.gov.uk/research/research-projects</w:t>
        </w:r>
      </w:hyperlink>
      <w:r w:rsidRPr="00030181">
        <w:rPr>
          <w:rFonts w:ascii="Arial" w:hAnsi="Arial" w:cs="Arial"/>
        </w:rPr>
        <w:t xml:space="preserve"> (Accessed: 30 May 2026).</w:t>
      </w:r>
    </w:p>
    <w:p w14:paraId="0F13F78D"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Bauer, J., Biolo, G., Cederholm, T. et al. (2013) ‘Evidence-based recommendations for optimal dietary protein intake in older people’, Journal of the American Medical Directors Association, 14(8), pp. 542–559. Available at: </w:t>
      </w:r>
      <w:hyperlink r:id="rId37" w:history="1">
        <w:r w:rsidRPr="00030181">
          <w:rPr>
            <w:rStyle w:val="Hyperlink"/>
            <w:rFonts w:ascii="Arial" w:hAnsi="Arial" w:cs="Arial"/>
          </w:rPr>
          <w:t>https://doi.org/10.1016/j.jamda.2013.05.021</w:t>
        </w:r>
      </w:hyperlink>
      <w:r w:rsidRPr="00030181">
        <w:rPr>
          <w:rFonts w:ascii="Arial" w:hAnsi="Arial" w:cs="Arial"/>
        </w:rPr>
        <w:t xml:space="preserve"> (Accessed: 30 May 2026).</w:t>
      </w:r>
    </w:p>
    <w:p w14:paraId="0C0CA090"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Bell, C.L., Lee, A.S. and Tamura, B.K. (2015) ‘Malnutrition in the nursing home’, Current Opinion in Clinical Nutrition and Metabolic Care, 18(1), pp. 17–23. Available at: </w:t>
      </w:r>
      <w:hyperlink r:id="rId38" w:history="1">
        <w:r w:rsidRPr="00030181">
          <w:rPr>
            <w:rStyle w:val="Hyperlink"/>
            <w:rFonts w:ascii="Arial" w:hAnsi="Arial" w:cs="Arial"/>
          </w:rPr>
          <w:t>https://doi.org/10.1097/MCO.0000000000000120</w:t>
        </w:r>
      </w:hyperlink>
      <w:r w:rsidRPr="00030181">
        <w:rPr>
          <w:rFonts w:ascii="Arial" w:hAnsi="Arial" w:cs="Arial"/>
        </w:rPr>
        <w:t xml:space="preserve"> (Accessed: 30 May 2026).</w:t>
      </w:r>
    </w:p>
    <w:p w14:paraId="5B785A99"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Berkman, N.D. et al. (2011) ‘Health literacy interventions and outcomes’, Annals of Internal Medicine, 155(2), pp. 97–107. Available at: </w:t>
      </w:r>
      <w:hyperlink r:id="rId39" w:history="1">
        <w:r w:rsidRPr="00030181">
          <w:rPr>
            <w:rStyle w:val="Hyperlink"/>
            <w:rFonts w:ascii="Arial" w:hAnsi="Arial" w:cs="Arial"/>
          </w:rPr>
          <w:t>https://doi.org/10.7326/0003-4819-155-2-201107190-00005</w:t>
        </w:r>
      </w:hyperlink>
      <w:r w:rsidRPr="00030181">
        <w:rPr>
          <w:rFonts w:ascii="Arial" w:hAnsi="Arial" w:cs="Arial"/>
        </w:rPr>
        <w:t xml:space="preserve"> (Accessed: 30 May 2026).</w:t>
      </w:r>
    </w:p>
    <w:p w14:paraId="333898D1"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Blackpool Council (2025) Food poisoning and vulnerable groups. Available at: </w:t>
      </w:r>
      <w:hyperlink r:id="rId40" w:history="1">
        <w:r w:rsidRPr="00030181">
          <w:rPr>
            <w:rStyle w:val="Hyperlink"/>
            <w:rFonts w:ascii="Arial" w:hAnsi="Arial" w:cs="Arial"/>
          </w:rPr>
          <w:t>https://www.blackpool.gov.uk/Residents/Health-and-social-care/Public-health.aspx</w:t>
        </w:r>
      </w:hyperlink>
      <w:r w:rsidRPr="00030181">
        <w:rPr>
          <w:rFonts w:ascii="Arial" w:hAnsi="Arial" w:cs="Arial"/>
        </w:rPr>
        <w:t xml:space="preserve"> (Accessed: 30 May 2026).</w:t>
      </w:r>
    </w:p>
    <w:p w14:paraId="1D4B5FB9"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Booth, A., Sutton, A. and Papaioannou, D. (2021) Systematic Approaches to a Successful Literature Review. 3rd edn. London: Sage Publications. Available at: </w:t>
      </w:r>
      <w:hyperlink r:id="rId41" w:history="1">
        <w:r w:rsidRPr="00030181">
          <w:rPr>
            <w:rStyle w:val="Hyperlink"/>
            <w:rFonts w:ascii="Arial" w:hAnsi="Arial" w:cs="Arial"/>
          </w:rPr>
          <w:t>https://uk.sagepub.com/en-gb/eur/systematic-approaches-to-a-successful-literature-review/book272735</w:t>
        </w:r>
      </w:hyperlink>
      <w:r w:rsidRPr="00030181">
        <w:rPr>
          <w:rFonts w:ascii="Arial" w:hAnsi="Arial" w:cs="Arial"/>
        </w:rPr>
        <w:t xml:space="preserve"> (Accessed: 30 May 2026).</w:t>
      </w:r>
    </w:p>
    <w:p w14:paraId="6FA3EEDB"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Braun, V. and Clarke, V. (2006) ‘Using thematic analysis in psychology’, Qualitative Research in Psychology, 3(2), pp. 77–101. Available at: </w:t>
      </w:r>
      <w:hyperlink r:id="rId42" w:history="1">
        <w:r w:rsidRPr="00030181">
          <w:rPr>
            <w:rStyle w:val="Hyperlink"/>
            <w:rFonts w:ascii="Arial" w:hAnsi="Arial" w:cs="Arial"/>
          </w:rPr>
          <w:t>https://doi.org/10.1191/1478088706qp063oa</w:t>
        </w:r>
      </w:hyperlink>
      <w:r w:rsidRPr="00030181">
        <w:rPr>
          <w:rFonts w:ascii="Arial" w:hAnsi="Arial" w:cs="Arial"/>
        </w:rPr>
        <w:t xml:space="preserve"> (Accessed: 30 May 2026).</w:t>
      </w:r>
    </w:p>
    <w:p w14:paraId="7F0F3FAA"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Braun, V. and Clarke, V. (2022) Thematic Analysis: A Practical Guide. London: Sage Publications. Available at: </w:t>
      </w:r>
      <w:hyperlink r:id="rId43" w:history="1">
        <w:r w:rsidRPr="00030181">
          <w:rPr>
            <w:rStyle w:val="Hyperlink"/>
            <w:rFonts w:ascii="Arial" w:hAnsi="Arial" w:cs="Arial"/>
          </w:rPr>
          <w:t>https://uk.sagepub.com/en-gb/eur/thematic-analysis/book248481</w:t>
        </w:r>
      </w:hyperlink>
      <w:r w:rsidRPr="00030181">
        <w:rPr>
          <w:rFonts w:ascii="Arial" w:hAnsi="Arial" w:cs="Arial"/>
        </w:rPr>
        <w:t xml:space="preserve"> (Accessed: 30 May 2026).</w:t>
      </w:r>
    </w:p>
    <w:p w14:paraId="070A638F"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British Association for Parenteral and Enteral Nutrition (2021) MUST Report. Available at: </w:t>
      </w:r>
      <w:hyperlink r:id="rId44" w:history="1">
        <w:r w:rsidRPr="00030181">
          <w:rPr>
            <w:rStyle w:val="Hyperlink"/>
            <w:rFonts w:ascii="Arial" w:hAnsi="Arial" w:cs="Arial"/>
          </w:rPr>
          <w:t>https://www.bapen.org.uk/must-and-self-screening/must-report</w:t>
        </w:r>
      </w:hyperlink>
      <w:r w:rsidRPr="00030181">
        <w:rPr>
          <w:rFonts w:ascii="Arial" w:hAnsi="Arial" w:cs="Arial"/>
        </w:rPr>
        <w:t xml:space="preserve"> (Accessed: 30 May 2026).</w:t>
      </w:r>
    </w:p>
    <w:p w14:paraId="349A0FBC"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British Association of Stroke Physicians (2023) Guidance on Dysphagia Management. Available at: </w:t>
      </w:r>
      <w:hyperlink r:id="rId45" w:history="1">
        <w:r w:rsidRPr="00030181">
          <w:rPr>
            <w:rStyle w:val="Hyperlink"/>
            <w:rFonts w:ascii="Arial" w:hAnsi="Arial" w:cs="Arial"/>
          </w:rPr>
          <w:t>https://www.basp.ac.uk/resources</w:t>
        </w:r>
      </w:hyperlink>
      <w:r w:rsidRPr="00030181">
        <w:rPr>
          <w:rFonts w:ascii="Arial" w:hAnsi="Arial" w:cs="Arial"/>
        </w:rPr>
        <w:t xml:space="preserve"> (Accessed: 30 May 2026).</w:t>
      </w:r>
    </w:p>
    <w:p w14:paraId="155A6E46"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British Dietetic Association (2022) Nutrition and hydration digest. Available at: </w:t>
      </w:r>
      <w:hyperlink r:id="rId46" w:history="1">
        <w:r w:rsidRPr="00030181">
          <w:rPr>
            <w:rStyle w:val="Hyperlink"/>
            <w:rFonts w:ascii="Arial" w:hAnsi="Arial" w:cs="Arial"/>
          </w:rPr>
          <w:t>https://www.bda.uk.com</w:t>
        </w:r>
      </w:hyperlink>
      <w:r w:rsidRPr="00030181">
        <w:rPr>
          <w:rFonts w:ascii="Arial" w:hAnsi="Arial" w:cs="Arial"/>
        </w:rPr>
        <w:t xml:space="preserve"> (Accessed: 30 May 2026).</w:t>
      </w:r>
    </w:p>
    <w:p w14:paraId="49453824"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British Geriatrics Society (2023) Fit for Frailty Part 1. Available at: </w:t>
      </w:r>
      <w:hyperlink r:id="rId47" w:history="1">
        <w:r w:rsidRPr="00030181">
          <w:rPr>
            <w:rStyle w:val="Hyperlink"/>
            <w:rFonts w:ascii="Arial" w:hAnsi="Arial" w:cs="Arial"/>
          </w:rPr>
          <w:t>https://www.bgs.org.uk/resources/resource-series/fit-for-frailty</w:t>
        </w:r>
      </w:hyperlink>
      <w:r w:rsidRPr="00030181">
        <w:rPr>
          <w:rFonts w:ascii="Arial" w:hAnsi="Arial" w:cs="Arial"/>
        </w:rPr>
        <w:t xml:space="preserve"> (Accessed: 30 May 2026).</w:t>
      </w:r>
    </w:p>
    <w:p w14:paraId="7F878634"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British Geriatrics Society (2023) Fit for Frailty Part 2. Available at: </w:t>
      </w:r>
      <w:hyperlink r:id="rId48" w:history="1">
        <w:r w:rsidRPr="00030181">
          <w:rPr>
            <w:rStyle w:val="Hyperlink"/>
            <w:rFonts w:ascii="Arial" w:hAnsi="Arial" w:cs="Arial"/>
          </w:rPr>
          <w:t>https://www.bgs.org.uk/resources/resource-series/fit-for-frailty</w:t>
        </w:r>
      </w:hyperlink>
      <w:r w:rsidRPr="00030181">
        <w:rPr>
          <w:rFonts w:ascii="Arial" w:hAnsi="Arial" w:cs="Arial"/>
        </w:rPr>
        <w:t xml:space="preserve"> (Accessed: 30 May 2026).</w:t>
      </w:r>
    </w:p>
    <w:p w14:paraId="0D3483E3"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British Geriatrics Society (2024) Comprehensive Geriatric Assessment Toolkit. Available at: </w:t>
      </w:r>
      <w:hyperlink r:id="rId49" w:history="1">
        <w:r w:rsidRPr="00030181">
          <w:rPr>
            <w:rStyle w:val="Hyperlink"/>
            <w:rFonts w:ascii="Arial" w:hAnsi="Arial" w:cs="Arial"/>
          </w:rPr>
          <w:t>https://www.bgs.org.uk</w:t>
        </w:r>
      </w:hyperlink>
      <w:r w:rsidRPr="00030181">
        <w:rPr>
          <w:rFonts w:ascii="Arial" w:hAnsi="Arial" w:cs="Arial"/>
        </w:rPr>
        <w:t xml:space="preserve"> (Accessed: 30 May 2026).</w:t>
      </w:r>
    </w:p>
    <w:p w14:paraId="32B44CD8"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Bronfenbrenner, U. (1979) The Ecology of Human Development. Cambridge, MA: Harvard University Press. Available at: </w:t>
      </w:r>
      <w:hyperlink r:id="rId50" w:history="1">
        <w:r w:rsidRPr="00030181">
          <w:rPr>
            <w:rStyle w:val="Hyperlink"/>
            <w:rFonts w:ascii="Arial" w:hAnsi="Arial" w:cs="Arial"/>
          </w:rPr>
          <w:t>https://books.google.com/books?id=OCmbzWka6xUC</w:t>
        </w:r>
      </w:hyperlink>
      <w:r w:rsidRPr="00030181">
        <w:rPr>
          <w:rFonts w:ascii="Arial" w:hAnsi="Arial" w:cs="Arial"/>
        </w:rPr>
        <w:t xml:space="preserve"> (Accessed: 30 May 2026).</w:t>
      </w:r>
    </w:p>
    <w:p w14:paraId="49F4C8D8" w14:textId="77777777" w:rsidR="00E17875" w:rsidRPr="00030181" w:rsidRDefault="00E17875" w:rsidP="005C5EBA">
      <w:pPr>
        <w:spacing w:line="360" w:lineRule="auto"/>
        <w:jc w:val="both"/>
        <w:rPr>
          <w:rFonts w:ascii="Arial" w:hAnsi="Arial" w:cs="Arial"/>
        </w:rPr>
      </w:pPr>
      <w:r w:rsidRPr="00030181">
        <w:rPr>
          <w:rFonts w:ascii="Arial" w:hAnsi="Arial" w:cs="Arial"/>
        </w:rPr>
        <w:t>Brooker, D. (2007) Person-Centred Dementia Care. Available at: https://uk.jkp.com</w:t>
      </w:r>
    </w:p>
    <w:p w14:paraId="4EC9E028"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Brownie, S. and Nancarrow, S. (2013) ‘Effects of person-centred care on residents and staff’, Clinical Interventions in Aging, 8, pp. 1–10. Available at: </w:t>
      </w:r>
      <w:hyperlink r:id="rId51" w:history="1">
        <w:r w:rsidRPr="00030181">
          <w:rPr>
            <w:rStyle w:val="Hyperlink"/>
            <w:rFonts w:ascii="Arial" w:hAnsi="Arial" w:cs="Arial"/>
          </w:rPr>
          <w:t>https://doi.org/10.2147/CIA.S38589</w:t>
        </w:r>
      </w:hyperlink>
      <w:r w:rsidRPr="00030181">
        <w:rPr>
          <w:rFonts w:ascii="Arial" w:hAnsi="Arial" w:cs="Arial"/>
        </w:rPr>
        <w:t xml:space="preserve"> (Accessed: 30 May 2026).</w:t>
      </w:r>
    </w:p>
    <w:p w14:paraId="31A948A2"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Bryman, A. (2016) Social Research Methods. 5th edn. Oxford: Oxford University Press. Available at: </w:t>
      </w:r>
      <w:hyperlink r:id="rId52" w:history="1">
        <w:r w:rsidRPr="00030181">
          <w:rPr>
            <w:rStyle w:val="Hyperlink"/>
            <w:rFonts w:ascii="Arial" w:hAnsi="Arial" w:cs="Arial"/>
          </w:rPr>
          <w:t>https://global.oup.com/academic/product/social-research-methods-9780199689453</w:t>
        </w:r>
      </w:hyperlink>
      <w:r w:rsidRPr="00030181">
        <w:rPr>
          <w:rFonts w:ascii="Arial" w:hAnsi="Arial" w:cs="Arial"/>
        </w:rPr>
        <w:t xml:space="preserve"> (Accessed: 30 May 2026).</w:t>
      </w:r>
    </w:p>
    <w:p w14:paraId="46542A1F" w14:textId="77777777" w:rsidR="00E17875" w:rsidRPr="00030181" w:rsidRDefault="00E17875" w:rsidP="005C5EBA">
      <w:pPr>
        <w:spacing w:line="360" w:lineRule="auto"/>
        <w:jc w:val="both"/>
        <w:rPr>
          <w:rFonts w:ascii="Arial" w:hAnsi="Arial" w:cs="Arial"/>
        </w:rPr>
      </w:pPr>
      <w:r w:rsidRPr="00030181">
        <w:rPr>
          <w:rFonts w:ascii="Arial" w:hAnsi="Arial" w:cs="Arial"/>
        </w:rPr>
        <w:lastRenderedPageBreak/>
        <w:t xml:space="preserve">Bunn, D., Jimoh, F., Wilsher, S.H. and Hooper, L. (2015) ‘Increasing fluid intake and reducing dehydration risk in older people living in long-term care: A systematic review’, Journal of the American Medical Directors Association, 16(2), pp. 101–113. Available at: </w:t>
      </w:r>
      <w:hyperlink r:id="rId53" w:history="1">
        <w:r w:rsidRPr="00030181">
          <w:rPr>
            <w:rStyle w:val="Hyperlink"/>
            <w:rFonts w:ascii="Arial" w:hAnsi="Arial" w:cs="Arial"/>
          </w:rPr>
          <w:t>https://doi.org/10.1016/j.jamda.2014.10.016</w:t>
        </w:r>
      </w:hyperlink>
      <w:r w:rsidRPr="00030181">
        <w:rPr>
          <w:rFonts w:ascii="Arial" w:hAnsi="Arial" w:cs="Arial"/>
        </w:rPr>
        <w:t xml:space="preserve"> (Accessed: 30 May 2026).</w:t>
      </w:r>
    </w:p>
    <w:p w14:paraId="25E0B4BD"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Bunn, D.K., Hooper, L. and Welch, C. (2018) ‘Dehydration and malnutrition in residential care: recommendations for strategies for improving practice’, Geriatrics, 3(4), 77. Available at: </w:t>
      </w:r>
      <w:hyperlink r:id="rId54" w:history="1">
        <w:r w:rsidRPr="00030181">
          <w:rPr>
            <w:rStyle w:val="Hyperlink"/>
            <w:rFonts w:ascii="Arial" w:hAnsi="Arial" w:cs="Arial"/>
          </w:rPr>
          <w:t>https://doi.org/10.3390/geriatrics3040077</w:t>
        </w:r>
      </w:hyperlink>
      <w:r w:rsidRPr="00030181">
        <w:rPr>
          <w:rFonts w:ascii="Arial" w:hAnsi="Arial" w:cs="Arial"/>
        </w:rPr>
        <w:t xml:space="preserve"> (Accessed: 30 May 2026).</w:t>
      </w:r>
    </w:p>
    <w:p w14:paraId="38828975"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Care Quality Commission (2023) The state of health care and adult social care in England. Available at: </w:t>
      </w:r>
      <w:hyperlink r:id="rId55" w:history="1">
        <w:r w:rsidRPr="00030181">
          <w:rPr>
            <w:rStyle w:val="Hyperlink"/>
            <w:rFonts w:ascii="Arial" w:hAnsi="Arial" w:cs="Arial"/>
          </w:rPr>
          <w:t>https://www.cqc.org.uk/publications</w:t>
        </w:r>
      </w:hyperlink>
      <w:r w:rsidRPr="00030181">
        <w:rPr>
          <w:rFonts w:ascii="Arial" w:hAnsi="Arial" w:cs="Arial"/>
        </w:rPr>
        <w:t xml:space="preserve"> (Accessed: 30 May 2026).</w:t>
      </w:r>
    </w:p>
    <w:p w14:paraId="02E01C55"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Cederholm, T., Jensen, G.L., Correia, M.I.T.D. et al. (2019) ‘GLIM criteria for the diagnosis of malnutrition’, Clinical Nutrition, 38(1), pp. 1–9. Available at: </w:t>
      </w:r>
      <w:hyperlink r:id="rId56" w:history="1">
        <w:r w:rsidRPr="00030181">
          <w:rPr>
            <w:rStyle w:val="Hyperlink"/>
            <w:rFonts w:ascii="Arial" w:hAnsi="Arial" w:cs="Arial"/>
          </w:rPr>
          <w:t>https://doi.org/10.1016/j.clnu.2018.08.002</w:t>
        </w:r>
      </w:hyperlink>
      <w:r w:rsidRPr="00030181">
        <w:rPr>
          <w:rFonts w:ascii="Arial" w:hAnsi="Arial" w:cs="Arial"/>
        </w:rPr>
        <w:t xml:space="preserve"> (Accessed: 30 May 2026).</w:t>
      </w:r>
    </w:p>
    <w:p w14:paraId="6AAB9FA6"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Centers for Disease Control and Prevention (2024) The Social-Ecological Model: A Framework for Prevention. Available at: </w:t>
      </w:r>
      <w:hyperlink r:id="rId57" w:history="1">
        <w:r w:rsidRPr="00030181">
          <w:rPr>
            <w:rStyle w:val="Hyperlink"/>
            <w:rFonts w:ascii="Arial" w:hAnsi="Arial" w:cs="Arial"/>
          </w:rPr>
          <w:t>https://www.cdc.gov/violenceprevention/about/social-ecologicalmodel.html</w:t>
        </w:r>
      </w:hyperlink>
      <w:r w:rsidRPr="00030181">
        <w:rPr>
          <w:rFonts w:ascii="Arial" w:hAnsi="Arial" w:cs="Arial"/>
        </w:rPr>
        <w:t xml:space="preserve"> (Accessed: 30 May 2026).</w:t>
      </w:r>
    </w:p>
    <w:p w14:paraId="55189B0B"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Cereda, E., Pedrolli, C., Klersy, C., Bonardi, C., Quarleri, L., Cappello, S., Turri, A., Rondanelli, M. and Caccialanza, R. (2016) ‘Nutritional status in older persons according to healthcare setting: A systematic review and meta-analysis of prevalence data using MNA®’, Clinical Nutrition, 35(6), pp. 1282–1290. Available at: </w:t>
      </w:r>
      <w:hyperlink r:id="rId58" w:history="1">
        <w:r w:rsidRPr="00030181">
          <w:rPr>
            <w:rStyle w:val="Hyperlink"/>
            <w:rFonts w:ascii="Arial" w:hAnsi="Arial" w:cs="Arial"/>
          </w:rPr>
          <w:t>https://doi.org/10.1016/j.clnu.2016.03.008</w:t>
        </w:r>
      </w:hyperlink>
      <w:r w:rsidRPr="00030181">
        <w:rPr>
          <w:rFonts w:ascii="Arial" w:hAnsi="Arial" w:cs="Arial"/>
        </w:rPr>
        <w:t xml:space="preserve"> (Accessed: 30 May 2026).</w:t>
      </w:r>
    </w:p>
    <w:p w14:paraId="2C00C984"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Charlesworth, J. (2016) Improving Food in Residential Care. Healthwatch Kirklees. Available at: </w:t>
      </w:r>
      <w:hyperlink r:id="rId59" w:history="1">
        <w:r w:rsidRPr="00030181">
          <w:rPr>
            <w:rStyle w:val="Hyperlink"/>
            <w:rFonts w:ascii="Arial" w:hAnsi="Arial" w:cs="Arial"/>
          </w:rPr>
          <w:t>https://healthwatchkirklees.co.uk/wp-content/uploads/2016/04/Improving-Food-in-Residential-Care.pdf</w:t>
        </w:r>
      </w:hyperlink>
      <w:r w:rsidRPr="00030181">
        <w:rPr>
          <w:rFonts w:ascii="Arial" w:hAnsi="Arial" w:cs="Arial"/>
        </w:rPr>
        <w:t xml:space="preserve"> (Accessed: 30 May 2026).</w:t>
      </w:r>
    </w:p>
    <w:p w14:paraId="353FA299"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Chen, X., Zhang, Y. and Liu, H. (2025) ‘Global inequalities in non-communicable disease burden and ageing populations’, BMC Public Health, 25(1), pp. 1–15. Available at: </w:t>
      </w:r>
      <w:hyperlink r:id="rId60" w:history="1">
        <w:r w:rsidRPr="00030181">
          <w:rPr>
            <w:rStyle w:val="Hyperlink"/>
            <w:rFonts w:ascii="Arial" w:hAnsi="Arial" w:cs="Arial"/>
          </w:rPr>
          <w:t>https://bmcpublichealth.biomedcentral.com</w:t>
        </w:r>
      </w:hyperlink>
      <w:r w:rsidRPr="00030181">
        <w:rPr>
          <w:rFonts w:ascii="Arial" w:hAnsi="Arial" w:cs="Arial"/>
        </w:rPr>
        <w:t xml:space="preserve"> (Accessed: 30 May 2026).</w:t>
      </w:r>
    </w:p>
    <w:p w14:paraId="654D92A9"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Clayton, D.A. and Griffith, C.J. (2008) ‘Efficacy of food safety training’, British Food Journal, 110(11), pp. 1097–1114. Available at: </w:t>
      </w:r>
      <w:hyperlink r:id="rId61" w:history="1">
        <w:r w:rsidRPr="00030181">
          <w:rPr>
            <w:rStyle w:val="Hyperlink"/>
            <w:rFonts w:ascii="Arial" w:hAnsi="Arial" w:cs="Arial"/>
          </w:rPr>
          <w:t>https://doi.org/10.1108/00070700810918041</w:t>
        </w:r>
      </w:hyperlink>
      <w:r w:rsidRPr="00030181">
        <w:rPr>
          <w:rFonts w:ascii="Arial" w:hAnsi="Arial" w:cs="Arial"/>
        </w:rPr>
        <w:t xml:space="preserve"> (Accessed: 30 May 2026).</w:t>
      </w:r>
    </w:p>
    <w:p w14:paraId="6C003762"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Clegg, A., Young, J., Iliffe, S., Rikkert, M.O. and Rockwood, K. (2013) ‘Frailty in elderly people’, The Lancet, 381(9868), pp. 752–762. Available at: </w:t>
      </w:r>
      <w:hyperlink r:id="rId62" w:history="1">
        <w:r w:rsidRPr="00030181">
          <w:rPr>
            <w:rStyle w:val="Hyperlink"/>
            <w:rFonts w:ascii="Arial" w:hAnsi="Arial" w:cs="Arial"/>
          </w:rPr>
          <w:t>https://doi.org/10.1016/S0140-6736(12)62167-9</w:t>
        </w:r>
      </w:hyperlink>
      <w:r w:rsidRPr="00030181">
        <w:rPr>
          <w:rFonts w:ascii="Arial" w:hAnsi="Arial" w:cs="Arial"/>
        </w:rPr>
        <w:t xml:space="preserve"> (Accessed: 30 May 2026).</w:t>
      </w:r>
    </w:p>
    <w:p w14:paraId="5F598A35" w14:textId="77777777" w:rsidR="00E17875" w:rsidRPr="00030181" w:rsidRDefault="00E17875" w:rsidP="005C5EBA">
      <w:pPr>
        <w:spacing w:line="360" w:lineRule="auto"/>
        <w:jc w:val="both"/>
        <w:rPr>
          <w:rFonts w:ascii="Arial" w:hAnsi="Arial" w:cs="Arial"/>
        </w:rPr>
      </w:pPr>
      <w:r w:rsidRPr="00030181">
        <w:rPr>
          <w:rFonts w:ascii="Arial" w:hAnsi="Arial" w:cs="Arial"/>
        </w:rPr>
        <w:lastRenderedPageBreak/>
        <w:t xml:space="preserve">Cochrane Collaboration (2024) Cochrane Handbook for Systematic Reviews of Interventions. Available at: </w:t>
      </w:r>
      <w:hyperlink r:id="rId63" w:history="1">
        <w:r w:rsidRPr="00030181">
          <w:rPr>
            <w:rStyle w:val="Hyperlink"/>
            <w:rFonts w:ascii="Arial" w:hAnsi="Arial" w:cs="Arial"/>
          </w:rPr>
          <w:t>https://training.cochrane.org/handbook</w:t>
        </w:r>
      </w:hyperlink>
      <w:r w:rsidRPr="00030181">
        <w:rPr>
          <w:rFonts w:ascii="Arial" w:hAnsi="Arial" w:cs="Arial"/>
        </w:rPr>
        <w:t xml:space="preserve"> (Accessed: 30 May 2026).</w:t>
      </w:r>
    </w:p>
    <w:p w14:paraId="09180AC5"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Coughlan, M., Cronin, P. and Ryan, F. (2007) ‘Step-by-step guide to critiquing research’, British Journal of Nursing, 16(11), pp. 658–663. Available at: </w:t>
      </w:r>
      <w:hyperlink r:id="rId64" w:history="1">
        <w:r w:rsidRPr="00030181">
          <w:rPr>
            <w:rStyle w:val="Hyperlink"/>
            <w:rFonts w:ascii="Arial" w:hAnsi="Arial" w:cs="Arial"/>
          </w:rPr>
          <w:t>https://doi.org/10.12968/bjon.2007.16.11.23681</w:t>
        </w:r>
      </w:hyperlink>
      <w:r w:rsidRPr="00030181">
        <w:rPr>
          <w:rFonts w:ascii="Arial" w:hAnsi="Arial" w:cs="Arial"/>
        </w:rPr>
        <w:t xml:space="preserve"> (Accessed: 30 May 2026).</w:t>
      </w:r>
    </w:p>
    <w:p w14:paraId="7A61D02D"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Creswell, J.W. and Creswell, J.D. (2018) Research Design: Qualitative, Quantitative and Mixed Methods Approaches. 5th edn. Thousand Oaks, CA: Sage Publications. Available at: </w:t>
      </w:r>
      <w:hyperlink r:id="rId65" w:history="1">
        <w:r w:rsidRPr="00030181">
          <w:rPr>
            <w:rStyle w:val="Hyperlink"/>
            <w:rFonts w:ascii="Arial" w:hAnsi="Arial" w:cs="Arial"/>
          </w:rPr>
          <w:t>https://us.sagepub.com/en-us/nam/research-design/book255675</w:t>
        </w:r>
      </w:hyperlink>
      <w:r w:rsidRPr="00030181">
        <w:rPr>
          <w:rFonts w:ascii="Arial" w:hAnsi="Arial" w:cs="Arial"/>
        </w:rPr>
        <w:t xml:space="preserve"> (Accessed: 30 May 2026).</w:t>
      </w:r>
    </w:p>
    <w:p w14:paraId="157C396C"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Creswell, J.W. and Poth, C.N. (2018) Qualitative Inquiry and Research Design: Choosing Among Five Approaches. 4th edn. Thousand Oaks, CA: Sage Publications. Available at: </w:t>
      </w:r>
      <w:hyperlink r:id="rId66" w:history="1">
        <w:r w:rsidRPr="00030181">
          <w:rPr>
            <w:rStyle w:val="Hyperlink"/>
            <w:rFonts w:ascii="Arial" w:hAnsi="Arial" w:cs="Arial"/>
          </w:rPr>
          <w:t>https://us.sagepub.com/en-us/nam/qualitative-inquiry-and-research-design/book246896</w:t>
        </w:r>
      </w:hyperlink>
      <w:r w:rsidRPr="00030181">
        <w:rPr>
          <w:rFonts w:ascii="Arial" w:hAnsi="Arial" w:cs="Arial"/>
        </w:rPr>
        <w:t xml:space="preserve"> (Accessed: 30 May 2026).</w:t>
      </w:r>
    </w:p>
    <w:p w14:paraId="59B3AD70"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Critical Appraisal Skills Programme (CASP) (2024) CASP Checklists. Available at: </w:t>
      </w:r>
      <w:hyperlink r:id="rId67" w:history="1">
        <w:r w:rsidRPr="00030181">
          <w:rPr>
            <w:rStyle w:val="Hyperlink"/>
            <w:rFonts w:ascii="Arial" w:hAnsi="Arial" w:cs="Arial"/>
          </w:rPr>
          <w:t>https://casp-uk.net/casp-tools-checklists</w:t>
        </w:r>
      </w:hyperlink>
      <w:r w:rsidRPr="00030181">
        <w:rPr>
          <w:rFonts w:ascii="Arial" w:hAnsi="Arial" w:cs="Arial"/>
        </w:rPr>
        <w:t xml:space="preserve"> (Accessed: 30 May 2026).</w:t>
      </w:r>
    </w:p>
    <w:p w14:paraId="5D118D48"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Cruz-Jentoft, A.J., Bahat, G., Bauer, J. et al. (2019) ‘Sarcopenia: revised European consensus on definition and diagnosis’, Age and Ageing, 48(1), pp. 16–31. Available at: </w:t>
      </w:r>
      <w:hyperlink r:id="rId68" w:history="1">
        <w:r w:rsidRPr="00030181">
          <w:rPr>
            <w:rStyle w:val="Hyperlink"/>
            <w:rFonts w:ascii="Arial" w:hAnsi="Arial" w:cs="Arial"/>
          </w:rPr>
          <w:t>https://doi.org/10.1093/ageing/afy169</w:t>
        </w:r>
      </w:hyperlink>
      <w:r w:rsidRPr="00030181">
        <w:rPr>
          <w:rFonts w:ascii="Arial" w:hAnsi="Arial" w:cs="Arial"/>
        </w:rPr>
        <w:t xml:space="preserve"> (Accessed: 30 May 2026).</w:t>
      </w:r>
    </w:p>
    <w:p w14:paraId="0565FD12"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Dent, E., Hoogendijk, E.O. and Visvanathan, R. (2019) ‘Malnutrition screening and management in older people’, Journal of Nutrition Health and Aging, 23(8), pp. 716–721. Available at: </w:t>
      </w:r>
      <w:hyperlink r:id="rId69" w:history="1">
        <w:r w:rsidRPr="00030181">
          <w:rPr>
            <w:rStyle w:val="Hyperlink"/>
            <w:rFonts w:ascii="Arial" w:hAnsi="Arial" w:cs="Arial"/>
          </w:rPr>
          <w:t>https://doi.org/10.1007/s12603-019-1211-7</w:t>
        </w:r>
      </w:hyperlink>
      <w:r w:rsidRPr="00030181">
        <w:rPr>
          <w:rFonts w:ascii="Arial" w:hAnsi="Arial" w:cs="Arial"/>
        </w:rPr>
        <w:t xml:space="preserve"> (Accessed: 30 May 2026).</w:t>
      </w:r>
    </w:p>
    <w:p w14:paraId="34AA3CF5"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Dent, E., Morley, J.E., Cruz-Jentoft, A.J. et al. (2023) ‘International clinical practice guidelines for sarcopenia and malnutrition’, Journal of Nutrition, Health and Aging, 27(1), pp. 1–18. Available at: </w:t>
      </w:r>
      <w:hyperlink r:id="rId70" w:history="1">
        <w:r w:rsidRPr="00030181">
          <w:rPr>
            <w:rStyle w:val="Hyperlink"/>
            <w:rFonts w:ascii="Arial" w:hAnsi="Arial" w:cs="Arial"/>
          </w:rPr>
          <w:t>https://link.springer.com/journal/12603</w:t>
        </w:r>
      </w:hyperlink>
      <w:r w:rsidRPr="00030181">
        <w:rPr>
          <w:rFonts w:ascii="Arial" w:hAnsi="Arial" w:cs="Arial"/>
        </w:rPr>
        <w:t xml:space="preserve"> (Accessed: 30 May 2026).</w:t>
      </w:r>
    </w:p>
    <w:p w14:paraId="01F15D4C"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Dent, E., Wright, O.R.L., Hoogendijk, E.O., Visvanathan, R. and others (2023) ‘Malnutrition in older adults’, The Lancet, 401(10380), pp. 951–966. Available at: </w:t>
      </w:r>
      <w:hyperlink r:id="rId71" w:history="1">
        <w:r w:rsidRPr="00030181">
          <w:rPr>
            <w:rStyle w:val="Hyperlink"/>
            <w:rFonts w:ascii="Arial" w:hAnsi="Arial" w:cs="Arial"/>
          </w:rPr>
          <w:t>https://doi.org/10.1016/S0140-6736(22)02612-5</w:t>
        </w:r>
      </w:hyperlink>
      <w:r w:rsidRPr="00030181">
        <w:rPr>
          <w:rFonts w:ascii="Arial" w:hAnsi="Arial" w:cs="Arial"/>
        </w:rPr>
        <w:t xml:space="preserve"> (Accessed: 30 May 2026).</w:t>
      </w:r>
    </w:p>
    <w:p w14:paraId="2394DB5E"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Diabetes UK (2023) Diabetes in care homes. Available at: </w:t>
      </w:r>
      <w:hyperlink r:id="rId72" w:history="1">
        <w:r w:rsidRPr="00030181">
          <w:rPr>
            <w:rStyle w:val="Hyperlink"/>
            <w:rFonts w:ascii="Arial" w:hAnsi="Arial" w:cs="Arial"/>
          </w:rPr>
          <w:t>https://www.diabetes.org.uk/professionals/resources/shared-practice/diabetes-care-homes</w:t>
        </w:r>
      </w:hyperlink>
      <w:r w:rsidRPr="00030181">
        <w:rPr>
          <w:rFonts w:ascii="Arial" w:hAnsi="Arial" w:cs="Arial"/>
        </w:rPr>
        <w:t xml:space="preserve"> (Accessed: 30 May 2026).</w:t>
      </w:r>
    </w:p>
    <w:p w14:paraId="20B065D1"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Diabetes UK (2023) Diabetes prevalence 2023. Available at: </w:t>
      </w:r>
      <w:hyperlink r:id="rId73" w:history="1">
        <w:r w:rsidRPr="00030181">
          <w:rPr>
            <w:rStyle w:val="Hyperlink"/>
            <w:rFonts w:ascii="Arial" w:hAnsi="Arial" w:cs="Arial"/>
          </w:rPr>
          <w:t>https://www.diabetes.org.uk/about-us/about-the-charity/our-strategy/statistics</w:t>
        </w:r>
      </w:hyperlink>
      <w:r w:rsidRPr="00030181">
        <w:rPr>
          <w:rFonts w:ascii="Arial" w:hAnsi="Arial" w:cs="Arial"/>
        </w:rPr>
        <w:t xml:space="preserve"> (Accessed: 30 May 2026).</w:t>
      </w:r>
    </w:p>
    <w:p w14:paraId="2A3EC40A" w14:textId="77777777" w:rsidR="00E17875" w:rsidRPr="00030181" w:rsidRDefault="00E17875" w:rsidP="005C5EBA">
      <w:pPr>
        <w:spacing w:line="360" w:lineRule="auto"/>
        <w:jc w:val="both"/>
        <w:rPr>
          <w:rFonts w:ascii="Arial" w:hAnsi="Arial" w:cs="Arial"/>
        </w:rPr>
      </w:pPr>
      <w:r w:rsidRPr="00030181">
        <w:rPr>
          <w:rFonts w:ascii="Arial" w:hAnsi="Arial" w:cs="Arial"/>
        </w:rPr>
        <w:lastRenderedPageBreak/>
        <w:t xml:space="preserve">Diabetes UK (2023) Type 2 diabetes. Available at: </w:t>
      </w:r>
      <w:hyperlink r:id="rId74" w:history="1">
        <w:r w:rsidRPr="00030181">
          <w:rPr>
            <w:rStyle w:val="Hyperlink"/>
            <w:rFonts w:ascii="Arial" w:hAnsi="Arial" w:cs="Arial"/>
          </w:rPr>
          <w:t>https://www.diabetes.org.uk/about-diabetes/type-2-diabetes</w:t>
        </w:r>
      </w:hyperlink>
      <w:r w:rsidRPr="00030181">
        <w:rPr>
          <w:rFonts w:ascii="Arial" w:hAnsi="Arial" w:cs="Arial"/>
        </w:rPr>
        <w:t xml:space="preserve"> (Accessed: 30 May 2026).</w:t>
      </w:r>
    </w:p>
    <w:p w14:paraId="44F3878D"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Dixon-Woods, M. and Martin, G.P. (2016) ‘Does quality improvement improve quality?’, Future Hospital Journal, 3(3), pp. 191–194. Available at: </w:t>
      </w:r>
      <w:hyperlink r:id="rId75" w:history="1">
        <w:r w:rsidRPr="00030181">
          <w:rPr>
            <w:rStyle w:val="Hyperlink"/>
            <w:rFonts w:ascii="Arial" w:hAnsi="Arial" w:cs="Arial"/>
          </w:rPr>
          <w:t>https://doi.org/10.7861/futurehosp.3-3-191</w:t>
        </w:r>
      </w:hyperlink>
      <w:r w:rsidRPr="00030181">
        <w:rPr>
          <w:rFonts w:ascii="Arial" w:hAnsi="Arial" w:cs="Arial"/>
        </w:rPr>
        <w:t xml:space="preserve"> (Accessed: 30 May 2026).</w:t>
      </w:r>
    </w:p>
    <w:p w14:paraId="4DA416D8"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Donabedian, A. (1988) ‘The quality of care’, JAMA, 260(12), pp. 1743–1748. Available at: </w:t>
      </w:r>
      <w:hyperlink r:id="rId76" w:history="1">
        <w:r w:rsidRPr="00030181">
          <w:rPr>
            <w:rStyle w:val="Hyperlink"/>
            <w:rFonts w:ascii="Arial" w:hAnsi="Arial" w:cs="Arial"/>
          </w:rPr>
          <w:t>https://doi.org/10.1001/jama.260.12.1743</w:t>
        </w:r>
      </w:hyperlink>
      <w:r w:rsidRPr="00030181">
        <w:rPr>
          <w:rFonts w:ascii="Arial" w:hAnsi="Arial" w:cs="Arial"/>
        </w:rPr>
        <w:t xml:space="preserve"> (Accessed: 30 May 2026).</w:t>
      </w:r>
    </w:p>
    <w:p w14:paraId="2B0D4884"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Dorner, B., Posthauer, M.E. and Thomas, D. (2017) ‘The role of nutrition in enhancing quality of life in older adults’, Journal of the American Medical Directors Association, 18(9), pp. 729–732. Available at: </w:t>
      </w:r>
      <w:hyperlink r:id="rId77" w:history="1">
        <w:r w:rsidRPr="00030181">
          <w:rPr>
            <w:rStyle w:val="Hyperlink"/>
            <w:rFonts w:ascii="Arial" w:hAnsi="Arial" w:cs="Arial"/>
          </w:rPr>
          <w:t>https://doi.org/10.1016/j.jamda.2017.05.019</w:t>
        </w:r>
      </w:hyperlink>
      <w:r w:rsidRPr="00030181">
        <w:rPr>
          <w:rFonts w:ascii="Arial" w:hAnsi="Arial" w:cs="Arial"/>
        </w:rPr>
        <w:t xml:space="preserve"> (Accessed: 30 May 2026).</w:t>
      </w:r>
    </w:p>
    <w:p w14:paraId="37A3C6F2"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Duodu, P.A., Agbadi, P. and colleagues (2025) ‘Association between dietary self-care adherence and depression among adults living with type 2 diabetes in Ghana’, International Journal of Mental Health Systems. Available at: </w:t>
      </w:r>
      <w:hyperlink r:id="rId78" w:history="1">
        <w:r w:rsidRPr="00030181">
          <w:rPr>
            <w:rStyle w:val="Hyperlink"/>
            <w:rFonts w:ascii="Arial" w:hAnsi="Arial" w:cs="Arial"/>
          </w:rPr>
          <w:t>https://doi.org/10.1186/s41043-025-00859-6</w:t>
        </w:r>
      </w:hyperlink>
      <w:r w:rsidRPr="00030181">
        <w:rPr>
          <w:rFonts w:ascii="Arial" w:hAnsi="Arial" w:cs="Arial"/>
        </w:rPr>
        <w:t xml:space="preserve"> (Accessed: 30 May 2026).</w:t>
      </w:r>
    </w:p>
    <w:p w14:paraId="21140756"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Edvardsson, D., Winblad, B. and Sandman, P.O. (2008) ‘Person-centred care of people with severe Alzheimer’s disease’, The Lancet Neurology, 7(4), pp. 362–367. Available at: </w:t>
      </w:r>
      <w:hyperlink r:id="rId79" w:history="1">
        <w:r w:rsidRPr="00030181">
          <w:rPr>
            <w:rStyle w:val="Hyperlink"/>
            <w:rFonts w:ascii="Arial" w:hAnsi="Arial" w:cs="Arial"/>
          </w:rPr>
          <w:t>https://doi.org/10.1016/S1474-4422(08)70063-2</w:t>
        </w:r>
      </w:hyperlink>
      <w:r w:rsidRPr="00030181">
        <w:rPr>
          <w:rFonts w:ascii="Arial" w:hAnsi="Arial" w:cs="Arial"/>
        </w:rPr>
        <w:t xml:space="preserve"> (Accessed: 30 May 2026).</w:t>
      </w:r>
    </w:p>
    <w:p w14:paraId="186A246B"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Eichelmann, F., Schulze, M.B. and colleagues (2024) ‘Lipidome changes due to improved dietary fat quality’, Nature Medicine. Available at: </w:t>
      </w:r>
      <w:hyperlink r:id="rId80" w:history="1">
        <w:r w:rsidRPr="00030181">
          <w:rPr>
            <w:rStyle w:val="Hyperlink"/>
            <w:rFonts w:ascii="Arial" w:hAnsi="Arial" w:cs="Arial"/>
          </w:rPr>
          <w:t>https://doi.org/10.1038/s41591-024-03124-1</w:t>
        </w:r>
      </w:hyperlink>
      <w:r w:rsidRPr="00030181">
        <w:rPr>
          <w:rFonts w:ascii="Arial" w:hAnsi="Arial" w:cs="Arial"/>
        </w:rPr>
        <w:t xml:space="preserve"> (Accessed: 30 May 2026).</w:t>
      </w:r>
    </w:p>
    <w:p w14:paraId="3B03DCDC"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El-Sharkawy, A.M., Watson, P., Neal, K.R. et al. (2015) ‘Hydration and ageing’, Nutrition Reviews, 73(S2), pp. 97–109. Available at: </w:t>
      </w:r>
      <w:hyperlink r:id="rId81" w:history="1">
        <w:r w:rsidRPr="00030181">
          <w:rPr>
            <w:rStyle w:val="Hyperlink"/>
            <w:rFonts w:ascii="Arial" w:hAnsi="Arial" w:cs="Arial"/>
          </w:rPr>
          <w:t>https://doi.org/10.1093/nutrit/nuv028</w:t>
        </w:r>
      </w:hyperlink>
      <w:r w:rsidRPr="00030181">
        <w:rPr>
          <w:rFonts w:ascii="Arial" w:hAnsi="Arial" w:cs="Arial"/>
        </w:rPr>
        <w:t xml:space="preserve"> (Accessed: 30 May 2026).</w:t>
      </w:r>
    </w:p>
    <w:p w14:paraId="1E3CC269"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Food Standards Agency (2022) Safer food, better business for residential care homes. Available at: </w:t>
      </w:r>
      <w:hyperlink r:id="rId82" w:history="1">
        <w:r w:rsidRPr="00030181">
          <w:rPr>
            <w:rStyle w:val="Hyperlink"/>
            <w:rFonts w:ascii="Arial" w:hAnsi="Arial" w:cs="Arial"/>
          </w:rPr>
          <w:t>https://www.food.gov.uk/business-guidance/safer-food-better-business-for-residential-care-homes</w:t>
        </w:r>
      </w:hyperlink>
      <w:r w:rsidRPr="00030181">
        <w:rPr>
          <w:rFonts w:ascii="Arial" w:hAnsi="Arial" w:cs="Arial"/>
        </w:rPr>
        <w:t xml:space="preserve"> (Accessed: 30 May 2026).</w:t>
      </w:r>
    </w:p>
    <w:p w14:paraId="1BFAEB7F"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Food Standards Agency (2023) Food hygiene rating scheme guidance. Available at: </w:t>
      </w:r>
      <w:hyperlink r:id="rId83" w:history="1">
        <w:r w:rsidRPr="00030181">
          <w:rPr>
            <w:rStyle w:val="Hyperlink"/>
            <w:rFonts w:ascii="Arial" w:hAnsi="Arial" w:cs="Arial"/>
          </w:rPr>
          <w:t>https://www.food.gov.uk/safety-hygiene/food-hygiene-rating-scheme</w:t>
        </w:r>
      </w:hyperlink>
      <w:r w:rsidRPr="00030181">
        <w:rPr>
          <w:rFonts w:ascii="Arial" w:hAnsi="Arial" w:cs="Arial"/>
        </w:rPr>
        <w:t xml:space="preserve"> (Accessed: 30 May 2026).</w:t>
      </w:r>
    </w:p>
    <w:p w14:paraId="04292734"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Food Standards Agency (2023) Hazard Analysis and Critical Control Point (HACCP). Available at: </w:t>
      </w:r>
      <w:hyperlink r:id="rId84" w:history="1">
        <w:r w:rsidRPr="00030181">
          <w:rPr>
            <w:rStyle w:val="Hyperlink"/>
            <w:rFonts w:ascii="Arial" w:hAnsi="Arial" w:cs="Arial"/>
          </w:rPr>
          <w:t>https://www.food.gov.uk/business-guidance/haccp</w:t>
        </w:r>
      </w:hyperlink>
      <w:r w:rsidRPr="00030181">
        <w:rPr>
          <w:rFonts w:ascii="Arial" w:hAnsi="Arial" w:cs="Arial"/>
        </w:rPr>
        <w:t xml:space="preserve"> (Accessed: 30 May 2026).</w:t>
      </w:r>
    </w:p>
    <w:p w14:paraId="39D1B4FB" w14:textId="77777777" w:rsidR="00E17875" w:rsidRPr="00030181" w:rsidRDefault="00E17875" w:rsidP="005C5EBA">
      <w:pPr>
        <w:spacing w:line="360" w:lineRule="auto"/>
        <w:jc w:val="both"/>
        <w:rPr>
          <w:rFonts w:ascii="Arial" w:hAnsi="Arial" w:cs="Arial"/>
        </w:rPr>
      </w:pPr>
      <w:r w:rsidRPr="00030181">
        <w:rPr>
          <w:rFonts w:ascii="Arial" w:hAnsi="Arial" w:cs="Arial"/>
        </w:rPr>
        <w:lastRenderedPageBreak/>
        <w:t xml:space="preserve">Forbes, A. and While, A. (2013) ‘The nursing contribution to diabetes care’, British Journal of Nursing, 22(15), pp. 878–884. Available at: </w:t>
      </w:r>
      <w:hyperlink r:id="rId85" w:history="1">
        <w:r w:rsidRPr="00030181">
          <w:rPr>
            <w:rStyle w:val="Hyperlink"/>
            <w:rFonts w:ascii="Arial" w:hAnsi="Arial" w:cs="Arial"/>
          </w:rPr>
          <w:t>https://doi.org/10.12968/bjon.2013.22.15.878</w:t>
        </w:r>
      </w:hyperlink>
      <w:r w:rsidRPr="00030181">
        <w:rPr>
          <w:rFonts w:ascii="Arial" w:hAnsi="Arial" w:cs="Arial"/>
        </w:rPr>
        <w:t xml:space="preserve"> (Accessed: 30 May 2026).</w:t>
      </w:r>
    </w:p>
    <w:p w14:paraId="3D18D8C6"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Fried, L.P., Tangen, C.M., Walston, J. et al. (2001) ‘Frailty in older adults’, The Journals of Gerontology Series A, 56(3), pp. M146–M156. Available at: </w:t>
      </w:r>
      <w:hyperlink r:id="rId86" w:history="1">
        <w:r w:rsidRPr="00030181">
          <w:rPr>
            <w:rStyle w:val="Hyperlink"/>
            <w:rFonts w:ascii="Arial" w:hAnsi="Arial" w:cs="Arial"/>
          </w:rPr>
          <w:t>https://doi.org/10.1093/gerona/56.3.M146</w:t>
        </w:r>
      </w:hyperlink>
      <w:r w:rsidRPr="00030181">
        <w:rPr>
          <w:rFonts w:ascii="Arial" w:hAnsi="Arial" w:cs="Arial"/>
        </w:rPr>
        <w:t xml:space="preserve"> (Accessed: 30 May 2026)</w:t>
      </w:r>
    </w:p>
    <w:p w14:paraId="7D410ABA" w14:textId="1E84C054" w:rsidR="00E17875" w:rsidRPr="00030181" w:rsidRDefault="00E17875" w:rsidP="005C5EBA">
      <w:pPr>
        <w:spacing w:line="360" w:lineRule="auto"/>
        <w:jc w:val="both"/>
        <w:rPr>
          <w:rFonts w:ascii="Arial" w:hAnsi="Arial" w:cs="Arial"/>
        </w:rPr>
      </w:pPr>
      <w:r w:rsidRPr="00030181">
        <w:rPr>
          <w:rFonts w:ascii="Arial" w:hAnsi="Arial" w:cs="Arial"/>
        </w:rPr>
        <w:t xml:space="preserve">Golden, S.D. and Earp, J.A.L. (2012) ‘Social ecological approaches to individuals and their contexts’, Health Education </w:t>
      </w:r>
      <w:r w:rsidR="00521D48" w:rsidRPr="00030181">
        <w:rPr>
          <w:rFonts w:ascii="Arial" w:hAnsi="Arial" w:cs="Arial"/>
        </w:rPr>
        <w:t>and</w:t>
      </w:r>
      <w:r w:rsidRPr="00030181">
        <w:rPr>
          <w:rFonts w:ascii="Arial" w:hAnsi="Arial" w:cs="Arial"/>
        </w:rPr>
        <w:t xml:space="preserve"> Behavior, 39(3), pp. 364–372. Available at: </w:t>
      </w:r>
      <w:hyperlink r:id="rId87" w:history="1">
        <w:r w:rsidRPr="00030181">
          <w:rPr>
            <w:rStyle w:val="Hyperlink"/>
            <w:rFonts w:ascii="Arial" w:hAnsi="Arial" w:cs="Arial"/>
          </w:rPr>
          <w:t>https://doi.org/10.1177/1090198111418634</w:t>
        </w:r>
      </w:hyperlink>
      <w:r w:rsidRPr="00030181">
        <w:rPr>
          <w:rFonts w:ascii="Arial" w:hAnsi="Arial" w:cs="Arial"/>
        </w:rPr>
        <w:t xml:space="preserve"> (Accessed: 30 May 2026).</w:t>
      </w:r>
    </w:p>
    <w:p w14:paraId="434589DD"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Greenhalgh, T., Howick, J. and Maskrey, N. (2018) ‘Evidence based medicine: a movement in crisis?’, BMJ, 348, g3725. Available at: </w:t>
      </w:r>
      <w:hyperlink r:id="rId88" w:history="1">
        <w:r w:rsidRPr="00030181">
          <w:rPr>
            <w:rStyle w:val="Hyperlink"/>
            <w:rFonts w:ascii="Arial" w:hAnsi="Arial" w:cs="Arial"/>
          </w:rPr>
          <w:t>https://www.bmj.com/content/348/bmj.g3725</w:t>
        </w:r>
      </w:hyperlink>
      <w:r w:rsidRPr="00030181">
        <w:rPr>
          <w:rFonts w:ascii="Arial" w:hAnsi="Arial" w:cs="Arial"/>
        </w:rPr>
        <w:t xml:space="preserve"> (Accessed: 30 May 2026).</w:t>
      </w:r>
    </w:p>
    <w:p w14:paraId="5DC6CCB5"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Haas, L., Maryniuk, M., Beck, J. et al. (2014) ‘National standards for diabetes self-management education’, Diabetes Care, 37(S1), pp. S144–S153. Available at: </w:t>
      </w:r>
      <w:hyperlink r:id="rId89" w:history="1">
        <w:r w:rsidRPr="00030181">
          <w:rPr>
            <w:rStyle w:val="Hyperlink"/>
            <w:rFonts w:ascii="Arial" w:hAnsi="Arial" w:cs="Arial"/>
          </w:rPr>
          <w:t>https://doi.org/10.2337/dc14-S144</w:t>
        </w:r>
      </w:hyperlink>
      <w:r w:rsidRPr="00030181">
        <w:rPr>
          <w:rFonts w:ascii="Arial" w:hAnsi="Arial" w:cs="Arial"/>
        </w:rPr>
        <w:t xml:space="preserve"> (Accessed: 30 May 2026).</w:t>
      </w:r>
    </w:p>
    <w:p w14:paraId="2EA82B66"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Health Foundation (2024) Quality Improvement Made Simple. Available at: </w:t>
      </w:r>
      <w:hyperlink r:id="rId90" w:history="1">
        <w:r w:rsidRPr="00030181">
          <w:rPr>
            <w:rStyle w:val="Hyperlink"/>
            <w:rFonts w:ascii="Arial" w:hAnsi="Arial" w:cs="Arial"/>
          </w:rPr>
          <w:t>https://www.health.org.uk</w:t>
        </w:r>
      </w:hyperlink>
      <w:r w:rsidRPr="00030181">
        <w:rPr>
          <w:rFonts w:ascii="Arial" w:hAnsi="Arial" w:cs="Arial"/>
        </w:rPr>
        <w:t xml:space="preserve"> (Accessed: 30 May 2026).</w:t>
      </w:r>
    </w:p>
    <w:p w14:paraId="0495B443"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Hooper, L. et al. (2015) ‘Which frail older people are dehydrated?’, Age and Ageing, 45(2), pp. 220–226. Available at: </w:t>
      </w:r>
      <w:hyperlink r:id="rId91" w:history="1">
        <w:r w:rsidRPr="00030181">
          <w:rPr>
            <w:rStyle w:val="Hyperlink"/>
            <w:rFonts w:ascii="Arial" w:hAnsi="Arial" w:cs="Arial"/>
          </w:rPr>
          <w:t>https://doi.org/10.1093/ageing/afv205</w:t>
        </w:r>
      </w:hyperlink>
      <w:r w:rsidRPr="00030181">
        <w:rPr>
          <w:rFonts w:ascii="Arial" w:hAnsi="Arial" w:cs="Arial"/>
        </w:rPr>
        <w:t xml:space="preserve"> (Accessed: 30 May 2026).</w:t>
      </w:r>
    </w:p>
    <w:p w14:paraId="7E311766"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Hooper, L., Bunn, D.K., Jimoh, O.F. and Fairweather-Tait, S.J. (2014) ‘Water-loss dehydration and ageing’, Mechanisms of Ageing and Development, 136–137, pp. 50–58. Available at: </w:t>
      </w:r>
      <w:hyperlink r:id="rId92" w:history="1">
        <w:r w:rsidRPr="00030181">
          <w:rPr>
            <w:rStyle w:val="Hyperlink"/>
            <w:rFonts w:ascii="Arial" w:hAnsi="Arial" w:cs="Arial"/>
          </w:rPr>
          <w:t>https://doi.org/10.1016/j.mad.2013.11.009</w:t>
        </w:r>
      </w:hyperlink>
      <w:r w:rsidRPr="00030181">
        <w:rPr>
          <w:rFonts w:ascii="Arial" w:hAnsi="Arial" w:cs="Arial"/>
        </w:rPr>
        <w:t xml:space="preserve"> (Accessed: 30 May 2026).</w:t>
      </w:r>
    </w:p>
    <w:p w14:paraId="3C5B9293"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House of Care (2015) House of Care Framework. Available at: </w:t>
      </w:r>
      <w:hyperlink r:id="rId93" w:history="1">
        <w:r w:rsidRPr="00030181">
          <w:rPr>
            <w:rStyle w:val="Hyperlink"/>
            <w:rFonts w:ascii="Arial" w:hAnsi="Arial" w:cs="Arial"/>
          </w:rPr>
          <w:t>https://www.england.nhs.uk/ourwork/clinical-policy/house-of-care</w:t>
        </w:r>
      </w:hyperlink>
      <w:r w:rsidRPr="00030181">
        <w:rPr>
          <w:rFonts w:ascii="Arial" w:hAnsi="Arial" w:cs="Arial"/>
        </w:rPr>
        <w:t xml:space="preserve"> (Accessed: 30 May 2026).</w:t>
      </w:r>
    </w:p>
    <w:p w14:paraId="2012E83F"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Institute for Health Metrics and Evaluation (2025) Global Burden of Disease (GBD). Available at: </w:t>
      </w:r>
      <w:hyperlink r:id="rId94" w:history="1">
        <w:r w:rsidRPr="00030181">
          <w:rPr>
            <w:rStyle w:val="Hyperlink"/>
            <w:rFonts w:ascii="Arial" w:hAnsi="Arial" w:cs="Arial"/>
          </w:rPr>
          <w:t>https://www.healthdata.org/research-analysis/gbd</w:t>
        </w:r>
      </w:hyperlink>
      <w:r w:rsidRPr="00030181">
        <w:rPr>
          <w:rFonts w:ascii="Arial" w:hAnsi="Arial" w:cs="Arial"/>
        </w:rPr>
        <w:t xml:space="preserve"> (Accessed: 30 May 2026).</w:t>
      </w:r>
    </w:p>
    <w:p w14:paraId="1064805F"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Institute for Health Metrics and Evaluation (2025) Global Burden of Disease 2023. Available at: </w:t>
      </w:r>
      <w:hyperlink r:id="rId95" w:history="1">
        <w:r w:rsidRPr="00030181">
          <w:rPr>
            <w:rStyle w:val="Hyperlink"/>
            <w:rFonts w:ascii="Arial" w:hAnsi="Arial" w:cs="Arial"/>
          </w:rPr>
          <w:t>https://www.healthdata.org/sites/default/files/2025-10/GBD_2023_Booklet_Final_2025.10.17.pdf</w:t>
        </w:r>
      </w:hyperlink>
      <w:r w:rsidRPr="00030181">
        <w:rPr>
          <w:rFonts w:ascii="Arial" w:hAnsi="Arial" w:cs="Arial"/>
        </w:rPr>
        <w:t xml:space="preserve"> (Accessed: 30 May 2026).</w:t>
      </w:r>
    </w:p>
    <w:p w14:paraId="7A9D7AEC"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Institute for Healthcare Improvement (2024) Quality Improvement Essentials Toolkit. Available at: </w:t>
      </w:r>
      <w:hyperlink r:id="rId96" w:history="1">
        <w:r w:rsidRPr="00030181">
          <w:rPr>
            <w:rStyle w:val="Hyperlink"/>
            <w:rFonts w:ascii="Arial" w:hAnsi="Arial" w:cs="Arial"/>
          </w:rPr>
          <w:t>https://www.ihi.org</w:t>
        </w:r>
      </w:hyperlink>
      <w:r w:rsidRPr="00030181">
        <w:rPr>
          <w:rFonts w:ascii="Arial" w:hAnsi="Arial" w:cs="Arial"/>
        </w:rPr>
        <w:t xml:space="preserve"> (Accessed: 30 May 2026).</w:t>
      </w:r>
    </w:p>
    <w:p w14:paraId="0681BBB4" w14:textId="77777777" w:rsidR="00E17875" w:rsidRPr="00030181" w:rsidRDefault="00E17875" w:rsidP="005C5EBA">
      <w:pPr>
        <w:spacing w:line="360" w:lineRule="auto"/>
        <w:jc w:val="both"/>
        <w:rPr>
          <w:rFonts w:ascii="Arial" w:hAnsi="Arial" w:cs="Arial"/>
        </w:rPr>
      </w:pPr>
      <w:r w:rsidRPr="00030181">
        <w:rPr>
          <w:rFonts w:ascii="Arial" w:hAnsi="Arial" w:cs="Arial"/>
        </w:rPr>
        <w:lastRenderedPageBreak/>
        <w:t xml:space="preserve">International Diabetes Federation (2021) IDF Diabetes Atlas, 10th edition. Brussels: IDF. Available at: </w:t>
      </w:r>
      <w:hyperlink r:id="rId97" w:history="1">
        <w:r w:rsidRPr="00030181">
          <w:rPr>
            <w:rStyle w:val="Hyperlink"/>
            <w:rFonts w:ascii="Arial" w:hAnsi="Arial" w:cs="Arial"/>
          </w:rPr>
          <w:t>https://diabetesatlas.org</w:t>
        </w:r>
      </w:hyperlink>
      <w:r w:rsidRPr="00030181">
        <w:rPr>
          <w:rFonts w:ascii="Arial" w:hAnsi="Arial" w:cs="Arial"/>
        </w:rPr>
        <w:t xml:space="preserve"> (Accessed: 30 May 2026).</w:t>
      </w:r>
    </w:p>
    <w:p w14:paraId="3A0AA78E"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International Diabetes Federation (2025) Diabetes facts and figures. Available at: </w:t>
      </w:r>
      <w:hyperlink r:id="rId98" w:history="1">
        <w:r w:rsidRPr="00030181">
          <w:rPr>
            <w:rStyle w:val="Hyperlink"/>
            <w:rFonts w:ascii="Arial" w:hAnsi="Arial" w:cs="Arial"/>
          </w:rPr>
          <w:t>https://idf.org/about-diabetes/diabetes-facts-figures/</w:t>
        </w:r>
      </w:hyperlink>
      <w:r w:rsidRPr="00030181">
        <w:rPr>
          <w:rFonts w:ascii="Arial" w:hAnsi="Arial" w:cs="Arial"/>
        </w:rPr>
        <w:t xml:space="preserve"> (Accessed: 30 May 2026).</w:t>
      </w:r>
    </w:p>
    <w:p w14:paraId="45CAD125"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Inzucchi, S.E. et al. (2015) ‘Management of hyperglycaemia in type 2 diabetes’, Diabetologia, 58, pp. 429–442. Available at: </w:t>
      </w:r>
      <w:hyperlink r:id="rId99" w:history="1">
        <w:r w:rsidRPr="00030181">
          <w:rPr>
            <w:rStyle w:val="Hyperlink"/>
            <w:rFonts w:ascii="Arial" w:hAnsi="Arial" w:cs="Arial"/>
          </w:rPr>
          <w:t>https://doi.org/10.1007/s00125-014-3460-0</w:t>
        </w:r>
      </w:hyperlink>
      <w:r w:rsidRPr="00030181">
        <w:rPr>
          <w:rFonts w:ascii="Arial" w:hAnsi="Arial" w:cs="Arial"/>
        </w:rPr>
        <w:t xml:space="preserve"> (Accessed: 30 May 2026).</w:t>
      </w:r>
    </w:p>
    <w:p w14:paraId="10C65B20"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Jenn, N.C. (2006) ‘Conducting a literature review’, Nursing Standard, 20(39), pp. 41–46. Available at: </w:t>
      </w:r>
      <w:hyperlink r:id="rId100" w:history="1">
        <w:r w:rsidRPr="00030181">
          <w:rPr>
            <w:rStyle w:val="Hyperlink"/>
            <w:rFonts w:ascii="Arial" w:hAnsi="Arial" w:cs="Arial"/>
          </w:rPr>
          <w:t>https://doi.org/10.7748/ns2006.06.20.39.41.c4170</w:t>
        </w:r>
      </w:hyperlink>
      <w:r w:rsidRPr="00030181">
        <w:rPr>
          <w:rFonts w:ascii="Arial" w:hAnsi="Arial" w:cs="Arial"/>
        </w:rPr>
        <w:t xml:space="preserve"> (Accessed: 30 May 2026).</w:t>
      </w:r>
    </w:p>
    <w:p w14:paraId="24A29692"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Jimoh, F.O., Bunn, D., Hooper, L. and Abraham, C. (2019) ‘Hydration interventions for older people living in residential and nursing care homes: Overview of the evidence’, Reviews in Clinical Gerontology, 29(1), pp. 15–26. Available at: </w:t>
      </w:r>
      <w:hyperlink r:id="rId101" w:history="1">
        <w:r w:rsidRPr="00030181">
          <w:rPr>
            <w:rStyle w:val="Hyperlink"/>
            <w:rFonts w:ascii="Arial" w:hAnsi="Arial" w:cs="Arial"/>
          </w:rPr>
          <w:t>https://doi.org/10.1017/S0959259819000169</w:t>
        </w:r>
      </w:hyperlink>
      <w:r w:rsidRPr="00030181">
        <w:rPr>
          <w:rFonts w:ascii="Arial" w:hAnsi="Arial" w:cs="Arial"/>
        </w:rPr>
        <w:t xml:space="preserve"> (Accessed: 30 May 2026).</w:t>
      </w:r>
    </w:p>
    <w:p w14:paraId="0C771E82"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Jimoh, O.F., Brown, T.J., Bunn, D.K. and Hooper, L. (2019) ‘Beverage intake and drinking patterns—clues to support older people living in long-term care to drink well: DRIE and FISE studies’, Nutrients, 11(2), 447. Available at: </w:t>
      </w:r>
      <w:hyperlink r:id="rId102" w:history="1">
        <w:r w:rsidRPr="00030181">
          <w:rPr>
            <w:rStyle w:val="Hyperlink"/>
            <w:rFonts w:ascii="Arial" w:hAnsi="Arial" w:cs="Arial"/>
          </w:rPr>
          <w:t>https://doi.org/10.3390/nu11020447</w:t>
        </w:r>
      </w:hyperlink>
      <w:r w:rsidRPr="00030181">
        <w:rPr>
          <w:rFonts w:ascii="Arial" w:hAnsi="Arial" w:cs="Arial"/>
        </w:rPr>
        <w:t xml:space="preserve"> (Accessed: 30 May 2026).</w:t>
      </w:r>
    </w:p>
    <w:p w14:paraId="50DA0EEF"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Jimoh, O.F., Brown, T.J., Bunn, D.K. and Hooper, L. (2019) ‘Drinking water interventions for older people in long-term care’, BMC Geriatrics, 19(1), pp. 1–12. Available at: </w:t>
      </w:r>
      <w:hyperlink r:id="rId103" w:history="1">
        <w:r w:rsidRPr="00030181">
          <w:rPr>
            <w:rStyle w:val="Hyperlink"/>
            <w:rFonts w:ascii="Arial" w:hAnsi="Arial" w:cs="Arial"/>
          </w:rPr>
          <w:t>https://bmcgeriatr.biomedcentral.com/articles/10.1186/s12877-019-1092-0</w:t>
        </w:r>
      </w:hyperlink>
      <w:r w:rsidRPr="00030181">
        <w:rPr>
          <w:rFonts w:ascii="Arial" w:hAnsi="Arial" w:cs="Arial"/>
        </w:rPr>
        <w:t xml:space="preserve"> (Accessed: 30 May 2026).</w:t>
      </w:r>
    </w:p>
    <w:p w14:paraId="587BB905"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Joanna Briggs Institute (2017) Critical Appraisal Tools. Available at: </w:t>
      </w:r>
      <w:hyperlink r:id="rId104" w:history="1">
        <w:r w:rsidRPr="00030181">
          <w:rPr>
            <w:rStyle w:val="Hyperlink"/>
            <w:rFonts w:ascii="Arial" w:hAnsi="Arial" w:cs="Arial"/>
          </w:rPr>
          <w:t>https://jbi.global/critical-appraisal-tools</w:t>
        </w:r>
      </w:hyperlink>
      <w:r w:rsidRPr="00030181">
        <w:rPr>
          <w:rFonts w:ascii="Arial" w:hAnsi="Arial" w:cs="Arial"/>
        </w:rPr>
        <w:t xml:space="preserve"> (Accessed: 30 May 2026).</w:t>
      </w:r>
    </w:p>
    <w:p w14:paraId="1D75D8A0"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Kaiser, M.J., Bauer, J.M., Rämsch, C. et al. (2010) ‘Frequency of malnutrition in older adults’, Journal of the American Geriatrics Society, 58(9), pp. 1734–1738. Available at: </w:t>
      </w:r>
      <w:hyperlink r:id="rId105" w:history="1">
        <w:r w:rsidRPr="00030181">
          <w:rPr>
            <w:rStyle w:val="Hyperlink"/>
            <w:rFonts w:ascii="Arial" w:hAnsi="Arial" w:cs="Arial"/>
          </w:rPr>
          <w:t>https://doi.org/10.1111/j.1532-5415.2010.03016.x</w:t>
        </w:r>
      </w:hyperlink>
      <w:r w:rsidRPr="00030181">
        <w:rPr>
          <w:rFonts w:ascii="Arial" w:hAnsi="Arial" w:cs="Arial"/>
        </w:rPr>
        <w:t xml:space="preserve"> (Accessed: 30 May 2026). </w:t>
      </w:r>
    </w:p>
    <w:p w14:paraId="4D042381"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Kirkman, M.S., Briscoe, V.J., Clark, N. et al. (2012) ‘Diabetes in older adults’, Diabetes Care, 35(12), pp. 2650–2664. Available at: </w:t>
      </w:r>
      <w:hyperlink r:id="rId106" w:history="1">
        <w:r w:rsidRPr="00030181">
          <w:rPr>
            <w:rStyle w:val="Hyperlink"/>
            <w:rFonts w:ascii="Arial" w:hAnsi="Arial" w:cs="Arial"/>
          </w:rPr>
          <w:t>https://doi.org/10.2337/dc12-1801</w:t>
        </w:r>
      </w:hyperlink>
      <w:r w:rsidRPr="00030181">
        <w:rPr>
          <w:rFonts w:ascii="Arial" w:hAnsi="Arial" w:cs="Arial"/>
        </w:rPr>
        <w:t xml:space="preserve"> (Accessed: 30 May 2026).</w:t>
      </w:r>
    </w:p>
    <w:p w14:paraId="32D2DA3D"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Kitwood, T. (1997) Dementia Reconsidered: The Person Comes First. Available at: </w:t>
      </w:r>
      <w:hyperlink r:id="rId107" w:history="1">
        <w:r w:rsidRPr="00030181">
          <w:rPr>
            <w:rStyle w:val="Hyperlink"/>
            <w:rFonts w:ascii="Arial" w:hAnsi="Arial" w:cs="Arial"/>
          </w:rPr>
          <w:t>https://www.openup.co.uk</w:t>
        </w:r>
      </w:hyperlink>
      <w:r w:rsidRPr="00030181">
        <w:rPr>
          <w:rFonts w:ascii="Arial" w:hAnsi="Arial" w:cs="Arial"/>
        </w:rPr>
        <w:t xml:space="preserve"> (Accessed: 30 May 2026).</w:t>
      </w:r>
    </w:p>
    <w:p w14:paraId="5E0B2FD9" w14:textId="77777777" w:rsidR="00E17875" w:rsidRPr="00030181" w:rsidRDefault="00E17875" w:rsidP="005C5EBA">
      <w:pPr>
        <w:spacing w:line="360" w:lineRule="auto"/>
        <w:jc w:val="both"/>
        <w:rPr>
          <w:rFonts w:ascii="Arial" w:hAnsi="Arial" w:cs="Arial"/>
        </w:rPr>
      </w:pPr>
      <w:r w:rsidRPr="00030181">
        <w:rPr>
          <w:rFonts w:ascii="Arial" w:hAnsi="Arial" w:cs="Arial"/>
        </w:rPr>
        <w:lastRenderedPageBreak/>
        <w:t xml:space="preserve">Landi, F., Calvani, R., Tosato, M. et al. (2019) ‘Age-related sarcopenia: mechanisms and clinical consequences’, Clinical Geriatric Medicine, 35(3), pp. 379–392. Available at: </w:t>
      </w:r>
      <w:hyperlink r:id="rId108" w:history="1">
        <w:r w:rsidRPr="00030181">
          <w:rPr>
            <w:rStyle w:val="Hyperlink"/>
            <w:rFonts w:ascii="Arial" w:hAnsi="Arial" w:cs="Arial"/>
          </w:rPr>
          <w:t>https://doi.org/10.1016/j.cger.2019.03.001</w:t>
        </w:r>
      </w:hyperlink>
      <w:r w:rsidRPr="00030181">
        <w:rPr>
          <w:rFonts w:ascii="Arial" w:hAnsi="Arial" w:cs="Arial"/>
        </w:rPr>
        <w:t xml:space="preserve"> (Accessed: 30 May 2026).</w:t>
      </w:r>
    </w:p>
    <w:p w14:paraId="6E3781EE"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Laurenti, P., de Waure, C., Raponi, M. et al. (2020) ‘Factors affecting safe and healthy dietary behaviour among older adults’, Public Health Nutrition, 23(7), pp. 1216–1224. Available at: </w:t>
      </w:r>
      <w:hyperlink r:id="rId109" w:history="1">
        <w:r w:rsidRPr="00030181">
          <w:rPr>
            <w:rStyle w:val="Hyperlink"/>
            <w:rFonts w:ascii="Arial" w:hAnsi="Arial" w:cs="Arial"/>
          </w:rPr>
          <w:t>https://doi.org/10.1017/S1368980019002301</w:t>
        </w:r>
      </w:hyperlink>
      <w:r w:rsidRPr="00030181">
        <w:rPr>
          <w:rFonts w:ascii="Arial" w:hAnsi="Arial" w:cs="Arial"/>
        </w:rPr>
        <w:t xml:space="preserve"> (Accessed: 30 May 2026).</w:t>
      </w:r>
    </w:p>
    <w:p w14:paraId="62806917"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Leij-Halfwerk, S., Verwijs, M.H., van Houdt, S. et al. (2019) ‘Prevalence of protein-energy malnutrition risk in European older adults’, Nutrients, 11(4), 773. Available at: </w:t>
      </w:r>
      <w:hyperlink r:id="rId110" w:history="1">
        <w:r w:rsidRPr="00030181">
          <w:rPr>
            <w:rStyle w:val="Hyperlink"/>
            <w:rFonts w:ascii="Arial" w:hAnsi="Arial" w:cs="Arial"/>
          </w:rPr>
          <w:t>https://doi.org/10.3390/nu11040773</w:t>
        </w:r>
      </w:hyperlink>
      <w:r w:rsidRPr="00030181">
        <w:rPr>
          <w:rFonts w:ascii="Arial" w:hAnsi="Arial" w:cs="Arial"/>
        </w:rPr>
        <w:t xml:space="preserve"> (Accessed: 30 May 2026).</w:t>
      </w:r>
    </w:p>
    <w:p w14:paraId="734C8B44"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LeRoith, D., Biessels, G.J., Braithwaite, S.S. et al. (2019) ‘Treatment of diabetes in older adults’, Diabetes Care, 42(5), pp. 839–848. Available at: </w:t>
      </w:r>
      <w:hyperlink r:id="rId111" w:history="1">
        <w:r w:rsidRPr="00030181">
          <w:rPr>
            <w:rStyle w:val="Hyperlink"/>
            <w:rFonts w:ascii="Arial" w:hAnsi="Arial" w:cs="Arial"/>
          </w:rPr>
          <w:t>https://doi.org/10.2337/dci19-0019</w:t>
        </w:r>
      </w:hyperlink>
      <w:r w:rsidRPr="00030181">
        <w:rPr>
          <w:rFonts w:ascii="Arial" w:hAnsi="Arial" w:cs="Arial"/>
        </w:rPr>
        <w:t xml:space="preserve"> (Accessed: 30 May 2026).</w:t>
      </w:r>
    </w:p>
    <w:p w14:paraId="5A87AFD4"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Liberati, A., Altman, D.G., Tetzlaff, J. et al. (2009) ‘The PRISMA Statement for reporting systematic reviews and meta-analyses’, PLoS Medicine, 6(7). Available at: </w:t>
      </w:r>
      <w:hyperlink r:id="rId112" w:history="1">
        <w:r w:rsidRPr="00030181">
          <w:rPr>
            <w:rStyle w:val="Hyperlink"/>
            <w:rFonts w:ascii="Arial" w:hAnsi="Arial" w:cs="Arial"/>
          </w:rPr>
          <w:t>https://doi.org/10.1371/journal.pmed.1000097</w:t>
        </w:r>
      </w:hyperlink>
      <w:r w:rsidRPr="00030181">
        <w:rPr>
          <w:rFonts w:ascii="Arial" w:hAnsi="Arial" w:cs="Arial"/>
        </w:rPr>
        <w:t xml:space="preserve">  (Accessed: 30 May 2026).</w:t>
      </w:r>
    </w:p>
    <w:p w14:paraId="2271493C"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Liu, Y., Wang, X. and Zhang, H. (2024) ‘Integrated nutrition and food safety interventions in residential care’, International Journal of Nursing Studies, 150, 104640. Available at: </w:t>
      </w:r>
      <w:hyperlink r:id="rId113" w:history="1">
        <w:r w:rsidRPr="00030181">
          <w:rPr>
            <w:rStyle w:val="Hyperlink"/>
            <w:rFonts w:ascii="Arial" w:hAnsi="Arial" w:cs="Arial"/>
          </w:rPr>
          <w:t>https://www.sciencedirect.com/journal/international-journal-of-nursing-studies</w:t>
        </w:r>
      </w:hyperlink>
      <w:r w:rsidRPr="00030181">
        <w:rPr>
          <w:rFonts w:ascii="Arial" w:hAnsi="Arial" w:cs="Arial"/>
        </w:rPr>
        <w:t xml:space="preserve"> (Accessed: 30 May 2026).</w:t>
      </w:r>
    </w:p>
    <w:p w14:paraId="6F1347E1"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Liu, Y., Wang, X., Zhang, H. et al. (2024) ‘Nutrition management programme for older adults in nursing homes’, Public Health Nutrition. Available at: </w:t>
      </w:r>
      <w:hyperlink r:id="rId114" w:history="1">
        <w:r w:rsidRPr="00030181">
          <w:rPr>
            <w:rStyle w:val="Hyperlink"/>
            <w:rFonts w:ascii="Arial" w:hAnsi="Arial" w:cs="Arial"/>
          </w:rPr>
          <w:t>https://doi.org/10.1017/S1368980024002453</w:t>
        </w:r>
      </w:hyperlink>
      <w:r w:rsidRPr="00030181">
        <w:rPr>
          <w:rFonts w:ascii="Arial" w:hAnsi="Arial" w:cs="Arial"/>
        </w:rPr>
        <w:t xml:space="preserve"> (Accessed: 30 May 2026).</w:t>
      </w:r>
    </w:p>
    <w:p w14:paraId="51B96EB6"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Madeira, T., Peixoto-Plácido, C., Sousa-Santos, N. et al. (2019) ‘Malnutrition among older adults living in Portuguese nursing homes’, Public Health Nutrition, 22(8), pp. 1477–1484. Available at: </w:t>
      </w:r>
      <w:hyperlink r:id="rId115" w:history="1">
        <w:r w:rsidRPr="00030181">
          <w:rPr>
            <w:rStyle w:val="Hyperlink"/>
            <w:rFonts w:ascii="Arial" w:hAnsi="Arial" w:cs="Arial"/>
          </w:rPr>
          <w:t>https://doi.org/10.1017/S1368980018002318</w:t>
        </w:r>
      </w:hyperlink>
      <w:r w:rsidRPr="00030181">
        <w:rPr>
          <w:rFonts w:ascii="Arial" w:hAnsi="Arial" w:cs="Arial"/>
        </w:rPr>
        <w:t xml:space="preserve"> (Accessed: 30 May 2026).</w:t>
      </w:r>
    </w:p>
    <w:p w14:paraId="51D90C37"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Marshall, S. (2015) ‘Protein-energy malnutrition in older adults’, Clinical Interventions in Aging, 10, pp. 1891–1900. Available at: </w:t>
      </w:r>
      <w:hyperlink r:id="rId116" w:history="1">
        <w:r w:rsidRPr="00030181">
          <w:rPr>
            <w:rStyle w:val="Hyperlink"/>
            <w:rFonts w:ascii="Arial" w:hAnsi="Arial" w:cs="Arial"/>
          </w:rPr>
          <w:t>https://doi.org/10.2147/CIA.S90676</w:t>
        </w:r>
      </w:hyperlink>
      <w:r w:rsidRPr="00030181">
        <w:rPr>
          <w:rFonts w:ascii="Arial" w:hAnsi="Arial" w:cs="Arial"/>
        </w:rPr>
        <w:t xml:space="preserve"> (Accessed: 30 May 2026).</w:t>
      </w:r>
    </w:p>
    <w:p w14:paraId="0EB67A7E"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Mays, N., Roberts, E. and Popay, J. (2001) ‘Synthesising research evidence’, in Fulop, N. et al. (eds.) Studying the Organisation and Delivery of Health Services. London: Routledge. Available at: </w:t>
      </w:r>
      <w:hyperlink r:id="rId117" w:history="1">
        <w:r w:rsidRPr="00030181">
          <w:rPr>
            <w:rStyle w:val="Hyperlink"/>
            <w:rFonts w:ascii="Arial" w:hAnsi="Arial" w:cs="Arial"/>
          </w:rPr>
          <w:t>https://eprints.soton.ac.uk/37682</w:t>
        </w:r>
      </w:hyperlink>
      <w:r w:rsidRPr="00030181">
        <w:rPr>
          <w:rFonts w:ascii="Arial" w:hAnsi="Arial" w:cs="Arial"/>
        </w:rPr>
        <w:t xml:space="preserve"> (Accessed: 30 May 2026).</w:t>
      </w:r>
    </w:p>
    <w:p w14:paraId="0985E574" w14:textId="77777777" w:rsidR="00E17875" w:rsidRPr="00030181" w:rsidRDefault="00E17875" w:rsidP="005C5EBA">
      <w:pPr>
        <w:spacing w:line="360" w:lineRule="auto"/>
        <w:jc w:val="both"/>
        <w:rPr>
          <w:rFonts w:ascii="Arial" w:hAnsi="Arial" w:cs="Arial"/>
        </w:rPr>
      </w:pPr>
      <w:r w:rsidRPr="00030181">
        <w:rPr>
          <w:rFonts w:ascii="Arial" w:hAnsi="Arial" w:cs="Arial"/>
        </w:rPr>
        <w:lastRenderedPageBreak/>
        <w:t xml:space="preserve">McCormack, B. (2004) ‘Person-centredness in gerontological nursing’, Journal of Clinical Nursing, 13, pp. 31–38. Available at: </w:t>
      </w:r>
      <w:hyperlink r:id="rId118" w:history="1">
        <w:r w:rsidRPr="00030181">
          <w:rPr>
            <w:rStyle w:val="Hyperlink"/>
            <w:rFonts w:ascii="Arial" w:hAnsi="Arial" w:cs="Arial"/>
          </w:rPr>
          <w:t>https://doi.org/10.1111/j.1365-2702.2004.00926.x</w:t>
        </w:r>
      </w:hyperlink>
      <w:r w:rsidRPr="00030181">
        <w:rPr>
          <w:rFonts w:ascii="Arial" w:hAnsi="Arial" w:cs="Arial"/>
        </w:rPr>
        <w:t xml:space="preserve"> (Accessed: 30 May 2026).</w:t>
      </w:r>
    </w:p>
    <w:p w14:paraId="70C05706"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McCormack, B. and McCance, T. (2017) Person-Centred Practice in Nursing and Health Care. 2nd edn. Oxford: Wiley Blackwell. Available at: </w:t>
      </w:r>
      <w:hyperlink r:id="rId119" w:history="1">
        <w:r w:rsidRPr="00030181">
          <w:rPr>
            <w:rStyle w:val="Hyperlink"/>
            <w:rFonts w:ascii="Arial" w:hAnsi="Arial" w:cs="Arial"/>
          </w:rPr>
          <w:t>https://www.wiley.com</w:t>
        </w:r>
      </w:hyperlink>
      <w:r w:rsidRPr="00030181">
        <w:rPr>
          <w:rFonts w:ascii="Arial" w:hAnsi="Arial" w:cs="Arial"/>
        </w:rPr>
        <w:t xml:space="preserve"> (Accessed: 30 May 2026).</w:t>
      </w:r>
    </w:p>
    <w:p w14:paraId="1DD770C0"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Meneilly, G.S. and Knip, A. (2016) ‘Diabetes in the elderly’, Canadian Journal of Diabetes, 40(3), pp. 283–295. Available at: </w:t>
      </w:r>
      <w:hyperlink r:id="rId120" w:history="1">
        <w:r w:rsidRPr="00030181">
          <w:rPr>
            <w:rStyle w:val="Hyperlink"/>
            <w:rFonts w:ascii="Arial" w:hAnsi="Arial" w:cs="Arial"/>
          </w:rPr>
          <w:t>https://doi.org/10.1016/j.jcjd.2015.08.005</w:t>
        </w:r>
      </w:hyperlink>
      <w:r w:rsidRPr="00030181">
        <w:rPr>
          <w:rFonts w:ascii="Arial" w:hAnsi="Arial" w:cs="Arial"/>
        </w:rPr>
        <w:t xml:space="preserve"> (Accessed: 30 May 2026).</w:t>
      </w:r>
    </w:p>
    <w:p w14:paraId="6D0D3B0E"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Mentes, J. (2006) ‘Oral hydration in older adults’, American Journal of Nursing, 106(6), pp. 40–49. Available at: </w:t>
      </w:r>
      <w:hyperlink r:id="rId121" w:history="1">
        <w:r w:rsidRPr="00030181">
          <w:rPr>
            <w:rStyle w:val="Hyperlink"/>
            <w:rFonts w:ascii="Arial" w:hAnsi="Arial" w:cs="Arial"/>
          </w:rPr>
          <w:t>https://doi.org/10.1097/00000446-200606000-00029</w:t>
        </w:r>
      </w:hyperlink>
      <w:r w:rsidRPr="00030181">
        <w:rPr>
          <w:rFonts w:ascii="Arial" w:hAnsi="Arial" w:cs="Arial"/>
        </w:rPr>
        <w:t xml:space="preserve"> (Accessed: 30 May 2026).</w:t>
      </w:r>
    </w:p>
    <w:p w14:paraId="2F9F88F7"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Milte, R.K. and McNaughton, S.A. (2016) ‘Diet quality and successful ageing’, Nutrition Reviews, 74(10), pp. 631–640. Available at: </w:t>
      </w:r>
      <w:hyperlink r:id="rId122" w:history="1">
        <w:r w:rsidRPr="00030181">
          <w:rPr>
            <w:rStyle w:val="Hyperlink"/>
            <w:rFonts w:ascii="Arial" w:hAnsi="Arial" w:cs="Arial"/>
          </w:rPr>
          <w:t>https://doi.org/10.1093/nutrit/nuw033</w:t>
        </w:r>
      </w:hyperlink>
      <w:r w:rsidRPr="00030181">
        <w:rPr>
          <w:rFonts w:ascii="Arial" w:hAnsi="Arial" w:cs="Arial"/>
        </w:rPr>
        <w:t xml:space="preserve"> (Accessed: 30 May 2026).</w:t>
      </w:r>
    </w:p>
    <w:p w14:paraId="16562F65"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Mokaya, J., Gitau, R. and colleagues (2022) ‘Facilitators and barriers to healthy dietary behaviour among adults with type 2 diabetes in Kenya’, Public Health Nutrition. Available at: </w:t>
      </w:r>
      <w:hyperlink r:id="rId123" w:history="1">
        <w:r w:rsidRPr="00030181">
          <w:rPr>
            <w:rStyle w:val="Hyperlink"/>
            <w:rFonts w:ascii="Arial" w:hAnsi="Arial" w:cs="Arial"/>
          </w:rPr>
          <w:t>https://doi.org/10.1017/S136898002200221</w:t>
        </w:r>
      </w:hyperlink>
      <w:r w:rsidRPr="00030181">
        <w:rPr>
          <w:rFonts w:ascii="Arial" w:hAnsi="Arial" w:cs="Arial"/>
        </w:rPr>
        <w:t xml:space="preserve">  (Accessed: 30 May 2026).</w:t>
      </w:r>
    </w:p>
    <w:p w14:paraId="0364E9FF"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Morley, J.E. (2012) ‘Undernutrition in older adults’, Family Practice, 29(S1), pp. i89–i93. Available at: </w:t>
      </w:r>
      <w:hyperlink r:id="rId124" w:history="1">
        <w:r w:rsidRPr="00030181">
          <w:rPr>
            <w:rStyle w:val="Hyperlink"/>
            <w:rFonts w:ascii="Arial" w:hAnsi="Arial" w:cs="Arial"/>
          </w:rPr>
          <w:t>https://doi.org/10.1093/fampra/cmr054</w:t>
        </w:r>
      </w:hyperlink>
      <w:r w:rsidRPr="00030181">
        <w:rPr>
          <w:rFonts w:ascii="Arial" w:hAnsi="Arial" w:cs="Arial"/>
        </w:rPr>
        <w:t xml:space="preserve"> (Accessed: 30 May 2026).</w:t>
      </w:r>
    </w:p>
    <w:p w14:paraId="517186DF"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Morley, J.E. (2018) ‘Frailty and sarcopenia: the new geriatric giants’, Revista de Investigación Clínica, 68(2), pp. 59–67. Available at: </w:t>
      </w:r>
      <w:hyperlink r:id="rId125" w:history="1">
        <w:r w:rsidRPr="00030181">
          <w:rPr>
            <w:rStyle w:val="Hyperlink"/>
            <w:rFonts w:ascii="Arial" w:hAnsi="Arial" w:cs="Arial"/>
          </w:rPr>
          <w:t>https://www.medigraphic.com/cgi-bin/new/resumenI.cgi?IDARTICULO=71284</w:t>
        </w:r>
      </w:hyperlink>
      <w:r w:rsidRPr="00030181">
        <w:rPr>
          <w:rFonts w:ascii="Arial" w:hAnsi="Arial" w:cs="Arial"/>
        </w:rPr>
        <w:t xml:space="preserve"> (Accessed: 30 May 2026).</w:t>
      </w:r>
    </w:p>
    <w:p w14:paraId="0B4FEB70"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Munshi, M.N. (2017) ‘Cognitive dysfunction in older adults with diabetes’, Diabetes Care, 40(4), pp. 461–467. Available at: </w:t>
      </w:r>
      <w:hyperlink r:id="rId126" w:history="1">
        <w:r w:rsidRPr="00030181">
          <w:rPr>
            <w:rStyle w:val="Hyperlink"/>
            <w:rFonts w:ascii="Arial" w:hAnsi="Arial" w:cs="Arial"/>
          </w:rPr>
          <w:t>https://doi.org/10.2337/dc16-1229</w:t>
        </w:r>
      </w:hyperlink>
      <w:r w:rsidRPr="00030181">
        <w:rPr>
          <w:rFonts w:ascii="Arial" w:hAnsi="Arial" w:cs="Arial"/>
        </w:rPr>
        <w:t xml:space="preserve"> (Accessed: 30 May 2026).</w:t>
      </w:r>
    </w:p>
    <w:p w14:paraId="1407D3AC" w14:textId="77777777" w:rsidR="00E17875" w:rsidRPr="00030181" w:rsidRDefault="00E17875" w:rsidP="005C5EBA">
      <w:pPr>
        <w:spacing w:line="360" w:lineRule="auto"/>
        <w:jc w:val="both"/>
        <w:rPr>
          <w:rFonts w:ascii="Arial" w:hAnsi="Arial" w:cs="Arial"/>
        </w:rPr>
      </w:pPr>
      <w:r w:rsidRPr="00030181">
        <w:rPr>
          <w:rFonts w:ascii="Arial" w:hAnsi="Arial" w:cs="Arial"/>
        </w:rPr>
        <w:t>Nancarrow, S.A. et al. (2013) ‘Ten principles of good interdisciplinary teamwork’, Human Resources for Health, 11, 19. Available at: https://doi.org/10.1186/1478-4491-11-19</w:t>
      </w:r>
    </w:p>
    <w:p w14:paraId="0B5038DE"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National Institute for Health and Care Excellence (2022) Nutrition support for adults (CG32). Available at: </w:t>
      </w:r>
      <w:hyperlink r:id="rId127" w:history="1">
        <w:r w:rsidRPr="00030181">
          <w:rPr>
            <w:rStyle w:val="Hyperlink"/>
            <w:rFonts w:ascii="Arial" w:hAnsi="Arial" w:cs="Arial"/>
          </w:rPr>
          <w:t>https://www.nice.org.uk/guidance/cg32</w:t>
        </w:r>
      </w:hyperlink>
      <w:r w:rsidRPr="00030181">
        <w:rPr>
          <w:rFonts w:ascii="Arial" w:hAnsi="Arial" w:cs="Arial"/>
        </w:rPr>
        <w:t xml:space="preserve"> (Accessed: 30 May 2026).</w:t>
      </w:r>
    </w:p>
    <w:p w14:paraId="1FA245C9"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National Institute for Health and Care Excellence (2022) Type 2 diabetes in adults: management (NG28). Available at: </w:t>
      </w:r>
      <w:hyperlink r:id="rId128" w:history="1">
        <w:r w:rsidRPr="00030181">
          <w:rPr>
            <w:rStyle w:val="Hyperlink"/>
            <w:rFonts w:ascii="Arial" w:hAnsi="Arial" w:cs="Arial"/>
          </w:rPr>
          <w:t>https://www.nice.org.uk/guidance/ng28</w:t>
        </w:r>
      </w:hyperlink>
      <w:r w:rsidRPr="00030181">
        <w:rPr>
          <w:rFonts w:ascii="Arial" w:hAnsi="Arial" w:cs="Arial"/>
        </w:rPr>
        <w:t xml:space="preserve"> (Accessed: 30 May 2026).</w:t>
      </w:r>
    </w:p>
    <w:p w14:paraId="2F5BFF25" w14:textId="77777777" w:rsidR="00E17875" w:rsidRPr="00030181" w:rsidRDefault="00E17875" w:rsidP="005C5EBA">
      <w:pPr>
        <w:spacing w:line="360" w:lineRule="auto"/>
        <w:jc w:val="both"/>
        <w:rPr>
          <w:rFonts w:ascii="Arial" w:hAnsi="Arial" w:cs="Arial"/>
        </w:rPr>
      </w:pPr>
      <w:r w:rsidRPr="00030181">
        <w:rPr>
          <w:rFonts w:ascii="Arial" w:hAnsi="Arial" w:cs="Arial"/>
        </w:rPr>
        <w:lastRenderedPageBreak/>
        <w:t xml:space="preserve">National Library of Medicine (2024) Medical Subject Headings (MeSH). Available at: </w:t>
      </w:r>
      <w:hyperlink r:id="rId129" w:history="1">
        <w:r w:rsidRPr="00030181">
          <w:rPr>
            <w:rStyle w:val="Hyperlink"/>
            <w:rFonts w:ascii="Arial" w:hAnsi="Arial" w:cs="Arial"/>
          </w:rPr>
          <w:t>https://www.ncbi.nlm.nih.gov/mesh</w:t>
        </w:r>
      </w:hyperlink>
      <w:r w:rsidRPr="00030181">
        <w:rPr>
          <w:rFonts w:ascii="Arial" w:hAnsi="Arial" w:cs="Arial"/>
        </w:rPr>
        <w:t xml:space="preserve"> (Accessed: 30 May 2026).</w:t>
      </w:r>
    </w:p>
    <w:p w14:paraId="77580116"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National Voices (2013) A Narrative for Person-Centred Coordinated Care. Available at: </w:t>
      </w:r>
      <w:hyperlink r:id="rId130" w:history="1">
        <w:r w:rsidRPr="00030181">
          <w:rPr>
            <w:rStyle w:val="Hyperlink"/>
            <w:rFonts w:ascii="Arial" w:hAnsi="Arial" w:cs="Arial"/>
          </w:rPr>
          <w:t>https://www.nationalvoices.org.uk/publications/our-publications/narrative-person-centred-coordinated-care</w:t>
        </w:r>
      </w:hyperlink>
      <w:r w:rsidRPr="00030181">
        <w:rPr>
          <w:rFonts w:ascii="Arial" w:hAnsi="Arial" w:cs="Arial"/>
        </w:rPr>
        <w:t xml:space="preserve"> (Accessed: 30 May 2026).</w:t>
      </w:r>
    </w:p>
    <w:p w14:paraId="062E903F"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NHS (2023) Dysphagia (swallowing problems). Available at: </w:t>
      </w:r>
      <w:hyperlink r:id="rId131" w:history="1">
        <w:r w:rsidRPr="00030181">
          <w:rPr>
            <w:rStyle w:val="Hyperlink"/>
            <w:rFonts w:ascii="Arial" w:hAnsi="Arial" w:cs="Arial"/>
          </w:rPr>
          <w:t>https://www.nhs.uk/conditions/swallowing-problems-dysphagia</w:t>
        </w:r>
      </w:hyperlink>
      <w:r w:rsidRPr="00030181">
        <w:rPr>
          <w:rFonts w:ascii="Arial" w:hAnsi="Arial" w:cs="Arial"/>
        </w:rPr>
        <w:t xml:space="preserve"> (Accessed: 30 May 2026).</w:t>
      </w:r>
    </w:p>
    <w:p w14:paraId="4360800D"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NHS (2023) Frailty. Available at: </w:t>
      </w:r>
      <w:hyperlink r:id="rId132" w:history="1">
        <w:r w:rsidRPr="00030181">
          <w:rPr>
            <w:rStyle w:val="Hyperlink"/>
            <w:rFonts w:ascii="Arial" w:hAnsi="Arial" w:cs="Arial"/>
          </w:rPr>
          <w:t>https://www.nhs.uk/conditions/frailty</w:t>
        </w:r>
      </w:hyperlink>
      <w:r w:rsidRPr="00030181">
        <w:rPr>
          <w:rFonts w:ascii="Arial" w:hAnsi="Arial" w:cs="Arial"/>
        </w:rPr>
        <w:t xml:space="preserve"> (Accessed: 30 May 2026).</w:t>
      </w:r>
    </w:p>
    <w:p w14:paraId="681D5148"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NHS (2023) Malnutrition. Available at: </w:t>
      </w:r>
      <w:hyperlink r:id="rId133" w:history="1">
        <w:r w:rsidRPr="00030181">
          <w:rPr>
            <w:rStyle w:val="Hyperlink"/>
            <w:rFonts w:ascii="Arial" w:hAnsi="Arial" w:cs="Arial"/>
          </w:rPr>
          <w:t>https://www.nhs.uk/conditions/malnutrition</w:t>
        </w:r>
      </w:hyperlink>
      <w:r w:rsidRPr="00030181">
        <w:rPr>
          <w:rFonts w:ascii="Arial" w:hAnsi="Arial" w:cs="Arial"/>
        </w:rPr>
        <w:t xml:space="preserve"> (Accessed: 30 May 2026).</w:t>
      </w:r>
    </w:p>
    <w:p w14:paraId="47C419D6"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NHS Digital (2023) Health Survey for England 2022. Available at: </w:t>
      </w:r>
      <w:hyperlink r:id="rId134" w:history="1">
        <w:r w:rsidRPr="00030181">
          <w:rPr>
            <w:rStyle w:val="Hyperlink"/>
            <w:rFonts w:ascii="Arial" w:hAnsi="Arial" w:cs="Arial"/>
          </w:rPr>
          <w:t>https://digital.nhs.uk/data-and-information/publications/statistical/health-survey-for-england</w:t>
        </w:r>
      </w:hyperlink>
      <w:r w:rsidRPr="00030181">
        <w:rPr>
          <w:rFonts w:ascii="Arial" w:hAnsi="Arial" w:cs="Arial"/>
        </w:rPr>
        <w:t xml:space="preserve"> (Accessed: 30 May 2026).</w:t>
      </w:r>
    </w:p>
    <w:p w14:paraId="4920090C"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NHS England (2023) Enhanced Health in Care Homes Framework. Available at: </w:t>
      </w:r>
      <w:hyperlink r:id="rId135" w:history="1">
        <w:r w:rsidRPr="00030181">
          <w:rPr>
            <w:rStyle w:val="Hyperlink"/>
            <w:rFonts w:ascii="Arial" w:hAnsi="Arial" w:cs="Arial"/>
          </w:rPr>
          <w:t>https://www.england.nhs.uk/long-read/enhanced-health-in-care-homes-framework</w:t>
        </w:r>
      </w:hyperlink>
      <w:r w:rsidRPr="00030181">
        <w:rPr>
          <w:rFonts w:ascii="Arial" w:hAnsi="Arial" w:cs="Arial"/>
        </w:rPr>
        <w:t xml:space="preserve">    (Accessed: 30 May 2026).</w:t>
      </w:r>
    </w:p>
    <w:p w14:paraId="6D07F72F"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NHS England (2023) Personalised care model. Available at: </w:t>
      </w:r>
      <w:hyperlink r:id="rId136" w:history="1">
        <w:r w:rsidRPr="00030181">
          <w:rPr>
            <w:rStyle w:val="Hyperlink"/>
            <w:rFonts w:ascii="Arial" w:hAnsi="Arial" w:cs="Arial"/>
          </w:rPr>
          <w:t>https://www.england.nhs.uk/personalisedcare</w:t>
        </w:r>
      </w:hyperlink>
      <w:r w:rsidRPr="00030181">
        <w:rPr>
          <w:rFonts w:ascii="Arial" w:hAnsi="Arial" w:cs="Arial"/>
        </w:rPr>
        <w:t xml:space="preserve"> (Accessed: 30 May 2026).</w:t>
      </w:r>
    </w:p>
    <w:p w14:paraId="65A2C081"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NHS England (2023) Providing proactive care for people living in care homes. Available at: </w:t>
      </w:r>
      <w:hyperlink r:id="rId137" w:history="1">
        <w:r w:rsidRPr="00030181">
          <w:rPr>
            <w:rStyle w:val="Hyperlink"/>
            <w:rFonts w:ascii="Arial" w:hAnsi="Arial" w:cs="Arial"/>
          </w:rPr>
          <w:t>https://www.england.nhs.uk/ourwork/clinical-policy/older-people/care-homes</w:t>
        </w:r>
      </w:hyperlink>
      <w:r w:rsidRPr="00030181">
        <w:rPr>
          <w:rFonts w:ascii="Arial" w:hAnsi="Arial" w:cs="Arial"/>
        </w:rPr>
        <w:t xml:space="preserve"> (Accessed: 30 May 2026).</w:t>
      </w:r>
    </w:p>
    <w:p w14:paraId="2FC00D93"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NHS England (2024) Enhanced Health in Care Homes Framework. Available at: </w:t>
      </w:r>
      <w:hyperlink r:id="rId138" w:history="1">
        <w:r w:rsidRPr="00030181">
          <w:rPr>
            <w:rStyle w:val="Hyperlink"/>
            <w:rFonts w:ascii="Arial" w:hAnsi="Arial" w:cs="Arial"/>
          </w:rPr>
          <w:t>https://www.england.nhs.uk</w:t>
        </w:r>
      </w:hyperlink>
      <w:r w:rsidRPr="00030181">
        <w:rPr>
          <w:rFonts w:ascii="Arial" w:hAnsi="Arial" w:cs="Arial"/>
        </w:rPr>
        <w:t xml:space="preserve"> (Accessed: 30 May 2026)</w:t>
      </w:r>
    </w:p>
    <w:p w14:paraId="75D58BC7"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NHS England (2024) Quality Improvement Guide. Available at: </w:t>
      </w:r>
      <w:hyperlink r:id="rId139" w:history="1">
        <w:r w:rsidRPr="00030181">
          <w:rPr>
            <w:rStyle w:val="Hyperlink"/>
            <w:rFonts w:ascii="Arial" w:hAnsi="Arial" w:cs="Arial"/>
          </w:rPr>
          <w:t>https://www.england.nhs.uk/improvement-hub</w:t>
        </w:r>
      </w:hyperlink>
      <w:r w:rsidRPr="00030181">
        <w:rPr>
          <w:rFonts w:ascii="Arial" w:hAnsi="Arial" w:cs="Arial"/>
        </w:rPr>
        <w:t xml:space="preserve"> (Accessed: 30 May 2026).</w:t>
      </w:r>
    </w:p>
    <w:p w14:paraId="1C604728"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NHS Somerset Foundation Trust (2020) MUST Care Pathway for Care Homes. Available at: </w:t>
      </w:r>
      <w:hyperlink r:id="rId140" w:history="1">
        <w:r w:rsidRPr="00030181">
          <w:rPr>
            <w:rStyle w:val="Hyperlink"/>
            <w:rFonts w:ascii="Arial" w:hAnsi="Arial" w:cs="Arial"/>
          </w:rPr>
          <w:t>https://somersetft.nhs.uk/wp-content/uploads/2020/08/MUST-Care-Pathway.pdf</w:t>
        </w:r>
      </w:hyperlink>
      <w:r w:rsidRPr="00030181">
        <w:rPr>
          <w:rFonts w:ascii="Arial" w:hAnsi="Arial" w:cs="Arial"/>
        </w:rPr>
        <w:t xml:space="preserve"> (Accessed: 30 May 2026).</w:t>
      </w:r>
    </w:p>
    <w:p w14:paraId="349698BB"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Norman, K., Pichard, C., Lochs, H. and Pirlich, M. (2008) ‘Prognostic impact of disease-related malnutrition’, Clinical Nutrition, 27(1), pp. 5–15. Available at: </w:t>
      </w:r>
      <w:hyperlink r:id="rId141" w:history="1">
        <w:r w:rsidRPr="00030181">
          <w:rPr>
            <w:rStyle w:val="Hyperlink"/>
            <w:rFonts w:ascii="Arial" w:hAnsi="Arial" w:cs="Arial"/>
          </w:rPr>
          <w:t>https://doi.org/10.1016/j.clnu.2007.10.007</w:t>
        </w:r>
      </w:hyperlink>
      <w:r w:rsidRPr="00030181">
        <w:rPr>
          <w:rFonts w:ascii="Arial" w:hAnsi="Arial" w:cs="Arial"/>
        </w:rPr>
        <w:t xml:space="preserve"> (Accessed: 30 May 2026).</w:t>
      </w:r>
    </w:p>
    <w:p w14:paraId="106E178D" w14:textId="77777777" w:rsidR="00E17875" w:rsidRPr="00030181" w:rsidRDefault="00E17875" w:rsidP="005C5EBA">
      <w:pPr>
        <w:spacing w:line="360" w:lineRule="auto"/>
        <w:jc w:val="both"/>
        <w:rPr>
          <w:rFonts w:ascii="Arial" w:hAnsi="Arial" w:cs="Arial"/>
        </w:rPr>
      </w:pPr>
      <w:r w:rsidRPr="00030181">
        <w:rPr>
          <w:rFonts w:ascii="Arial" w:hAnsi="Arial" w:cs="Arial"/>
        </w:rPr>
        <w:lastRenderedPageBreak/>
        <w:t xml:space="preserve">Noyes, J., Booth, A., Cargo, M. et al. (2019) Chapter 21: Qualitative Evidence, Cochrane Handbook. Available at: </w:t>
      </w:r>
      <w:hyperlink r:id="rId142" w:history="1">
        <w:r w:rsidRPr="00030181">
          <w:rPr>
            <w:rStyle w:val="Hyperlink"/>
            <w:rFonts w:ascii="Arial" w:hAnsi="Arial" w:cs="Arial"/>
          </w:rPr>
          <w:t>https://training.cochrane.org/handbook/current/chapter</w:t>
        </w:r>
      </w:hyperlink>
      <w:r w:rsidRPr="00030181">
        <w:rPr>
          <w:rFonts w:ascii="Arial" w:hAnsi="Arial" w:cs="Arial"/>
        </w:rPr>
        <w:t xml:space="preserve"> (Accessed: 30 May 2026).</w:t>
      </w:r>
    </w:p>
    <w:p w14:paraId="6A8A38FD"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Nuffield Trust (2023) Adult social care and older people. Available at: </w:t>
      </w:r>
      <w:hyperlink r:id="rId143" w:history="1">
        <w:r w:rsidRPr="00030181">
          <w:rPr>
            <w:rStyle w:val="Hyperlink"/>
            <w:rFonts w:ascii="Arial" w:hAnsi="Arial" w:cs="Arial"/>
          </w:rPr>
          <w:t>https://www.nuffieldtrust.org.uk/topic/social-care</w:t>
        </w:r>
      </w:hyperlink>
      <w:r w:rsidRPr="00030181">
        <w:rPr>
          <w:rFonts w:ascii="Arial" w:hAnsi="Arial" w:cs="Arial"/>
        </w:rPr>
        <w:t xml:space="preserve"> (Accessed: 30 May 2026).</w:t>
      </w:r>
    </w:p>
    <w:p w14:paraId="53B927A9"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Nutbeam, D. (2000) ‘Health literacy as a public health goal’, Health Promotion International, 15(3), pp. 259–267. Available at: </w:t>
      </w:r>
      <w:hyperlink r:id="rId144" w:history="1">
        <w:r w:rsidRPr="00030181">
          <w:rPr>
            <w:rStyle w:val="Hyperlink"/>
            <w:rFonts w:ascii="Arial" w:hAnsi="Arial" w:cs="Arial"/>
          </w:rPr>
          <w:t>https://doi.org/10.1093/heapro/15.3.259</w:t>
        </w:r>
      </w:hyperlink>
      <w:r w:rsidRPr="00030181">
        <w:rPr>
          <w:rFonts w:ascii="Arial" w:hAnsi="Arial" w:cs="Arial"/>
        </w:rPr>
        <w:t xml:space="preserve"> (Accessed: 30 May 2026).</w:t>
      </w:r>
    </w:p>
    <w:p w14:paraId="013371DD"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Office for National Statistics (2019) Living longer: how our population is changing and why it matters. Available at: </w:t>
      </w:r>
      <w:hyperlink r:id="rId145" w:history="1">
        <w:r w:rsidRPr="00030181">
          <w:rPr>
            <w:rStyle w:val="Hyperlink"/>
            <w:rFonts w:ascii="Arial" w:hAnsi="Arial" w:cs="Arial"/>
          </w:rPr>
          <w:t>https://www.ons.gov.uk</w:t>
        </w:r>
      </w:hyperlink>
      <w:r w:rsidRPr="00030181">
        <w:rPr>
          <w:rFonts w:ascii="Arial" w:hAnsi="Arial" w:cs="Arial"/>
        </w:rPr>
        <w:t xml:space="preserve"> (Accessed: 30 May 2026).</w:t>
      </w:r>
    </w:p>
    <w:p w14:paraId="2DA3DB3E"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Office for National Statistics (2023) Population estimates for the UK. Available at: </w:t>
      </w:r>
      <w:hyperlink r:id="rId146" w:history="1">
        <w:r w:rsidRPr="00030181">
          <w:rPr>
            <w:rStyle w:val="Hyperlink"/>
            <w:rFonts w:ascii="Arial" w:hAnsi="Arial" w:cs="Arial"/>
          </w:rPr>
          <w:t>https://www.ons.gov.uk/peoplepopulationandcommunity/populationandmigration/populationestimates</w:t>
        </w:r>
      </w:hyperlink>
      <w:r w:rsidRPr="00030181">
        <w:rPr>
          <w:rFonts w:ascii="Arial" w:hAnsi="Arial" w:cs="Arial"/>
        </w:rPr>
        <w:t xml:space="preserve"> (Accessed: 30 May 2026).</w:t>
      </w:r>
    </w:p>
    <w:p w14:paraId="021E9698"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Onuorah, C., Agyemang, C. and colleagues (2025) ‘Diabetes knowledge, risk and severity perceptions among Sub-Saharan African immigrants in the UK’, BMC Public Health. Available at: </w:t>
      </w:r>
      <w:hyperlink r:id="rId147" w:history="1">
        <w:r w:rsidRPr="00030181">
          <w:rPr>
            <w:rStyle w:val="Hyperlink"/>
            <w:rFonts w:ascii="Arial" w:hAnsi="Arial" w:cs="Arial"/>
          </w:rPr>
          <w:t>https://doi.org/10.1186/s12889-025-23773-2</w:t>
        </w:r>
      </w:hyperlink>
      <w:r w:rsidRPr="00030181">
        <w:rPr>
          <w:rFonts w:ascii="Arial" w:hAnsi="Arial" w:cs="Arial"/>
        </w:rPr>
        <w:t xml:space="preserve"> (Accessed: 30 May 2026).</w:t>
      </w:r>
    </w:p>
    <w:p w14:paraId="6A84059E"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Osborn, C.Y. et al. (2011) ‘Health literacy and diabetes self-care’, The Diabetes Educator, 37(3), pp. 324–334. Available at: </w:t>
      </w:r>
      <w:hyperlink r:id="rId148" w:history="1">
        <w:r w:rsidRPr="00030181">
          <w:rPr>
            <w:rStyle w:val="Hyperlink"/>
            <w:rFonts w:ascii="Arial" w:hAnsi="Arial" w:cs="Arial"/>
          </w:rPr>
          <w:t>https://doi.org/10.1177/0145721711401530</w:t>
        </w:r>
      </w:hyperlink>
      <w:r w:rsidRPr="00030181">
        <w:rPr>
          <w:rFonts w:ascii="Arial" w:hAnsi="Arial" w:cs="Arial"/>
        </w:rPr>
        <w:t xml:space="preserve"> (Accessed: 30 May 2026).</w:t>
      </w:r>
    </w:p>
    <w:p w14:paraId="65D87007"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Our World in Data (2026) Death rate from diabetes. Available at: </w:t>
      </w:r>
      <w:hyperlink r:id="rId149" w:history="1">
        <w:r w:rsidRPr="00030181">
          <w:rPr>
            <w:rStyle w:val="Hyperlink"/>
            <w:rFonts w:ascii="Arial" w:hAnsi="Arial" w:cs="Arial"/>
          </w:rPr>
          <w:t>https://ourworldindata.org/grapher/death-rate-from-diabetes-gbd</w:t>
        </w:r>
      </w:hyperlink>
      <w:r w:rsidRPr="00030181">
        <w:rPr>
          <w:rFonts w:ascii="Arial" w:hAnsi="Arial" w:cs="Arial"/>
        </w:rPr>
        <w:t xml:space="preserve"> (Accessed: 30 May 2026).</w:t>
      </w:r>
    </w:p>
    <w:p w14:paraId="3B4EABBD"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Our World in Data (2026) Global burden of disease. Available at: </w:t>
      </w:r>
      <w:hyperlink r:id="rId150" w:history="1">
        <w:r w:rsidRPr="00030181">
          <w:rPr>
            <w:rStyle w:val="Hyperlink"/>
            <w:rFonts w:ascii="Arial" w:hAnsi="Arial" w:cs="Arial"/>
          </w:rPr>
          <w:t>https://ourworldindata.org/burden-of-disease</w:t>
        </w:r>
      </w:hyperlink>
      <w:r w:rsidRPr="00030181">
        <w:rPr>
          <w:rFonts w:ascii="Arial" w:hAnsi="Arial" w:cs="Arial"/>
        </w:rPr>
        <w:t xml:space="preserve"> (Accessed: 30 May 2026).</w:t>
      </w:r>
    </w:p>
    <w:p w14:paraId="541F3A6A"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Page, M.J., McKenzie, J.E., Bossuyt, P.M. et al. (2021) ‘The PRISMA 2020 statement: an updated guideline for reporting systematic reviews’, BMJ, 372, n71. Available at: </w:t>
      </w:r>
      <w:hyperlink r:id="rId151" w:history="1">
        <w:r w:rsidRPr="00030181">
          <w:rPr>
            <w:rStyle w:val="Hyperlink"/>
            <w:rFonts w:ascii="Arial" w:hAnsi="Arial" w:cs="Arial"/>
          </w:rPr>
          <w:t>https://www.bmj.com/content/372/bmj.n71</w:t>
        </w:r>
      </w:hyperlink>
      <w:r w:rsidRPr="00030181">
        <w:rPr>
          <w:rFonts w:ascii="Arial" w:hAnsi="Arial" w:cs="Arial"/>
        </w:rPr>
        <w:t xml:space="preserve"> (Accessed: 30 May 2026).</w:t>
      </w:r>
    </w:p>
    <w:p w14:paraId="4D10DCA8"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Patton, M.Q. (2015) Qualitative Research and Evaluation Methods. 4th edn. Thousand Oaks, CA: Sage Publications. Available at: </w:t>
      </w:r>
      <w:hyperlink r:id="rId152" w:history="1">
        <w:r w:rsidRPr="00030181">
          <w:rPr>
            <w:rStyle w:val="Hyperlink"/>
            <w:rFonts w:ascii="Arial" w:hAnsi="Arial" w:cs="Arial"/>
          </w:rPr>
          <w:t>https://us.sagepub.com/en-us/nam/qualitative-research-evaluation-methods/book232962</w:t>
        </w:r>
      </w:hyperlink>
      <w:r w:rsidRPr="00030181">
        <w:rPr>
          <w:rFonts w:ascii="Arial" w:hAnsi="Arial" w:cs="Arial"/>
        </w:rPr>
        <w:t xml:space="preserve"> (Accessed: 30 May 2026).</w:t>
      </w:r>
    </w:p>
    <w:p w14:paraId="1AEE054E"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Popay, J., Roberts, H., Sowden, A. et al. (2006) Guidance on the Conduct of Narrative Synthesis in Systematic Reviews. Available at: </w:t>
      </w:r>
      <w:hyperlink r:id="rId153" w:history="1">
        <w:r w:rsidRPr="00030181">
          <w:rPr>
            <w:rStyle w:val="Hyperlink"/>
            <w:rFonts w:ascii="Arial" w:hAnsi="Arial" w:cs="Arial"/>
          </w:rPr>
          <w:t>https://www.lancaster.ac.uk/media/lancaster-</w:t>
        </w:r>
        <w:r w:rsidRPr="00030181">
          <w:rPr>
            <w:rStyle w:val="Hyperlink"/>
            <w:rFonts w:ascii="Arial" w:hAnsi="Arial" w:cs="Arial"/>
          </w:rPr>
          <w:lastRenderedPageBreak/>
          <w:t>university/content-assets/documents/fhm/dhr/chir/NSsynthesisguidanceVersion1-April2006.pdf</w:t>
        </w:r>
      </w:hyperlink>
      <w:r w:rsidRPr="00030181">
        <w:rPr>
          <w:rFonts w:ascii="Arial" w:hAnsi="Arial" w:cs="Arial"/>
        </w:rPr>
        <w:t xml:space="preserve"> (Accessed: 30 May 2026).</w:t>
      </w:r>
    </w:p>
    <w:p w14:paraId="384E46DF"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Powell, D.A., Jacob, C.J. and Chapman, B.J. (2011) ‘Enhancing food safety culture’, Food Control, 22(6), pp. 817–822. Available at: </w:t>
      </w:r>
      <w:hyperlink r:id="rId154" w:history="1">
        <w:r w:rsidRPr="00030181">
          <w:rPr>
            <w:rStyle w:val="Hyperlink"/>
            <w:rFonts w:ascii="Arial" w:hAnsi="Arial" w:cs="Arial"/>
          </w:rPr>
          <w:t>https://doi.org/10.1016/j.foodcont.2010.12.014</w:t>
        </w:r>
      </w:hyperlink>
      <w:r w:rsidRPr="00030181">
        <w:rPr>
          <w:rFonts w:ascii="Arial" w:hAnsi="Arial" w:cs="Arial"/>
        </w:rPr>
        <w:t xml:space="preserve"> (Accessed: 30 May 2026).</w:t>
      </w:r>
    </w:p>
    <w:p w14:paraId="2E01A211"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PRISMA (2020) PRISMA 2020 Checklist and Flow Diagram. Available at: </w:t>
      </w:r>
      <w:hyperlink r:id="rId155" w:history="1">
        <w:r w:rsidRPr="00030181">
          <w:rPr>
            <w:rStyle w:val="Hyperlink"/>
            <w:rFonts w:ascii="Arial" w:hAnsi="Arial" w:cs="Arial"/>
          </w:rPr>
          <w:t>https://www.prisma-statement.org</w:t>
        </w:r>
      </w:hyperlink>
      <w:r w:rsidRPr="00030181">
        <w:rPr>
          <w:rFonts w:ascii="Arial" w:hAnsi="Arial" w:cs="Arial"/>
        </w:rPr>
        <w:t xml:space="preserve"> (Accessed: 30 May 2026).</w:t>
      </w:r>
    </w:p>
    <w:p w14:paraId="0FB343D7"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Public Health England (2020) Health matters: preventing infectious diseases in older adults. Available at: </w:t>
      </w:r>
      <w:hyperlink r:id="rId156" w:history="1">
        <w:r w:rsidRPr="00030181">
          <w:rPr>
            <w:rStyle w:val="Hyperlink"/>
            <w:rFonts w:ascii="Arial" w:hAnsi="Arial" w:cs="Arial"/>
          </w:rPr>
          <w:t>https://www.gov.uk/government/organisations/public-health-england</w:t>
        </w:r>
      </w:hyperlink>
      <w:r w:rsidRPr="00030181">
        <w:rPr>
          <w:rFonts w:ascii="Arial" w:hAnsi="Arial" w:cs="Arial"/>
        </w:rPr>
        <w:t xml:space="preserve"> (Accessed: 30 May 2026).</w:t>
      </w:r>
    </w:p>
    <w:p w14:paraId="6B3E4487"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PubMed (2024) PubMed User Guide. Available at: </w:t>
      </w:r>
      <w:hyperlink r:id="rId157" w:history="1">
        <w:r w:rsidRPr="00030181">
          <w:rPr>
            <w:rStyle w:val="Hyperlink"/>
            <w:rFonts w:ascii="Arial" w:hAnsi="Arial" w:cs="Arial"/>
          </w:rPr>
          <w:t>https://pubmed.ncbi.nlm.nih.gov/help</w:t>
        </w:r>
      </w:hyperlink>
      <w:r w:rsidRPr="00030181">
        <w:rPr>
          <w:rFonts w:ascii="Arial" w:hAnsi="Arial" w:cs="Arial"/>
        </w:rPr>
        <w:t xml:space="preserve"> (Accessed: 30 May 2026).</w:t>
      </w:r>
    </w:p>
    <w:p w14:paraId="4ED7DC70"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Ran, L., Wang, Y. and colleagues (2023) ‘A nomogram model for predicting malnutrition among older hospitalised patients with type 2 diabetes’, BMC Geriatrics, 23, 571. Available at: </w:t>
      </w:r>
      <w:hyperlink r:id="rId158" w:history="1">
        <w:r w:rsidRPr="00030181">
          <w:rPr>
            <w:rStyle w:val="Hyperlink"/>
            <w:rFonts w:ascii="Arial" w:hAnsi="Arial" w:cs="Arial"/>
          </w:rPr>
          <w:t>https://doi.org/10.1186/s12877-023-04284-4</w:t>
        </w:r>
      </w:hyperlink>
      <w:r w:rsidRPr="00030181">
        <w:rPr>
          <w:rFonts w:ascii="Arial" w:hAnsi="Arial" w:cs="Arial"/>
        </w:rPr>
        <w:t xml:space="preserve"> (Accessed: 30 May 2026).</w:t>
      </w:r>
    </w:p>
    <w:p w14:paraId="4A309605"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Redmond, E.C. and Griffith, C.J. (2003) ‘Consumer food handling in the home’, Food Control, 14(7), pp. 449–458. Available at: </w:t>
      </w:r>
      <w:hyperlink r:id="rId159" w:history="1">
        <w:r w:rsidRPr="00030181">
          <w:rPr>
            <w:rStyle w:val="Hyperlink"/>
            <w:rFonts w:ascii="Arial" w:hAnsi="Arial" w:cs="Arial"/>
          </w:rPr>
          <w:t>https://doi.org/10.1016/S0956-7135(03)00016-X</w:t>
        </w:r>
      </w:hyperlink>
      <w:r w:rsidRPr="00030181">
        <w:rPr>
          <w:rFonts w:ascii="Arial" w:hAnsi="Arial" w:cs="Arial"/>
        </w:rPr>
        <w:t xml:space="preserve"> (Accessed: 30 May 2026). </w:t>
      </w:r>
    </w:p>
    <w:p w14:paraId="44F815C8"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Reeves, S., Pelone, F., Harrison, R. et al. (2017) ‘Interprofessional collaboration to improve healthcare outcomes’, Cochrane Database of Systematic Reviews. Available at: </w:t>
      </w:r>
      <w:hyperlink r:id="rId160" w:history="1">
        <w:r w:rsidRPr="00030181">
          <w:rPr>
            <w:rStyle w:val="Hyperlink"/>
            <w:rFonts w:ascii="Arial" w:hAnsi="Arial" w:cs="Arial"/>
          </w:rPr>
          <w:t>https://doi.org/10.1002/14651858.CD000072.pub3</w:t>
        </w:r>
      </w:hyperlink>
      <w:r w:rsidRPr="00030181">
        <w:rPr>
          <w:rFonts w:ascii="Arial" w:hAnsi="Arial" w:cs="Arial"/>
        </w:rPr>
        <w:t xml:space="preserve"> (Accessed: 30 May 2026).</w:t>
      </w:r>
    </w:p>
    <w:p w14:paraId="7C687CEF"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Roberts, H.C., Lim, S.E.R. and Cox, N.J. (2019) ‘The challenge of managing malnutrition in older adults’, Clinical Medicine, 19(4), pp. 307–311. Available at: </w:t>
      </w:r>
      <w:hyperlink r:id="rId161" w:history="1">
        <w:r w:rsidRPr="00030181">
          <w:rPr>
            <w:rStyle w:val="Hyperlink"/>
            <w:rFonts w:ascii="Arial" w:hAnsi="Arial" w:cs="Arial"/>
          </w:rPr>
          <w:t>https://doi.org/10.7861/clinmedicine.19-4-307</w:t>
        </w:r>
      </w:hyperlink>
      <w:r w:rsidRPr="00030181">
        <w:rPr>
          <w:rFonts w:ascii="Arial" w:hAnsi="Arial" w:cs="Arial"/>
        </w:rPr>
        <w:t xml:space="preserve"> (Accessed: 30 May 2026).</w:t>
      </w:r>
    </w:p>
    <w:p w14:paraId="4F8DD083"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Romano, A. and Minns Lowe, C.J. (2022) ‘Multidisciplinary nutritional care in long-term residential settings’, Nursing Older People, 34(5), pp. 22–29. Available at: </w:t>
      </w:r>
      <w:hyperlink r:id="rId162" w:history="1">
        <w:r w:rsidRPr="00030181">
          <w:rPr>
            <w:rStyle w:val="Hyperlink"/>
            <w:rFonts w:ascii="Arial" w:hAnsi="Arial" w:cs="Arial"/>
          </w:rPr>
          <w:t>https://journals.rcni.com/nursing-older-people</w:t>
        </w:r>
      </w:hyperlink>
      <w:r w:rsidRPr="00030181">
        <w:rPr>
          <w:rFonts w:ascii="Arial" w:hAnsi="Arial" w:cs="Arial"/>
        </w:rPr>
        <w:t xml:space="preserve"> (Accessed: 30 May 2026).</w:t>
      </w:r>
    </w:p>
    <w:p w14:paraId="0E851CD1"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Romano, A. and Minns Lowe, C.J. (2022) ‘The experiences of dietitians working in care homes in England’, Age and Ageing, 51(2). Available at: </w:t>
      </w:r>
      <w:hyperlink r:id="rId163" w:history="1">
        <w:r w:rsidRPr="00030181">
          <w:rPr>
            <w:rStyle w:val="Hyperlink"/>
            <w:rFonts w:ascii="Arial" w:hAnsi="Arial" w:cs="Arial"/>
          </w:rPr>
          <w:t>https://doi.org/10.1093/ageing/afac006</w:t>
        </w:r>
      </w:hyperlink>
      <w:r w:rsidRPr="00030181">
        <w:rPr>
          <w:rFonts w:ascii="Arial" w:hAnsi="Arial" w:cs="Arial"/>
        </w:rPr>
        <w:t xml:space="preserve"> (Accessed: 30 May 2026).</w:t>
      </w:r>
    </w:p>
    <w:p w14:paraId="23AF2EA2" w14:textId="77777777" w:rsidR="00E17875" w:rsidRPr="00030181" w:rsidRDefault="00E17875" w:rsidP="005C5EBA">
      <w:pPr>
        <w:spacing w:line="360" w:lineRule="auto"/>
        <w:jc w:val="both"/>
        <w:rPr>
          <w:rFonts w:ascii="Arial" w:hAnsi="Arial" w:cs="Arial"/>
        </w:rPr>
      </w:pPr>
      <w:r w:rsidRPr="00030181">
        <w:rPr>
          <w:rFonts w:ascii="Arial" w:hAnsi="Arial" w:cs="Arial"/>
        </w:rPr>
        <w:lastRenderedPageBreak/>
        <w:t xml:space="preserve">Royal College of Speech and Language Therapists (2023) Eating, Drinking and Swallowing Difficulties (Dysphagia). Available at: </w:t>
      </w:r>
      <w:hyperlink r:id="rId164" w:history="1">
        <w:r w:rsidRPr="00030181">
          <w:rPr>
            <w:rStyle w:val="Hyperlink"/>
            <w:rFonts w:ascii="Arial" w:hAnsi="Arial" w:cs="Arial"/>
          </w:rPr>
          <w:t>https://www.rcslt.org/speech-and-language-therapy/clinical-information/dysphagia</w:t>
        </w:r>
      </w:hyperlink>
      <w:r w:rsidRPr="00030181">
        <w:rPr>
          <w:rFonts w:ascii="Arial" w:hAnsi="Arial" w:cs="Arial"/>
        </w:rPr>
        <w:t xml:space="preserve"> (Accessed: 30 May 2026).</w:t>
      </w:r>
    </w:p>
    <w:p w14:paraId="129CB2E1"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Saks, M. and Allsop, J. (2019) Researching Health: Qualitative, Quantitative and Mixed Methods. 3rd edn. London: Sage Publications. Available at: </w:t>
      </w:r>
      <w:hyperlink r:id="rId165" w:history="1">
        <w:r w:rsidRPr="00030181">
          <w:rPr>
            <w:rStyle w:val="Hyperlink"/>
            <w:rFonts w:ascii="Arial" w:hAnsi="Arial" w:cs="Arial"/>
          </w:rPr>
          <w:t>https://uk.sagepub.com/en-gb/eur/researching-health/book257434</w:t>
        </w:r>
      </w:hyperlink>
      <w:r w:rsidRPr="00030181">
        <w:rPr>
          <w:rFonts w:ascii="Arial" w:hAnsi="Arial" w:cs="Arial"/>
        </w:rPr>
        <w:t xml:space="preserve"> (Accessed: 30 May 2026).</w:t>
      </w:r>
    </w:p>
    <w:p w14:paraId="208713CB"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Schenker, S. (2003) ‘Undernutrition in the UK’, Nutrition Bulletin, 28(1), pp. 87–120. Available at: </w:t>
      </w:r>
      <w:hyperlink r:id="rId166" w:history="1">
        <w:r w:rsidRPr="00030181">
          <w:rPr>
            <w:rStyle w:val="Hyperlink"/>
            <w:rFonts w:ascii="Arial" w:hAnsi="Arial" w:cs="Arial"/>
          </w:rPr>
          <w:t>https://doi.org/10.1046/j.1467-3010.2003.00316.x</w:t>
        </w:r>
      </w:hyperlink>
      <w:r w:rsidRPr="00030181">
        <w:rPr>
          <w:rFonts w:ascii="Arial" w:hAnsi="Arial" w:cs="Arial"/>
        </w:rPr>
        <w:t xml:space="preserve"> (Accessed: 30 May 2026).</w:t>
      </w:r>
    </w:p>
    <w:p w14:paraId="790F131B"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Schillinger, D. et al. (2002) ‘Association of health literacy with diabetes outcomes’, JAMA, 288(4), pp. 475–482. Available at: </w:t>
      </w:r>
      <w:hyperlink r:id="rId167" w:history="1">
        <w:r w:rsidRPr="00030181">
          <w:rPr>
            <w:rStyle w:val="Hyperlink"/>
            <w:rFonts w:ascii="Arial" w:hAnsi="Arial" w:cs="Arial"/>
          </w:rPr>
          <w:t>https://doi.org/10.1001/jama.288.4.475</w:t>
        </w:r>
      </w:hyperlink>
      <w:r w:rsidRPr="00030181">
        <w:rPr>
          <w:rFonts w:ascii="Arial" w:hAnsi="Arial" w:cs="Arial"/>
        </w:rPr>
        <w:t xml:space="preserve"> (Accessed: 30 May 2026).</w:t>
      </w:r>
    </w:p>
    <w:p w14:paraId="525CF422"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Silverman, D. (2020) Doing Qualitative Research. 6th edn. London: Sage Publications. Available at: </w:t>
      </w:r>
      <w:hyperlink r:id="rId168" w:history="1">
        <w:r w:rsidRPr="00030181">
          <w:rPr>
            <w:rStyle w:val="Hyperlink"/>
            <w:rFonts w:ascii="Arial" w:hAnsi="Arial" w:cs="Arial"/>
          </w:rPr>
          <w:t>https://uk.sagepub.com/en-gb/eur/doing-qualitative-research/book265944</w:t>
        </w:r>
      </w:hyperlink>
      <w:r w:rsidRPr="00030181">
        <w:rPr>
          <w:rFonts w:ascii="Arial" w:hAnsi="Arial" w:cs="Arial"/>
        </w:rPr>
        <w:t xml:space="preserve"> (Accessed: 30 May 2026).</w:t>
      </w:r>
    </w:p>
    <w:p w14:paraId="530EA9F9"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Sinclair, A., Abdelhafiz, A., Dunning, T. et al. (2020) Diabetes in care homes: practical guidance. Available at: </w:t>
      </w:r>
      <w:hyperlink r:id="rId169" w:history="1">
        <w:r w:rsidRPr="00030181">
          <w:rPr>
            <w:rStyle w:val="Hyperlink"/>
            <w:rFonts w:ascii="Arial" w:hAnsi="Arial" w:cs="Arial"/>
          </w:rPr>
          <w:t>https://www.diabetesonthenet.com</w:t>
        </w:r>
      </w:hyperlink>
      <w:r w:rsidRPr="00030181">
        <w:rPr>
          <w:rFonts w:ascii="Arial" w:hAnsi="Arial" w:cs="Arial"/>
        </w:rPr>
        <w:t xml:space="preserve"> (Accessed: 30 May 2026).</w:t>
      </w:r>
    </w:p>
    <w:p w14:paraId="749B8554" w14:textId="77777777" w:rsidR="00E17875" w:rsidRPr="00030181" w:rsidRDefault="00E17875" w:rsidP="005C5EBA">
      <w:pPr>
        <w:spacing w:line="360" w:lineRule="auto"/>
        <w:jc w:val="both"/>
        <w:rPr>
          <w:rFonts w:ascii="Arial" w:hAnsi="Arial" w:cs="Arial"/>
        </w:rPr>
      </w:pPr>
      <w:r w:rsidRPr="00030181">
        <w:rPr>
          <w:rFonts w:ascii="Arial" w:hAnsi="Arial" w:cs="Arial"/>
        </w:rPr>
        <w:t>Sinclair, A., Dunning, T., Colagiuri, S., Rodriguez-Mañas, L., Bourdel-Marchasson, I., Munshi, M. and others (2020) IDF Global Guideline for Managing Older People with Type 2 Diabetes. Brussels: International Diabetes Federation.</w:t>
      </w:r>
    </w:p>
    <w:p w14:paraId="0D56D97C"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Sinclair, A.J., Abdelhafiz, A.H. and Rodríguez-Mañas, L. (2020) ‘Frailty and sarcopenia in older people with diabetes’, Diabetes Research and Clinical Practice, 162, 108171. Available at: </w:t>
      </w:r>
      <w:hyperlink r:id="rId170" w:history="1">
        <w:r w:rsidRPr="00030181">
          <w:rPr>
            <w:rStyle w:val="Hyperlink"/>
            <w:rFonts w:ascii="Arial" w:hAnsi="Arial" w:cs="Arial"/>
          </w:rPr>
          <w:t>https://doi.org/10.1016/j.diabres.2020.108171</w:t>
        </w:r>
      </w:hyperlink>
      <w:r w:rsidRPr="00030181">
        <w:rPr>
          <w:rFonts w:ascii="Arial" w:hAnsi="Arial" w:cs="Arial"/>
        </w:rPr>
        <w:t xml:space="preserve"> (Accessed: 30 May 2026).</w:t>
      </w:r>
    </w:p>
    <w:p w14:paraId="57E22829"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Sinclair, A.J., Dunning, T. and Rodriguez-Mañas, L. (2015) Diabetes in Older People. Available at: </w:t>
      </w:r>
      <w:hyperlink r:id="rId171" w:history="1">
        <w:r w:rsidRPr="00030181">
          <w:rPr>
            <w:rStyle w:val="Hyperlink"/>
            <w:rFonts w:ascii="Arial" w:hAnsi="Arial" w:cs="Arial"/>
          </w:rPr>
          <w:t>https://www.idf.org/e-library/guidelines/78-global-guideline-for-managing-older-people-with-type-2-diabetes.html</w:t>
        </w:r>
      </w:hyperlink>
      <w:r w:rsidRPr="00030181">
        <w:rPr>
          <w:rFonts w:ascii="Arial" w:hAnsi="Arial" w:cs="Arial"/>
        </w:rPr>
        <w:t xml:space="preserve"> (Accessed: 30 May 2026). </w:t>
      </w:r>
    </w:p>
    <w:p w14:paraId="1A2B9CFD"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Skills for Care (2022) Learning and development for adult social care. Available at: </w:t>
      </w:r>
      <w:hyperlink r:id="rId172" w:history="1">
        <w:r w:rsidRPr="00030181">
          <w:rPr>
            <w:rStyle w:val="Hyperlink"/>
            <w:rFonts w:ascii="Arial" w:hAnsi="Arial" w:cs="Arial"/>
          </w:rPr>
          <w:t>https://www.skillsforcare.org.uk/Learning-development/Learning-and-development.as</w:t>
        </w:r>
      </w:hyperlink>
      <w:r w:rsidRPr="00030181">
        <w:rPr>
          <w:rFonts w:ascii="Arial" w:hAnsi="Arial" w:cs="Arial"/>
        </w:rPr>
        <w:t xml:space="preserve">  (Accessed: 30 May 2026).</w:t>
      </w:r>
    </w:p>
    <w:p w14:paraId="16326590"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Snyder, H. (2019) ‘Literature review as a research methodology: An overview and guidelines’, Journal of Business Research, 104, pp. 333–339. Available at: </w:t>
      </w:r>
      <w:hyperlink r:id="rId173" w:history="1">
        <w:r w:rsidRPr="00030181">
          <w:rPr>
            <w:rStyle w:val="Hyperlink"/>
            <w:rFonts w:ascii="Arial" w:hAnsi="Arial" w:cs="Arial"/>
          </w:rPr>
          <w:t>https://doi.org/10.1016/j.jbusres.2019.07.039</w:t>
        </w:r>
      </w:hyperlink>
      <w:r w:rsidRPr="00030181">
        <w:rPr>
          <w:rFonts w:ascii="Arial" w:hAnsi="Arial" w:cs="Arial"/>
        </w:rPr>
        <w:t xml:space="preserve"> (Accessed: 30 May 2026).</w:t>
      </w:r>
    </w:p>
    <w:p w14:paraId="266EFC03" w14:textId="77777777" w:rsidR="00E17875" w:rsidRPr="00030181" w:rsidRDefault="00E17875" w:rsidP="005C5EBA">
      <w:pPr>
        <w:spacing w:line="360" w:lineRule="auto"/>
        <w:jc w:val="both"/>
        <w:rPr>
          <w:rFonts w:ascii="Arial" w:hAnsi="Arial" w:cs="Arial"/>
        </w:rPr>
      </w:pPr>
      <w:r w:rsidRPr="00030181">
        <w:rPr>
          <w:rFonts w:ascii="Arial" w:hAnsi="Arial" w:cs="Arial"/>
        </w:rPr>
        <w:lastRenderedPageBreak/>
        <w:t xml:space="preserve">Social Care Institute for Excellence (2023) Nutrition and Hydration in Care Homes. Available at: </w:t>
      </w:r>
      <w:hyperlink r:id="rId174" w:history="1">
        <w:r w:rsidRPr="00030181">
          <w:rPr>
            <w:rStyle w:val="Hyperlink"/>
            <w:rFonts w:ascii="Arial" w:hAnsi="Arial" w:cs="Arial"/>
          </w:rPr>
          <w:t>https://www.scie.org.uk</w:t>
        </w:r>
      </w:hyperlink>
      <w:r w:rsidRPr="00030181">
        <w:rPr>
          <w:rFonts w:ascii="Arial" w:hAnsi="Arial" w:cs="Arial"/>
        </w:rPr>
        <w:t xml:space="preserve"> (Accessed: 30 May 2026).</w:t>
      </w:r>
    </w:p>
    <w:p w14:paraId="0AC6C97F"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Soon, J.M., Baines, R. and Seaman, P. (2012) ‘Meta-analysis of food safety training’, Food Control, 29(2), pp. 268–274. Available at: </w:t>
      </w:r>
      <w:hyperlink r:id="rId175" w:history="1">
        <w:r w:rsidRPr="00030181">
          <w:rPr>
            <w:rStyle w:val="Hyperlink"/>
            <w:rFonts w:ascii="Arial" w:hAnsi="Arial" w:cs="Arial"/>
          </w:rPr>
          <w:t>https://doi.org/10.1016/j.foodcont.2012.05.035</w:t>
        </w:r>
      </w:hyperlink>
      <w:r w:rsidRPr="00030181">
        <w:rPr>
          <w:rFonts w:ascii="Arial" w:hAnsi="Arial" w:cs="Arial"/>
        </w:rPr>
        <w:t xml:space="preserve"> (Accessed: 30 May 2026).</w:t>
      </w:r>
    </w:p>
    <w:p w14:paraId="072CCEC7"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Stratton, I.M. et al. (2000) ‘Association of glycaemia with complications of type 2 diabetes’, BMJ, 321, pp. 405–412. Available at: </w:t>
      </w:r>
      <w:hyperlink r:id="rId176" w:history="1">
        <w:r w:rsidRPr="00030181">
          <w:rPr>
            <w:rStyle w:val="Hyperlink"/>
            <w:rFonts w:ascii="Arial" w:hAnsi="Arial" w:cs="Arial"/>
          </w:rPr>
          <w:t>https://doi.org/10.1136/bmj.321.7258.405</w:t>
        </w:r>
      </w:hyperlink>
      <w:r w:rsidRPr="00030181">
        <w:rPr>
          <w:rFonts w:ascii="Arial" w:hAnsi="Arial" w:cs="Arial"/>
        </w:rPr>
        <w:t xml:space="preserve"> (Accessed: 30 May 2026).</w:t>
      </w:r>
    </w:p>
    <w:p w14:paraId="5D056043"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The King’s Fund (2023) Social care 360. Available at: </w:t>
      </w:r>
      <w:hyperlink r:id="rId177" w:history="1">
        <w:r w:rsidRPr="00030181">
          <w:rPr>
            <w:rStyle w:val="Hyperlink"/>
            <w:rFonts w:ascii="Arial" w:hAnsi="Arial" w:cs="Arial"/>
          </w:rPr>
          <w:t>https://www.kingsfund.org.uk/projects/social-care-360</w:t>
        </w:r>
      </w:hyperlink>
      <w:r w:rsidRPr="00030181">
        <w:rPr>
          <w:rFonts w:ascii="Arial" w:hAnsi="Arial" w:cs="Arial"/>
        </w:rPr>
        <w:t xml:space="preserve"> (Accessed: 30 May 2026).</w:t>
      </w:r>
    </w:p>
    <w:p w14:paraId="324ADE7B"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Thomas, J. and Harden, A. (2008) ‘Methods for the thematic synthesis of qualitative research in systematic reviews’, BMC Medical Research Methodology, 8(45). Available at: </w:t>
      </w:r>
      <w:hyperlink r:id="rId178" w:history="1">
        <w:r w:rsidRPr="00030181">
          <w:rPr>
            <w:rStyle w:val="Hyperlink"/>
            <w:rFonts w:ascii="Arial" w:hAnsi="Arial" w:cs="Arial"/>
          </w:rPr>
          <w:t>https://doi.org/10.1186/1471-2288-8-45</w:t>
        </w:r>
      </w:hyperlink>
      <w:r w:rsidRPr="00030181">
        <w:rPr>
          <w:rFonts w:ascii="Arial" w:hAnsi="Arial" w:cs="Arial"/>
        </w:rPr>
        <w:t xml:space="preserve"> (Accessed: 30 May 2026).</w:t>
      </w:r>
    </w:p>
    <w:p w14:paraId="7D45DCFC"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Tong, A., Flemming, K., McInnes, E. et al. (2012) ‘Enhancing transparency in reporting the synthesis of qualitative research’, BMC Medical Research Methodology, 12(181). Available at: </w:t>
      </w:r>
      <w:hyperlink r:id="rId179" w:history="1">
        <w:r w:rsidRPr="00030181">
          <w:rPr>
            <w:rStyle w:val="Hyperlink"/>
            <w:rFonts w:ascii="Arial" w:hAnsi="Arial" w:cs="Arial"/>
          </w:rPr>
          <w:t>https://doi.org/10.1186/1471-2288-12-181</w:t>
        </w:r>
      </w:hyperlink>
      <w:r w:rsidRPr="00030181">
        <w:rPr>
          <w:rFonts w:ascii="Arial" w:hAnsi="Arial" w:cs="Arial"/>
        </w:rPr>
        <w:t xml:space="preserve"> (Accessed: 30 May 2026).</w:t>
      </w:r>
    </w:p>
    <w:p w14:paraId="7C3BBA9C"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Tricco, A.C., Lillie, E., Zarin, W. et al. (2018) ‘PRISMA Extension for Scoping Reviews (PRISMA-ScR)’, Annals of Internal Medicine, 169(7), pp. 467–473. Available at: </w:t>
      </w:r>
      <w:hyperlink r:id="rId180" w:history="1">
        <w:r w:rsidRPr="00030181">
          <w:rPr>
            <w:rStyle w:val="Hyperlink"/>
            <w:rFonts w:ascii="Arial" w:hAnsi="Arial" w:cs="Arial"/>
          </w:rPr>
          <w:t>https://doi.org/10.7326/M18-0850</w:t>
        </w:r>
      </w:hyperlink>
      <w:r w:rsidRPr="00030181">
        <w:rPr>
          <w:rFonts w:ascii="Arial" w:hAnsi="Arial" w:cs="Arial"/>
        </w:rPr>
        <w:t xml:space="preserve"> (Accessed: 30 May 2026).</w:t>
      </w:r>
    </w:p>
    <w:p w14:paraId="1A72F7AC"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UK Health Security Agency (2022) Foodborne disease strategy. Available at: </w:t>
      </w:r>
      <w:hyperlink r:id="rId181" w:history="1">
        <w:r w:rsidRPr="00030181">
          <w:rPr>
            <w:rStyle w:val="Hyperlink"/>
            <w:rFonts w:ascii="Arial" w:hAnsi="Arial" w:cs="Arial"/>
          </w:rPr>
          <w:t>https://www.gov.uk/government/organisations/uk-health-security-agency</w:t>
        </w:r>
      </w:hyperlink>
      <w:r w:rsidRPr="00030181">
        <w:rPr>
          <w:rFonts w:ascii="Arial" w:hAnsi="Arial" w:cs="Arial"/>
        </w:rPr>
        <w:t xml:space="preserve"> (Accessed: 30 May 2026).</w:t>
      </w:r>
    </w:p>
    <w:p w14:paraId="479444D8"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United Nations (2025) Ageing. Available at: </w:t>
      </w:r>
      <w:hyperlink r:id="rId182" w:history="1">
        <w:r w:rsidRPr="00030181">
          <w:rPr>
            <w:rStyle w:val="Hyperlink"/>
            <w:rFonts w:ascii="Arial" w:hAnsi="Arial" w:cs="Arial"/>
          </w:rPr>
          <w:t>https://www.un.org/en/global-issues/ageing</w:t>
        </w:r>
      </w:hyperlink>
      <w:r w:rsidRPr="00030181">
        <w:rPr>
          <w:rFonts w:ascii="Arial" w:hAnsi="Arial" w:cs="Arial"/>
        </w:rPr>
        <w:t xml:space="preserve"> (Accessed: 30 May 2026).</w:t>
      </w:r>
    </w:p>
    <w:p w14:paraId="1E21F7A0"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University of York Centre for Reviews and Dissemination (2009) Systematic Reviews: CRD Guidance. Available at: </w:t>
      </w:r>
      <w:hyperlink r:id="rId183" w:history="1">
        <w:r w:rsidRPr="00030181">
          <w:rPr>
            <w:rStyle w:val="Hyperlink"/>
            <w:rFonts w:ascii="Arial" w:hAnsi="Arial" w:cs="Arial"/>
          </w:rPr>
          <w:t>https://www.york.ac.uk/crd/guidance</w:t>
        </w:r>
      </w:hyperlink>
      <w:r w:rsidRPr="00030181">
        <w:rPr>
          <w:rFonts w:ascii="Arial" w:hAnsi="Arial" w:cs="Arial"/>
        </w:rPr>
        <w:t xml:space="preserve"> (Accessed: 30 May 2026).</w:t>
      </w:r>
    </w:p>
    <w:p w14:paraId="182570D8"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Velázquez-Alva, M.C., Irigoyen-Camacho, M.E., Cabrer-Rosales, M.F., Lazarevich, I., Arrieta-Cruz, I. and Gutiérrez-Juárez, R. (2020) ‘Prevalence of malnutrition and depression in older adults living in nursing homes in Mexico City’, Nutrients, 12(8), 2429. Available at: </w:t>
      </w:r>
      <w:hyperlink r:id="rId184" w:history="1">
        <w:r w:rsidRPr="00030181">
          <w:rPr>
            <w:rStyle w:val="Hyperlink"/>
            <w:rFonts w:ascii="Arial" w:hAnsi="Arial" w:cs="Arial"/>
          </w:rPr>
          <w:t>https://doi.org/10.3390/nu12082429</w:t>
        </w:r>
      </w:hyperlink>
      <w:r w:rsidRPr="00030181">
        <w:rPr>
          <w:rFonts w:ascii="Arial" w:hAnsi="Arial" w:cs="Arial"/>
        </w:rPr>
        <w:t xml:space="preserve"> (Accessed: 30 May 2026).</w:t>
      </w:r>
    </w:p>
    <w:p w14:paraId="6F66DF64"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Velázquez-Alva, M.C., Irigoyen-Camacho, M.E., Delgadillo-Velázquez, J. and Lazarevich, I. (2020) ‘Sarcopenia, nutritional status and type 2 diabetes among nursing home residents’, </w:t>
      </w:r>
      <w:r w:rsidRPr="00030181">
        <w:rPr>
          <w:rFonts w:ascii="Arial" w:hAnsi="Arial" w:cs="Arial"/>
        </w:rPr>
        <w:lastRenderedPageBreak/>
        <w:t xml:space="preserve">BMC Geriatrics, 20(1), pp. 1–10. Available at: </w:t>
      </w:r>
      <w:hyperlink r:id="rId185" w:history="1">
        <w:r w:rsidRPr="00030181">
          <w:rPr>
            <w:rStyle w:val="Hyperlink"/>
            <w:rFonts w:ascii="Arial" w:hAnsi="Arial" w:cs="Arial"/>
          </w:rPr>
          <w:t>https://bmcgeriatr.biomedcentral.com</w:t>
        </w:r>
      </w:hyperlink>
      <w:r w:rsidRPr="00030181">
        <w:rPr>
          <w:rFonts w:ascii="Arial" w:hAnsi="Arial" w:cs="Arial"/>
        </w:rPr>
        <w:t xml:space="preserve"> (Accessed: 30 May 2026).</w:t>
      </w:r>
    </w:p>
    <w:p w14:paraId="5894DFC2" w14:textId="6F5242FD" w:rsidR="00E17875" w:rsidRPr="00030181" w:rsidRDefault="00E17875" w:rsidP="005C5EBA">
      <w:pPr>
        <w:spacing w:line="360" w:lineRule="auto"/>
        <w:jc w:val="both"/>
        <w:rPr>
          <w:rFonts w:ascii="Arial" w:hAnsi="Arial" w:cs="Arial"/>
        </w:rPr>
      </w:pPr>
      <w:r w:rsidRPr="00030181">
        <w:rPr>
          <w:rFonts w:ascii="Arial" w:hAnsi="Arial" w:cs="Arial"/>
        </w:rPr>
        <w:t xml:space="preserve">Velázquez-Alva, M.C., Irigoyen-Camacho, M.E., Delgadillo-Velázquez, J. and Lazarevich, I. (2020) ‘Sarcopenia, nutritional status and type 2 diabetes mellitus in older women’, Nutrition </w:t>
      </w:r>
      <w:r w:rsidR="00521D48" w:rsidRPr="00030181">
        <w:rPr>
          <w:rFonts w:ascii="Arial" w:hAnsi="Arial" w:cs="Arial"/>
        </w:rPr>
        <w:t>and</w:t>
      </w:r>
      <w:r w:rsidRPr="00030181">
        <w:rPr>
          <w:rFonts w:ascii="Arial" w:hAnsi="Arial" w:cs="Arial"/>
        </w:rPr>
        <w:t xml:space="preserve"> Dietetics, 77(5), pp. 515–522. Available at: </w:t>
      </w:r>
      <w:hyperlink r:id="rId186" w:history="1">
        <w:r w:rsidRPr="00030181">
          <w:rPr>
            <w:rStyle w:val="Hyperlink"/>
            <w:rFonts w:ascii="Arial" w:hAnsi="Arial" w:cs="Arial"/>
          </w:rPr>
          <w:t>https://doi.org/10.1111/1747-0080.12551</w:t>
        </w:r>
      </w:hyperlink>
      <w:r w:rsidRPr="00030181">
        <w:rPr>
          <w:rFonts w:ascii="Arial" w:hAnsi="Arial" w:cs="Arial"/>
        </w:rPr>
        <w:t xml:space="preserve"> (Accessed: 30 May 2026).</w:t>
      </w:r>
    </w:p>
    <w:p w14:paraId="62590CFC"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Volkert, D. (2022) ‘Malnutrition in older adults’, Nutrients, 14(5), 1038. Available at: </w:t>
      </w:r>
      <w:hyperlink r:id="rId187" w:history="1">
        <w:r w:rsidRPr="00030181">
          <w:rPr>
            <w:rStyle w:val="Hyperlink"/>
            <w:rFonts w:ascii="Arial" w:hAnsi="Arial" w:cs="Arial"/>
          </w:rPr>
          <w:t>https://doi.org/10.3390/nu14051038</w:t>
        </w:r>
      </w:hyperlink>
      <w:r w:rsidRPr="00030181">
        <w:rPr>
          <w:rFonts w:ascii="Arial" w:hAnsi="Arial" w:cs="Arial"/>
        </w:rPr>
        <w:t xml:space="preserve"> (Accessed: 30 May 2026). </w:t>
      </w:r>
    </w:p>
    <w:p w14:paraId="0D5414E3"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Volkert, D., Beck, A.M., Cederholm, T. et al. (2019) ‘ESPEN guideline on clinical nutrition and hydration in geriatrics’, Clinical Nutrition, 38(1), pp. 10–47. Available at: </w:t>
      </w:r>
      <w:hyperlink r:id="rId188" w:history="1">
        <w:r w:rsidRPr="00030181">
          <w:rPr>
            <w:rStyle w:val="Hyperlink"/>
            <w:rFonts w:ascii="Arial" w:hAnsi="Arial" w:cs="Arial"/>
          </w:rPr>
          <w:t>https://doi.org/10.1016/j.clnu.2018.05.024</w:t>
        </w:r>
      </w:hyperlink>
      <w:r w:rsidRPr="00030181">
        <w:rPr>
          <w:rFonts w:ascii="Arial" w:hAnsi="Arial" w:cs="Arial"/>
        </w:rPr>
        <w:t xml:space="preserve"> (Accessed: 30 May 2026).</w:t>
      </w:r>
    </w:p>
    <w:p w14:paraId="6DB20D2C"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Watkins, R., Goodwin, V.A., Abbott, R.A. et al. (2017) ‘Attitudes, perceptions and experiences of mealtimes among residents and staff in care homes’, Geriatric Nursing, 38(4), pp. 325–333. Available at: </w:t>
      </w:r>
      <w:hyperlink r:id="rId189" w:history="1">
        <w:r w:rsidRPr="00030181">
          <w:rPr>
            <w:rStyle w:val="Hyperlink"/>
            <w:rFonts w:ascii="Arial" w:hAnsi="Arial" w:cs="Arial"/>
          </w:rPr>
          <w:t>https://doi.org/10.1016/j.gerinurse.2016.12.002</w:t>
        </w:r>
      </w:hyperlink>
      <w:r w:rsidRPr="00030181">
        <w:rPr>
          <w:rFonts w:ascii="Arial" w:hAnsi="Arial" w:cs="Arial"/>
        </w:rPr>
        <w:t xml:space="preserve"> (Accessed: 30 May 2026).</w:t>
      </w:r>
    </w:p>
    <w:p w14:paraId="62B0407A"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West, M., Eckert, R., Steward, K. and Pasmore, B. (2014) Developing Collective Leadership for Healthcare. Available at: </w:t>
      </w:r>
      <w:hyperlink r:id="rId190" w:history="1">
        <w:r w:rsidRPr="00030181">
          <w:rPr>
            <w:rStyle w:val="Hyperlink"/>
            <w:rFonts w:ascii="Arial" w:hAnsi="Arial" w:cs="Arial"/>
          </w:rPr>
          <w:t>https://www.kingsfund.org.uk</w:t>
        </w:r>
      </w:hyperlink>
      <w:r w:rsidRPr="00030181">
        <w:rPr>
          <w:rFonts w:ascii="Arial" w:hAnsi="Arial" w:cs="Arial"/>
        </w:rPr>
        <w:t xml:space="preserve"> (Accessed: 30 May 2026).</w:t>
      </w:r>
    </w:p>
    <w:p w14:paraId="1EA66CF4"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World Health Organization (2010) Framework for Action on Interprofessional Education and Collaborative Practice. Available at: </w:t>
      </w:r>
      <w:hyperlink r:id="rId191" w:history="1">
        <w:r w:rsidRPr="00030181">
          <w:rPr>
            <w:rStyle w:val="Hyperlink"/>
            <w:rFonts w:ascii="Arial" w:hAnsi="Arial" w:cs="Arial"/>
          </w:rPr>
          <w:t>https://www.who.int/publications/i/item/framework-for-action-on-interprofessional-education-collaborative-practice</w:t>
        </w:r>
      </w:hyperlink>
      <w:r w:rsidRPr="00030181">
        <w:rPr>
          <w:rFonts w:ascii="Arial" w:hAnsi="Arial" w:cs="Arial"/>
        </w:rPr>
        <w:t xml:space="preserve"> (Accessed: 30 May 2026).</w:t>
      </w:r>
    </w:p>
    <w:p w14:paraId="71AE7DF1"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World Health Organization (2024) Diabetes. Available at: </w:t>
      </w:r>
      <w:hyperlink r:id="rId192" w:history="1">
        <w:r w:rsidRPr="00030181">
          <w:rPr>
            <w:rStyle w:val="Hyperlink"/>
            <w:rFonts w:ascii="Arial" w:hAnsi="Arial" w:cs="Arial"/>
          </w:rPr>
          <w:t>https://www.who.int/news-room/fact-sheets/detail/diabetes</w:t>
        </w:r>
      </w:hyperlink>
      <w:r w:rsidRPr="00030181">
        <w:rPr>
          <w:rFonts w:ascii="Arial" w:hAnsi="Arial" w:cs="Arial"/>
        </w:rPr>
        <w:t xml:space="preserve"> (Accessed: 30 May 2026).</w:t>
      </w:r>
    </w:p>
    <w:p w14:paraId="4E227452"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World Health Organization (2025) Ageing and health. Available at: </w:t>
      </w:r>
      <w:hyperlink r:id="rId193" w:history="1">
        <w:r w:rsidRPr="00030181">
          <w:rPr>
            <w:rStyle w:val="Hyperlink"/>
            <w:rFonts w:ascii="Arial" w:hAnsi="Arial" w:cs="Arial"/>
          </w:rPr>
          <w:t>https://www.who.int/news-room/fact-sheets/detail/ageing-and-health</w:t>
        </w:r>
      </w:hyperlink>
      <w:r w:rsidRPr="00030181">
        <w:rPr>
          <w:rFonts w:ascii="Arial" w:hAnsi="Arial" w:cs="Arial"/>
        </w:rPr>
        <w:t xml:space="preserve">  (Accessed: 30 May 2026).</w:t>
      </w:r>
    </w:p>
    <w:p w14:paraId="1AD54BAD"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World Health Organization (2025) Ageing. Available at: </w:t>
      </w:r>
      <w:hyperlink r:id="rId194" w:history="1">
        <w:r w:rsidRPr="00030181">
          <w:rPr>
            <w:rStyle w:val="Hyperlink"/>
            <w:rFonts w:ascii="Arial" w:hAnsi="Arial" w:cs="Arial"/>
          </w:rPr>
          <w:t>https://www.who.int/health-topics/ageing</w:t>
        </w:r>
      </w:hyperlink>
      <w:r w:rsidRPr="00030181">
        <w:rPr>
          <w:rFonts w:ascii="Arial" w:hAnsi="Arial" w:cs="Arial"/>
        </w:rPr>
        <w:t xml:space="preserve"> (Accessed: 30 May 2026).</w:t>
      </w:r>
    </w:p>
    <w:p w14:paraId="03C4F62E"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World Medical Association (2018) Declaration of Helsinki – Ethical Principles for Medical Research Involving Human Subjects. Available at: </w:t>
      </w:r>
      <w:hyperlink r:id="rId195" w:history="1">
        <w:r w:rsidRPr="00030181">
          <w:rPr>
            <w:rStyle w:val="Hyperlink"/>
            <w:rFonts w:ascii="Arial" w:hAnsi="Arial" w:cs="Arial"/>
          </w:rPr>
          <w:t>https://www.wma.net/policies-post/wma-declaration-of-helsinki-ethical-principles-for-medical-research-involving-human-subjects</w:t>
        </w:r>
      </w:hyperlink>
      <w:r w:rsidRPr="00030181">
        <w:rPr>
          <w:rFonts w:ascii="Arial" w:hAnsi="Arial" w:cs="Arial"/>
        </w:rPr>
        <w:t xml:space="preserve">  (Accessed: 30 May 2026).</w:t>
      </w:r>
    </w:p>
    <w:p w14:paraId="3624FD61"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Wotton, K., Crannitch, K. and Munt, R. (2008) ‘Prevalence, risk factors and strategies to prevent dehydration’, Contemporary Nurse, 31(1), pp. 44–56. Available at: </w:t>
      </w:r>
      <w:hyperlink r:id="rId196" w:history="1">
        <w:r w:rsidRPr="00030181">
          <w:rPr>
            <w:rStyle w:val="Hyperlink"/>
            <w:rFonts w:ascii="Arial" w:hAnsi="Arial" w:cs="Arial"/>
          </w:rPr>
          <w:t>https://doi.org/10.5172/conu.673.31.1.44</w:t>
        </w:r>
      </w:hyperlink>
      <w:r w:rsidRPr="00030181">
        <w:rPr>
          <w:rFonts w:ascii="Arial" w:hAnsi="Arial" w:cs="Arial"/>
        </w:rPr>
        <w:t xml:space="preserve"> </w:t>
      </w:r>
    </w:p>
    <w:p w14:paraId="441954B2" w14:textId="77777777" w:rsidR="00E17875" w:rsidRPr="00030181" w:rsidRDefault="00E17875" w:rsidP="005C5EBA">
      <w:pPr>
        <w:spacing w:line="360" w:lineRule="auto"/>
        <w:jc w:val="both"/>
        <w:rPr>
          <w:rFonts w:ascii="Arial" w:hAnsi="Arial" w:cs="Arial"/>
        </w:rPr>
      </w:pPr>
      <w:r w:rsidRPr="00030181">
        <w:rPr>
          <w:rFonts w:ascii="Arial" w:hAnsi="Arial" w:cs="Arial"/>
        </w:rPr>
        <w:lastRenderedPageBreak/>
        <w:t xml:space="preserve">Wright, L., Cotter, D. and Hickson, M. (2015) ‘The effectiveness of targeted feeding assistance’, Journal of Human Nutrition and Dietetics, 28(3), pp. 271–279. Available at: </w:t>
      </w:r>
      <w:hyperlink r:id="rId197" w:history="1">
        <w:r w:rsidRPr="00030181">
          <w:rPr>
            <w:rStyle w:val="Hyperlink"/>
            <w:rFonts w:ascii="Arial" w:hAnsi="Arial" w:cs="Arial"/>
          </w:rPr>
          <w:t>https://doi.org/10.1111/jhn.12238</w:t>
        </w:r>
      </w:hyperlink>
      <w:r w:rsidRPr="00030181">
        <w:rPr>
          <w:rFonts w:ascii="Arial" w:hAnsi="Arial" w:cs="Arial"/>
        </w:rPr>
        <w:t xml:space="preserve">  (Accessed: 30 May 2026).</w:t>
      </w:r>
    </w:p>
    <w:p w14:paraId="1AD2FE11"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Xyrichis, A. and Lowton, K. (2008) ‘What fosters or prevents interprofessional teamworking?’, International Journal of Nursing Studies, 45(1), pp. 140–153. Available at: </w:t>
      </w:r>
      <w:hyperlink r:id="rId198" w:history="1">
        <w:r w:rsidRPr="00030181">
          <w:rPr>
            <w:rStyle w:val="Hyperlink"/>
            <w:rFonts w:ascii="Arial" w:hAnsi="Arial" w:cs="Arial"/>
          </w:rPr>
          <w:t>https://doi.org/10.1016/j.ijnurstu.2007.01.015</w:t>
        </w:r>
      </w:hyperlink>
      <w:r w:rsidRPr="00030181">
        <w:rPr>
          <w:rFonts w:ascii="Arial" w:hAnsi="Arial" w:cs="Arial"/>
        </w:rPr>
        <w:t xml:space="preserve"> </w:t>
      </w:r>
    </w:p>
    <w:p w14:paraId="2B699E01"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Yiannas, F. (2009) Food Safety Culture. Available at: </w:t>
      </w:r>
      <w:hyperlink r:id="rId199" w:history="1">
        <w:r w:rsidRPr="00030181">
          <w:rPr>
            <w:rStyle w:val="Hyperlink"/>
            <w:rFonts w:ascii="Arial" w:hAnsi="Arial" w:cs="Arial"/>
          </w:rPr>
          <w:t>https://www.springer.com</w:t>
        </w:r>
      </w:hyperlink>
      <w:r w:rsidRPr="00030181">
        <w:rPr>
          <w:rFonts w:ascii="Arial" w:hAnsi="Arial" w:cs="Arial"/>
        </w:rPr>
        <w:t xml:space="preserve"> </w:t>
      </w:r>
    </w:p>
    <w:p w14:paraId="0DDF5F50" w14:textId="77777777" w:rsidR="00E17875" w:rsidRPr="00030181" w:rsidRDefault="00E17875" w:rsidP="005C5EBA">
      <w:pPr>
        <w:spacing w:line="360" w:lineRule="auto"/>
        <w:jc w:val="both"/>
        <w:rPr>
          <w:rFonts w:ascii="Arial" w:hAnsi="Arial" w:cs="Arial"/>
        </w:rPr>
      </w:pPr>
      <w:r w:rsidRPr="00030181">
        <w:rPr>
          <w:rFonts w:ascii="Arial" w:hAnsi="Arial" w:cs="Arial"/>
        </w:rPr>
        <w:t xml:space="preserve">Zwarenstein, M., Goldman, J. and Reeves, S. (2009) ‘Interprofessional collaboration’, Journal of Interprofessional Care, 23(4), pp. 429–431. Available at: </w:t>
      </w:r>
      <w:hyperlink r:id="rId200" w:history="1">
        <w:r w:rsidRPr="00030181">
          <w:rPr>
            <w:rStyle w:val="Hyperlink"/>
            <w:rFonts w:ascii="Arial" w:hAnsi="Arial" w:cs="Arial"/>
          </w:rPr>
          <w:t>https://doi.org/10.1080/13561820902886206</w:t>
        </w:r>
      </w:hyperlink>
      <w:r w:rsidRPr="00030181">
        <w:rPr>
          <w:rFonts w:ascii="Arial" w:hAnsi="Arial" w:cs="Arial"/>
        </w:rPr>
        <w:t xml:space="preserve"> </w:t>
      </w:r>
    </w:p>
    <w:p w14:paraId="0C7B81F8" w14:textId="16DF34C4" w:rsidR="00E17875" w:rsidRPr="00030181" w:rsidRDefault="00E17875" w:rsidP="005C5EBA">
      <w:pPr>
        <w:spacing w:line="360" w:lineRule="auto"/>
        <w:rPr>
          <w:rFonts w:ascii="Arial" w:hAnsi="Arial" w:cs="Arial"/>
        </w:rPr>
        <w:sectPr w:rsidR="00E17875" w:rsidRPr="00030181" w:rsidSect="0099306B">
          <w:footerReference w:type="default" r:id="rId201"/>
          <w:pgSz w:w="11906" w:h="16838"/>
          <w:pgMar w:top="1440" w:right="1440" w:bottom="1440" w:left="1440" w:header="708" w:footer="708" w:gutter="0"/>
          <w:pgNumType w:start="0"/>
          <w:cols w:space="708"/>
          <w:titlePg/>
          <w:docGrid w:linePitch="360"/>
        </w:sectPr>
      </w:pPr>
    </w:p>
    <w:p w14:paraId="66A327C4" w14:textId="1ACB659A" w:rsidR="00AD385F" w:rsidRPr="00030181" w:rsidRDefault="003E3370" w:rsidP="00A94F44">
      <w:pPr>
        <w:pStyle w:val="Heading1"/>
        <w:spacing w:line="360" w:lineRule="auto"/>
        <w:rPr>
          <w:rFonts w:ascii="Arial" w:hAnsi="Arial" w:cs="Arial"/>
          <w:b/>
          <w:bCs/>
          <w:color w:val="000000" w:themeColor="text1"/>
          <w:sz w:val="24"/>
          <w:szCs w:val="24"/>
        </w:rPr>
      </w:pPr>
      <w:bookmarkStart w:id="78" w:name="_Toc231947597"/>
      <w:bookmarkStart w:id="79" w:name="_Hlk230125779"/>
      <w:r w:rsidRPr="00030181">
        <w:rPr>
          <w:rFonts w:ascii="Arial" w:hAnsi="Arial" w:cs="Arial"/>
          <w:b/>
          <w:bCs/>
          <w:color w:val="000000" w:themeColor="text1"/>
          <w:sz w:val="24"/>
          <w:szCs w:val="24"/>
        </w:rPr>
        <w:lastRenderedPageBreak/>
        <w:t xml:space="preserve">APPENDIX 1 </w:t>
      </w:r>
      <w:r w:rsidR="00AD385F" w:rsidRPr="00030181">
        <w:rPr>
          <w:rFonts w:ascii="Arial" w:hAnsi="Arial" w:cs="Arial"/>
          <w:b/>
          <w:bCs/>
          <w:color w:val="000000" w:themeColor="text1"/>
          <w:sz w:val="24"/>
          <w:szCs w:val="24"/>
        </w:rPr>
        <w:t>–</w:t>
      </w:r>
      <w:r w:rsidR="00D848D4" w:rsidRPr="00030181">
        <w:rPr>
          <w:rFonts w:ascii="Arial" w:hAnsi="Arial" w:cs="Arial"/>
          <w:b/>
          <w:bCs/>
          <w:color w:val="000000" w:themeColor="text1"/>
          <w:sz w:val="24"/>
          <w:szCs w:val="24"/>
        </w:rPr>
        <w:t>Table 3.7.1 Data Extraction Framework</w:t>
      </w:r>
      <w:bookmarkEnd w:id="78"/>
    </w:p>
    <w:tbl>
      <w:tblPr>
        <w:tblStyle w:val="TableGrid"/>
        <w:tblW w:w="0" w:type="auto"/>
        <w:tblLook w:val="04A0" w:firstRow="1" w:lastRow="0" w:firstColumn="1" w:lastColumn="0" w:noHBand="0" w:noVBand="1"/>
      </w:tblPr>
      <w:tblGrid>
        <w:gridCol w:w="1411"/>
        <w:gridCol w:w="1634"/>
        <w:gridCol w:w="1567"/>
        <w:gridCol w:w="1601"/>
        <w:gridCol w:w="1466"/>
        <w:gridCol w:w="1331"/>
        <w:gridCol w:w="1826"/>
        <w:gridCol w:w="1500"/>
        <w:gridCol w:w="1612"/>
      </w:tblGrid>
      <w:tr w:rsidR="00A94F44" w:rsidRPr="00030181" w14:paraId="33AAFD3A" w14:textId="77777777" w:rsidTr="00BD2247">
        <w:tc>
          <w:tcPr>
            <w:tcW w:w="0" w:type="auto"/>
            <w:hideMark/>
          </w:tcPr>
          <w:bookmarkEnd w:id="79"/>
          <w:p w14:paraId="3E675C54" w14:textId="77777777" w:rsidR="00A94F44" w:rsidRPr="00030181" w:rsidRDefault="00A94F44" w:rsidP="005C5EBA">
            <w:pPr>
              <w:spacing w:after="160" w:line="360" w:lineRule="auto"/>
              <w:jc w:val="both"/>
              <w:rPr>
                <w:rFonts w:ascii="Arial" w:hAnsi="Arial" w:cs="Arial"/>
                <w:b/>
                <w:bCs/>
              </w:rPr>
            </w:pPr>
            <w:r w:rsidRPr="00030181">
              <w:rPr>
                <w:rFonts w:ascii="Arial" w:hAnsi="Arial" w:cs="Arial"/>
                <w:b/>
                <w:bCs/>
              </w:rPr>
              <w:t>Author(s)</w:t>
            </w:r>
          </w:p>
        </w:tc>
        <w:tc>
          <w:tcPr>
            <w:tcW w:w="0" w:type="auto"/>
            <w:hideMark/>
          </w:tcPr>
          <w:p w14:paraId="1E4DDA7C" w14:textId="77777777" w:rsidR="00A94F44" w:rsidRPr="00030181" w:rsidRDefault="00A94F44" w:rsidP="005C5EBA">
            <w:pPr>
              <w:spacing w:after="160" w:line="360" w:lineRule="auto"/>
              <w:jc w:val="both"/>
              <w:rPr>
                <w:rFonts w:ascii="Arial" w:hAnsi="Arial" w:cs="Arial"/>
                <w:b/>
                <w:bCs/>
              </w:rPr>
            </w:pPr>
            <w:r w:rsidRPr="00030181">
              <w:rPr>
                <w:rFonts w:ascii="Arial" w:hAnsi="Arial" w:cs="Arial"/>
                <w:b/>
                <w:bCs/>
              </w:rPr>
              <w:t>Objective</w:t>
            </w:r>
          </w:p>
        </w:tc>
        <w:tc>
          <w:tcPr>
            <w:tcW w:w="0" w:type="auto"/>
            <w:hideMark/>
          </w:tcPr>
          <w:p w14:paraId="2BC383F7" w14:textId="77777777" w:rsidR="00A94F44" w:rsidRPr="00030181" w:rsidRDefault="00A94F44" w:rsidP="005C5EBA">
            <w:pPr>
              <w:spacing w:after="160" w:line="360" w:lineRule="auto"/>
              <w:jc w:val="both"/>
              <w:rPr>
                <w:rFonts w:ascii="Arial" w:hAnsi="Arial" w:cs="Arial"/>
                <w:b/>
                <w:bCs/>
              </w:rPr>
            </w:pPr>
            <w:r w:rsidRPr="00030181">
              <w:rPr>
                <w:rFonts w:ascii="Arial" w:hAnsi="Arial" w:cs="Arial"/>
                <w:b/>
                <w:bCs/>
              </w:rPr>
              <w:t>Methods</w:t>
            </w:r>
          </w:p>
        </w:tc>
        <w:tc>
          <w:tcPr>
            <w:tcW w:w="0" w:type="auto"/>
            <w:hideMark/>
          </w:tcPr>
          <w:p w14:paraId="06AA680F" w14:textId="77777777" w:rsidR="00A94F44" w:rsidRPr="00030181" w:rsidRDefault="00A94F44" w:rsidP="005C5EBA">
            <w:pPr>
              <w:spacing w:after="160" w:line="360" w:lineRule="auto"/>
              <w:jc w:val="both"/>
              <w:rPr>
                <w:rFonts w:ascii="Arial" w:hAnsi="Arial" w:cs="Arial"/>
                <w:b/>
                <w:bCs/>
              </w:rPr>
            </w:pPr>
            <w:r w:rsidRPr="00030181">
              <w:rPr>
                <w:rFonts w:ascii="Arial" w:hAnsi="Arial" w:cs="Arial"/>
                <w:b/>
                <w:bCs/>
              </w:rPr>
              <w:t>Results</w:t>
            </w:r>
          </w:p>
        </w:tc>
        <w:tc>
          <w:tcPr>
            <w:tcW w:w="0" w:type="auto"/>
            <w:hideMark/>
          </w:tcPr>
          <w:p w14:paraId="5266CC4F" w14:textId="77777777" w:rsidR="00A94F44" w:rsidRPr="00030181" w:rsidRDefault="00A94F44" w:rsidP="005C5EBA">
            <w:pPr>
              <w:spacing w:after="160" w:line="360" w:lineRule="auto"/>
              <w:jc w:val="both"/>
              <w:rPr>
                <w:rFonts w:ascii="Arial" w:hAnsi="Arial" w:cs="Arial"/>
                <w:b/>
                <w:bCs/>
              </w:rPr>
            </w:pPr>
            <w:r w:rsidRPr="00030181">
              <w:rPr>
                <w:rFonts w:ascii="Arial" w:hAnsi="Arial" w:cs="Arial"/>
                <w:b/>
                <w:bCs/>
              </w:rPr>
              <w:t>Design</w:t>
            </w:r>
          </w:p>
        </w:tc>
        <w:tc>
          <w:tcPr>
            <w:tcW w:w="0" w:type="auto"/>
            <w:hideMark/>
          </w:tcPr>
          <w:p w14:paraId="4CB8C9C4" w14:textId="77777777" w:rsidR="00A94F44" w:rsidRPr="00030181" w:rsidRDefault="00A94F44" w:rsidP="005C5EBA">
            <w:pPr>
              <w:spacing w:after="160" w:line="360" w:lineRule="auto"/>
              <w:jc w:val="both"/>
              <w:rPr>
                <w:rFonts w:ascii="Arial" w:hAnsi="Arial" w:cs="Arial"/>
                <w:b/>
                <w:bCs/>
              </w:rPr>
            </w:pPr>
            <w:r w:rsidRPr="00030181">
              <w:rPr>
                <w:rFonts w:ascii="Arial" w:hAnsi="Arial" w:cs="Arial"/>
                <w:b/>
                <w:bCs/>
              </w:rPr>
              <w:t>Sample Size</w:t>
            </w:r>
          </w:p>
        </w:tc>
        <w:tc>
          <w:tcPr>
            <w:tcW w:w="0" w:type="auto"/>
            <w:hideMark/>
          </w:tcPr>
          <w:p w14:paraId="5EB7B945" w14:textId="77777777" w:rsidR="00A94F44" w:rsidRPr="00030181" w:rsidRDefault="00A94F44" w:rsidP="005C5EBA">
            <w:pPr>
              <w:spacing w:after="160" w:line="360" w:lineRule="auto"/>
              <w:jc w:val="both"/>
              <w:rPr>
                <w:rFonts w:ascii="Arial" w:hAnsi="Arial" w:cs="Arial"/>
                <w:b/>
                <w:bCs/>
              </w:rPr>
            </w:pPr>
            <w:r w:rsidRPr="00030181">
              <w:rPr>
                <w:rFonts w:ascii="Arial" w:hAnsi="Arial" w:cs="Arial"/>
                <w:b/>
                <w:bCs/>
              </w:rPr>
              <w:t>Main Findings</w:t>
            </w:r>
          </w:p>
        </w:tc>
        <w:tc>
          <w:tcPr>
            <w:tcW w:w="0" w:type="auto"/>
            <w:hideMark/>
          </w:tcPr>
          <w:p w14:paraId="494B72CB" w14:textId="77777777" w:rsidR="00A94F44" w:rsidRPr="00030181" w:rsidRDefault="00A94F44" w:rsidP="005C5EBA">
            <w:pPr>
              <w:spacing w:after="160" w:line="360" w:lineRule="auto"/>
              <w:jc w:val="both"/>
              <w:rPr>
                <w:rFonts w:ascii="Arial" w:hAnsi="Arial" w:cs="Arial"/>
                <w:b/>
                <w:bCs/>
              </w:rPr>
            </w:pPr>
            <w:r w:rsidRPr="00030181">
              <w:rPr>
                <w:rFonts w:ascii="Arial" w:hAnsi="Arial" w:cs="Arial"/>
                <w:b/>
                <w:bCs/>
              </w:rPr>
              <w:t>Strengths</w:t>
            </w:r>
          </w:p>
        </w:tc>
        <w:tc>
          <w:tcPr>
            <w:tcW w:w="0" w:type="auto"/>
            <w:hideMark/>
          </w:tcPr>
          <w:p w14:paraId="6E7FB0B5" w14:textId="77777777" w:rsidR="00A94F44" w:rsidRPr="00030181" w:rsidRDefault="00A94F44" w:rsidP="005C5EBA">
            <w:pPr>
              <w:spacing w:after="160" w:line="360" w:lineRule="auto"/>
              <w:jc w:val="both"/>
              <w:rPr>
                <w:rFonts w:ascii="Arial" w:hAnsi="Arial" w:cs="Arial"/>
                <w:b/>
                <w:bCs/>
              </w:rPr>
            </w:pPr>
            <w:r w:rsidRPr="00030181">
              <w:rPr>
                <w:rFonts w:ascii="Arial" w:hAnsi="Arial" w:cs="Arial"/>
                <w:b/>
                <w:bCs/>
              </w:rPr>
              <w:t>Limitations</w:t>
            </w:r>
          </w:p>
        </w:tc>
      </w:tr>
      <w:tr w:rsidR="00A94F44" w:rsidRPr="00030181" w14:paraId="25945053" w14:textId="77777777" w:rsidTr="00BD2247">
        <w:tc>
          <w:tcPr>
            <w:tcW w:w="0" w:type="auto"/>
            <w:hideMark/>
          </w:tcPr>
          <w:p w14:paraId="41C15C15" w14:textId="77777777" w:rsidR="00A94F44" w:rsidRPr="00030181" w:rsidRDefault="00A94F44" w:rsidP="005C5EBA">
            <w:pPr>
              <w:spacing w:after="160" w:line="360" w:lineRule="auto"/>
              <w:jc w:val="both"/>
              <w:rPr>
                <w:rFonts w:ascii="Arial" w:hAnsi="Arial" w:cs="Arial"/>
              </w:rPr>
            </w:pPr>
            <w:r w:rsidRPr="00030181">
              <w:rPr>
                <w:rFonts w:ascii="Arial" w:hAnsi="Arial" w:cs="Arial"/>
              </w:rPr>
              <w:t>Jimoh et al. (2019)</w:t>
            </w:r>
          </w:p>
        </w:tc>
        <w:tc>
          <w:tcPr>
            <w:tcW w:w="0" w:type="auto"/>
            <w:hideMark/>
          </w:tcPr>
          <w:p w14:paraId="31F66C71" w14:textId="77777777" w:rsidR="00A94F44" w:rsidRPr="00030181" w:rsidRDefault="00A94F44" w:rsidP="005C5EBA">
            <w:pPr>
              <w:spacing w:after="160" w:line="360" w:lineRule="auto"/>
              <w:jc w:val="both"/>
              <w:rPr>
                <w:rFonts w:ascii="Arial" w:hAnsi="Arial" w:cs="Arial"/>
              </w:rPr>
            </w:pPr>
            <w:r w:rsidRPr="00030181">
              <w:rPr>
                <w:rFonts w:ascii="Arial" w:hAnsi="Arial" w:cs="Arial"/>
              </w:rPr>
              <w:t>Investigate beverage intake and hydration practices among older adults in long-term care</w:t>
            </w:r>
          </w:p>
        </w:tc>
        <w:tc>
          <w:tcPr>
            <w:tcW w:w="0" w:type="auto"/>
            <w:hideMark/>
          </w:tcPr>
          <w:p w14:paraId="55AB0A95" w14:textId="77777777" w:rsidR="00A94F44" w:rsidRPr="00030181" w:rsidRDefault="00A94F44" w:rsidP="005C5EBA">
            <w:pPr>
              <w:spacing w:after="160" w:line="360" w:lineRule="auto"/>
              <w:jc w:val="both"/>
              <w:rPr>
                <w:rFonts w:ascii="Arial" w:hAnsi="Arial" w:cs="Arial"/>
              </w:rPr>
            </w:pPr>
            <w:r w:rsidRPr="00030181">
              <w:rPr>
                <w:rFonts w:ascii="Arial" w:hAnsi="Arial" w:cs="Arial"/>
              </w:rPr>
              <w:t>Interviews, hydration assessment, direct observation</w:t>
            </w:r>
          </w:p>
        </w:tc>
        <w:tc>
          <w:tcPr>
            <w:tcW w:w="0" w:type="auto"/>
            <w:hideMark/>
          </w:tcPr>
          <w:p w14:paraId="1DC1E6AC" w14:textId="77777777" w:rsidR="00A94F44" w:rsidRPr="00030181" w:rsidRDefault="00A94F44" w:rsidP="005C5EBA">
            <w:pPr>
              <w:spacing w:after="160" w:line="360" w:lineRule="auto"/>
              <w:jc w:val="both"/>
              <w:rPr>
                <w:rFonts w:ascii="Arial" w:hAnsi="Arial" w:cs="Arial"/>
              </w:rPr>
            </w:pPr>
            <w:r w:rsidRPr="00030181">
              <w:rPr>
                <w:rFonts w:ascii="Arial" w:hAnsi="Arial" w:cs="Arial"/>
              </w:rPr>
              <w:t>Frequent beverage provision improved hydration status</w:t>
            </w:r>
          </w:p>
        </w:tc>
        <w:tc>
          <w:tcPr>
            <w:tcW w:w="0" w:type="auto"/>
            <w:hideMark/>
          </w:tcPr>
          <w:p w14:paraId="32BB2795" w14:textId="77777777" w:rsidR="00A94F44" w:rsidRPr="00030181" w:rsidRDefault="00A94F44" w:rsidP="005C5EBA">
            <w:pPr>
              <w:spacing w:after="160" w:line="360" w:lineRule="auto"/>
              <w:jc w:val="both"/>
              <w:rPr>
                <w:rFonts w:ascii="Arial" w:hAnsi="Arial" w:cs="Arial"/>
              </w:rPr>
            </w:pPr>
            <w:r w:rsidRPr="00030181">
              <w:rPr>
                <w:rFonts w:ascii="Arial" w:hAnsi="Arial" w:cs="Arial"/>
              </w:rPr>
              <w:t>Observational study</w:t>
            </w:r>
          </w:p>
        </w:tc>
        <w:tc>
          <w:tcPr>
            <w:tcW w:w="0" w:type="auto"/>
            <w:hideMark/>
          </w:tcPr>
          <w:p w14:paraId="50EA4376" w14:textId="77777777" w:rsidR="00A94F44" w:rsidRPr="00030181" w:rsidRDefault="00A94F44" w:rsidP="005C5EBA">
            <w:pPr>
              <w:spacing w:after="160" w:line="360" w:lineRule="auto"/>
              <w:jc w:val="both"/>
              <w:rPr>
                <w:rFonts w:ascii="Arial" w:hAnsi="Arial" w:cs="Arial"/>
              </w:rPr>
            </w:pPr>
            <w:r w:rsidRPr="00030181">
              <w:rPr>
                <w:rFonts w:ascii="Arial" w:hAnsi="Arial" w:cs="Arial"/>
              </w:rPr>
              <w:t>188 residents</w:t>
            </w:r>
          </w:p>
        </w:tc>
        <w:tc>
          <w:tcPr>
            <w:tcW w:w="0" w:type="auto"/>
            <w:hideMark/>
          </w:tcPr>
          <w:p w14:paraId="799AC8F8" w14:textId="77777777" w:rsidR="00A94F44" w:rsidRPr="00030181" w:rsidRDefault="00A94F44" w:rsidP="005C5EBA">
            <w:pPr>
              <w:spacing w:after="160" w:line="360" w:lineRule="auto"/>
              <w:jc w:val="both"/>
              <w:rPr>
                <w:rFonts w:ascii="Arial" w:hAnsi="Arial" w:cs="Arial"/>
              </w:rPr>
            </w:pPr>
            <w:r w:rsidRPr="00030181">
              <w:rPr>
                <w:rFonts w:ascii="Arial" w:hAnsi="Arial" w:cs="Arial"/>
              </w:rPr>
              <w:t>Regular drink provision was associated with better hydration among residents</w:t>
            </w:r>
          </w:p>
        </w:tc>
        <w:tc>
          <w:tcPr>
            <w:tcW w:w="0" w:type="auto"/>
            <w:hideMark/>
          </w:tcPr>
          <w:p w14:paraId="421CCE40" w14:textId="77777777" w:rsidR="00A94F44" w:rsidRPr="00030181" w:rsidRDefault="00A94F44" w:rsidP="005C5EBA">
            <w:pPr>
              <w:spacing w:after="160" w:line="360" w:lineRule="auto"/>
              <w:jc w:val="both"/>
              <w:rPr>
                <w:rFonts w:ascii="Arial" w:hAnsi="Arial" w:cs="Arial"/>
              </w:rPr>
            </w:pPr>
            <w:r w:rsidRPr="00030181">
              <w:rPr>
                <w:rFonts w:ascii="Arial" w:hAnsi="Arial" w:cs="Arial"/>
              </w:rPr>
              <w:t>UK care-home evidence; direct hydration measures</w:t>
            </w:r>
          </w:p>
        </w:tc>
        <w:tc>
          <w:tcPr>
            <w:tcW w:w="0" w:type="auto"/>
            <w:hideMark/>
          </w:tcPr>
          <w:p w14:paraId="66214656" w14:textId="77777777" w:rsidR="00A94F44" w:rsidRPr="00030181" w:rsidRDefault="00A94F44" w:rsidP="005C5EBA">
            <w:pPr>
              <w:spacing w:after="160" w:line="360" w:lineRule="auto"/>
              <w:jc w:val="both"/>
              <w:rPr>
                <w:rFonts w:ascii="Arial" w:hAnsi="Arial" w:cs="Arial"/>
              </w:rPr>
            </w:pPr>
            <w:r w:rsidRPr="00030181">
              <w:rPr>
                <w:rFonts w:ascii="Arial" w:hAnsi="Arial" w:cs="Arial"/>
              </w:rPr>
              <w:t>Limited observation subgroup</w:t>
            </w:r>
          </w:p>
        </w:tc>
      </w:tr>
      <w:tr w:rsidR="00A94F44" w:rsidRPr="00030181" w14:paraId="47276B38" w14:textId="77777777" w:rsidTr="00BD2247">
        <w:tc>
          <w:tcPr>
            <w:tcW w:w="0" w:type="auto"/>
            <w:hideMark/>
          </w:tcPr>
          <w:p w14:paraId="45DA3607" w14:textId="77777777" w:rsidR="00A94F44" w:rsidRPr="00030181" w:rsidRDefault="00A94F44" w:rsidP="005C5EBA">
            <w:pPr>
              <w:spacing w:after="160" w:line="360" w:lineRule="auto"/>
              <w:jc w:val="both"/>
              <w:rPr>
                <w:rFonts w:ascii="Arial" w:hAnsi="Arial" w:cs="Arial"/>
              </w:rPr>
            </w:pPr>
            <w:r w:rsidRPr="00030181">
              <w:rPr>
                <w:rFonts w:ascii="Arial" w:hAnsi="Arial" w:cs="Arial"/>
              </w:rPr>
              <w:t>Madeira et al. (2019)</w:t>
            </w:r>
          </w:p>
        </w:tc>
        <w:tc>
          <w:tcPr>
            <w:tcW w:w="0" w:type="auto"/>
            <w:hideMark/>
          </w:tcPr>
          <w:p w14:paraId="5F577505" w14:textId="77777777" w:rsidR="00A94F44" w:rsidRPr="00030181" w:rsidRDefault="00A94F44" w:rsidP="005C5EBA">
            <w:pPr>
              <w:spacing w:after="160" w:line="360" w:lineRule="auto"/>
              <w:jc w:val="both"/>
              <w:rPr>
                <w:rFonts w:ascii="Arial" w:hAnsi="Arial" w:cs="Arial"/>
              </w:rPr>
            </w:pPr>
            <w:r w:rsidRPr="00030181">
              <w:rPr>
                <w:rFonts w:ascii="Arial" w:hAnsi="Arial" w:cs="Arial"/>
              </w:rPr>
              <w:t>Assess nutritional status and malnutrition prevalence in nursing homes</w:t>
            </w:r>
          </w:p>
        </w:tc>
        <w:tc>
          <w:tcPr>
            <w:tcW w:w="0" w:type="auto"/>
            <w:hideMark/>
          </w:tcPr>
          <w:p w14:paraId="39312FC9" w14:textId="77777777" w:rsidR="00A94F44" w:rsidRPr="00030181" w:rsidRDefault="00A94F44" w:rsidP="005C5EBA">
            <w:pPr>
              <w:spacing w:after="160" w:line="360" w:lineRule="auto"/>
              <w:jc w:val="both"/>
              <w:rPr>
                <w:rFonts w:ascii="Arial" w:hAnsi="Arial" w:cs="Arial"/>
              </w:rPr>
            </w:pPr>
            <w:r w:rsidRPr="00030181">
              <w:rPr>
                <w:rFonts w:ascii="Arial" w:hAnsi="Arial" w:cs="Arial"/>
              </w:rPr>
              <w:t>Structured interviews and anthropometric assessment</w:t>
            </w:r>
          </w:p>
        </w:tc>
        <w:tc>
          <w:tcPr>
            <w:tcW w:w="0" w:type="auto"/>
            <w:hideMark/>
          </w:tcPr>
          <w:p w14:paraId="2F030C3C" w14:textId="77777777" w:rsidR="00A94F44" w:rsidRPr="00030181" w:rsidRDefault="00A94F44" w:rsidP="005C5EBA">
            <w:pPr>
              <w:spacing w:after="160" w:line="360" w:lineRule="auto"/>
              <w:jc w:val="both"/>
              <w:rPr>
                <w:rFonts w:ascii="Arial" w:hAnsi="Arial" w:cs="Arial"/>
              </w:rPr>
            </w:pPr>
            <w:r w:rsidRPr="00030181">
              <w:rPr>
                <w:rFonts w:ascii="Arial" w:hAnsi="Arial" w:cs="Arial"/>
              </w:rPr>
              <w:t>38.7% at risk of malnutrition</w:t>
            </w:r>
          </w:p>
        </w:tc>
        <w:tc>
          <w:tcPr>
            <w:tcW w:w="0" w:type="auto"/>
            <w:hideMark/>
          </w:tcPr>
          <w:p w14:paraId="22F927F3" w14:textId="77777777" w:rsidR="00A94F44" w:rsidRPr="00030181" w:rsidRDefault="00A94F44" w:rsidP="005C5EBA">
            <w:pPr>
              <w:spacing w:after="160" w:line="360" w:lineRule="auto"/>
              <w:jc w:val="both"/>
              <w:rPr>
                <w:rFonts w:ascii="Arial" w:hAnsi="Arial" w:cs="Arial"/>
              </w:rPr>
            </w:pPr>
            <w:r w:rsidRPr="00030181">
              <w:rPr>
                <w:rFonts w:ascii="Arial" w:hAnsi="Arial" w:cs="Arial"/>
              </w:rPr>
              <w:t>Cross-sectional study</w:t>
            </w:r>
          </w:p>
        </w:tc>
        <w:tc>
          <w:tcPr>
            <w:tcW w:w="0" w:type="auto"/>
            <w:hideMark/>
          </w:tcPr>
          <w:p w14:paraId="4B7E5A10" w14:textId="77777777" w:rsidR="00A94F44" w:rsidRPr="00030181" w:rsidRDefault="00A94F44" w:rsidP="005C5EBA">
            <w:pPr>
              <w:spacing w:after="160" w:line="360" w:lineRule="auto"/>
              <w:jc w:val="both"/>
              <w:rPr>
                <w:rFonts w:ascii="Arial" w:hAnsi="Arial" w:cs="Arial"/>
              </w:rPr>
            </w:pPr>
            <w:r w:rsidRPr="00030181">
              <w:rPr>
                <w:rFonts w:ascii="Arial" w:hAnsi="Arial" w:cs="Arial"/>
              </w:rPr>
              <w:t>1,186 residents</w:t>
            </w:r>
          </w:p>
        </w:tc>
        <w:tc>
          <w:tcPr>
            <w:tcW w:w="0" w:type="auto"/>
            <w:hideMark/>
          </w:tcPr>
          <w:p w14:paraId="663AB626" w14:textId="77777777" w:rsidR="00A94F44" w:rsidRPr="00030181" w:rsidRDefault="00A94F44" w:rsidP="005C5EBA">
            <w:pPr>
              <w:spacing w:after="160" w:line="360" w:lineRule="auto"/>
              <w:jc w:val="both"/>
              <w:rPr>
                <w:rFonts w:ascii="Arial" w:hAnsi="Arial" w:cs="Arial"/>
              </w:rPr>
            </w:pPr>
            <w:r w:rsidRPr="00030181">
              <w:rPr>
                <w:rFonts w:ascii="Arial" w:hAnsi="Arial" w:cs="Arial"/>
              </w:rPr>
              <w:t>Malnutrition remained highly prevalent among residents</w:t>
            </w:r>
          </w:p>
        </w:tc>
        <w:tc>
          <w:tcPr>
            <w:tcW w:w="0" w:type="auto"/>
            <w:hideMark/>
          </w:tcPr>
          <w:p w14:paraId="756ACE35" w14:textId="77777777" w:rsidR="00A94F44" w:rsidRPr="00030181" w:rsidRDefault="00A94F44" w:rsidP="005C5EBA">
            <w:pPr>
              <w:spacing w:after="160" w:line="360" w:lineRule="auto"/>
              <w:jc w:val="both"/>
              <w:rPr>
                <w:rFonts w:ascii="Arial" w:hAnsi="Arial" w:cs="Arial"/>
              </w:rPr>
            </w:pPr>
            <w:r w:rsidRPr="00030181">
              <w:rPr>
                <w:rFonts w:ascii="Arial" w:hAnsi="Arial" w:cs="Arial"/>
              </w:rPr>
              <w:t>Large representative sample</w:t>
            </w:r>
          </w:p>
        </w:tc>
        <w:tc>
          <w:tcPr>
            <w:tcW w:w="0" w:type="auto"/>
            <w:hideMark/>
          </w:tcPr>
          <w:p w14:paraId="1D75B181" w14:textId="77777777" w:rsidR="00A94F44" w:rsidRPr="00030181" w:rsidRDefault="00A94F44" w:rsidP="005C5EBA">
            <w:pPr>
              <w:spacing w:after="160" w:line="360" w:lineRule="auto"/>
              <w:jc w:val="both"/>
              <w:rPr>
                <w:rFonts w:ascii="Arial" w:hAnsi="Arial" w:cs="Arial"/>
              </w:rPr>
            </w:pPr>
            <w:r w:rsidRPr="00030181">
              <w:rPr>
                <w:rFonts w:ascii="Arial" w:hAnsi="Arial" w:cs="Arial"/>
              </w:rPr>
              <w:t>Non-UK setting</w:t>
            </w:r>
          </w:p>
        </w:tc>
      </w:tr>
      <w:tr w:rsidR="00A94F44" w:rsidRPr="00030181" w14:paraId="2B61EE92" w14:textId="77777777" w:rsidTr="00BD2247">
        <w:tc>
          <w:tcPr>
            <w:tcW w:w="0" w:type="auto"/>
            <w:hideMark/>
          </w:tcPr>
          <w:p w14:paraId="4E491683" w14:textId="77777777" w:rsidR="00A94F44" w:rsidRPr="00030181" w:rsidRDefault="00A94F44" w:rsidP="005C5EBA">
            <w:pPr>
              <w:spacing w:after="160" w:line="360" w:lineRule="auto"/>
              <w:jc w:val="both"/>
              <w:rPr>
                <w:rFonts w:ascii="Arial" w:hAnsi="Arial" w:cs="Arial"/>
              </w:rPr>
            </w:pPr>
            <w:r w:rsidRPr="00030181">
              <w:rPr>
                <w:rFonts w:ascii="Arial" w:hAnsi="Arial" w:cs="Arial"/>
              </w:rPr>
              <w:t>Liu et al. (2024)</w:t>
            </w:r>
          </w:p>
        </w:tc>
        <w:tc>
          <w:tcPr>
            <w:tcW w:w="0" w:type="auto"/>
            <w:hideMark/>
          </w:tcPr>
          <w:p w14:paraId="64F19141" w14:textId="77777777" w:rsidR="00A94F44" w:rsidRPr="00030181" w:rsidRDefault="00A94F44" w:rsidP="005C5EBA">
            <w:pPr>
              <w:spacing w:after="160" w:line="360" w:lineRule="auto"/>
              <w:jc w:val="both"/>
              <w:rPr>
                <w:rFonts w:ascii="Arial" w:hAnsi="Arial" w:cs="Arial"/>
              </w:rPr>
            </w:pPr>
            <w:r w:rsidRPr="00030181">
              <w:rPr>
                <w:rFonts w:ascii="Arial" w:hAnsi="Arial" w:cs="Arial"/>
              </w:rPr>
              <w:t xml:space="preserve">Develop a nutrition management </w:t>
            </w:r>
            <w:r w:rsidRPr="00030181">
              <w:rPr>
                <w:rFonts w:ascii="Arial" w:hAnsi="Arial" w:cs="Arial"/>
              </w:rPr>
              <w:lastRenderedPageBreak/>
              <w:t>programme for nursing homes</w:t>
            </w:r>
          </w:p>
        </w:tc>
        <w:tc>
          <w:tcPr>
            <w:tcW w:w="0" w:type="auto"/>
            <w:hideMark/>
          </w:tcPr>
          <w:p w14:paraId="225E5982" w14:textId="77777777" w:rsidR="00A94F44" w:rsidRPr="00030181" w:rsidRDefault="00A94F44" w:rsidP="005C5EBA">
            <w:pPr>
              <w:spacing w:after="160" w:line="360" w:lineRule="auto"/>
              <w:jc w:val="both"/>
              <w:rPr>
                <w:rFonts w:ascii="Arial" w:hAnsi="Arial" w:cs="Arial"/>
              </w:rPr>
            </w:pPr>
            <w:r w:rsidRPr="00030181">
              <w:rPr>
                <w:rFonts w:ascii="Arial" w:hAnsi="Arial" w:cs="Arial"/>
              </w:rPr>
              <w:lastRenderedPageBreak/>
              <w:t xml:space="preserve">Evidence synthesis and </w:t>
            </w:r>
            <w:r w:rsidRPr="00030181">
              <w:rPr>
                <w:rFonts w:ascii="Arial" w:hAnsi="Arial" w:cs="Arial"/>
              </w:rPr>
              <w:lastRenderedPageBreak/>
              <w:t>Delphi consensus</w:t>
            </w:r>
          </w:p>
        </w:tc>
        <w:tc>
          <w:tcPr>
            <w:tcW w:w="0" w:type="auto"/>
            <w:hideMark/>
          </w:tcPr>
          <w:p w14:paraId="189CA37A" w14:textId="77777777" w:rsidR="00A94F44" w:rsidRPr="00030181" w:rsidRDefault="00A94F44" w:rsidP="005C5EBA">
            <w:pPr>
              <w:spacing w:after="160" w:line="360" w:lineRule="auto"/>
              <w:jc w:val="both"/>
              <w:rPr>
                <w:rFonts w:ascii="Arial" w:hAnsi="Arial" w:cs="Arial"/>
              </w:rPr>
            </w:pPr>
            <w:r w:rsidRPr="00030181">
              <w:rPr>
                <w:rFonts w:ascii="Arial" w:hAnsi="Arial" w:cs="Arial"/>
              </w:rPr>
              <w:lastRenderedPageBreak/>
              <w:t xml:space="preserve">Improved nutrition </w:t>
            </w:r>
            <w:r w:rsidRPr="00030181">
              <w:rPr>
                <w:rFonts w:ascii="Arial" w:hAnsi="Arial" w:cs="Arial"/>
              </w:rPr>
              <w:lastRenderedPageBreak/>
              <w:t>planning and monitoring</w:t>
            </w:r>
          </w:p>
        </w:tc>
        <w:tc>
          <w:tcPr>
            <w:tcW w:w="0" w:type="auto"/>
            <w:hideMark/>
          </w:tcPr>
          <w:p w14:paraId="4C382B3A" w14:textId="77777777" w:rsidR="00A94F44" w:rsidRPr="00030181" w:rsidRDefault="00A94F44" w:rsidP="005C5EBA">
            <w:pPr>
              <w:spacing w:after="160" w:line="360" w:lineRule="auto"/>
              <w:jc w:val="both"/>
              <w:rPr>
                <w:rFonts w:ascii="Arial" w:hAnsi="Arial" w:cs="Arial"/>
              </w:rPr>
            </w:pPr>
            <w:r w:rsidRPr="00030181">
              <w:rPr>
                <w:rFonts w:ascii="Arial" w:hAnsi="Arial" w:cs="Arial"/>
              </w:rPr>
              <w:lastRenderedPageBreak/>
              <w:t xml:space="preserve">Delphi study and programme </w:t>
            </w:r>
            <w:r w:rsidRPr="00030181">
              <w:rPr>
                <w:rFonts w:ascii="Arial" w:hAnsi="Arial" w:cs="Arial"/>
              </w:rPr>
              <w:lastRenderedPageBreak/>
              <w:t>development</w:t>
            </w:r>
          </w:p>
        </w:tc>
        <w:tc>
          <w:tcPr>
            <w:tcW w:w="0" w:type="auto"/>
            <w:hideMark/>
          </w:tcPr>
          <w:p w14:paraId="21DF3AD8" w14:textId="77777777" w:rsidR="00A94F44" w:rsidRPr="00030181" w:rsidRDefault="00A94F44" w:rsidP="005C5EBA">
            <w:pPr>
              <w:spacing w:after="160" w:line="360" w:lineRule="auto"/>
              <w:jc w:val="both"/>
              <w:rPr>
                <w:rFonts w:ascii="Arial" w:hAnsi="Arial" w:cs="Arial"/>
              </w:rPr>
            </w:pPr>
            <w:r w:rsidRPr="00030181">
              <w:rPr>
                <w:rFonts w:ascii="Arial" w:hAnsi="Arial" w:cs="Arial"/>
              </w:rPr>
              <w:lastRenderedPageBreak/>
              <w:t>350 residents; 160 nurses</w:t>
            </w:r>
          </w:p>
        </w:tc>
        <w:tc>
          <w:tcPr>
            <w:tcW w:w="0" w:type="auto"/>
            <w:hideMark/>
          </w:tcPr>
          <w:p w14:paraId="5BFDF51B" w14:textId="77777777" w:rsidR="00A94F44" w:rsidRPr="00030181" w:rsidRDefault="00A94F44" w:rsidP="005C5EBA">
            <w:pPr>
              <w:spacing w:after="160" w:line="360" w:lineRule="auto"/>
              <w:jc w:val="both"/>
              <w:rPr>
                <w:rFonts w:ascii="Arial" w:hAnsi="Arial" w:cs="Arial"/>
              </w:rPr>
            </w:pPr>
            <w:r w:rsidRPr="00030181">
              <w:rPr>
                <w:rFonts w:ascii="Arial" w:hAnsi="Arial" w:cs="Arial"/>
              </w:rPr>
              <w:t xml:space="preserve">Structured nutrition management </w:t>
            </w:r>
            <w:r w:rsidRPr="00030181">
              <w:rPr>
                <w:rFonts w:ascii="Arial" w:hAnsi="Arial" w:cs="Arial"/>
              </w:rPr>
              <w:lastRenderedPageBreak/>
              <w:t>strengthened care planning</w:t>
            </w:r>
          </w:p>
        </w:tc>
        <w:tc>
          <w:tcPr>
            <w:tcW w:w="0" w:type="auto"/>
            <w:hideMark/>
          </w:tcPr>
          <w:p w14:paraId="38B0E2FA" w14:textId="77777777" w:rsidR="00A94F44" w:rsidRPr="00030181" w:rsidRDefault="00A94F44" w:rsidP="005C5EBA">
            <w:pPr>
              <w:spacing w:after="160" w:line="360" w:lineRule="auto"/>
              <w:jc w:val="both"/>
              <w:rPr>
                <w:rFonts w:ascii="Arial" w:hAnsi="Arial" w:cs="Arial"/>
              </w:rPr>
            </w:pPr>
            <w:r w:rsidRPr="00030181">
              <w:rPr>
                <w:rFonts w:ascii="Arial" w:hAnsi="Arial" w:cs="Arial"/>
              </w:rPr>
              <w:lastRenderedPageBreak/>
              <w:t>Multi-method design</w:t>
            </w:r>
          </w:p>
        </w:tc>
        <w:tc>
          <w:tcPr>
            <w:tcW w:w="0" w:type="auto"/>
            <w:hideMark/>
          </w:tcPr>
          <w:p w14:paraId="75006650" w14:textId="77777777" w:rsidR="00A94F44" w:rsidRPr="00030181" w:rsidRDefault="00A94F44" w:rsidP="005C5EBA">
            <w:pPr>
              <w:spacing w:after="160" w:line="360" w:lineRule="auto"/>
              <w:jc w:val="both"/>
              <w:rPr>
                <w:rFonts w:ascii="Arial" w:hAnsi="Arial" w:cs="Arial"/>
              </w:rPr>
            </w:pPr>
            <w:r w:rsidRPr="00030181">
              <w:rPr>
                <w:rFonts w:ascii="Arial" w:hAnsi="Arial" w:cs="Arial"/>
              </w:rPr>
              <w:t>Non-UK setting</w:t>
            </w:r>
          </w:p>
        </w:tc>
      </w:tr>
      <w:tr w:rsidR="00A94F44" w:rsidRPr="00030181" w14:paraId="3792BAFA" w14:textId="77777777" w:rsidTr="00BD2247">
        <w:tc>
          <w:tcPr>
            <w:tcW w:w="0" w:type="auto"/>
            <w:hideMark/>
          </w:tcPr>
          <w:p w14:paraId="670A12E8" w14:textId="77777777" w:rsidR="00A94F44" w:rsidRPr="00030181" w:rsidRDefault="00A94F44" w:rsidP="005C5EBA">
            <w:pPr>
              <w:spacing w:after="160" w:line="360" w:lineRule="auto"/>
              <w:jc w:val="both"/>
              <w:rPr>
                <w:rFonts w:ascii="Arial" w:hAnsi="Arial" w:cs="Arial"/>
              </w:rPr>
            </w:pPr>
            <w:r w:rsidRPr="00030181">
              <w:rPr>
                <w:rFonts w:ascii="Arial" w:hAnsi="Arial" w:cs="Arial"/>
              </w:rPr>
              <w:t>Laurenti et al. (2020)</w:t>
            </w:r>
          </w:p>
        </w:tc>
        <w:tc>
          <w:tcPr>
            <w:tcW w:w="0" w:type="auto"/>
            <w:hideMark/>
          </w:tcPr>
          <w:p w14:paraId="08842D25" w14:textId="77777777" w:rsidR="00A94F44" w:rsidRPr="00030181" w:rsidRDefault="00A94F44" w:rsidP="005C5EBA">
            <w:pPr>
              <w:spacing w:after="160" w:line="360" w:lineRule="auto"/>
              <w:jc w:val="both"/>
              <w:rPr>
                <w:rFonts w:ascii="Arial" w:hAnsi="Arial" w:cs="Arial"/>
              </w:rPr>
            </w:pPr>
            <w:r w:rsidRPr="00030181">
              <w:rPr>
                <w:rFonts w:ascii="Arial" w:hAnsi="Arial" w:cs="Arial"/>
              </w:rPr>
              <w:t>Explore food safety and dietary behaviours among older adults</w:t>
            </w:r>
          </w:p>
        </w:tc>
        <w:tc>
          <w:tcPr>
            <w:tcW w:w="0" w:type="auto"/>
            <w:hideMark/>
          </w:tcPr>
          <w:p w14:paraId="51C49645" w14:textId="77777777" w:rsidR="00A94F44" w:rsidRPr="00030181" w:rsidRDefault="00A94F44" w:rsidP="005C5EBA">
            <w:pPr>
              <w:spacing w:after="160" w:line="360" w:lineRule="auto"/>
              <w:jc w:val="both"/>
              <w:rPr>
                <w:rFonts w:ascii="Arial" w:hAnsi="Arial" w:cs="Arial"/>
              </w:rPr>
            </w:pPr>
            <w:r w:rsidRPr="00030181">
              <w:rPr>
                <w:rFonts w:ascii="Arial" w:hAnsi="Arial" w:cs="Arial"/>
              </w:rPr>
              <w:t>Questionnaire survey</w:t>
            </w:r>
          </w:p>
        </w:tc>
        <w:tc>
          <w:tcPr>
            <w:tcW w:w="0" w:type="auto"/>
            <w:hideMark/>
          </w:tcPr>
          <w:p w14:paraId="7DC5A6E2" w14:textId="77777777" w:rsidR="00A94F44" w:rsidRPr="00030181" w:rsidRDefault="00A94F44" w:rsidP="005C5EBA">
            <w:pPr>
              <w:spacing w:after="160" w:line="360" w:lineRule="auto"/>
              <w:jc w:val="both"/>
              <w:rPr>
                <w:rFonts w:ascii="Arial" w:hAnsi="Arial" w:cs="Arial"/>
              </w:rPr>
            </w:pPr>
            <w:r w:rsidRPr="00030181">
              <w:rPr>
                <w:rFonts w:ascii="Arial" w:hAnsi="Arial" w:cs="Arial"/>
              </w:rPr>
              <w:t>Food safety knowledge gaps identified</w:t>
            </w:r>
          </w:p>
        </w:tc>
        <w:tc>
          <w:tcPr>
            <w:tcW w:w="0" w:type="auto"/>
            <w:hideMark/>
          </w:tcPr>
          <w:p w14:paraId="22A039CB" w14:textId="77777777" w:rsidR="00A94F44" w:rsidRPr="00030181" w:rsidRDefault="00A94F44" w:rsidP="005C5EBA">
            <w:pPr>
              <w:spacing w:after="160" w:line="360" w:lineRule="auto"/>
              <w:jc w:val="both"/>
              <w:rPr>
                <w:rFonts w:ascii="Arial" w:hAnsi="Arial" w:cs="Arial"/>
              </w:rPr>
            </w:pPr>
            <w:r w:rsidRPr="00030181">
              <w:rPr>
                <w:rFonts w:ascii="Arial" w:hAnsi="Arial" w:cs="Arial"/>
              </w:rPr>
              <w:t>Cross-sectional study</w:t>
            </w:r>
          </w:p>
        </w:tc>
        <w:tc>
          <w:tcPr>
            <w:tcW w:w="0" w:type="auto"/>
            <w:hideMark/>
          </w:tcPr>
          <w:p w14:paraId="77D5E6CD" w14:textId="76F9047D" w:rsidR="00A94F44" w:rsidRPr="00030181" w:rsidRDefault="00AD38E2" w:rsidP="005C5EBA">
            <w:pPr>
              <w:spacing w:after="160" w:line="360" w:lineRule="auto"/>
              <w:jc w:val="both"/>
              <w:rPr>
                <w:rFonts w:ascii="Arial" w:hAnsi="Arial" w:cs="Arial"/>
              </w:rPr>
            </w:pPr>
            <w:r w:rsidRPr="00030181">
              <w:rPr>
                <w:rFonts w:ascii="Arial" w:hAnsi="Arial" w:cs="Arial"/>
              </w:rPr>
              <w:t>140 older adults (≥65 years)</w:t>
            </w:r>
          </w:p>
        </w:tc>
        <w:tc>
          <w:tcPr>
            <w:tcW w:w="0" w:type="auto"/>
            <w:hideMark/>
          </w:tcPr>
          <w:p w14:paraId="1223D7AA" w14:textId="77777777" w:rsidR="00A94F44" w:rsidRPr="00030181" w:rsidRDefault="00A94F44" w:rsidP="005C5EBA">
            <w:pPr>
              <w:spacing w:after="160" w:line="360" w:lineRule="auto"/>
              <w:jc w:val="both"/>
              <w:rPr>
                <w:rFonts w:ascii="Arial" w:hAnsi="Arial" w:cs="Arial"/>
              </w:rPr>
            </w:pPr>
            <w:r w:rsidRPr="00030181">
              <w:rPr>
                <w:rFonts w:ascii="Arial" w:hAnsi="Arial" w:cs="Arial"/>
              </w:rPr>
              <w:t>Food safety knowledge influenced dietary behaviours</w:t>
            </w:r>
          </w:p>
        </w:tc>
        <w:tc>
          <w:tcPr>
            <w:tcW w:w="0" w:type="auto"/>
            <w:hideMark/>
          </w:tcPr>
          <w:p w14:paraId="04155ABF" w14:textId="77777777" w:rsidR="00A94F44" w:rsidRPr="00030181" w:rsidRDefault="00A94F44" w:rsidP="005C5EBA">
            <w:pPr>
              <w:spacing w:after="160" w:line="360" w:lineRule="auto"/>
              <w:jc w:val="both"/>
              <w:rPr>
                <w:rFonts w:ascii="Arial" w:hAnsi="Arial" w:cs="Arial"/>
              </w:rPr>
            </w:pPr>
            <w:r w:rsidRPr="00030181">
              <w:rPr>
                <w:rFonts w:ascii="Arial" w:hAnsi="Arial" w:cs="Arial"/>
              </w:rPr>
              <w:t>Strong food-safety focus</w:t>
            </w:r>
          </w:p>
        </w:tc>
        <w:tc>
          <w:tcPr>
            <w:tcW w:w="0" w:type="auto"/>
            <w:hideMark/>
          </w:tcPr>
          <w:p w14:paraId="4246F787" w14:textId="77777777" w:rsidR="00A94F44" w:rsidRPr="00030181" w:rsidRDefault="00A94F44" w:rsidP="005C5EBA">
            <w:pPr>
              <w:spacing w:after="160" w:line="360" w:lineRule="auto"/>
              <w:jc w:val="both"/>
              <w:rPr>
                <w:rFonts w:ascii="Arial" w:hAnsi="Arial" w:cs="Arial"/>
              </w:rPr>
            </w:pPr>
            <w:r w:rsidRPr="00030181">
              <w:rPr>
                <w:rFonts w:ascii="Arial" w:hAnsi="Arial" w:cs="Arial"/>
              </w:rPr>
              <w:t>Community setting</w:t>
            </w:r>
          </w:p>
        </w:tc>
      </w:tr>
      <w:tr w:rsidR="00A94F44" w:rsidRPr="00030181" w14:paraId="6A336867" w14:textId="77777777" w:rsidTr="00BD2247">
        <w:tc>
          <w:tcPr>
            <w:tcW w:w="0" w:type="auto"/>
            <w:hideMark/>
          </w:tcPr>
          <w:p w14:paraId="131BE6DC" w14:textId="77777777" w:rsidR="00A94F44" w:rsidRPr="00030181" w:rsidRDefault="00A94F44" w:rsidP="005C5EBA">
            <w:pPr>
              <w:spacing w:after="160" w:line="360" w:lineRule="auto"/>
              <w:jc w:val="both"/>
              <w:rPr>
                <w:rFonts w:ascii="Arial" w:hAnsi="Arial" w:cs="Arial"/>
              </w:rPr>
            </w:pPr>
            <w:r w:rsidRPr="00030181">
              <w:rPr>
                <w:rFonts w:ascii="Arial" w:hAnsi="Arial" w:cs="Arial"/>
              </w:rPr>
              <w:t>Bunn et al. (2018)</w:t>
            </w:r>
          </w:p>
        </w:tc>
        <w:tc>
          <w:tcPr>
            <w:tcW w:w="0" w:type="auto"/>
            <w:hideMark/>
          </w:tcPr>
          <w:p w14:paraId="307437D3" w14:textId="77777777" w:rsidR="00A94F44" w:rsidRPr="00030181" w:rsidRDefault="00A94F44" w:rsidP="005C5EBA">
            <w:pPr>
              <w:spacing w:after="160" w:line="360" w:lineRule="auto"/>
              <w:jc w:val="both"/>
              <w:rPr>
                <w:rFonts w:ascii="Arial" w:hAnsi="Arial" w:cs="Arial"/>
              </w:rPr>
            </w:pPr>
            <w:r w:rsidRPr="00030181">
              <w:rPr>
                <w:rFonts w:ascii="Arial" w:hAnsi="Arial" w:cs="Arial"/>
              </w:rPr>
              <w:t>Identify strategies to improve hydration and nutrition in UK care homes</w:t>
            </w:r>
          </w:p>
        </w:tc>
        <w:tc>
          <w:tcPr>
            <w:tcW w:w="0" w:type="auto"/>
            <w:hideMark/>
          </w:tcPr>
          <w:p w14:paraId="758E7270" w14:textId="77777777" w:rsidR="00A94F44" w:rsidRPr="00030181" w:rsidRDefault="00A94F44" w:rsidP="005C5EBA">
            <w:pPr>
              <w:spacing w:after="160" w:line="360" w:lineRule="auto"/>
              <w:jc w:val="both"/>
              <w:rPr>
                <w:rFonts w:ascii="Arial" w:hAnsi="Arial" w:cs="Arial"/>
              </w:rPr>
            </w:pPr>
            <w:r w:rsidRPr="00030181">
              <w:rPr>
                <w:rFonts w:ascii="Arial" w:hAnsi="Arial" w:cs="Arial"/>
              </w:rPr>
              <w:t>Scoping review</w:t>
            </w:r>
          </w:p>
        </w:tc>
        <w:tc>
          <w:tcPr>
            <w:tcW w:w="0" w:type="auto"/>
            <w:hideMark/>
          </w:tcPr>
          <w:p w14:paraId="74C93C41" w14:textId="77777777" w:rsidR="00A94F44" w:rsidRPr="00030181" w:rsidRDefault="00A94F44" w:rsidP="005C5EBA">
            <w:pPr>
              <w:spacing w:after="160" w:line="360" w:lineRule="auto"/>
              <w:jc w:val="both"/>
              <w:rPr>
                <w:rFonts w:ascii="Arial" w:hAnsi="Arial" w:cs="Arial"/>
              </w:rPr>
            </w:pPr>
            <w:r w:rsidRPr="00030181">
              <w:rPr>
                <w:rFonts w:ascii="Arial" w:hAnsi="Arial" w:cs="Arial"/>
              </w:rPr>
              <w:t>Screening, monitoring and staff training were key strategies</w:t>
            </w:r>
          </w:p>
        </w:tc>
        <w:tc>
          <w:tcPr>
            <w:tcW w:w="0" w:type="auto"/>
            <w:hideMark/>
          </w:tcPr>
          <w:p w14:paraId="67197655" w14:textId="77777777" w:rsidR="00A94F44" w:rsidRPr="00030181" w:rsidRDefault="00A94F44" w:rsidP="005C5EBA">
            <w:pPr>
              <w:spacing w:after="160" w:line="360" w:lineRule="auto"/>
              <w:jc w:val="both"/>
              <w:rPr>
                <w:rFonts w:ascii="Arial" w:hAnsi="Arial" w:cs="Arial"/>
              </w:rPr>
            </w:pPr>
            <w:r w:rsidRPr="00030181">
              <w:rPr>
                <w:rFonts w:ascii="Arial" w:hAnsi="Arial" w:cs="Arial"/>
              </w:rPr>
              <w:t>Scoping review</w:t>
            </w:r>
          </w:p>
        </w:tc>
        <w:tc>
          <w:tcPr>
            <w:tcW w:w="0" w:type="auto"/>
            <w:hideMark/>
          </w:tcPr>
          <w:p w14:paraId="56DD8A4C" w14:textId="77777777" w:rsidR="00A94F44" w:rsidRPr="00030181" w:rsidRDefault="00A94F44" w:rsidP="005C5EBA">
            <w:pPr>
              <w:spacing w:after="160" w:line="360" w:lineRule="auto"/>
              <w:jc w:val="both"/>
              <w:rPr>
                <w:rFonts w:ascii="Arial" w:hAnsi="Arial" w:cs="Arial"/>
              </w:rPr>
            </w:pPr>
            <w:r w:rsidRPr="00030181">
              <w:rPr>
                <w:rFonts w:ascii="Arial" w:hAnsi="Arial" w:cs="Arial"/>
              </w:rPr>
              <w:t>Multiple reports and policies</w:t>
            </w:r>
          </w:p>
        </w:tc>
        <w:tc>
          <w:tcPr>
            <w:tcW w:w="0" w:type="auto"/>
            <w:hideMark/>
          </w:tcPr>
          <w:p w14:paraId="456029DB" w14:textId="77777777" w:rsidR="00A94F44" w:rsidRPr="00030181" w:rsidRDefault="00A94F44" w:rsidP="005C5EBA">
            <w:pPr>
              <w:spacing w:after="160" w:line="360" w:lineRule="auto"/>
              <w:jc w:val="both"/>
              <w:rPr>
                <w:rFonts w:ascii="Arial" w:hAnsi="Arial" w:cs="Arial"/>
              </w:rPr>
            </w:pPr>
            <w:r w:rsidRPr="00030181">
              <w:rPr>
                <w:rFonts w:ascii="Arial" w:hAnsi="Arial" w:cs="Arial"/>
              </w:rPr>
              <w:t>Poor implementation contributed to malnutrition and dehydration</w:t>
            </w:r>
          </w:p>
        </w:tc>
        <w:tc>
          <w:tcPr>
            <w:tcW w:w="0" w:type="auto"/>
            <w:hideMark/>
          </w:tcPr>
          <w:p w14:paraId="15327D98" w14:textId="77777777" w:rsidR="00A94F44" w:rsidRPr="00030181" w:rsidRDefault="00A94F44" w:rsidP="005C5EBA">
            <w:pPr>
              <w:spacing w:after="160" w:line="360" w:lineRule="auto"/>
              <w:jc w:val="both"/>
              <w:rPr>
                <w:rFonts w:ascii="Arial" w:hAnsi="Arial" w:cs="Arial"/>
              </w:rPr>
            </w:pPr>
            <w:r w:rsidRPr="00030181">
              <w:rPr>
                <w:rFonts w:ascii="Arial" w:hAnsi="Arial" w:cs="Arial"/>
              </w:rPr>
              <w:t>Direct UK relevance</w:t>
            </w:r>
          </w:p>
        </w:tc>
        <w:tc>
          <w:tcPr>
            <w:tcW w:w="0" w:type="auto"/>
            <w:hideMark/>
          </w:tcPr>
          <w:p w14:paraId="4D08EB30" w14:textId="77777777" w:rsidR="00A94F44" w:rsidRPr="00030181" w:rsidRDefault="00A94F44" w:rsidP="005C5EBA">
            <w:pPr>
              <w:spacing w:after="160" w:line="360" w:lineRule="auto"/>
              <w:jc w:val="both"/>
              <w:rPr>
                <w:rFonts w:ascii="Arial" w:hAnsi="Arial" w:cs="Arial"/>
              </w:rPr>
            </w:pPr>
            <w:r w:rsidRPr="00030181">
              <w:rPr>
                <w:rFonts w:ascii="Arial" w:hAnsi="Arial" w:cs="Arial"/>
              </w:rPr>
              <w:t>Not primary research</w:t>
            </w:r>
          </w:p>
        </w:tc>
      </w:tr>
      <w:tr w:rsidR="00A94F44" w:rsidRPr="00030181" w14:paraId="59491696" w14:textId="77777777" w:rsidTr="00BD2247">
        <w:tc>
          <w:tcPr>
            <w:tcW w:w="0" w:type="auto"/>
            <w:hideMark/>
          </w:tcPr>
          <w:p w14:paraId="51391AB2" w14:textId="77777777" w:rsidR="00A94F44" w:rsidRPr="00030181" w:rsidRDefault="00A94F44" w:rsidP="005C5EBA">
            <w:pPr>
              <w:spacing w:after="160" w:line="360" w:lineRule="auto"/>
              <w:jc w:val="both"/>
              <w:rPr>
                <w:rFonts w:ascii="Arial" w:hAnsi="Arial" w:cs="Arial"/>
              </w:rPr>
            </w:pPr>
            <w:r w:rsidRPr="00030181">
              <w:rPr>
                <w:rFonts w:ascii="Arial" w:hAnsi="Arial" w:cs="Arial"/>
              </w:rPr>
              <w:t>Eichelmann et al. (2024)</w:t>
            </w:r>
          </w:p>
        </w:tc>
        <w:tc>
          <w:tcPr>
            <w:tcW w:w="0" w:type="auto"/>
            <w:hideMark/>
          </w:tcPr>
          <w:p w14:paraId="16C2125B" w14:textId="77777777" w:rsidR="00A94F44" w:rsidRPr="00030181" w:rsidRDefault="00A94F44" w:rsidP="005C5EBA">
            <w:pPr>
              <w:spacing w:after="160" w:line="360" w:lineRule="auto"/>
              <w:jc w:val="both"/>
              <w:rPr>
                <w:rFonts w:ascii="Arial" w:hAnsi="Arial" w:cs="Arial"/>
              </w:rPr>
            </w:pPr>
            <w:r w:rsidRPr="00030181">
              <w:rPr>
                <w:rFonts w:ascii="Arial" w:hAnsi="Arial" w:cs="Arial"/>
              </w:rPr>
              <w:t>Examine dietary fat quality and cardiometabolic outcomes</w:t>
            </w:r>
          </w:p>
        </w:tc>
        <w:tc>
          <w:tcPr>
            <w:tcW w:w="0" w:type="auto"/>
            <w:hideMark/>
          </w:tcPr>
          <w:p w14:paraId="2E46F1EB" w14:textId="77777777" w:rsidR="00A94F44" w:rsidRPr="00030181" w:rsidRDefault="00A94F44" w:rsidP="005C5EBA">
            <w:pPr>
              <w:spacing w:after="160" w:line="360" w:lineRule="auto"/>
              <w:jc w:val="both"/>
              <w:rPr>
                <w:rFonts w:ascii="Arial" w:hAnsi="Arial" w:cs="Arial"/>
              </w:rPr>
            </w:pPr>
            <w:r w:rsidRPr="00030181">
              <w:rPr>
                <w:rFonts w:ascii="Arial" w:hAnsi="Arial" w:cs="Arial"/>
              </w:rPr>
              <w:t>Dietary intervention and cohort analyses</w:t>
            </w:r>
          </w:p>
        </w:tc>
        <w:tc>
          <w:tcPr>
            <w:tcW w:w="0" w:type="auto"/>
            <w:hideMark/>
          </w:tcPr>
          <w:p w14:paraId="72BB9B6F" w14:textId="77777777" w:rsidR="00A94F44" w:rsidRPr="00030181" w:rsidRDefault="00A94F44" w:rsidP="005C5EBA">
            <w:pPr>
              <w:spacing w:after="160" w:line="360" w:lineRule="auto"/>
              <w:jc w:val="both"/>
              <w:rPr>
                <w:rFonts w:ascii="Arial" w:hAnsi="Arial" w:cs="Arial"/>
              </w:rPr>
            </w:pPr>
            <w:r w:rsidRPr="00030181">
              <w:rPr>
                <w:rFonts w:ascii="Arial" w:hAnsi="Arial" w:cs="Arial"/>
              </w:rPr>
              <w:t>Improved fat quality reduced diabetes risk by 26%</w:t>
            </w:r>
          </w:p>
        </w:tc>
        <w:tc>
          <w:tcPr>
            <w:tcW w:w="0" w:type="auto"/>
            <w:hideMark/>
          </w:tcPr>
          <w:p w14:paraId="2246F414" w14:textId="77777777" w:rsidR="00A94F44" w:rsidRPr="00030181" w:rsidRDefault="00A94F44" w:rsidP="005C5EBA">
            <w:pPr>
              <w:spacing w:after="160" w:line="360" w:lineRule="auto"/>
              <w:jc w:val="both"/>
              <w:rPr>
                <w:rFonts w:ascii="Arial" w:hAnsi="Arial" w:cs="Arial"/>
              </w:rPr>
            </w:pPr>
            <w:r w:rsidRPr="00030181">
              <w:rPr>
                <w:rFonts w:ascii="Arial" w:hAnsi="Arial" w:cs="Arial"/>
              </w:rPr>
              <w:t>RCT-based cohort analysis</w:t>
            </w:r>
          </w:p>
        </w:tc>
        <w:tc>
          <w:tcPr>
            <w:tcW w:w="0" w:type="auto"/>
            <w:hideMark/>
          </w:tcPr>
          <w:p w14:paraId="170E5565" w14:textId="3572AF0A" w:rsidR="00A94F44" w:rsidRPr="00030181" w:rsidRDefault="00650A23" w:rsidP="005C5EBA">
            <w:pPr>
              <w:spacing w:after="160" w:line="360" w:lineRule="auto"/>
              <w:jc w:val="both"/>
              <w:rPr>
                <w:rFonts w:ascii="Arial" w:hAnsi="Arial" w:cs="Arial"/>
              </w:rPr>
            </w:pPr>
            <w:r w:rsidRPr="00030181">
              <w:rPr>
                <w:rFonts w:ascii="Arial" w:hAnsi="Arial" w:cs="Arial"/>
              </w:rPr>
              <w:t xml:space="preserve">Multiple cohorts and RCTs (n = 60–1,262 </w:t>
            </w:r>
            <w:r w:rsidRPr="00030181">
              <w:rPr>
                <w:rFonts w:ascii="Arial" w:hAnsi="Arial" w:cs="Arial"/>
              </w:rPr>
              <w:lastRenderedPageBreak/>
              <w:t>across datasets).</w:t>
            </w:r>
          </w:p>
        </w:tc>
        <w:tc>
          <w:tcPr>
            <w:tcW w:w="0" w:type="auto"/>
            <w:hideMark/>
          </w:tcPr>
          <w:p w14:paraId="32EF7C06" w14:textId="77777777" w:rsidR="00A94F44" w:rsidRPr="00030181" w:rsidRDefault="00A94F44" w:rsidP="005C5EBA">
            <w:pPr>
              <w:spacing w:after="160" w:line="360" w:lineRule="auto"/>
              <w:jc w:val="both"/>
              <w:rPr>
                <w:rFonts w:ascii="Arial" w:hAnsi="Arial" w:cs="Arial"/>
              </w:rPr>
            </w:pPr>
            <w:r w:rsidRPr="00030181">
              <w:rPr>
                <w:rFonts w:ascii="Arial" w:hAnsi="Arial" w:cs="Arial"/>
              </w:rPr>
              <w:lastRenderedPageBreak/>
              <w:t>Better dietary quality reduced T2DM risk</w:t>
            </w:r>
          </w:p>
        </w:tc>
        <w:tc>
          <w:tcPr>
            <w:tcW w:w="0" w:type="auto"/>
            <w:hideMark/>
          </w:tcPr>
          <w:p w14:paraId="2875B9AA" w14:textId="77777777" w:rsidR="00A94F44" w:rsidRPr="00030181" w:rsidRDefault="00A94F44" w:rsidP="005C5EBA">
            <w:pPr>
              <w:spacing w:after="160" w:line="360" w:lineRule="auto"/>
              <w:jc w:val="both"/>
              <w:rPr>
                <w:rFonts w:ascii="Arial" w:hAnsi="Arial" w:cs="Arial"/>
              </w:rPr>
            </w:pPr>
            <w:r w:rsidRPr="00030181">
              <w:rPr>
                <w:rFonts w:ascii="Arial" w:hAnsi="Arial" w:cs="Arial"/>
              </w:rPr>
              <w:t>Robust statistical analysis</w:t>
            </w:r>
          </w:p>
        </w:tc>
        <w:tc>
          <w:tcPr>
            <w:tcW w:w="0" w:type="auto"/>
            <w:hideMark/>
          </w:tcPr>
          <w:p w14:paraId="47606D2C" w14:textId="77777777" w:rsidR="00A94F44" w:rsidRPr="00030181" w:rsidRDefault="00A94F44" w:rsidP="005C5EBA">
            <w:pPr>
              <w:spacing w:after="160" w:line="360" w:lineRule="auto"/>
              <w:jc w:val="both"/>
              <w:rPr>
                <w:rFonts w:ascii="Arial" w:hAnsi="Arial" w:cs="Arial"/>
              </w:rPr>
            </w:pPr>
            <w:r w:rsidRPr="00030181">
              <w:rPr>
                <w:rFonts w:ascii="Arial" w:hAnsi="Arial" w:cs="Arial"/>
              </w:rPr>
              <w:t>Not care-home specific</w:t>
            </w:r>
          </w:p>
        </w:tc>
      </w:tr>
      <w:tr w:rsidR="00A94F44" w:rsidRPr="00030181" w14:paraId="4D99445C" w14:textId="77777777" w:rsidTr="00BD2247">
        <w:tc>
          <w:tcPr>
            <w:tcW w:w="0" w:type="auto"/>
            <w:hideMark/>
          </w:tcPr>
          <w:p w14:paraId="63F45E05" w14:textId="4F8841C5" w:rsidR="00A94F44" w:rsidRPr="00030181" w:rsidRDefault="00A94F44" w:rsidP="005C5EBA">
            <w:pPr>
              <w:spacing w:after="160" w:line="360" w:lineRule="auto"/>
              <w:jc w:val="both"/>
              <w:rPr>
                <w:rFonts w:ascii="Arial" w:hAnsi="Arial" w:cs="Arial"/>
              </w:rPr>
            </w:pPr>
            <w:r w:rsidRPr="00030181">
              <w:rPr>
                <w:rFonts w:ascii="Arial" w:hAnsi="Arial" w:cs="Arial"/>
              </w:rPr>
              <w:t>Watkins et al. (2017)</w:t>
            </w:r>
          </w:p>
        </w:tc>
        <w:tc>
          <w:tcPr>
            <w:tcW w:w="0" w:type="auto"/>
            <w:hideMark/>
          </w:tcPr>
          <w:p w14:paraId="30C7C461" w14:textId="5B0B7E60" w:rsidR="00A94F44" w:rsidRPr="00030181" w:rsidRDefault="00A94F44" w:rsidP="005C5EBA">
            <w:pPr>
              <w:spacing w:after="160" w:line="360" w:lineRule="auto"/>
              <w:jc w:val="both"/>
              <w:rPr>
                <w:rFonts w:ascii="Arial" w:hAnsi="Arial" w:cs="Arial"/>
              </w:rPr>
            </w:pPr>
            <w:r w:rsidRPr="00030181">
              <w:rPr>
                <w:rFonts w:ascii="Arial" w:hAnsi="Arial" w:cs="Arial"/>
              </w:rPr>
              <w:t>Explore attitudes, perceptions and experiences of mealtimes among care home residents and staff</w:t>
            </w:r>
          </w:p>
        </w:tc>
        <w:tc>
          <w:tcPr>
            <w:tcW w:w="0" w:type="auto"/>
            <w:hideMark/>
          </w:tcPr>
          <w:p w14:paraId="7AC5798D" w14:textId="3583A446" w:rsidR="00A94F44" w:rsidRPr="00030181" w:rsidRDefault="00A94F44" w:rsidP="005C5EBA">
            <w:pPr>
              <w:spacing w:after="160" w:line="360" w:lineRule="auto"/>
              <w:jc w:val="both"/>
              <w:rPr>
                <w:rFonts w:ascii="Arial" w:hAnsi="Arial" w:cs="Arial"/>
              </w:rPr>
            </w:pPr>
            <w:r w:rsidRPr="00030181">
              <w:rPr>
                <w:rFonts w:ascii="Arial" w:hAnsi="Arial" w:cs="Arial"/>
              </w:rPr>
              <w:t>Systematic review of qualitative studies examining mealtime experiences in care homes</w:t>
            </w:r>
          </w:p>
        </w:tc>
        <w:tc>
          <w:tcPr>
            <w:tcW w:w="0" w:type="auto"/>
            <w:hideMark/>
          </w:tcPr>
          <w:p w14:paraId="04D51EE5" w14:textId="29CF9E67" w:rsidR="00A94F44" w:rsidRPr="00030181" w:rsidRDefault="00A94F44" w:rsidP="005C5EBA">
            <w:pPr>
              <w:spacing w:after="160" w:line="360" w:lineRule="auto"/>
              <w:jc w:val="both"/>
              <w:rPr>
                <w:rFonts w:ascii="Arial" w:hAnsi="Arial" w:cs="Arial"/>
              </w:rPr>
            </w:pPr>
            <w:r w:rsidRPr="00030181">
              <w:rPr>
                <w:rFonts w:ascii="Arial" w:hAnsi="Arial" w:cs="Arial"/>
              </w:rPr>
              <w:t>Positive staff interaction, resident choice and social dining improved meal experiences and food intake</w:t>
            </w:r>
          </w:p>
        </w:tc>
        <w:tc>
          <w:tcPr>
            <w:tcW w:w="0" w:type="auto"/>
            <w:hideMark/>
          </w:tcPr>
          <w:p w14:paraId="7F0EF6A7" w14:textId="7EA6E85B" w:rsidR="00A94F44" w:rsidRPr="00030181" w:rsidRDefault="00A94F44" w:rsidP="005C5EBA">
            <w:pPr>
              <w:spacing w:after="160" w:line="360" w:lineRule="auto"/>
              <w:jc w:val="both"/>
              <w:rPr>
                <w:rFonts w:ascii="Arial" w:hAnsi="Arial" w:cs="Arial"/>
              </w:rPr>
            </w:pPr>
            <w:r w:rsidRPr="00030181">
              <w:rPr>
                <w:rFonts w:ascii="Arial" w:hAnsi="Arial" w:cs="Arial"/>
              </w:rPr>
              <w:t>Systematic review of qualitative literature</w:t>
            </w:r>
          </w:p>
        </w:tc>
        <w:tc>
          <w:tcPr>
            <w:tcW w:w="0" w:type="auto"/>
            <w:hideMark/>
          </w:tcPr>
          <w:p w14:paraId="7C195F19" w14:textId="2B8100CD" w:rsidR="00A94F44" w:rsidRPr="00030181" w:rsidRDefault="00F948AD" w:rsidP="005C5EBA">
            <w:pPr>
              <w:spacing w:after="160" w:line="360" w:lineRule="auto"/>
              <w:jc w:val="both"/>
              <w:rPr>
                <w:rFonts w:ascii="Arial" w:hAnsi="Arial" w:cs="Arial"/>
              </w:rPr>
            </w:pPr>
            <w:r w:rsidRPr="00030181">
              <w:rPr>
                <w:rFonts w:ascii="Arial" w:hAnsi="Arial" w:cs="Arial"/>
              </w:rPr>
              <w:t>32 Mice</w:t>
            </w:r>
          </w:p>
        </w:tc>
        <w:tc>
          <w:tcPr>
            <w:tcW w:w="0" w:type="auto"/>
            <w:hideMark/>
          </w:tcPr>
          <w:p w14:paraId="77764932" w14:textId="28CE5858" w:rsidR="00A94F44" w:rsidRPr="00030181" w:rsidRDefault="00F948AD" w:rsidP="005C5EBA">
            <w:pPr>
              <w:spacing w:after="160" w:line="360" w:lineRule="auto"/>
              <w:jc w:val="both"/>
              <w:rPr>
                <w:rFonts w:ascii="Arial" w:hAnsi="Arial" w:cs="Arial"/>
              </w:rPr>
            </w:pPr>
            <w:r w:rsidRPr="00030181">
              <w:rPr>
                <w:rFonts w:ascii="Arial" w:hAnsi="Arial" w:cs="Arial"/>
              </w:rPr>
              <w:t>Mealtime quality was shaped by organisational support, resident autonomy, staff engagement, and person-centred practices, improving nutritional intake and wellbeing.</w:t>
            </w:r>
          </w:p>
        </w:tc>
        <w:tc>
          <w:tcPr>
            <w:tcW w:w="0" w:type="auto"/>
            <w:hideMark/>
          </w:tcPr>
          <w:p w14:paraId="0FE30013" w14:textId="742C9830" w:rsidR="00A94F44" w:rsidRPr="00030181" w:rsidRDefault="00A94F44" w:rsidP="005C5EBA">
            <w:pPr>
              <w:spacing w:after="160" w:line="360" w:lineRule="auto"/>
              <w:jc w:val="both"/>
              <w:rPr>
                <w:rFonts w:ascii="Arial" w:hAnsi="Arial" w:cs="Arial"/>
              </w:rPr>
            </w:pPr>
            <w:r w:rsidRPr="00030181">
              <w:rPr>
                <w:rFonts w:ascii="Arial" w:hAnsi="Arial" w:cs="Arial"/>
              </w:rPr>
              <w:t>Direct relevance to care homes; resident and staff perspectives; strong focus on person-centred nutritional care</w:t>
            </w:r>
          </w:p>
        </w:tc>
        <w:tc>
          <w:tcPr>
            <w:tcW w:w="0" w:type="auto"/>
            <w:hideMark/>
          </w:tcPr>
          <w:p w14:paraId="12868497" w14:textId="4866A715" w:rsidR="00A94F44" w:rsidRPr="00030181" w:rsidRDefault="00A94F44" w:rsidP="005C5EBA">
            <w:pPr>
              <w:spacing w:after="160" w:line="360" w:lineRule="auto"/>
              <w:jc w:val="both"/>
              <w:rPr>
                <w:rFonts w:ascii="Arial" w:hAnsi="Arial" w:cs="Arial"/>
              </w:rPr>
            </w:pPr>
            <w:r w:rsidRPr="00030181">
              <w:rPr>
                <w:rFonts w:ascii="Arial" w:hAnsi="Arial" w:cs="Arial"/>
              </w:rPr>
              <w:t>Qualitative evidence limits statistical generalisability; variation in study settings and methodologies</w:t>
            </w:r>
          </w:p>
        </w:tc>
      </w:tr>
      <w:tr w:rsidR="00A94F44" w:rsidRPr="00030181" w14:paraId="3A1C73CD" w14:textId="77777777" w:rsidTr="00BD2247">
        <w:tc>
          <w:tcPr>
            <w:tcW w:w="0" w:type="auto"/>
            <w:hideMark/>
          </w:tcPr>
          <w:p w14:paraId="0BE05D69" w14:textId="77777777" w:rsidR="00A94F44" w:rsidRPr="00030181" w:rsidRDefault="00A94F44" w:rsidP="005C5EBA">
            <w:pPr>
              <w:spacing w:after="160" w:line="360" w:lineRule="auto"/>
              <w:jc w:val="both"/>
              <w:rPr>
                <w:rFonts w:ascii="Arial" w:hAnsi="Arial" w:cs="Arial"/>
              </w:rPr>
            </w:pPr>
            <w:r w:rsidRPr="00030181">
              <w:rPr>
                <w:rFonts w:ascii="Arial" w:hAnsi="Arial" w:cs="Arial"/>
              </w:rPr>
              <w:t>Onuorah et al. (2025)</w:t>
            </w:r>
          </w:p>
        </w:tc>
        <w:tc>
          <w:tcPr>
            <w:tcW w:w="0" w:type="auto"/>
            <w:hideMark/>
          </w:tcPr>
          <w:p w14:paraId="396C2C68" w14:textId="77777777" w:rsidR="00A94F44" w:rsidRPr="00030181" w:rsidRDefault="00A94F44" w:rsidP="005C5EBA">
            <w:pPr>
              <w:spacing w:after="160" w:line="360" w:lineRule="auto"/>
              <w:jc w:val="both"/>
              <w:rPr>
                <w:rFonts w:ascii="Arial" w:hAnsi="Arial" w:cs="Arial"/>
              </w:rPr>
            </w:pPr>
            <w:r w:rsidRPr="00030181">
              <w:rPr>
                <w:rFonts w:ascii="Arial" w:hAnsi="Arial" w:cs="Arial"/>
              </w:rPr>
              <w:t>Investigate diabetes knowledge and dietary management barriers</w:t>
            </w:r>
          </w:p>
        </w:tc>
        <w:tc>
          <w:tcPr>
            <w:tcW w:w="0" w:type="auto"/>
            <w:hideMark/>
          </w:tcPr>
          <w:p w14:paraId="05F07284" w14:textId="77777777" w:rsidR="00A94F44" w:rsidRPr="00030181" w:rsidRDefault="00A94F44" w:rsidP="005C5EBA">
            <w:pPr>
              <w:spacing w:after="160" w:line="360" w:lineRule="auto"/>
              <w:jc w:val="both"/>
              <w:rPr>
                <w:rFonts w:ascii="Arial" w:hAnsi="Arial" w:cs="Arial"/>
              </w:rPr>
            </w:pPr>
            <w:r w:rsidRPr="00030181">
              <w:rPr>
                <w:rFonts w:ascii="Arial" w:hAnsi="Arial" w:cs="Arial"/>
              </w:rPr>
              <w:t>Ethnographic study</w:t>
            </w:r>
          </w:p>
        </w:tc>
        <w:tc>
          <w:tcPr>
            <w:tcW w:w="0" w:type="auto"/>
            <w:hideMark/>
          </w:tcPr>
          <w:p w14:paraId="7465F888" w14:textId="77777777" w:rsidR="00A94F44" w:rsidRPr="00030181" w:rsidRDefault="00A94F44" w:rsidP="005C5EBA">
            <w:pPr>
              <w:spacing w:after="160" w:line="360" w:lineRule="auto"/>
              <w:jc w:val="both"/>
              <w:rPr>
                <w:rFonts w:ascii="Arial" w:hAnsi="Arial" w:cs="Arial"/>
              </w:rPr>
            </w:pPr>
            <w:r w:rsidRPr="00030181">
              <w:rPr>
                <w:rFonts w:ascii="Arial" w:hAnsi="Arial" w:cs="Arial"/>
              </w:rPr>
              <w:t>Cultural beliefs affected diabetes management</w:t>
            </w:r>
          </w:p>
        </w:tc>
        <w:tc>
          <w:tcPr>
            <w:tcW w:w="0" w:type="auto"/>
            <w:hideMark/>
          </w:tcPr>
          <w:p w14:paraId="06FC7DA9" w14:textId="77777777" w:rsidR="00A94F44" w:rsidRPr="00030181" w:rsidRDefault="00A94F44" w:rsidP="005C5EBA">
            <w:pPr>
              <w:spacing w:after="160" w:line="360" w:lineRule="auto"/>
              <w:jc w:val="both"/>
              <w:rPr>
                <w:rFonts w:ascii="Arial" w:hAnsi="Arial" w:cs="Arial"/>
              </w:rPr>
            </w:pPr>
            <w:r w:rsidRPr="00030181">
              <w:rPr>
                <w:rFonts w:ascii="Arial" w:hAnsi="Arial" w:cs="Arial"/>
              </w:rPr>
              <w:t>Ethnographic study</w:t>
            </w:r>
          </w:p>
        </w:tc>
        <w:tc>
          <w:tcPr>
            <w:tcW w:w="0" w:type="auto"/>
            <w:hideMark/>
          </w:tcPr>
          <w:p w14:paraId="1F6D6070" w14:textId="77777777" w:rsidR="00A94F44" w:rsidRPr="00030181" w:rsidRDefault="00A94F44" w:rsidP="005C5EBA">
            <w:pPr>
              <w:spacing w:after="160" w:line="360" w:lineRule="auto"/>
              <w:jc w:val="both"/>
              <w:rPr>
                <w:rFonts w:ascii="Arial" w:hAnsi="Arial" w:cs="Arial"/>
              </w:rPr>
            </w:pPr>
            <w:r w:rsidRPr="00030181">
              <w:rPr>
                <w:rFonts w:ascii="Arial" w:hAnsi="Arial" w:cs="Arial"/>
              </w:rPr>
              <w:t>11 participants</w:t>
            </w:r>
          </w:p>
        </w:tc>
        <w:tc>
          <w:tcPr>
            <w:tcW w:w="0" w:type="auto"/>
            <w:hideMark/>
          </w:tcPr>
          <w:p w14:paraId="6410D07C" w14:textId="77777777" w:rsidR="00A94F44" w:rsidRPr="00030181" w:rsidRDefault="00A94F44" w:rsidP="005C5EBA">
            <w:pPr>
              <w:spacing w:after="160" w:line="360" w:lineRule="auto"/>
              <w:jc w:val="both"/>
              <w:rPr>
                <w:rFonts w:ascii="Arial" w:hAnsi="Arial" w:cs="Arial"/>
              </w:rPr>
            </w:pPr>
            <w:r w:rsidRPr="00030181">
              <w:rPr>
                <w:rFonts w:ascii="Arial" w:hAnsi="Arial" w:cs="Arial"/>
              </w:rPr>
              <w:t>Limited diabetes knowledge hindered healthy dietary practices</w:t>
            </w:r>
          </w:p>
        </w:tc>
        <w:tc>
          <w:tcPr>
            <w:tcW w:w="0" w:type="auto"/>
            <w:hideMark/>
          </w:tcPr>
          <w:p w14:paraId="741B192F" w14:textId="77777777" w:rsidR="00A94F44" w:rsidRPr="00030181" w:rsidRDefault="00A94F44" w:rsidP="005C5EBA">
            <w:pPr>
              <w:spacing w:after="160" w:line="360" w:lineRule="auto"/>
              <w:jc w:val="both"/>
              <w:rPr>
                <w:rFonts w:ascii="Arial" w:hAnsi="Arial" w:cs="Arial"/>
              </w:rPr>
            </w:pPr>
            <w:r w:rsidRPr="00030181">
              <w:rPr>
                <w:rFonts w:ascii="Arial" w:hAnsi="Arial" w:cs="Arial"/>
              </w:rPr>
              <w:t>UK-based evidence</w:t>
            </w:r>
          </w:p>
        </w:tc>
        <w:tc>
          <w:tcPr>
            <w:tcW w:w="0" w:type="auto"/>
            <w:hideMark/>
          </w:tcPr>
          <w:p w14:paraId="4EA20EBE" w14:textId="77777777" w:rsidR="00A94F44" w:rsidRPr="00030181" w:rsidRDefault="00A94F44" w:rsidP="005C5EBA">
            <w:pPr>
              <w:spacing w:after="160" w:line="360" w:lineRule="auto"/>
              <w:jc w:val="both"/>
              <w:rPr>
                <w:rFonts w:ascii="Arial" w:hAnsi="Arial" w:cs="Arial"/>
              </w:rPr>
            </w:pPr>
            <w:r w:rsidRPr="00030181">
              <w:rPr>
                <w:rFonts w:ascii="Arial" w:hAnsi="Arial" w:cs="Arial"/>
              </w:rPr>
              <w:t>Small sample</w:t>
            </w:r>
          </w:p>
        </w:tc>
      </w:tr>
      <w:tr w:rsidR="00A94F44" w:rsidRPr="00030181" w14:paraId="41345869" w14:textId="77777777" w:rsidTr="00BD2247">
        <w:tc>
          <w:tcPr>
            <w:tcW w:w="0" w:type="auto"/>
            <w:hideMark/>
          </w:tcPr>
          <w:p w14:paraId="70936513" w14:textId="77777777" w:rsidR="00A94F44" w:rsidRPr="00030181" w:rsidRDefault="00A94F44" w:rsidP="005C5EBA">
            <w:pPr>
              <w:spacing w:after="160" w:line="360" w:lineRule="auto"/>
              <w:jc w:val="both"/>
              <w:rPr>
                <w:rFonts w:ascii="Arial" w:hAnsi="Arial" w:cs="Arial"/>
              </w:rPr>
            </w:pPr>
            <w:r w:rsidRPr="00030181">
              <w:rPr>
                <w:rFonts w:ascii="Arial" w:hAnsi="Arial" w:cs="Arial"/>
              </w:rPr>
              <w:lastRenderedPageBreak/>
              <w:t>Duodu et al. (2025)</w:t>
            </w:r>
          </w:p>
        </w:tc>
        <w:tc>
          <w:tcPr>
            <w:tcW w:w="0" w:type="auto"/>
            <w:hideMark/>
          </w:tcPr>
          <w:p w14:paraId="61996F6E" w14:textId="77777777" w:rsidR="00A94F44" w:rsidRPr="00030181" w:rsidRDefault="00A94F44" w:rsidP="005C5EBA">
            <w:pPr>
              <w:spacing w:after="160" w:line="360" w:lineRule="auto"/>
              <w:jc w:val="both"/>
              <w:rPr>
                <w:rFonts w:ascii="Arial" w:hAnsi="Arial" w:cs="Arial"/>
              </w:rPr>
            </w:pPr>
            <w:r w:rsidRPr="00030181">
              <w:rPr>
                <w:rFonts w:ascii="Arial" w:hAnsi="Arial" w:cs="Arial"/>
              </w:rPr>
              <w:t>Assess dietary adherence and health outcomes in diabetes</w:t>
            </w:r>
          </w:p>
        </w:tc>
        <w:tc>
          <w:tcPr>
            <w:tcW w:w="0" w:type="auto"/>
            <w:hideMark/>
          </w:tcPr>
          <w:p w14:paraId="5654AD98" w14:textId="77777777" w:rsidR="00A94F44" w:rsidRPr="00030181" w:rsidRDefault="00A94F44" w:rsidP="005C5EBA">
            <w:pPr>
              <w:spacing w:after="160" w:line="360" w:lineRule="auto"/>
              <w:jc w:val="both"/>
              <w:rPr>
                <w:rFonts w:ascii="Arial" w:hAnsi="Arial" w:cs="Arial"/>
              </w:rPr>
            </w:pPr>
            <w:r w:rsidRPr="00030181">
              <w:rPr>
                <w:rFonts w:ascii="Arial" w:hAnsi="Arial" w:cs="Arial"/>
              </w:rPr>
              <w:t>Survey and regression analysis</w:t>
            </w:r>
          </w:p>
        </w:tc>
        <w:tc>
          <w:tcPr>
            <w:tcW w:w="0" w:type="auto"/>
            <w:hideMark/>
          </w:tcPr>
          <w:p w14:paraId="099489DF" w14:textId="77777777" w:rsidR="00A94F44" w:rsidRPr="00030181" w:rsidRDefault="00A94F44" w:rsidP="005C5EBA">
            <w:pPr>
              <w:spacing w:after="160" w:line="360" w:lineRule="auto"/>
              <w:jc w:val="both"/>
              <w:rPr>
                <w:rFonts w:ascii="Arial" w:hAnsi="Arial" w:cs="Arial"/>
              </w:rPr>
            </w:pPr>
            <w:r w:rsidRPr="00030181">
              <w:rPr>
                <w:rFonts w:ascii="Arial" w:hAnsi="Arial" w:cs="Arial"/>
              </w:rPr>
              <w:t>Better adherence associated with improved wellbeing</w:t>
            </w:r>
          </w:p>
        </w:tc>
        <w:tc>
          <w:tcPr>
            <w:tcW w:w="0" w:type="auto"/>
            <w:hideMark/>
          </w:tcPr>
          <w:p w14:paraId="2279E7D6" w14:textId="77777777" w:rsidR="00A94F44" w:rsidRPr="00030181" w:rsidRDefault="00A94F44" w:rsidP="005C5EBA">
            <w:pPr>
              <w:spacing w:after="160" w:line="360" w:lineRule="auto"/>
              <w:jc w:val="both"/>
              <w:rPr>
                <w:rFonts w:ascii="Arial" w:hAnsi="Arial" w:cs="Arial"/>
              </w:rPr>
            </w:pPr>
            <w:r w:rsidRPr="00030181">
              <w:rPr>
                <w:rFonts w:ascii="Arial" w:hAnsi="Arial" w:cs="Arial"/>
              </w:rPr>
              <w:t>Cross-sectional study</w:t>
            </w:r>
          </w:p>
        </w:tc>
        <w:tc>
          <w:tcPr>
            <w:tcW w:w="0" w:type="auto"/>
            <w:hideMark/>
          </w:tcPr>
          <w:p w14:paraId="39BFBC95" w14:textId="77777777" w:rsidR="00A94F44" w:rsidRPr="00030181" w:rsidRDefault="00A94F44" w:rsidP="005C5EBA">
            <w:pPr>
              <w:spacing w:after="160" w:line="360" w:lineRule="auto"/>
              <w:jc w:val="both"/>
              <w:rPr>
                <w:rFonts w:ascii="Arial" w:hAnsi="Arial" w:cs="Arial"/>
              </w:rPr>
            </w:pPr>
            <w:r w:rsidRPr="00030181">
              <w:rPr>
                <w:rFonts w:ascii="Arial" w:hAnsi="Arial" w:cs="Arial"/>
              </w:rPr>
              <w:t>398 participants</w:t>
            </w:r>
          </w:p>
        </w:tc>
        <w:tc>
          <w:tcPr>
            <w:tcW w:w="0" w:type="auto"/>
            <w:hideMark/>
          </w:tcPr>
          <w:p w14:paraId="579980CD" w14:textId="77777777" w:rsidR="00A94F44" w:rsidRPr="00030181" w:rsidRDefault="00A94F44" w:rsidP="005C5EBA">
            <w:pPr>
              <w:spacing w:after="160" w:line="360" w:lineRule="auto"/>
              <w:jc w:val="both"/>
              <w:rPr>
                <w:rFonts w:ascii="Arial" w:hAnsi="Arial" w:cs="Arial"/>
              </w:rPr>
            </w:pPr>
            <w:r w:rsidRPr="00030181">
              <w:rPr>
                <w:rFonts w:ascii="Arial" w:hAnsi="Arial" w:cs="Arial"/>
              </w:rPr>
              <w:t>Adherence to dietary recommendations improved outcomes</w:t>
            </w:r>
          </w:p>
        </w:tc>
        <w:tc>
          <w:tcPr>
            <w:tcW w:w="0" w:type="auto"/>
            <w:hideMark/>
          </w:tcPr>
          <w:p w14:paraId="36EF1E27" w14:textId="77777777" w:rsidR="00A94F44" w:rsidRPr="00030181" w:rsidRDefault="00A94F44" w:rsidP="005C5EBA">
            <w:pPr>
              <w:spacing w:after="160" w:line="360" w:lineRule="auto"/>
              <w:jc w:val="both"/>
              <w:rPr>
                <w:rFonts w:ascii="Arial" w:hAnsi="Arial" w:cs="Arial"/>
              </w:rPr>
            </w:pPr>
            <w:r w:rsidRPr="00030181">
              <w:rPr>
                <w:rFonts w:ascii="Arial" w:hAnsi="Arial" w:cs="Arial"/>
              </w:rPr>
              <w:t>Large sample</w:t>
            </w:r>
          </w:p>
        </w:tc>
        <w:tc>
          <w:tcPr>
            <w:tcW w:w="0" w:type="auto"/>
            <w:hideMark/>
          </w:tcPr>
          <w:p w14:paraId="0E64844E" w14:textId="77777777" w:rsidR="00A94F44" w:rsidRPr="00030181" w:rsidRDefault="00A94F44" w:rsidP="005C5EBA">
            <w:pPr>
              <w:spacing w:after="160" w:line="360" w:lineRule="auto"/>
              <w:jc w:val="both"/>
              <w:rPr>
                <w:rFonts w:ascii="Arial" w:hAnsi="Arial" w:cs="Arial"/>
              </w:rPr>
            </w:pPr>
            <w:r w:rsidRPr="00030181">
              <w:rPr>
                <w:rFonts w:ascii="Arial" w:hAnsi="Arial" w:cs="Arial"/>
              </w:rPr>
              <w:t>Non-UK setting</w:t>
            </w:r>
          </w:p>
        </w:tc>
      </w:tr>
      <w:tr w:rsidR="00A94F44" w:rsidRPr="00030181" w14:paraId="2E0E9904" w14:textId="77777777" w:rsidTr="00BD2247">
        <w:tc>
          <w:tcPr>
            <w:tcW w:w="0" w:type="auto"/>
            <w:hideMark/>
          </w:tcPr>
          <w:p w14:paraId="10309734" w14:textId="77777777" w:rsidR="00A94F44" w:rsidRPr="00030181" w:rsidRDefault="00A94F44" w:rsidP="005C5EBA">
            <w:pPr>
              <w:spacing w:after="160" w:line="360" w:lineRule="auto"/>
              <w:jc w:val="both"/>
              <w:rPr>
                <w:rFonts w:ascii="Arial" w:hAnsi="Arial" w:cs="Arial"/>
              </w:rPr>
            </w:pPr>
            <w:r w:rsidRPr="00030181">
              <w:rPr>
                <w:rFonts w:ascii="Arial" w:hAnsi="Arial" w:cs="Arial"/>
              </w:rPr>
              <w:t>Velázquez-Alva et al. (2020)</w:t>
            </w:r>
          </w:p>
        </w:tc>
        <w:tc>
          <w:tcPr>
            <w:tcW w:w="0" w:type="auto"/>
            <w:hideMark/>
          </w:tcPr>
          <w:p w14:paraId="33255E50" w14:textId="77777777" w:rsidR="00A94F44" w:rsidRPr="00030181" w:rsidRDefault="00A94F44" w:rsidP="005C5EBA">
            <w:pPr>
              <w:spacing w:after="160" w:line="360" w:lineRule="auto"/>
              <w:jc w:val="both"/>
              <w:rPr>
                <w:rFonts w:ascii="Arial" w:hAnsi="Arial" w:cs="Arial"/>
              </w:rPr>
            </w:pPr>
            <w:r w:rsidRPr="00030181">
              <w:rPr>
                <w:rFonts w:ascii="Arial" w:hAnsi="Arial" w:cs="Arial"/>
              </w:rPr>
              <w:t>Examine associations between nutritional status, sarcopenia and T2DM</w:t>
            </w:r>
          </w:p>
        </w:tc>
        <w:tc>
          <w:tcPr>
            <w:tcW w:w="0" w:type="auto"/>
            <w:hideMark/>
          </w:tcPr>
          <w:p w14:paraId="3B9FF449" w14:textId="77777777" w:rsidR="00A94F44" w:rsidRPr="00030181" w:rsidRDefault="00A94F44" w:rsidP="005C5EBA">
            <w:pPr>
              <w:spacing w:after="160" w:line="360" w:lineRule="auto"/>
              <w:jc w:val="both"/>
              <w:rPr>
                <w:rFonts w:ascii="Arial" w:hAnsi="Arial" w:cs="Arial"/>
              </w:rPr>
            </w:pPr>
            <w:r w:rsidRPr="00030181">
              <w:rPr>
                <w:rFonts w:ascii="Arial" w:hAnsi="Arial" w:cs="Arial"/>
              </w:rPr>
              <w:t>MNA, grip strength and gait speed assessment</w:t>
            </w:r>
          </w:p>
        </w:tc>
        <w:tc>
          <w:tcPr>
            <w:tcW w:w="0" w:type="auto"/>
            <w:hideMark/>
          </w:tcPr>
          <w:p w14:paraId="026B6A77" w14:textId="77777777" w:rsidR="00A94F44" w:rsidRPr="00030181" w:rsidRDefault="00A94F44" w:rsidP="005C5EBA">
            <w:pPr>
              <w:spacing w:after="160" w:line="360" w:lineRule="auto"/>
              <w:jc w:val="both"/>
              <w:rPr>
                <w:rFonts w:ascii="Arial" w:hAnsi="Arial" w:cs="Arial"/>
              </w:rPr>
            </w:pPr>
            <w:r w:rsidRPr="00030181">
              <w:rPr>
                <w:rFonts w:ascii="Arial" w:hAnsi="Arial" w:cs="Arial"/>
              </w:rPr>
              <w:t>Sarcopenia strongly associated with T2DM and poor nutrition</w:t>
            </w:r>
          </w:p>
        </w:tc>
        <w:tc>
          <w:tcPr>
            <w:tcW w:w="0" w:type="auto"/>
            <w:hideMark/>
          </w:tcPr>
          <w:p w14:paraId="6DE017D1" w14:textId="77777777" w:rsidR="00A94F44" w:rsidRPr="00030181" w:rsidRDefault="00A94F44" w:rsidP="005C5EBA">
            <w:pPr>
              <w:spacing w:after="160" w:line="360" w:lineRule="auto"/>
              <w:jc w:val="both"/>
              <w:rPr>
                <w:rFonts w:ascii="Arial" w:hAnsi="Arial" w:cs="Arial"/>
              </w:rPr>
            </w:pPr>
            <w:r w:rsidRPr="00030181">
              <w:rPr>
                <w:rFonts w:ascii="Arial" w:hAnsi="Arial" w:cs="Arial"/>
              </w:rPr>
              <w:t>Cross-sectional study</w:t>
            </w:r>
          </w:p>
        </w:tc>
        <w:tc>
          <w:tcPr>
            <w:tcW w:w="0" w:type="auto"/>
            <w:hideMark/>
          </w:tcPr>
          <w:p w14:paraId="48FE9CCC" w14:textId="77777777" w:rsidR="00A94F44" w:rsidRPr="00030181" w:rsidRDefault="00A94F44" w:rsidP="005C5EBA">
            <w:pPr>
              <w:spacing w:after="160" w:line="360" w:lineRule="auto"/>
              <w:jc w:val="both"/>
              <w:rPr>
                <w:rFonts w:ascii="Arial" w:hAnsi="Arial" w:cs="Arial"/>
              </w:rPr>
            </w:pPr>
            <w:r w:rsidRPr="00030181">
              <w:rPr>
                <w:rFonts w:ascii="Arial" w:hAnsi="Arial" w:cs="Arial"/>
              </w:rPr>
              <w:t>114 older women</w:t>
            </w:r>
          </w:p>
        </w:tc>
        <w:tc>
          <w:tcPr>
            <w:tcW w:w="0" w:type="auto"/>
            <w:hideMark/>
          </w:tcPr>
          <w:p w14:paraId="17B724EB" w14:textId="77777777" w:rsidR="00A94F44" w:rsidRPr="00030181" w:rsidRDefault="00A94F44" w:rsidP="005C5EBA">
            <w:pPr>
              <w:spacing w:after="160" w:line="360" w:lineRule="auto"/>
              <w:jc w:val="both"/>
              <w:rPr>
                <w:rFonts w:ascii="Arial" w:hAnsi="Arial" w:cs="Arial"/>
              </w:rPr>
            </w:pPr>
            <w:r w:rsidRPr="00030181">
              <w:rPr>
                <w:rFonts w:ascii="Arial" w:hAnsi="Arial" w:cs="Arial"/>
              </w:rPr>
              <w:t>Poor nutritional status increased risk of sarcopenia and T2DM complications</w:t>
            </w:r>
          </w:p>
        </w:tc>
        <w:tc>
          <w:tcPr>
            <w:tcW w:w="0" w:type="auto"/>
            <w:hideMark/>
          </w:tcPr>
          <w:p w14:paraId="6810159F" w14:textId="77777777" w:rsidR="00A94F44" w:rsidRPr="00030181" w:rsidRDefault="00A94F44" w:rsidP="005C5EBA">
            <w:pPr>
              <w:spacing w:after="160" w:line="360" w:lineRule="auto"/>
              <w:jc w:val="both"/>
              <w:rPr>
                <w:rFonts w:ascii="Arial" w:hAnsi="Arial" w:cs="Arial"/>
              </w:rPr>
            </w:pPr>
            <w:r w:rsidRPr="00030181">
              <w:rPr>
                <w:rFonts w:ascii="Arial" w:hAnsi="Arial" w:cs="Arial"/>
              </w:rPr>
              <w:t>Nursing-home population</w:t>
            </w:r>
          </w:p>
        </w:tc>
        <w:tc>
          <w:tcPr>
            <w:tcW w:w="0" w:type="auto"/>
            <w:hideMark/>
          </w:tcPr>
          <w:p w14:paraId="4C1A7530" w14:textId="77777777" w:rsidR="00A94F44" w:rsidRPr="00030181" w:rsidRDefault="00A94F44" w:rsidP="005C5EBA">
            <w:pPr>
              <w:spacing w:after="160" w:line="360" w:lineRule="auto"/>
              <w:jc w:val="both"/>
              <w:rPr>
                <w:rFonts w:ascii="Arial" w:hAnsi="Arial" w:cs="Arial"/>
              </w:rPr>
            </w:pPr>
            <w:r w:rsidRPr="00030181">
              <w:rPr>
                <w:rFonts w:ascii="Arial" w:hAnsi="Arial" w:cs="Arial"/>
              </w:rPr>
              <w:t>Female-only; non-UK</w:t>
            </w:r>
          </w:p>
        </w:tc>
      </w:tr>
      <w:tr w:rsidR="00A94F44" w:rsidRPr="00030181" w14:paraId="0BAC8961" w14:textId="77777777" w:rsidTr="00BD2247">
        <w:tc>
          <w:tcPr>
            <w:tcW w:w="0" w:type="auto"/>
            <w:hideMark/>
          </w:tcPr>
          <w:p w14:paraId="0110FB7C" w14:textId="77777777" w:rsidR="00A94F44" w:rsidRPr="00030181" w:rsidRDefault="00A94F44" w:rsidP="005C5EBA">
            <w:pPr>
              <w:spacing w:after="160" w:line="360" w:lineRule="auto"/>
              <w:jc w:val="both"/>
              <w:rPr>
                <w:rFonts w:ascii="Arial" w:hAnsi="Arial" w:cs="Arial"/>
              </w:rPr>
            </w:pPr>
            <w:r w:rsidRPr="00030181">
              <w:rPr>
                <w:rFonts w:ascii="Arial" w:hAnsi="Arial" w:cs="Arial"/>
              </w:rPr>
              <w:t>Ran et al. (2023)</w:t>
            </w:r>
          </w:p>
        </w:tc>
        <w:tc>
          <w:tcPr>
            <w:tcW w:w="0" w:type="auto"/>
            <w:hideMark/>
          </w:tcPr>
          <w:p w14:paraId="038C6D09" w14:textId="77777777" w:rsidR="00A94F44" w:rsidRPr="00030181" w:rsidRDefault="00A94F44" w:rsidP="005C5EBA">
            <w:pPr>
              <w:spacing w:after="160" w:line="360" w:lineRule="auto"/>
              <w:jc w:val="both"/>
              <w:rPr>
                <w:rFonts w:ascii="Arial" w:hAnsi="Arial" w:cs="Arial"/>
              </w:rPr>
            </w:pPr>
            <w:r w:rsidRPr="00030181">
              <w:rPr>
                <w:rFonts w:ascii="Arial" w:hAnsi="Arial" w:cs="Arial"/>
              </w:rPr>
              <w:t>Identify predictors of malnutrition among older adults with T2DM</w:t>
            </w:r>
          </w:p>
        </w:tc>
        <w:tc>
          <w:tcPr>
            <w:tcW w:w="0" w:type="auto"/>
            <w:hideMark/>
          </w:tcPr>
          <w:p w14:paraId="3D3FB375" w14:textId="77777777" w:rsidR="00A94F44" w:rsidRPr="00030181" w:rsidRDefault="00A94F44" w:rsidP="005C5EBA">
            <w:pPr>
              <w:spacing w:after="160" w:line="360" w:lineRule="auto"/>
              <w:jc w:val="both"/>
              <w:rPr>
                <w:rFonts w:ascii="Arial" w:hAnsi="Arial" w:cs="Arial"/>
              </w:rPr>
            </w:pPr>
            <w:r w:rsidRPr="00030181">
              <w:rPr>
                <w:rFonts w:ascii="Arial" w:hAnsi="Arial" w:cs="Arial"/>
              </w:rPr>
              <w:t>Logistic regression and prediction modelling</w:t>
            </w:r>
          </w:p>
        </w:tc>
        <w:tc>
          <w:tcPr>
            <w:tcW w:w="0" w:type="auto"/>
            <w:hideMark/>
          </w:tcPr>
          <w:p w14:paraId="4FD475E3" w14:textId="77777777" w:rsidR="00A94F44" w:rsidRPr="00030181" w:rsidRDefault="00A94F44" w:rsidP="005C5EBA">
            <w:pPr>
              <w:spacing w:after="160" w:line="360" w:lineRule="auto"/>
              <w:jc w:val="both"/>
              <w:rPr>
                <w:rFonts w:ascii="Arial" w:hAnsi="Arial" w:cs="Arial"/>
              </w:rPr>
            </w:pPr>
            <w:r w:rsidRPr="00030181">
              <w:rPr>
                <w:rFonts w:ascii="Arial" w:hAnsi="Arial" w:cs="Arial"/>
              </w:rPr>
              <w:t>Malnutrition prevalence 26.2%</w:t>
            </w:r>
          </w:p>
        </w:tc>
        <w:tc>
          <w:tcPr>
            <w:tcW w:w="0" w:type="auto"/>
            <w:hideMark/>
          </w:tcPr>
          <w:p w14:paraId="24BB7303" w14:textId="77777777" w:rsidR="00A94F44" w:rsidRPr="00030181" w:rsidRDefault="00A94F44" w:rsidP="005C5EBA">
            <w:pPr>
              <w:spacing w:after="160" w:line="360" w:lineRule="auto"/>
              <w:jc w:val="both"/>
              <w:rPr>
                <w:rFonts w:ascii="Arial" w:hAnsi="Arial" w:cs="Arial"/>
              </w:rPr>
            </w:pPr>
            <w:r w:rsidRPr="00030181">
              <w:rPr>
                <w:rFonts w:ascii="Arial" w:hAnsi="Arial" w:cs="Arial"/>
              </w:rPr>
              <w:t>Cross-sectional study</w:t>
            </w:r>
          </w:p>
        </w:tc>
        <w:tc>
          <w:tcPr>
            <w:tcW w:w="0" w:type="auto"/>
            <w:hideMark/>
          </w:tcPr>
          <w:p w14:paraId="463802FF" w14:textId="77777777" w:rsidR="00A94F44" w:rsidRPr="00030181" w:rsidRDefault="00A94F44" w:rsidP="005C5EBA">
            <w:pPr>
              <w:spacing w:after="160" w:line="360" w:lineRule="auto"/>
              <w:jc w:val="both"/>
              <w:rPr>
                <w:rFonts w:ascii="Arial" w:hAnsi="Arial" w:cs="Arial"/>
              </w:rPr>
            </w:pPr>
            <w:r w:rsidRPr="00030181">
              <w:rPr>
                <w:rFonts w:ascii="Arial" w:hAnsi="Arial" w:cs="Arial"/>
              </w:rPr>
              <w:t>248 older adults</w:t>
            </w:r>
          </w:p>
        </w:tc>
        <w:tc>
          <w:tcPr>
            <w:tcW w:w="0" w:type="auto"/>
            <w:hideMark/>
          </w:tcPr>
          <w:p w14:paraId="08FB6D74" w14:textId="77777777" w:rsidR="00A94F44" w:rsidRPr="00030181" w:rsidRDefault="00A94F44" w:rsidP="005C5EBA">
            <w:pPr>
              <w:spacing w:after="160" w:line="360" w:lineRule="auto"/>
              <w:jc w:val="both"/>
              <w:rPr>
                <w:rFonts w:ascii="Arial" w:hAnsi="Arial" w:cs="Arial"/>
              </w:rPr>
            </w:pPr>
            <w:r w:rsidRPr="00030181">
              <w:rPr>
                <w:rFonts w:ascii="Arial" w:hAnsi="Arial" w:cs="Arial"/>
              </w:rPr>
              <w:t>Poor diet, low BMI and poor glycaemic control predicted malnutrition</w:t>
            </w:r>
          </w:p>
        </w:tc>
        <w:tc>
          <w:tcPr>
            <w:tcW w:w="0" w:type="auto"/>
            <w:hideMark/>
          </w:tcPr>
          <w:p w14:paraId="30A2C180" w14:textId="77777777" w:rsidR="00A94F44" w:rsidRPr="00030181" w:rsidRDefault="00A94F44" w:rsidP="005C5EBA">
            <w:pPr>
              <w:spacing w:after="160" w:line="360" w:lineRule="auto"/>
              <w:jc w:val="both"/>
              <w:rPr>
                <w:rFonts w:ascii="Arial" w:hAnsi="Arial" w:cs="Arial"/>
              </w:rPr>
            </w:pPr>
            <w:r w:rsidRPr="00030181">
              <w:rPr>
                <w:rFonts w:ascii="Arial" w:hAnsi="Arial" w:cs="Arial"/>
              </w:rPr>
              <w:t>Strong predictive model</w:t>
            </w:r>
          </w:p>
        </w:tc>
        <w:tc>
          <w:tcPr>
            <w:tcW w:w="0" w:type="auto"/>
            <w:hideMark/>
          </w:tcPr>
          <w:p w14:paraId="6EE6147A" w14:textId="77777777" w:rsidR="00A94F44" w:rsidRPr="00030181" w:rsidRDefault="00A94F44" w:rsidP="005C5EBA">
            <w:pPr>
              <w:spacing w:after="160" w:line="360" w:lineRule="auto"/>
              <w:jc w:val="both"/>
              <w:rPr>
                <w:rFonts w:ascii="Arial" w:hAnsi="Arial" w:cs="Arial"/>
              </w:rPr>
            </w:pPr>
            <w:r w:rsidRPr="00030181">
              <w:rPr>
                <w:rFonts w:ascii="Arial" w:hAnsi="Arial" w:cs="Arial"/>
              </w:rPr>
              <w:t>Hospital setting</w:t>
            </w:r>
          </w:p>
        </w:tc>
      </w:tr>
      <w:tr w:rsidR="00A94F44" w:rsidRPr="00030181" w14:paraId="15A30A2F" w14:textId="77777777" w:rsidTr="00BD2247">
        <w:tc>
          <w:tcPr>
            <w:tcW w:w="0" w:type="auto"/>
            <w:hideMark/>
          </w:tcPr>
          <w:p w14:paraId="751F07DB" w14:textId="77777777" w:rsidR="00A94F44" w:rsidRPr="00030181" w:rsidRDefault="00A94F44" w:rsidP="005C5EBA">
            <w:pPr>
              <w:spacing w:after="160" w:line="360" w:lineRule="auto"/>
              <w:jc w:val="both"/>
              <w:rPr>
                <w:rFonts w:ascii="Arial" w:hAnsi="Arial" w:cs="Arial"/>
              </w:rPr>
            </w:pPr>
            <w:r w:rsidRPr="00030181">
              <w:rPr>
                <w:rFonts w:ascii="Arial" w:hAnsi="Arial" w:cs="Arial"/>
              </w:rPr>
              <w:t>Mokaya et al. (2022)</w:t>
            </w:r>
          </w:p>
        </w:tc>
        <w:tc>
          <w:tcPr>
            <w:tcW w:w="0" w:type="auto"/>
            <w:hideMark/>
          </w:tcPr>
          <w:p w14:paraId="427D508C" w14:textId="77777777" w:rsidR="00A94F44" w:rsidRPr="00030181" w:rsidRDefault="00A94F44" w:rsidP="005C5EBA">
            <w:pPr>
              <w:spacing w:after="160" w:line="360" w:lineRule="auto"/>
              <w:jc w:val="both"/>
              <w:rPr>
                <w:rFonts w:ascii="Arial" w:hAnsi="Arial" w:cs="Arial"/>
              </w:rPr>
            </w:pPr>
            <w:r w:rsidRPr="00030181">
              <w:rPr>
                <w:rFonts w:ascii="Arial" w:hAnsi="Arial" w:cs="Arial"/>
              </w:rPr>
              <w:t xml:space="preserve">Explore barriers and facilitators to healthy dietary </w:t>
            </w:r>
            <w:r w:rsidRPr="00030181">
              <w:rPr>
                <w:rFonts w:ascii="Arial" w:hAnsi="Arial" w:cs="Arial"/>
              </w:rPr>
              <w:lastRenderedPageBreak/>
              <w:t>behaviour in T2DM</w:t>
            </w:r>
          </w:p>
        </w:tc>
        <w:tc>
          <w:tcPr>
            <w:tcW w:w="0" w:type="auto"/>
            <w:hideMark/>
          </w:tcPr>
          <w:p w14:paraId="5C87EB97" w14:textId="77777777" w:rsidR="00A94F44" w:rsidRPr="00030181" w:rsidRDefault="00A94F44" w:rsidP="005C5EBA">
            <w:pPr>
              <w:spacing w:after="160" w:line="360" w:lineRule="auto"/>
              <w:jc w:val="both"/>
              <w:rPr>
                <w:rFonts w:ascii="Arial" w:hAnsi="Arial" w:cs="Arial"/>
              </w:rPr>
            </w:pPr>
            <w:r w:rsidRPr="00030181">
              <w:rPr>
                <w:rFonts w:ascii="Arial" w:hAnsi="Arial" w:cs="Arial"/>
              </w:rPr>
              <w:lastRenderedPageBreak/>
              <w:t>Semi-structured interviews</w:t>
            </w:r>
          </w:p>
        </w:tc>
        <w:tc>
          <w:tcPr>
            <w:tcW w:w="0" w:type="auto"/>
            <w:hideMark/>
          </w:tcPr>
          <w:p w14:paraId="6565ECCD" w14:textId="77777777" w:rsidR="00A94F44" w:rsidRPr="00030181" w:rsidRDefault="00A94F44" w:rsidP="005C5EBA">
            <w:pPr>
              <w:spacing w:after="160" w:line="360" w:lineRule="auto"/>
              <w:jc w:val="both"/>
              <w:rPr>
                <w:rFonts w:ascii="Arial" w:hAnsi="Arial" w:cs="Arial"/>
              </w:rPr>
            </w:pPr>
            <w:r w:rsidRPr="00030181">
              <w:rPr>
                <w:rFonts w:ascii="Arial" w:hAnsi="Arial" w:cs="Arial"/>
              </w:rPr>
              <w:t>Food insecurity and misinformatio</w:t>
            </w:r>
            <w:r w:rsidRPr="00030181">
              <w:rPr>
                <w:rFonts w:ascii="Arial" w:hAnsi="Arial" w:cs="Arial"/>
              </w:rPr>
              <w:lastRenderedPageBreak/>
              <w:t>n hindered healthy eating</w:t>
            </w:r>
          </w:p>
        </w:tc>
        <w:tc>
          <w:tcPr>
            <w:tcW w:w="0" w:type="auto"/>
            <w:hideMark/>
          </w:tcPr>
          <w:p w14:paraId="123A525C" w14:textId="77777777" w:rsidR="00A94F44" w:rsidRPr="00030181" w:rsidRDefault="00A94F44" w:rsidP="005C5EBA">
            <w:pPr>
              <w:spacing w:after="160" w:line="360" w:lineRule="auto"/>
              <w:jc w:val="both"/>
              <w:rPr>
                <w:rFonts w:ascii="Arial" w:hAnsi="Arial" w:cs="Arial"/>
              </w:rPr>
            </w:pPr>
            <w:r w:rsidRPr="00030181">
              <w:rPr>
                <w:rFonts w:ascii="Arial" w:hAnsi="Arial" w:cs="Arial"/>
              </w:rPr>
              <w:lastRenderedPageBreak/>
              <w:t>Qualitative study</w:t>
            </w:r>
          </w:p>
        </w:tc>
        <w:tc>
          <w:tcPr>
            <w:tcW w:w="0" w:type="auto"/>
            <w:hideMark/>
          </w:tcPr>
          <w:p w14:paraId="62765DC0" w14:textId="77777777" w:rsidR="00A94F44" w:rsidRPr="00030181" w:rsidRDefault="00A94F44" w:rsidP="005C5EBA">
            <w:pPr>
              <w:spacing w:after="160" w:line="360" w:lineRule="auto"/>
              <w:jc w:val="both"/>
              <w:rPr>
                <w:rFonts w:ascii="Arial" w:hAnsi="Arial" w:cs="Arial"/>
              </w:rPr>
            </w:pPr>
            <w:r w:rsidRPr="00030181">
              <w:rPr>
                <w:rFonts w:ascii="Arial" w:hAnsi="Arial" w:cs="Arial"/>
              </w:rPr>
              <w:t>30 adults</w:t>
            </w:r>
          </w:p>
        </w:tc>
        <w:tc>
          <w:tcPr>
            <w:tcW w:w="0" w:type="auto"/>
            <w:hideMark/>
          </w:tcPr>
          <w:p w14:paraId="3C882E1D" w14:textId="77777777" w:rsidR="00A94F44" w:rsidRPr="00030181" w:rsidRDefault="00A94F44" w:rsidP="005C5EBA">
            <w:pPr>
              <w:spacing w:after="160" w:line="360" w:lineRule="auto"/>
              <w:jc w:val="both"/>
              <w:rPr>
                <w:rFonts w:ascii="Arial" w:hAnsi="Arial" w:cs="Arial"/>
              </w:rPr>
            </w:pPr>
            <w:r w:rsidRPr="00030181">
              <w:rPr>
                <w:rFonts w:ascii="Arial" w:hAnsi="Arial" w:cs="Arial"/>
              </w:rPr>
              <w:t xml:space="preserve">Environmental and behavioural barriers affected </w:t>
            </w:r>
            <w:r w:rsidRPr="00030181">
              <w:rPr>
                <w:rFonts w:ascii="Arial" w:hAnsi="Arial" w:cs="Arial"/>
              </w:rPr>
              <w:lastRenderedPageBreak/>
              <w:t>diabetes management</w:t>
            </w:r>
          </w:p>
        </w:tc>
        <w:tc>
          <w:tcPr>
            <w:tcW w:w="0" w:type="auto"/>
            <w:hideMark/>
          </w:tcPr>
          <w:p w14:paraId="4F5DDC16" w14:textId="77777777" w:rsidR="00A94F44" w:rsidRPr="00030181" w:rsidRDefault="00A94F44" w:rsidP="005C5EBA">
            <w:pPr>
              <w:spacing w:after="160" w:line="360" w:lineRule="auto"/>
              <w:jc w:val="both"/>
              <w:rPr>
                <w:rFonts w:ascii="Arial" w:hAnsi="Arial" w:cs="Arial"/>
              </w:rPr>
            </w:pPr>
            <w:r w:rsidRPr="00030181">
              <w:rPr>
                <w:rFonts w:ascii="Arial" w:hAnsi="Arial" w:cs="Arial"/>
              </w:rPr>
              <w:lastRenderedPageBreak/>
              <w:t>Detailed contextual findings</w:t>
            </w:r>
          </w:p>
        </w:tc>
        <w:tc>
          <w:tcPr>
            <w:tcW w:w="0" w:type="auto"/>
            <w:hideMark/>
          </w:tcPr>
          <w:p w14:paraId="5ED111C1" w14:textId="77777777" w:rsidR="00A94F44" w:rsidRPr="00030181" w:rsidRDefault="00A94F44" w:rsidP="005C5EBA">
            <w:pPr>
              <w:spacing w:after="160" w:line="360" w:lineRule="auto"/>
              <w:jc w:val="both"/>
              <w:rPr>
                <w:rFonts w:ascii="Arial" w:hAnsi="Arial" w:cs="Arial"/>
              </w:rPr>
            </w:pPr>
            <w:r w:rsidRPr="00030181">
              <w:rPr>
                <w:rFonts w:ascii="Arial" w:hAnsi="Arial" w:cs="Arial"/>
              </w:rPr>
              <w:t>Small sample</w:t>
            </w:r>
          </w:p>
        </w:tc>
      </w:tr>
      <w:tr w:rsidR="00A94F44" w:rsidRPr="00030181" w14:paraId="22D6C4F9" w14:textId="77777777" w:rsidTr="00BD2247">
        <w:tc>
          <w:tcPr>
            <w:tcW w:w="0" w:type="auto"/>
            <w:hideMark/>
          </w:tcPr>
          <w:p w14:paraId="2ACA6439" w14:textId="5AC11945" w:rsidR="00A94F44" w:rsidRPr="00030181" w:rsidRDefault="00A94F44" w:rsidP="005C5EBA">
            <w:pPr>
              <w:spacing w:after="160" w:line="360" w:lineRule="auto"/>
              <w:jc w:val="both"/>
              <w:rPr>
                <w:rFonts w:ascii="Arial" w:hAnsi="Arial" w:cs="Arial"/>
              </w:rPr>
            </w:pPr>
            <w:r w:rsidRPr="00030181">
              <w:rPr>
                <w:rFonts w:ascii="Arial" w:hAnsi="Arial" w:cs="Arial"/>
              </w:rPr>
              <w:t>Cereda et al. (2016)</w:t>
            </w:r>
          </w:p>
        </w:tc>
        <w:tc>
          <w:tcPr>
            <w:tcW w:w="0" w:type="auto"/>
            <w:hideMark/>
          </w:tcPr>
          <w:p w14:paraId="3173AC8F" w14:textId="301562E6" w:rsidR="00A94F44" w:rsidRPr="00030181" w:rsidRDefault="00F948AD" w:rsidP="005C5EBA">
            <w:pPr>
              <w:spacing w:after="160" w:line="360" w:lineRule="auto"/>
              <w:jc w:val="both"/>
              <w:rPr>
                <w:rFonts w:ascii="Arial" w:hAnsi="Arial" w:cs="Arial"/>
              </w:rPr>
            </w:pPr>
            <w:r w:rsidRPr="00030181">
              <w:rPr>
                <w:rFonts w:ascii="Arial" w:hAnsi="Arial" w:cs="Arial"/>
              </w:rPr>
              <w:t>Prevalence and risk of malnutrition in older adults across healthcare settings assessed using the Mini Nutritional Assessment (MNA).</w:t>
            </w:r>
          </w:p>
        </w:tc>
        <w:tc>
          <w:tcPr>
            <w:tcW w:w="0" w:type="auto"/>
            <w:hideMark/>
          </w:tcPr>
          <w:p w14:paraId="3DAFB939" w14:textId="3AF799EA" w:rsidR="00A94F44" w:rsidRPr="00030181" w:rsidRDefault="00A94F44" w:rsidP="005C5EBA">
            <w:pPr>
              <w:spacing w:after="160" w:line="360" w:lineRule="auto"/>
              <w:jc w:val="both"/>
              <w:rPr>
                <w:rFonts w:ascii="Arial" w:hAnsi="Arial" w:cs="Arial"/>
              </w:rPr>
            </w:pPr>
            <w:r w:rsidRPr="00030181">
              <w:rPr>
                <w:rFonts w:ascii="Arial" w:hAnsi="Arial" w:cs="Arial"/>
              </w:rPr>
              <w:t>Systematic review and meta-analysis of studies using MNA</w:t>
            </w:r>
          </w:p>
        </w:tc>
        <w:tc>
          <w:tcPr>
            <w:tcW w:w="0" w:type="auto"/>
            <w:hideMark/>
          </w:tcPr>
          <w:p w14:paraId="1961A04B" w14:textId="729FFA65" w:rsidR="00A94F44" w:rsidRPr="00030181" w:rsidRDefault="00A94F44" w:rsidP="005C5EBA">
            <w:pPr>
              <w:spacing w:after="160" w:line="360" w:lineRule="auto"/>
              <w:jc w:val="both"/>
              <w:rPr>
                <w:rFonts w:ascii="Arial" w:hAnsi="Arial" w:cs="Arial"/>
              </w:rPr>
            </w:pPr>
            <w:r w:rsidRPr="00030181">
              <w:rPr>
                <w:rFonts w:ascii="Arial" w:hAnsi="Arial" w:cs="Arial"/>
              </w:rPr>
              <w:t>Approximately 18% of institutionalised older adults were malnourished and 48% were at risk of malnutrition</w:t>
            </w:r>
          </w:p>
        </w:tc>
        <w:tc>
          <w:tcPr>
            <w:tcW w:w="0" w:type="auto"/>
            <w:hideMark/>
          </w:tcPr>
          <w:p w14:paraId="514F15E4" w14:textId="4A9E9529" w:rsidR="00A94F44" w:rsidRPr="00030181" w:rsidRDefault="00A94F44" w:rsidP="005C5EBA">
            <w:pPr>
              <w:spacing w:after="160" w:line="360" w:lineRule="auto"/>
              <w:jc w:val="both"/>
              <w:rPr>
                <w:rFonts w:ascii="Arial" w:hAnsi="Arial" w:cs="Arial"/>
              </w:rPr>
            </w:pPr>
            <w:r w:rsidRPr="00030181">
              <w:rPr>
                <w:rFonts w:ascii="Arial" w:hAnsi="Arial" w:cs="Arial"/>
              </w:rPr>
              <w:t>Systematic review and meta-analysis</w:t>
            </w:r>
          </w:p>
        </w:tc>
        <w:tc>
          <w:tcPr>
            <w:tcW w:w="0" w:type="auto"/>
            <w:hideMark/>
          </w:tcPr>
          <w:p w14:paraId="6207B1F4" w14:textId="57D711F4" w:rsidR="00A94F44" w:rsidRPr="00030181" w:rsidRDefault="00A94F44" w:rsidP="005C5EBA">
            <w:pPr>
              <w:spacing w:after="160" w:line="360" w:lineRule="auto"/>
              <w:jc w:val="both"/>
              <w:rPr>
                <w:rFonts w:ascii="Arial" w:hAnsi="Arial" w:cs="Arial"/>
              </w:rPr>
            </w:pPr>
            <w:r w:rsidRPr="00030181">
              <w:rPr>
                <w:rFonts w:ascii="Arial" w:hAnsi="Arial" w:cs="Arial"/>
              </w:rPr>
              <w:t>240 studies</w:t>
            </w:r>
            <w:r w:rsidR="00F948AD" w:rsidRPr="00030181">
              <w:rPr>
                <w:rFonts w:ascii="Arial" w:hAnsi="Arial" w:cs="Arial"/>
              </w:rPr>
              <w:t>, 149,524 Older adults.</w:t>
            </w:r>
          </w:p>
        </w:tc>
        <w:tc>
          <w:tcPr>
            <w:tcW w:w="0" w:type="auto"/>
            <w:hideMark/>
          </w:tcPr>
          <w:p w14:paraId="09D5B535" w14:textId="12C7ED8F" w:rsidR="00A94F44" w:rsidRPr="00030181" w:rsidRDefault="00F948AD" w:rsidP="005C5EBA">
            <w:pPr>
              <w:spacing w:after="160" w:line="360" w:lineRule="auto"/>
              <w:jc w:val="both"/>
              <w:rPr>
                <w:rFonts w:ascii="Arial" w:hAnsi="Arial" w:cs="Arial"/>
              </w:rPr>
            </w:pPr>
            <w:r w:rsidRPr="00030181">
              <w:rPr>
                <w:rFonts w:ascii="Arial" w:hAnsi="Arial" w:cs="Arial"/>
              </w:rPr>
              <w:t>Institutionalised older adults showed high rates of malnutrition and nutritional risk, indicating significant nutritional vulnerability in care settings.</w:t>
            </w:r>
          </w:p>
        </w:tc>
        <w:tc>
          <w:tcPr>
            <w:tcW w:w="0" w:type="auto"/>
            <w:hideMark/>
          </w:tcPr>
          <w:p w14:paraId="66957131" w14:textId="3B73D56D" w:rsidR="00A94F44" w:rsidRPr="00030181" w:rsidRDefault="00A94F44" w:rsidP="005C5EBA">
            <w:pPr>
              <w:spacing w:after="160" w:line="360" w:lineRule="auto"/>
              <w:jc w:val="both"/>
              <w:rPr>
                <w:rFonts w:ascii="Arial" w:hAnsi="Arial" w:cs="Arial"/>
              </w:rPr>
            </w:pPr>
            <w:r w:rsidRPr="00030181">
              <w:rPr>
                <w:rFonts w:ascii="Arial" w:hAnsi="Arial" w:cs="Arial"/>
              </w:rPr>
              <w:t>Large international evidence base; use of validated MNA tool; robust meta-analytic methodology</w:t>
            </w:r>
          </w:p>
        </w:tc>
        <w:tc>
          <w:tcPr>
            <w:tcW w:w="0" w:type="auto"/>
            <w:hideMark/>
          </w:tcPr>
          <w:p w14:paraId="0E2454D2" w14:textId="2837ED7F" w:rsidR="00A94F44" w:rsidRPr="00030181" w:rsidRDefault="00A94F44" w:rsidP="005C5EBA">
            <w:pPr>
              <w:spacing w:after="160" w:line="360" w:lineRule="auto"/>
              <w:jc w:val="both"/>
              <w:rPr>
                <w:rFonts w:ascii="Arial" w:hAnsi="Arial" w:cs="Arial"/>
              </w:rPr>
            </w:pPr>
            <w:r w:rsidRPr="00030181">
              <w:rPr>
                <w:rFonts w:ascii="Arial" w:hAnsi="Arial" w:cs="Arial"/>
              </w:rPr>
              <w:t>Predominantly international studies; variability across included studies may affect generalisability to UK care homes</w:t>
            </w:r>
          </w:p>
        </w:tc>
      </w:tr>
      <w:tr w:rsidR="00A94F44" w:rsidRPr="00030181" w14:paraId="73653EFF" w14:textId="77777777" w:rsidTr="00BD2247">
        <w:tc>
          <w:tcPr>
            <w:tcW w:w="0" w:type="auto"/>
            <w:hideMark/>
          </w:tcPr>
          <w:p w14:paraId="244F3F47" w14:textId="77777777" w:rsidR="00A94F44" w:rsidRPr="00030181" w:rsidRDefault="00A94F44" w:rsidP="005C5EBA">
            <w:pPr>
              <w:spacing w:after="160" w:line="360" w:lineRule="auto"/>
              <w:jc w:val="both"/>
              <w:rPr>
                <w:rFonts w:ascii="Arial" w:hAnsi="Arial" w:cs="Arial"/>
              </w:rPr>
            </w:pPr>
            <w:r w:rsidRPr="00030181">
              <w:rPr>
                <w:rFonts w:ascii="Arial" w:hAnsi="Arial" w:cs="Arial"/>
              </w:rPr>
              <w:t>Bamford et al. (2012)</w:t>
            </w:r>
          </w:p>
        </w:tc>
        <w:tc>
          <w:tcPr>
            <w:tcW w:w="0" w:type="auto"/>
            <w:hideMark/>
          </w:tcPr>
          <w:p w14:paraId="0F3B50D3" w14:textId="77777777" w:rsidR="00A94F44" w:rsidRPr="00030181" w:rsidRDefault="00A94F44" w:rsidP="005C5EBA">
            <w:pPr>
              <w:spacing w:after="160" w:line="360" w:lineRule="auto"/>
              <w:jc w:val="both"/>
              <w:rPr>
                <w:rFonts w:ascii="Arial" w:hAnsi="Arial" w:cs="Arial"/>
              </w:rPr>
            </w:pPr>
            <w:r w:rsidRPr="00030181">
              <w:rPr>
                <w:rFonts w:ascii="Arial" w:hAnsi="Arial" w:cs="Arial"/>
              </w:rPr>
              <w:t>Explore barriers and facilitators to implementing nutrition guidelines in residential care homes</w:t>
            </w:r>
          </w:p>
        </w:tc>
        <w:tc>
          <w:tcPr>
            <w:tcW w:w="0" w:type="auto"/>
            <w:hideMark/>
          </w:tcPr>
          <w:p w14:paraId="719873CF" w14:textId="77777777" w:rsidR="00A94F44" w:rsidRPr="00030181" w:rsidRDefault="00A94F44" w:rsidP="005C5EBA">
            <w:pPr>
              <w:spacing w:after="160" w:line="360" w:lineRule="auto"/>
              <w:jc w:val="both"/>
              <w:rPr>
                <w:rFonts w:ascii="Arial" w:hAnsi="Arial" w:cs="Arial"/>
              </w:rPr>
            </w:pPr>
            <w:r w:rsidRPr="00030181">
              <w:rPr>
                <w:rFonts w:ascii="Arial" w:hAnsi="Arial" w:cs="Arial"/>
              </w:rPr>
              <w:t>Observation and semi-structured interviews</w:t>
            </w:r>
          </w:p>
        </w:tc>
        <w:tc>
          <w:tcPr>
            <w:tcW w:w="0" w:type="auto"/>
            <w:hideMark/>
          </w:tcPr>
          <w:p w14:paraId="009FBF25" w14:textId="77777777" w:rsidR="00A94F44" w:rsidRPr="00030181" w:rsidRDefault="00A94F44" w:rsidP="005C5EBA">
            <w:pPr>
              <w:spacing w:after="160" w:line="360" w:lineRule="auto"/>
              <w:jc w:val="both"/>
              <w:rPr>
                <w:rFonts w:ascii="Arial" w:hAnsi="Arial" w:cs="Arial"/>
              </w:rPr>
            </w:pPr>
            <w:r w:rsidRPr="00030181">
              <w:rPr>
                <w:rFonts w:ascii="Arial" w:hAnsi="Arial" w:cs="Arial"/>
              </w:rPr>
              <w:t>Poor nutrition knowledge and organisational support hindered implementation</w:t>
            </w:r>
          </w:p>
        </w:tc>
        <w:tc>
          <w:tcPr>
            <w:tcW w:w="0" w:type="auto"/>
            <w:hideMark/>
          </w:tcPr>
          <w:p w14:paraId="0B749422" w14:textId="77777777" w:rsidR="00A94F44" w:rsidRPr="00030181" w:rsidRDefault="00A94F44" w:rsidP="005C5EBA">
            <w:pPr>
              <w:spacing w:after="160" w:line="360" w:lineRule="auto"/>
              <w:jc w:val="both"/>
              <w:rPr>
                <w:rFonts w:ascii="Arial" w:hAnsi="Arial" w:cs="Arial"/>
              </w:rPr>
            </w:pPr>
            <w:r w:rsidRPr="00030181">
              <w:rPr>
                <w:rFonts w:ascii="Arial" w:hAnsi="Arial" w:cs="Arial"/>
              </w:rPr>
              <w:t>Qualitative process evaluation</w:t>
            </w:r>
          </w:p>
        </w:tc>
        <w:tc>
          <w:tcPr>
            <w:tcW w:w="0" w:type="auto"/>
            <w:hideMark/>
          </w:tcPr>
          <w:p w14:paraId="12639DD8" w14:textId="77777777" w:rsidR="00A94F44" w:rsidRPr="00030181" w:rsidRDefault="00A94F44" w:rsidP="005C5EBA">
            <w:pPr>
              <w:spacing w:after="160" w:line="360" w:lineRule="auto"/>
              <w:jc w:val="both"/>
              <w:rPr>
                <w:rFonts w:ascii="Arial" w:hAnsi="Arial" w:cs="Arial"/>
              </w:rPr>
            </w:pPr>
            <w:r w:rsidRPr="00030181">
              <w:rPr>
                <w:rFonts w:ascii="Arial" w:hAnsi="Arial" w:cs="Arial"/>
              </w:rPr>
              <w:t>5 care homes</w:t>
            </w:r>
          </w:p>
        </w:tc>
        <w:tc>
          <w:tcPr>
            <w:tcW w:w="0" w:type="auto"/>
            <w:hideMark/>
          </w:tcPr>
          <w:p w14:paraId="49849407" w14:textId="77777777" w:rsidR="00A94F44" w:rsidRPr="00030181" w:rsidRDefault="00A94F44" w:rsidP="005C5EBA">
            <w:pPr>
              <w:spacing w:after="160" w:line="360" w:lineRule="auto"/>
              <w:jc w:val="both"/>
              <w:rPr>
                <w:rFonts w:ascii="Arial" w:hAnsi="Arial" w:cs="Arial"/>
              </w:rPr>
            </w:pPr>
            <w:r w:rsidRPr="00030181">
              <w:rPr>
                <w:rFonts w:ascii="Arial" w:hAnsi="Arial" w:cs="Arial"/>
              </w:rPr>
              <w:t>Training, specialist support and monitoring improved implementation</w:t>
            </w:r>
          </w:p>
        </w:tc>
        <w:tc>
          <w:tcPr>
            <w:tcW w:w="0" w:type="auto"/>
            <w:hideMark/>
          </w:tcPr>
          <w:p w14:paraId="7E2FBEDF" w14:textId="77777777" w:rsidR="00A94F44" w:rsidRPr="00030181" w:rsidRDefault="00A94F44" w:rsidP="005C5EBA">
            <w:pPr>
              <w:spacing w:after="160" w:line="360" w:lineRule="auto"/>
              <w:jc w:val="both"/>
              <w:rPr>
                <w:rFonts w:ascii="Arial" w:hAnsi="Arial" w:cs="Arial"/>
              </w:rPr>
            </w:pPr>
            <w:r w:rsidRPr="00030181">
              <w:rPr>
                <w:rFonts w:ascii="Arial" w:hAnsi="Arial" w:cs="Arial"/>
              </w:rPr>
              <w:t>Direct care-home policy evidence</w:t>
            </w:r>
          </w:p>
        </w:tc>
        <w:tc>
          <w:tcPr>
            <w:tcW w:w="0" w:type="auto"/>
            <w:hideMark/>
          </w:tcPr>
          <w:p w14:paraId="08BA6FF2" w14:textId="77777777" w:rsidR="00A94F44" w:rsidRPr="00030181" w:rsidRDefault="00A94F44" w:rsidP="005C5EBA">
            <w:pPr>
              <w:spacing w:after="160" w:line="360" w:lineRule="auto"/>
              <w:jc w:val="both"/>
              <w:rPr>
                <w:rFonts w:ascii="Arial" w:hAnsi="Arial" w:cs="Arial"/>
              </w:rPr>
            </w:pPr>
            <w:r w:rsidRPr="00030181">
              <w:rPr>
                <w:rFonts w:ascii="Arial" w:hAnsi="Arial" w:cs="Arial"/>
              </w:rPr>
              <w:t>Small sample; older study</w:t>
            </w:r>
          </w:p>
        </w:tc>
      </w:tr>
      <w:tr w:rsidR="00A94F44" w:rsidRPr="00030181" w14:paraId="12AF1088" w14:textId="77777777" w:rsidTr="00BD2247">
        <w:tc>
          <w:tcPr>
            <w:tcW w:w="0" w:type="auto"/>
            <w:hideMark/>
          </w:tcPr>
          <w:p w14:paraId="0E2EC3A9" w14:textId="6C53F601" w:rsidR="00A94F44" w:rsidRPr="00030181" w:rsidRDefault="00A94F44" w:rsidP="005C5EBA">
            <w:pPr>
              <w:spacing w:after="160" w:line="360" w:lineRule="auto"/>
              <w:jc w:val="both"/>
              <w:rPr>
                <w:rFonts w:ascii="Arial" w:hAnsi="Arial" w:cs="Arial"/>
              </w:rPr>
            </w:pPr>
            <w:r w:rsidRPr="00030181">
              <w:rPr>
                <w:rFonts w:ascii="Arial" w:hAnsi="Arial" w:cs="Arial"/>
              </w:rPr>
              <w:lastRenderedPageBreak/>
              <w:t>Romano and Minns Lowe (2022)</w:t>
            </w:r>
          </w:p>
        </w:tc>
        <w:tc>
          <w:tcPr>
            <w:tcW w:w="0" w:type="auto"/>
            <w:hideMark/>
          </w:tcPr>
          <w:p w14:paraId="3314EA29" w14:textId="77777777" w:rsidR="00A94F44" w:rsidRPr="00030181" w:rsidRDefault="00A94F44" w:rsidP="005C5EBA">
            <w:pPr>
              <w:spacing w:after="160" w:line="360" w:lineRule="auto"/>
              <w:jc w:val="both"/>
              <w:rPr>
                <w:rFonts w:ascii="Arial" w:hAnsi="Arial" w:cs="Arial"/>
              </w:rPr>
            </w:pPr>
            <w:r w:rsidRPr="00030181">
              <w:rPr>
                <w:rFonts w:ascii="Arial" w:hAnsi="Arial" w:cs="Arial"/>
              </w:rPr>
              <w:t>Explore dietitians’ experiences in care homes</w:t>
            </w:r>
          </w:p>
        </w:tc>
        <w:tc>
          <w:tcPr>
            <w:tcW w:w="0" w:type="auto"/>
            <w:hideMark/>
          </w:tcPr>
          <w:p w14:paraId="4467F079" w14:textId="77777777" w:rsidR="00A94F44" w:rsidRPr="00030181" w:rsidRDefault="00A94F44" w:rsidP="005C5EBA">
            <w:pPr>
              <w:spacing w:after="160" w:line="360" w:lineRule="auto"/>
              <w:jc w:val="both"/>
              <w:rPr>
                <w:rFonts w:ascii="Arial" w:hAnsi="Arial" w:cs="Arial"/>
              </w:rPr>
            </w:pPr>
            <w:r w:rsidRPr="00030181">
              <w:rPr>
                <w:rFonts w:ascii="Arial" w:hAnsi="Arial" w:cs="Arial"/>
              </w:rPr>
              <w:t>Semi-structured interviews and IPA</w:t>
            </w:r>
          </w:p>
        </w:tc>
        <w:tc>
          <w:tcPr>
            <w:tcW w:w="0" w:type="auto"/>
            <w:hideMark/>
          </w:tcPr>
          <w:p w14:paraId="62813A08" w14:textId="77777777" w:rsidR="00A94F44" w:rsidRPr="00030181" w:rsidRDefault="00A94F44" w:rsidP="005C5EBA">
            <w:pPr>
              <w:spacing w:after="160" w:line="360" w:lineRule="auto"/>
              <w:jc w:val="both"/>
              <w:rPr>
                <w:rFonts w:ascii="Arial" w:hAnsi="Arial" w:cs="Arial"/>
              </w:rPr>
            </w:pPr>
            <w:r w:rsidRPr="00030181">
              <w:rPr>
                <w:rFonts w:ascii="Arial" w:hAnsi="Arial" w:cs="Arial"/>
              </w:rPr>
              <w:t>Collaboration and education improved nutritional care</w:t>
            </w:r>
          </w:p>
        </w:tc>
        <w:tc>
          <w:tcPr>
            <w:tcW w:w="0" w:type="auto"/>
            <w:hideMark/>
          </w:tcPr>
          <w:p w14:paraId="129C2A36" w14:textId="77777777" w:rsidR="00A94F44" w:rsidRPr="00030181" w:rsidRDefault="00A94F44" w:rsidP="005C5EBA">
            <w:pPr>
              <w:spacing w:after="160" w:line="360" w:lineRule="auto"/>
              <w:jc w:val="both"/>
              <w:rPr>
                <w:rFonts w:ascii="Arial" w:hAnsi="Arial" w:cs="Arial"/>
              </w:rPr>
            </w:pPr>
            <w:r w:rsidRPr="00030181">
              <w:rPr>
                <w:rFonts w:ascii="Arial" w:hAnsi="Arial" w:cs="Arial"/>
              </w:rPr>
              <w:t>Qualitative study</w:t>
            </w:r>
          </w:p>
        </w:tc>
        <w:tc>
          <w:tcPr>
            <w:tcW w:w="0" w:type="auto"/>
            <w:hideMark/>
          </w:tcPr>
          <w:p w14:paraId="0C0C2346" w14:textId="77777777" w:rsidR="00A94F44" w:rsidRPr="00030181" w:rsidRDefault="00A94F44" w:rsidP="005C5EBA">
            <w:pPr>
              <w:spacing w:after="160" w:line="360" w:lineRule="auto"/>
              <w:jc w:val="both"/>
              <w:rPr>
                <w:rFonts w:ascii="Arial" w:hAnsi="Arial" w:cs="Arial"/>
              </w:rPr>
            </w:pPr>
            <w:r w:rsidRPr="00030181">
              <w:rPr>
                <w:rFonts w:ascii="Arial" w:hAnsi="Arial" w:cs="Arial"/>
              </w:rPr>
              <w:t>6 dietitians</w:t>
            </w:r>
          </w:p>
        </w:tc>
        <w:tc>
          <w:tcPr>
            <w:tcW w:w="0" w:type="auto"/>
            <w:hideMark/>
          </w:tcPr>
          <w:p w14:paraId="6F47FC5A" w14:textId="77777777" w:rsidR="00A94F44" w:rsidRPr="00030181" w:rsidRDefault="00A94F44" w:rsidP="005C5EBA">
            <w:pPr>
              <w:spacing w:after="160" w:line="360" w:lineRule="auto"/>
              <w:jc w:val="both"/>
              <w:rPr>
                <w:rFonts w:ascii="Arial" w:hAnsi="Arial" w:cs="Arial"/>
              </w:rPr>
            </w:pPr>
            <w:r w:rsidRPr="00030181">
              <w:rPr>
                <w:rFonts w:ascii="Arial" w:hAnsi="Arial" w:cs="Arial"/>
              </w:rPr>
              <w:t>Dietitians played leadership roles in improving nutritional care</w:t>
            </w:r>
          </w:p>
        </w:tc>
        <w:tc>
          <w:tcPr>
            <w:tcW w:w="0" w:type="auto"/>
            <w:hideMark/>
          </w:tcPr>
          <w:p w14:paraId="37A8F917" w14:textId="77777777" w:rsidR="00A94F44" w:rsidRPr="00030181" w:rsidRDefault="00A94F44" w:rsidP="005C5EBA">
            <w:pPr>
              <w:spacing w:after="160" w:line="360" w:lineRule="auto"/>
              <w:jc w:val="both"/>
              <w:rPr>
                <w:rFonts w:ascii="Arial" w:hAnsi="Arial" w:cs="Arial"/>
              </w:rPr>
            </w:pPr>
            <w:r w:rsidRPr="00030181">
              <w:rPr>
                <w:rFonts w:ascii="Arial" w:hAnsi="Arial" w:cs="Arial"/>
              </w:rPr>
              <w:t>Recent UK evidence</w:t>
            </w:r>
          </w:p>
        </w:tc>
        <w:tc>
          <w:tcPr>
            <w:tcW w:w="0" w:type="auto"/>
            <w:hideMark/>
          </w:tcPr>
          <w:p w14:paraId="6868AC83" w14:textId="77777777" w:rsidR="00A94F44" w:rsidRPr="00030181" w:rsidRDefault="00A94F44" w:rsidP="005C5EBA">
            <w:pPr>
              <w:spacing w:after="160" w:line="360" w:lineRule="auto"/>
              <w:jc w:val="both"/>
              <w:rPr>
                <w:rFonts w:ascii="Arial" w:hAnsi="Arial" w:cs="Arial"/>
              </w:rPr>
            </w:pPr>
            <w:r w:rsidRPr="00030181">
              <w:rPr>
                <w:rFonts w:ascii="Arial" w:hAnsi="Arial" w:cs="Arial"/>
              </w:rPr>
              <w:t>Small sample</w:t>
            </w:r>
          </w:p>
        </w:tc>
      </w:tr>
      <w:tr w:rsidR="00A94F44" w:rsidRPr="00030181" w14:paraId="15AAC3A1" w14:textId="77777777" w:rsidTr="00BD2247">
        <w:tc>
          <w:tcPr>
            <w:tcW w:w="0" w:type="auto"/>
            <w:hideMark/>
          </w:tcPr>
          <w:p w14:paraId="6119FD4F" w14:textId="77777777" w:rsidR="00A94F44" w:rsidRPr="00030181" w:rsidRDefault="00A94F44" w:rsidP="005C5EBA">
            <w:pPr>
              <w:spacing w:after="160" w:line="360" w:lineRule="auto"/>
              <w:jc w:val="both"/>
              <w:rPr>
                <w:rFonts w:ascii="Arial" w:hAnsi="Arial" w:cs="Arial"/>
              </w:rPr>
            </w:pPr>
            <w:r w:rsidRPr="00030181">
              <w:rPr>
                <w:rFonts w:ascii="Arial" w:hAnsi="Arial" w:cs="Arial"/>
              </w:rPr>
              <w:t>Charlesworth (2016)</w:t>
            </w:r>
          </w:p>
        </w:tc>
        <w:tc>
          <w:tcPr>
            <w:tcW w:w="0" w:type="auto"/>
            <w:hideMark/>
          </w:tcPr>
          <w:p w14:paraId="3D17999D" w14:textId="77777777" w:rsidR="00A94F44" w:rsidRPr="00030181" w:rsidRDefault="00A94F44" w:rsidP="005C5EBA">
            <w:pPr>
              <w:spacing w:after="160" w:line="360" w:lineRule="auto"/>
              <w:jc w:val="both"/>
              <w:rPr>
                <w:rFonts w:ascii="Arial" w:hAnsi="Arial" w:cs="Arial"/>
              </w:rPr>
            </w:pPr>
            <w:r w:rsidRPr="00030181">
              <w:rPr>
                <w:rFonts w:ascii="Arial" w:hAnsi="Arial" w:cs="Arial"/>
              </w:rPr>
              <w:t>Identify nutrition and hydration training needs in residential care</w:t>
            </w:r>
          </w:p>
        </w:tc>
        <w:tc>
          <w:tcPr>
            <w:tcW w:w="0" w:type="auto"/>
            <w:hideMark/>
          </w:tcPr>
          <w:p w14:paraId="4D6CF4AD" w14:textId="77777777" w:rsidR="00A94F44" w:rsidRPr="00030181" w:rsidRDefault="00A94F44" w:rsidP="005C5EBA">
            <w:pPr>
              <w:spacing w:after="160" w:line="360" w:lineRule="auto"/>
              <w:jc w:val="both"/>
              <w:rPr>
                <w:rFonts w:ascii="Arial" w:hAnsi="Arial" w:cs="Arial"/>
              </w:rPr>
            </w:pPr>
            <w:r w:rsidRPr="00030181">
              <w:rPr>
                <w:rFonts w:ascii="Arial" w:hAnsi="Arial" w:cs="Arial"/>
              </w:rPr>
              <w:t>Care-home visits and stakeholder interviews</w:t>
            </w:r>
          </w:p>
        </w:tc>
        <w:tc>
          <w:tcPr>
            <w:tcW w:w="0" w:type="auto"/>
            <w:hideMark/>
          </w:tcPr>
          <w:p w14:paraId="67F3661D" w14:textId="77777777" w:rsidR="00A94F44" w:rsidRPr="00030181" w:rsidRDefault="00A94F44" w:rsidP="005C5EBA">
            <w:pPr>
              <w:spacing w:after="160" w:line="360" w:lineRule="auto"/>
              <w:jc w:val="both"/>
              <w:rPr>
                <w:rFonts w:ascii="Arial" w:hAnsi="Arial" w:cs="Arial"/>
              </w:rPr>
            </w:pPr>
            <w:r w:rsidRPr="00030181">
              <w:rPr>
                <w:rFonts w:ascii="Arial" w:hAnsi="Arial" w:cs="Arial"/>
              </w:rPr>
              <w:t>Gaps identified in menu planning, monitoring and staff training</w:t>
            </w:r>
          </w:p>
        </w:tc>
        <w:tc>
          <w:tcPr>
            <w:tcW w:w="0" w:type="auto"/>
            <w:hideMark/>
          </w:tcPr>
          <w:p w14:paraId="7FA15B7F" w14:textId="77777777" w:rsidR="00A94F44" w:rsidRPr="00030181" w:rsidRDefault="00A94F44" w:rsidP="005C5EBA">
            <w:pPr>
              <w:spacing w:after="160" w:line="360" w:lineRule="auto"/>
              <w:jc w:val="both"/>
              <w:rPr>
                <w:rFonts w:ascii="Arial" w:hAnsi="Arial" w:cs="Arial"/>
              </w:rPr>
            </w:pPr>
            <w:r w:rsidRPr="00030181">
              <w:rPr>
                <w:rFonts w:ascii="Arial" w:hAnsi="Arial" w:cs="Arial"/>
              </w:rPr>
              <w:t>Mixed-method evaluation</w:t>
            </w:r>
          </w:p>
        </w:tc>
        <w:tc>
          <w:tcPr>
            <w:tcW w:w="0" w:type="auto"/>
            <w:hideMark/>
          </w:tcPr>
          <w:p w14:paraId="6C4005BA" w14:textId="77777777" w:rsidR="00A94F44" w:rsidRPr="00030181" w:rsidRDefault="00A94F44" w:rsidP="005C5EBA">
            <w:pPr>
              <w:spacing w:after="160" w:line="360" w:lineRule="auto"/>
              <w:jc w:val="both"/>
              <w:rPr>
                <w:rFonts w:ascii="Arial" w:hAnsi="Arial" w:cs="Arial"/>
              </w:rPr>
            </w:pPr>
            <w:r w:rsidRPr="00030181">
              <w:rPr>
                <w:rFonts w:ascii="Arial" w:hAnsi="Arial" w:cs="Arial"/>
              </w:rPr>
              <w:t>8 care homes</w:t>
            </w:r>
          </w:p>
        </w:tc>
        <w:tc>
          <w:tcPr>
            <w:tcW w:w="0" w:type="auto"/>
            <w:hideMark/>
          </w:tcPr>
          <w:p w14:paraId="07A7E6F5" w14:textId="77777777" w:rsidR="00A94F44" w:rsidRPr="00030181" w:rsidRDefault="00A94F44" w:rsidP="005C5EBA">
            <w:pPr>
              <w:spacing w:after="160" w:line="360" w:lineRule="auto"/>
              <w:jc w:val="both"/>
              <w:rPr>
                <w:rFonts w:ascii="Arial" w:hAnsi="Arial" w:cs="Arial"/>
              </w:rPr>
            </w:pPr>
            <w:r w:rsidRPr="00030181">
              <w:rPr>
                <w:rFonts w:ascii="Arial" w:hAnsi="Arial" w:cs="Arial"/>
              </w:rPr>
              <w:t>Training and menu analysis improved food provision</w:t>
            </w:r>
          </w:p>
        </w:tc>
        <w:tc>
          <w:tcPr>
            <w:tcW w:w="0" w:type="auto"/>
            <w:hideMark/>
          </w:tcPr>
          <w:p w14:paraId="4F53E898" w14:textId="77777777" w:rsidR="00A94F44" w:rsidRPr="00030181" w:rsidRDefault="00A94F44" w:rsidP="005C5EBA">
            <w:pPr>
              <w:spacing w:after="160" w:line="360" w:lineRule="auto"/>
              <w:jc w:val="both"/>
              <w:rPr>
                <w:rFonts w:ascii="Arial" w:hAnsi="Arial" w:cs="Arial"/>
              </w:rPr>
            </w:pPr>
            <w:r w:rsidRPr="00030181">
              <w:rPr>
                <w:rFonts w:ascii="Arial" w:hAnsi="Arial" w:cs="Arial"/>
              </w:rPr>
              <w:t>Real-world care-home evidence</w:t>
            </w:r>
          </w:p>
        </w:tc>
        <w:tc>
          <w:tcPr>
            <w:tcW w:w="0" w:type="auto"/>
            <w:hideMark/>
          </w:tcPr>
          <w:p w14:paraId="610EF3C5" w14:textId="77777777" w:rsidR="00A94F44" w:rsidRPr="00030181" w:rsidRDefault="00A94F44" w:rsidP="005C5EBA">
            <w:pPr>
              <w:spacing w:after="160" w:line="360" w:lineRule="auto"/>
              <w:jc w:val="both"/>
              <w:rPr>
                <w:rFonts w:ascii="Arial" w:hAnsi="Arial" w:cs="Arial"/>
              </w:rPr>
            </w:pPr>
            <w:r w:rsidRPr="00030181">
              <w:rPr>
                <w:rFonts w:ascii="Arial" w:hAnsi="Arial" w:cs="Arial"/>
              </w:rPr>
              <w:t>Local service evaluation</w:t>
            </w:r>
          </w:p>
        </w:tc>
      </w:tr>
      <w:tr w:rsidR="00A94F44" w:rsidRPr="00030181" w14:paraId="411AA956" w14:textId="77777777" w:rsidTr="00BD2247">
        <w:tc>
          <w:tcPr>
            <w:tcW w:w="0" w:type="auto"/>
            <w:hideMark/>
          </w:tcPr>
          <w:p w14:paraId="531FC304" w14:textId="77777777" w:rsidR="00A94F44" w:rsidRPr="00030181" w:rsidRDefault="00A94F44" w:rsidP="005C5EBA">
            <w:pPr>
              <w:spacing w:after="160" w:line="360" w:lineRule="auto"/>
              <w:jc w:val="both"/>
              <w:rPr>
                <w:rFonts w:ascii="Arial" w:hAnsi="Arial" w:cs="Arial"/>
              </w:rPr>
            </w:pPr>
            <w:r w:rsidRPr="00030181">
              <w:rPr>
                <w:rFonts w:ascii="Arial" w:hAnsi="Arial" w:cs="Arial"/>
              </w:rPr>
              <w:t>Babatola (2023)</w:t>
            </w:r>
          </w:p>
        </w:tc>
        <w:tc>
          <w:tcPr>
            <w:tcW w:w="0" w:type="auto"/>
            <w:hideMark/>
          </w:tcPr>
          <w:p w14:paraId="04894DE5" w14:textId="77777777" w:rsidR="00A94F44" w:rsidRPr="00030181" w:rsidRDefault="00A94F44" w:rsidP="005C5EBA">
            <w:pPr>
              <w:spacing w:after="160" w:line="360" w:lineRule="auto"/>
              <w:jc w:val="both"/>
              <w:rPr>
                <w:rFonts w:ascii="Arial" w:hAnsi="Arial" w:cs="Arial"/>
              </w:rPr>
            </w:pPr>
            <w:r w:rsidRPr="00030181">
              <w:rPr>
                <w:rFonts w:ascii="Arial" w:hAnsi="Arial" w:cs="Arial"/>
              </w:rPr>
              <w:t>Examine perceptions of food safety inspections and official food control</w:t>
            </w:r>
          </w:p>
        </w:tc>
        <w:tc>
          <w:tcPr>
            <w:tcW w:w="0" w:type="auto"/>
            <w:hideMark/>
          </w:tcPr>
          <w:p w14:paraId="227DEAB6" w14:textId="77777777" w:rsidR="00A94F44" w:rsidRPr="00030181" w:rsidRDefault="00A94F44" w:rsidP="005C5EBA">
            <w:pPr>
              <w:spacing w:after="160" w:line="360" w:lineRule="auto"/>
              <w:jc w:val="both"/>
              <w:rPr>
                <w:rFonts w:ascii="Arial" w:hAnsi="Arial" w:cs="Arial"/>
              </w:rPr>
            </w:pPr>
            <w:r w:rsidRPr="00030181">
              <w:rPr>
                <w:rFonts w:ascii="Arial" w:hAnsi="Arial" w:cs="Arial"/>
              </w:rPr>
              <w:t>Semi-structured questionnaire survey</w:t>
            </w:r>
          </w:p>
        </w:tc>
        <w:tc>
          <w:tcPr>
            <w:tcW w:w="0" w:type="auto"/>
            <w:hideMark/>
          </w:tcPr>
          <w:p w14:paraId="53A21B83" w14:textId="77777777" w:rsidR="00A94F44" w:rsidRPr="00030181" w:rsidRDefault="00A94F44" w:rsidP="005C5EBA">
            <w:pPr>
              <w:spacing w:after="160" w:line="360" w:lineRule="auto"/>
              <w:jc w:val="both"/>
              <w:rPr>
                <w:rFonts w:ascii="Arial" w:hAnsi="Arial" w:cs="Arial"/>
              </w:rPr>
            </w:pPr>
            <w:r w:rsidRPr="00030181">
              <w:rPr>
                <w:rFonts w:ascii="Arial" w:hAnsi="Arial" w:cs="Arial"/>
              </w:rPr>
              <w:t>Food inspections improved hygiene practices and compliance</w:t>
            </w:r>
          </w:p>
        </w:tc>
        <w:tc>
          <w:tcPr>
            <w:tcW w:w="0" w:type="auto"/>
            <w:hideMark/>
          </w:tcPr>
          <w:p w14:paraId="0D0650CD" w14:textId="77777777" w:rsidR="00A94F44" w:rsidRPr="00030181" w:rsidRDefault="00A94F44" w:rsidP="005C5EBA">
            <w:pPr>
              <w:spacing w:after="160" w:line="360" w:lineRule="auto"/>
              <w:jc w:val="both"/>
              <w:rPr>
                <w:rFonts w:ascii="Arial" w:hAnsi="Arial" w:cs="Arial"/>
              </w:rPr>
            </w:pPr>
            <w:r w:rsidRPr="00030181">
              <w:rPr>
                <w:rFonts w:ascii="Arial" w:hAnsi="Arial" w:cs="Arial"/>
              </w:rPr>
              <w:t>Cross-sectional survey</w:t>
            </w:r>
          </w:p>
        </w:tc>
        <w:tc>
          <w:tcPr>
            <w:tcW w:w="0" w:type="auto"/>
            <w:hideMark/>
          </w:tcPr>
          <w:p w14:paraId="465684A4" w14:textId="77777777" w:rsidR="00A94F44" w:rsidRPr="00030181" w:rsidRDefault="00A94F44" w:rsidP="005C5EBA">
            <w:pPr>
              <w:spacing w:after="160" w:line="360" w:lineRule="auto"/>
              <w:jc w:val="both"/>
              <w:rPr>
                <w:rFonts w:ascii="Arial" w:hAnsi="Arial" w:cs="Arial"/>
              </w:rPr>
            </w:pPr>
            <w:r w:rsidRPr="00030181">
              <w:rPr>
                <w:rFonts w:ascii="Arial" w:hAnsi="Arial" w:cs="Arial"/>
              </w:rPr>
              <w:t>236 respondents</w:t>
            </w:r>
          </w:p>
        </w:tc>
        <w:tc>
          <w:tcPr>
            <w:tcW w:w="0" w:type="auto"/>
            <w:hideMark/>
          </w:tcPr>
          <w:p w14:paraId="1A7340FD" w14:textId="77777777" w:rsidR="00A94F44" w:rsidRPr="00030181" w:rsidRDefault="00A94F44" w:rsidP="005C5EBA">
            <w:pPr>
              <w:spacing w:after="160" w:line="360" w:lineRule="auto"/>
              <w:jc w:val="both"/>
              <w:rPr>
                <w:rFonts w:ascii="Arial" w:hAnsi="Arial" w:cs="Arial"/>
              </w:rPr>
            </w:pPr>
            <w:r w:rsidRPr="00030181">
              <w:rPr>
                <w:rFonts w:ascii="Arial" w:hAnsi="Arial" w:cs="Arial"/>
              </w:rPr>
              <w:t>Regulatory inspections supported food safety improvements</w:t>
            </w:r>
          </w:p>
        </w:tc>
        <w:tc>
          <w:tcPr>
            <w:tcW w:w="0" w:type="auto"/>
            <w:hideMark/>
          </w:tcPr>
          <w:p w14:paraId="5290D6DE" w14:textId="77777777" w:rsidR="00A94F44" w:rsidRPr="00030181" w:rsidRDefault="00A94F44" w:rsidP="005C5EBA">
            <w:pPr>
              <w:spacing w:after="160" w:line="360" w:lineRule="auto"/>
              <w:jc w:val="both"/>
              <w:rPr>
                <w:rFonts w:ascii="Arial" w:hAnsi="Arial" w:cs="Arial"/>
              </w:rPr>
            </w:pPr>
            <w:r w:rsidRPr="00030181">
              <w:rPr>
                <w:rFonts w:ascii="Arial" w:hAnsi="Arial" w:cs="Arial"/>
              </w:rPr>
              <w:t>Large sample; UK evidence</w:t>
            </w:r>
          </w:p>
        </w:tc>
        <w:tc>
          <w:tcPr>
            <w:tcW w:w="0" w:type="auto"/>
            <w:hideMark/>
          </w:tcPr>
          <w:p w14:paraId="198FEA42" w14:textId="77777777" w:rsidR="00A94F44" w:rsidRPr="00030181" w:rsidRDefault="00A94F44" w:rsidP="005C5EBA">
            <w:pPr>
              <w:spacing w:after="160" w:line="360" w:lineRule="auto"/>
              <w:jc w:val="both"/>
              <w:rPr>
                <w:rFonts w:ascii="Arial" w:hAnsi="Arial" w:cs="Arial"/>
              </w:rPr>
            </w:pPr>
            <w:r w:rsidRPr="00030181">
              <w:rPr>
                <w:rFonts w:ascii="Arial" w:hAnsi="Arial" w:cs="Arial"/>
              </w:rPr>
              <w:t>Not care-home specific</w:t>
            </w:r>
          </w:p>
        </w:tc>
      </w:tr>
    </w:tbl>
    <w:p w14:paraId="7935C44F" w14:textId="77777777" w:rsidR="00BD2247" w:rsidRPr="00030181" w:rsidRDefault="00BD2247" w:rsidP="005C5EBA">
      <w:pPr>
        <w:spacing w:line="360" w:lineRule="auto"/>
        <w:rPr>
          <w:rFonts w:ascii="Arial" w:hAnsi="Arial" w:cs="Arial"/>
          <w:b/>
          <w:bCs/>
          <w:sz w:val="24"/>
          <w:szCs w:val="24"/>
        </w:rPr>
        <w:sectPr w:rsidR="00BD2247" w:rsidRPr="00030181" w:rsidSect="00AD385F">
          <w:pgSz w:w="16838" w:h="11906" w:orient="landscape"/>
          <w:pgMar w:top="1440" w:right="1440" w:bottom="1440" w:left="1440" w:header="709" w:footer="709" w:gutter="0"/>
          <w:cols w:space="708"/>
          <w:docGrid w:linePitch="360"/>
        </w:sectPr>
      </w:pPr>
    </w:p>
    <w:p w14:paraId="714B0A3E" w14:textId="599211A8" w:rsidR="00DA3615" w:rsidRPr="00030181" w:rsidRDefault="003E3370" w:rsidP="00A94F44">
      <w:pPr>
        <w:pStyle w:val="Heading1"/>
        <w:rPr>
          <w:rFonts w:ascii="Arial" w:hAnsi="Arial" w:cs="Arial"/>
          <w:b/>
          <w:bCs/>
          <w:color w:val="000000" w:themeColor="text1"/>
          <w:sz w:val="24"/>
          <w:szCs w:val="24"/>
        </w:rPr>
      </w:pPr>
      <w:bookmarkStart w:id="80" w:name="_Toc231947598"/>
      <w:r w:rsidRPr="00030181">
        <w:rPr>
          <w:rFonts w:ascii="Arial" w:hAnsi="Arial" w:cs="Arial"/>
          <w:b/>
          <w:bCs/>
          <w:color w:val="000000" w:themeColor="text1"/>
          <w:sz w:val="24"/>
          <w:szCs w:val="24"/>
        </w:rPr>
        <w:lastRenderedPageBreak/>
        <w:t xml:space="preserve">APPENDIX 2 – </w:t>
      </w:r>
      <w:r w:rsidR="00DA3615" w:rsidRPr="00030181">
        <w:rPr>
          <w:rFonts w:ascii="Arial" w:hAnsi="Arial" w:cs="Arial"/>
          <w:b/>
          <w:bCs/>
          <w:color w:val="000000" w:themeColor="text1"/>
          <w:sz w:val="24"/>
          <w:szCs w:val="24"/>
        </w:rPr>
        <w:t>Critical Appraisal</w:t>
      </w:r>
      <w:bookmarkEnd w:id="80"/>
    </w:p>
    <w:p w14:paraId="66D4D7AB" w14:textId="77777777" w:rsidR="00DA3615" w:rsidRPr="00030181" w:rsidRDefault="00DA3615" w:rsidP="005C5EBA">
      <w:pPr>
        <w:spacing w:line="360" w:lineRule="auto"/>
        <w:jc w:val="both"/>
        <w:rPr>
          <w:rFonts w:ascii="Arial" w:hAnsi="Arial" w:cs="Arial"/>
        </w:rPr>
      </w:pPr>
      <w:r w:rsidRPr="00030181">
        <w:rPr>
          <w:rFonts w:ascii="Arial" w:hAnsi="Arial" w:cs="Arial"/>
        </w:rPr>
        <w:t>CASP (2024) Critical Appraisal Tool for Qualitative Research</w:t>
      </w:r>
    </w:p>
    <w:tbl>
      <w:tblPr>
        <w:tblStyle w:val="TableGrid"/>
        <w:tblW w:w="0" w:type="auto"/>
        <w:tblLook w:val="04A0" w:firstRow="1" w:lastRow="0" w:firstColumn="1" w:lastColumn="0" w:noHBand="0" w:noVBand="1"/>
      </w:tblPr>
      <w:tblGrid>
        <w:gridCol w:w="2738"/>
        <w:gridCol w:w="1188"/>
        <w:gridCol w:w="1263"/>
        <w:gridCol w:w="1177"/>
        <w:gridCol w:w="1238"/>
        <w:gridCol w:w="1412"/>
      </w:tblGrid>
      <w:tr w:rsidR="00DA3615" w:rsidRPr="00030181" w14:paraId="3AB5FFC9" w14:textId="77777777" w:rsidTr="00DA3615">
        <w:tc>
          <w:tcPr>
            <w:tcW w:w="0" w:type="auto"/>
            <w:hideMark/>
          </w:tcPr>
          <w:p w14:paraId="0E62B1BC" w14:textId="77777777" w:rsidR="00DA3615" w:rsidRPr="00030181" w:rsidRDefault="00DA3615" w:rsidP="005C5EBA">
            <w:pPr>
              <w:spacing w:after="160" w:line="360" w:lineRule="auto"/>
              <w:jc w:val="both"/>
              <w:rPr>
                <w:rFonts w:ascii="Arial" w:hAnsi="Arial" w:cs="Arial"/>
              </w:rPr>
            </w:pPr>
            <w:r w:rsidRPr="00030181">
              <w:rPr>
                <w:rFonts w:ascii="Arial" w:hAnsi="Arial" w:cs="Arial"/>
              </w:rPr>
              <w:t>Questions</w:t>
            </w:r>
          </w:p>
        </w:tc>
        <w:tc>
          <w:tcPr>
            <w:tcW w:w="0" w:type="auto"/>
            <w:hideMark/>
          </w:tcPr>
          <w:p w14:paraId="7B494160" w14:textId="77777777" w:rsidR="00DA3615" w:rsidRPr="00030181" w:rsidRDefault="00DA3615" w:rsidP="005C5EBA">
            <w:pPr>
              <w:spacing w:after="160" w:line="360" w:lineRule="auto"/>
              <w:jc w:val="both"/>
              <w:rPr>
                <w:rFonts w:ascii="Arial" w:hAnsi="Arial" w:cs="Arial"/>
              </w:rPr>
            </w:pPr>
            <w:r w:rsidRPr="00030181">
              <w:rPr>
                <w:rFonts w:ascii="Arial" w:hAnsi="Arial" w:cs="Arial"/>
              </w:rPr>
              <w:t>Watkins et al. (2017)</w:t>
            </w:r>
          </w:p>
        </w:tc>
        <w:tc>
          <w:tcPr>
            <w:tcW w:w="0" w:type="auto"/>
            <w:hideMark/>
          </w:tcPr>
          <w:p w14:paraId="445DF609" w14:textId="77777777" w:rsidR="00DA3615" w:rsidRPr="00030181" w:rsidRDefault="00DA3615" w:rsidP="005C5EBA">
            <w:pPr>
              <w:spacing w:after="160" w:line="360" w:lineRule="auto"/>
              <w:jc w:val="both"/>
              <w:rPr>
                <w:rFonts w:ascii="Arial" w:hAnsi="Arial" w:cs="Arial"/>
              </w:rPr>
            </w:pPr>
            <w:r w:rsidRPr="00030181">
              <w:rPr>
                <w:rFonts w:ascii="Arial" w:hAnsi="Arial" w:cs="Arial"/>
              </w:rPr>
              <w:t>Onuorah et al. (2025)</w:t>
            </w:r>
          </w:p>
        </w:tc>
        <w:tc>
          <w:tcPr>
            <w:tcW w:w="0" w:type="auto"/>
            <w:hideMark/>
          </w:tcPr>
          <w:p w14:paraId="63B4A257" w14:textId="77777777" w:rsidR="00DA3615" w:rsidRPr="00030181" w:rsidRDefault="00DA3615" w:rsidP="005C5EBA">
            <w:pPr>
              <w:spacing w:after="160" w:line="360" w:lineRule="auto"/>
              <w:jc w:val="both"/>
              <w:rPr>
                <w:rFonts w:ascii="Arial" w:hAnsi="Arial" w:cs="Arial"/>
              </w:rPr>
            </w:pPr>
            <w:r w:rsidRPr="00030181">
              <w:rPr>
                <w:rFonts w:ascii="Arial" w:hAnsi="Arial" w:cs="Arial"/>
              </w:rPr>
              <w:t>Mokaya et al. (2022)</w:t>
            </w:r>
          </w:p>
        </w:tc>
        <w:tc>
          <w:tcPr>
            <w:tcW w:w="0" w:type="auto"/>
            <w:hideMark/>
          </w:tcPr>
          <w:p w14:paraId="23C4D31A" w14:textId="77777777" w:rsidR="00DA3615" w:rsidRPr="00030181" w:rsidRDefault="00DA3615" w:rsidP="005C5EBA">
            <w:pPr>
              <w:spacing w:after="160" w:line="360" w:lineRule="auto"/>
              <w:jc w:val="both"/>
              <w:rPr>
                <w:rFonts w:ascii="Arial" w:hAnsi="Arial" w:cs="Arial"/>
              </w:rPr>
            </w:pPr>
            <w:r w:rsidRPr="00030181">
              <w:rPr>
                <w:rFonts w:ascii="Arial" w:hAnsi="Arial" w:cs="Arial"/>
              </w:rPr>
              <w:t>Bamford et al. (2012)</w:t>
            </w:r>
          </w:p>
        </w:tc>
        <w:tc>
          <w:tcPr>
            <w:tcW w:w="0" w:type="auto"/>
            <w:hideMark/>
          </w:tcPr>
          <w:p w14:paraId="50E34AB6" w14:textId="7309CF2E" w:rsidR="00DA3615" w:rsidRPr="00030181" w:rsidRDefault="00DA3615" w:rsidP="005C5EBA">
            <w:pPr>
              <w:spacing w:after="160" w:line="360" w:lineRule="auto"/>
              <w:jc w:val="both"/>
              <w:rPr>
                <w:rFonts w:ascii="Arial" w:hAnsi="Arial" w:cs="Arial"/>
              </w:rPr>
            </w:pPr>
            <w:r w:rsidRPr="00030181">
              <w:rPr>
                <w:rFonts w:ascii="Arial" w:hAnsi="Arial" w:cs="Arial"/>
              </w:rPr>
              <w:t xml:space="preserve">Romano </w:t>
            </w:r>
            <w:r w:rsidR="00521D48" w:rsidRPr="00030181">
              <w:rPr>
                <w:rFonts w:ascii="Arial" w:hAnsi="Arial" w:cs="Arial"/>
              </w:rPr>
              <w:t>and</w:t>
            </w:r>
            <w:r w:rsidRPr="00030181">
              <w:rPr>
                <w:rFonts w:ascii="Arial" w:hAnsi="Arial" w:cs="Arial"/>
              </w:rPr>
              <w:t xml:space="preserve"> Minns Lowe (2022)</w:t>
            </w:r>
          </w:p>
        </w:tc>
      </w:tr>
      <w:tr w:rsidR="00DA3615" w:rsidRPr="00030181" w14:paraId="0C325ABD" w14:textId="77777777" w:rsidTr="00DA3615">
        <w:tc>
          <w:tcPr>
            <w:tcW w:w="0" w:type="auto"/>
            <w:hideMark/>
          </w:tcPr>
          <w:p w14:paraId="7322896C" w14:textId="77777777" w:rsidR="00DA3615" w:rsidRPr="00030181" w:rsidRDefault="00DA3615" w:rsidP="005C5EBA">
            <w:pPr>
              <w:spacing w:after="160" w:line="360" w:lineRule="auto"/>
              <w:jc w:val="both"/>
              <w:rPr>
                <w:rFonts w:ascii="Arial" w:hAnsi="Arial" w:cs="Arial"/>
              </w:rPr>
            </w:pPr>
            <w:r w:rsidRPr="00030181">
              <w:rPr>
                <w:rFonts w:ascii="Arial" w:hAnsi="Arial" w:cs="Arial"/>
              </w:rPr>
              <w:t>Was there a clear statement of the aim of the research?</w:t>
            </w:r>
          </w:p>
        </w:tc>
        <w:tc>
          <w:tcPr>
            <w:tcW w:w="0" w:type="auto"/>
            <w:hideMark/>
          </w:tcPr>
          <w:p w14:paraId="0EFEF869"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668C9781"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3A9D1504"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373C1C89"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181F84B2"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r>
      <w:tr w:rsidR="00DA3615" w:rsidRPr="00030181" w14:paraId="7D3C200A" w14:textId="77777777" w:rsidTr="00DA3615">
        <w:tc>
          <w:tcPr>
            <w:tcW w:w="0" w:type="auto"/>
            <w:hideMark/>
          </w:tcPr>
          <w:p w14:paraId="02CFAF60" w14:textId="77777777" w:rsidR="00DA3615" w:rsidRPr="00030181" w:rsidRDefault="00DA3615" w:rsidP="005C5EBA">
            <w:pPr>
              <w:spacing w:after="160" w:line="360" w:lineRule="auto"/>
              <w:jc w:val="both"/>
              <w:rPr>
                <w:rFonts w:ascii="Arial" w:hAnsi="Arial" w:cs="Arial"/>
              </w:rPr>
            </w:pPr>
            <w:r w:rsidRPr="00030181">
              <w:rPr>
                <w:rFonts w:ascii="Arial" w:hAnsi="Arial" w:cs="Arial"/>
              </w:rPr>
              <w:t>Is qualitative methodology appropriate?</w:t>
            </w:r>
          </w:p>
        </w:tc>
        <w:tc>
          <w:tcPr>
            <w:tcW w:w="0" w:type="auto"/>
            <w:hideMark/>
          </w:tcPr>
          <w:p w14:paraId="74879784"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10CC9227"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130F9BA4"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58D2A244"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23A7F3AE"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r>
      <w:tr w:rsidR="00DA3615" w:rsidRPr="00030181" w14:paraId="4E7D5DE9" w14:textId="77777777" w:rsidTr="00DA3615">
        <w:tc>
          <w:tcPr>
            <w:tcW w:w="0" w:type="auto"/>
            <w:hideMark/>
          </w:tcPr>
          <w:p w14:paraId="06A62AEE" w14:textId="77777777" w:rsidR="00DA3615" w:rsidRPr="00030181" w:rsidRDefault="00DA3615" w:rsidP="005C5EBA">
            <w:pPr>
              <w:spacing w:after="160" w:line="360" w:lineRule="auto"/>
              <w:jc w:val="both"/>
              <w:rPr>
                <w:rFonts w:ascii="Arial" w:hAnsi="Arial" w:cs="Arial"/>
              </w:rPr>
            </w:pPr>
            <w:r w:rsidRPr="00030181">
              <w:rPr>
                <w:rFonts w:ascii="Arial" w:hAnsi="Arial" w:cs="Arial"/>
              </w:rPr>
              <w:t>Was the research design appropriate to address the aims of the research?</w:t>
            </w:r>
          </w:p>
        </w:tc>
        <w:tc>
          <w:tcPr>
            <w:tcW w:w="0" w:type="auto"/>
            <w:hideMark/>
          </w:tcPr>
          <w:p w14:paraId="2FC9935A"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6326A196"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5C11D2AE"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32CC3939"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5FBC1BA4"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r>
      <w:tr w:rsidR="00DA3615" w:rsidRPr="00030181" w14:paraId="58BCF7AE" w14:textId="77777777" w:rsidTr="00DA3615">
        <w:tc>
          <w:tcPr>
            <w:tcW w:w="0" w:type="auto"/>
            <w:hideMark/>
          </w:tcPr>
          <w:p w14:paraId="3A888CBC" w14:textId="77777777" w:rsidR="00DA3615" w:rsidRPr="00030181" w:rsidRDefault="00DA3615" w:rsidP="005C5EBA">
            <w:pPr>
              <w:spacing w:after="160" w:line="360" w:lineRule="auto"/>
              <w:jc w:val="both"/>
              <w:rPr>
                <w:rFonts w:ascii="Arial" w:hAnsi="Arial" w:cs="Arial"/>
              </w:rPr>
            </w:pPr>
            <w:r w:rsidRPr="00030181">
              <w:rPr>
                <w:rFonts w:ascii="Arial" w:hAnsi="Arial" w:cs="Arial"/>
              </w:rPr>
              <w:t>Was the recruitment strategy appropriate to the aims of the research?</w:t>
            </w:r>
          </w:p>
        </w:tc>
        <w:tc>
          <w:tcPr>
            <w:tcW w:w="0" w:type="auto"/>
            <w:hideMark/>
          </w:tcPr>
          <w:p w14:paraId="238BE104"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48440C54"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7599BCFE"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25F44B3F"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27F763D0"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r>
      <w:tr w:rsidR="00DA3615" w:rsidRPr="00030181" w14:paraId="2CF91CB3" w14:textId="77777777" w:rsidTr="00DA3615">
        <w:tc>
          <w:tcPr>
            <w:tcW w:w="0" w:type="auto"/>
            <w:hideMark/>
          </w:tcPr>
          <w:p w14:paraId="6476B53C" w14:textId="77777777" w:rsidR="00DA3615" w:rsidRPr="00030181" w:rsidRDefault="00DA3615" w:rsidP="005C5EBA">
            <w:pPr>
              <w:spacing w:after="160" w:line="360" w:lineRule="auto"/>
              <w:jc w:val="both"/>
              <w:rPr>
                <w:rFonts w:ascii="Arial" w:hAnsi="Arial" w:cs="Arial"/>
              </w:rPr>
            </w:pPr>
            <w:r w:rsidRPr="00030181">
              <w:rPr>
                <w:rFonts w:ascii="Arial" w:hAnsi="Arial" w:cs="Arial"/>
              </w:rPr>
              <w:t>Was the data collected in a way that addressed the research issue?</w:t>
            </w:r>
          </w:p>
        </w:tc>
        <w:tc>
          <w:tcPr>
            <w:tcW w:w="0" w:type="auto"/>
            <w:hideMark/>
          </w:tcPr>
          <w:p w14:paraId="3913B5A2"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442BE4D6"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62F6CF8A"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3184CD41"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4EC31493"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r>
      <w:tr w:rsidR="00DA3615" w:rsidRPr="00030181" w14:paraId="0516EDB9" w14:textId="77777777" w:rsidTr="00DA3615">
        <w:tc>
          <w:tcPr>
            <w:tcW w:w="0" w:type="auto"/>
            <w:hideMark/>
          </w:tcPr>
          <w:p w14:paraId="6BCEDBF0" w14:textId="77777777" w:rsidR="00DA3615" w:rsidRPr="00030181" w:rsidRDefault="00DA3615" w:rsidP="005C5EBA">
            <w:pPr>
              <w:spacing w:after="160" w:line="360" w:lineRule="auto"/>
              <w:jc w:val="both"/>
              <w:rPr>
                <w:rFonts w:ascii="Arial" w:hAnsi="Arial" w:cs="Arial"/>
              </w:rPr>
            </w:pPr>
            <w:r w:rsidRPr="00030181">
              <w:rPr>
                <w:rFonts w:ascii="Arial" w:hAnsi="Arial" w:cs="Arial"/>
              </w:rPr>
              <w:t>Has the relationship between researcher and participants been adequately considered?</w:t>
            </w:r>
          </w:p>
        </w:tc>
        <w:tc>
          <w:tcPr>
            <w:tcW w:w="0" w:type="auto"/>
            <w:hideMark/>
          </w:tcPr>
          <w:p w14:paraId="79D86904" w14:textId="77777777" w:rsidR="00DA3615" w:rsidRPr="00030181" w:rsidRDefault="00DA3615" w:rsidP="005C5EBA">
            <w:pPr>
              <w:spacing w:after="160" w:line="360" w:lineRule="auto"/>
              <w:jc w:val="both"/>
              <w:rPr>
                <w:rFonts w:ascii="Arial" w:hAnsi="Arial" w:cs="Arial"/>
              </w:rPr>
            </w:pPr>
            <w:r w:rsidRPr="00030181">
              <w:rPr>
                <w:rFonts w:ascii="Arial" w:hAnsi="Arial" w:cs="Arial"/>
              </w:rPr>
              <w:t>Partially</w:t>
            </w:r>
          </w:p>
        </w:tc>
        <w:tc>
          <w:tcPr>
            <w:tcW w:w="0" w:type="auto"/>
            <w:hideMark/>
          </w:tcPr>
          <w:p w14:paraId="7E41AEC4" w14:textId="77777777" w:rsidR="00DA3615" w:rsidRPr="00030181" w:rsidRDefault="00DA3615" w:rsidP="005C5EBA">
            <w:pPr>
              <w:spacing w:after="160" w:line="360" w:lineRule="auto"/>
              <w:jc w:val="both"/>
              <w:rPr>
                <w:rFonts w:ascii="Arial" w:hAnsi="Arial" w:cs="Arial"/>
              </w:rPr>
            </w:pPr>
            <w:r w:rsidRPr="00030181">
              <w:rPr>
                <w:rFonts w:ascii="Arial" w:hAnsi="Arial" w:cs="Arial"/>
              </w:rPr>
              <w:t>Partially</w:t>
            </w:r>
          </w:p>
        </w:tc>
        <w:tc>
          <w:tcPr>
            <w:tcW w:w="0" w:type="auto"/>
            <w:hideMark/>
          </w:tcPr>
          <w:p w14:paraId="38DAA032" w14:textId="77777777" w:rsidR="00DA3615" w:rsidRPr="00030181" w:rsidRDefault="00DA3615" w:rsidP="005C5EBA">
            <w:pPr>
              <w:spacing w:after="160" w:line="360" w:lineRule="auto"/>
              <w:jc w:val="both"/>
              <w:rPr>
                <w:rFonts w:ascii="Arial" w:hAnsi="Arial" w:cs="Arial"/>
              </w:rPr>
            </w:pPr>
            <w:r w:rsidRPr="00030181">
              <w:rPr>
                <w:rFonts w:ascii="Arial" w:hAnsi="Arial" w:cs="Arial"/>
              </w:rPr>
              <w:t>Unclear</w:t>
            </w:r>
          </w:p>
        </w:tc>
        <w:tc>
          <w:tcPr>
            <w:tcW w:w="0" w:type="auto"/>
            <w:hideMark/>
          </w:tcPr>
          <w:p w14:paraId="364075E8" w14:textId="77777777" w:rsidR="00DA3615" w:rsidRPr="00030181" w:rsidRDefault="00DA3615" w:rsidP="005C5EBA">
            <w:pPr>
              <w:spacing w:after="160" w:line="360" w:lineRule="auto"/>
              <w:jc w:val="both"/>
              <w:rPr>
                <w:rFonts w:ascii="Arial" w:hAnsi="Arial" w:cs="Arial"/>
              </w:rPr>
            </w:pPr>
            <w:r w:rsidRPr="00030181">
              <w:rPr>
                <w:rFonts w:ascii="Arial" w:hAnsi="Arial" w:cs="Arial"/>
              </w:rPr>
              <w:t>Unclear</w:t>
            </w:r>
          </w:p>
        </w:tc>
        <w:tc>
          <w:tcPr>
            <w:tcW w:w="0" w:type="auto"/>
            <w:hideMark/>
          </w:tcPr>
          <w:p w14:paraId="61F813A8" w14:textId="77777777" w:rsidR="00DA3615" w:rsidRPr="00030181" w:rsidRDefault="00DA3615" w:rsidP="005C5EBA">
            <w:pPr>
              <w:spacing w:after="160" w:line="360" w:lineRule="auto"/>
              <w:jc w:val="both"/>
              <w:rPr>
                <w:rFonts w:ascii="Arial" w:hAnsi="Arial" w:cs="Arial"/>
              </w:rPr>
            </w:pPr>
            <w:r w:rsidRPr="00030181">
              <w:rPr>
                <w:rFonts w:ascii="Arial" w:hAnsi="Arial" w:cs="Arial"/>
              </w:rPr>
              <w:t>Partially</w:t>
            </w:r>
          </w:p>
        </w:tc>
      </w:tr>
      <w:tr w:rsidR="00DA3615" w:rsidRPr="00030181" w14:paraId="689A27DA" w14:textId="77777777" w:rsidTr="00DA3615">
        <w:tc>
          <w:tcPr>
            <w:tcW w:w="0" w:type="auto"/>
            <w:hideMark/>
          </w:tcPr>
          <w:p w14:paraId="5BAA95F1" w14:textId="77777777" w:rsidR="00DA3615" w:rsidRPr="00030181" w:rsidRDefault="00DA3615" w:rsidP="005C5EBA">
            <w:pPr>
              <w:spacing w:after="160" w:line="360" w:lineRule="auto"/>
              <w:jc w:val="both"/>
              <w:rPr>
                <w:rFonts w:ascii="Arial" w:hAnsi="Arial" w:cs="Arial"/>
              </w:rPr>
            </w:pPr>
            <w:r w:rsidRPr="00030181">
              <w:rPr>
                <w:rFonts w:ascii="Arial" w:hAnsi="Arial" w:cs="Arial"/>
              </w:rPr>
              <w:t>Have ethical issues been taken into consideration?</w:t>
            </w:r>
          </w:p>
        </w:tc>
        <w:tc>
          <w:tcPr>
            <w:tcW w:w="0" w:type="auto"/>
            <w:hideMark/>
          </w:tcPr>
          <w:p w14:paraId="3A47202F"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55AA788D"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07DF8C06"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260B6AA5"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1F06F2B7"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r>
      <w:tr w:rsidR="00DA3615" w:rsidRPr="00030181" w14:paraId="2C941DD3" w14:textId="77777777" w:rsidTr="00DA3615">
        <w:tc>
          <w:tcPr>
            <w:tcW w:w="0" w:type="auto"/>
            <w:hideMark/>
          </w:tcPr>
          <w:p w14:paraId="7CF7BA12" w14:textId="77777777" w:rsidR="00DA3615" w:rsidRPr="00030181" w:rsidRDefault="00DA3615" w:rsidP="005C5EBA">
            <w:pPr>
              <w:spacing w:after="160" w:line="360" w:lineRule="auto"/>
              <w:jc w:val="both"/>
              <w:rPr>
                <w:rFonts w:ascii="Arial" w:hAnsi="Arial" w:cs="Arial"/>
              </w:rPr>
            </w:pPr>
            <w:r w:rsidRPr="00030181">
              <w:rPr>
                <w:rFonts w:ascii="Arial" w:hAnsi="Arial" w:cs="Arial"/>
              </w:rPr>
              <w:t>Was the data analysis sufficiently rigorous?</w:t>
            </w:r>
          </w:p>
        </w:tc>
        <w:tc>
          <w:tcPr>
            <w:tcW w:w="0" w:type="auto"/>
            <w:hideMark/>
          </w:tcPr>
          <w:p w14:paraId="46AA499D"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0DD6D64B"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05E7AEF3"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242F607E"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48958ECD"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r>
      <w:tr w:rsidR="00DA3615" w:rsidRPr="00030181" w14:paraId="25F59ABC" w14:textId="77777777" w:rsidTr="00DA3615">
        <w:tc>
          <w:tcPr>
            <w:tcW w:w="0" w:type="auto"/>
            <w:hideMark/>
          </w:tcPr>
          <w:p w14:paraId="4948E8D7" w14:textId="77777777" w:rsidR="00DA3615" w:rsidRPr="00030181" w:rsidRDefault="00DA3615" w:rsidP="005C5EBA">
            <w:pPr>
              <w:spacing w:after="160" w:line="360" w:lineRule="auto"/>
              <w:jc w:val="both"/>
              <w:rPr>
                <w:rFonts w:ascii="Arial" w:hAnsi="Arial" w:cs="Arial"/>
              </w:rPr>
            </w:pPr>
            <w:r w:rsidRPr="00030181">
              <w:rPr>
                <w:rFonts w:ascii="Arial" w:hAnsi="Arial" w:cs="Arial"/>
              </w:rPr>
              <w:t>Is there a clear statement of findings?</w:t>
            </w:r>
          </w:p>
        </w:tc>
        <w:tc>
          <w:tcPr>
            <w:tcW w:w="0" w:type="auto"/>
            <w:hideMark/>
          </w:tcPr>
          <w:p w14:paraId="0D195AFF"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20C4A8C7"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338BA05A"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0E93702B"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4942E26F"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r>
      <w:tr w:rsidR="00DA3615" w:rsidRPr="00030181" w14:paraId="7228A928" w14:textId="77777777" w:rsidTr="00DA3615">
        <w:tc>
          <w:tcPr>
            <w:tcW w:w="0" w:type="auto"/>
            <w:hideMark/>
          </w:tcPr>
          <w:p w14:paraId="5A3DF30A" w14:textId="77777777" w:rsidR="00DA3615" w:rsidRPr="00030181" w:rsidRDefault="00DA3615" w:rsidP="005C5EBA">
            <w:pPr>
              <w:spacing w:after="160" w:line="360" w:lineRule="auto"/>
              <w:jc w:val="both"/>
              <w:rPr>
                <w:rFonts w:ascii="Arial" w:hAnsi="Arial" w:cs="Arial"/>
              </w:rPr>
            </w:pPr>
            <w:r w:rsidRPr="00030181">
              <w:rPr>
                <w:rFonts w:ascii="Arial" w:hAnsi="Arial" w:cs="Arial"/>
              </w:rPr>
              <w:lastRenderedPageBreak/>
              <w:t>How valuable is the research?</w:t>
            </w:r>
          </w:p>
        </w:tc>
        <w:tc>
          <w:tcPr>
            <w:tcW w:w="0" w:type="auto"/>
            <w:hideMark/>
          </w:tcPr>
          <w:p w14:paraId="15A1B12F" w14:textId="77777777" w:rsidR="00DA3615" w:rsidRPr="00030181" w:rsidRDefault="00DA3615" w:rsidP="005C5EBA">
            <w:pPr>
              <w:spacing w:after="160" w:line="360" w:lineRule="auto"/>
              <w:jc w:val="both"/>
              <w:rPr>
                <w:rFonts w:ascii="Arial" w:hAnsi="Arial" w:cs="Arial"/>
              </w:rPr>
            </w:pPr>
            <w:r w:rsidRPr="00030181">
              <w:rPr>
                <w:rFonts w:ascii="Arial" w:hAnsi="Arial" w:cs="Arial"/>
              </w:rPr>
              <w:t>High</w:t>
            </w:r>
          </w:p>
        </w:tc>
        <w:tc>
          <w:tcPr>
            <w:tcW w:w="0" w:type="auto"/>
            <w:hideMark/>
          </w:tcPr>
          <w:p w14:paraId="771716C9" w14:textId="77777777" w:rsidR="00DA3615" w:rsidRPr="00030181" w:rsidRDefault="00DA3615" w:rsidP="005C5EBA">
            <w:pPr>
              <w:spacing w:after="160" w:line="360" w:lineRule="auto"/>
              <w:jc w:val="both"/>
              <w:rPr>
                <w:rFonts w:ascii="Arial" w:hAnsi="Arial" w:cs="Arial"/>
              </w:rPr>
            </w:pPr>
            <w:r w:rsidRPr="00030181">
              <w:rPr>
                <w:rFonts w:ascii="Arial" w:hAnsi="Arial" w:cs="Arial"/>
              </w:rPr>
              <w:t>High</w:t>
            </w:r>
          </w:p>
        </w:tc>
        <w:tc>
          <w:tcPr>
            <w:tcW w:w="0" w:type="auto"/>
            <w:hideMark/>
          </w:tcPr>
          <w:p w14:paraId="4BD21E7F" w14:textId="77777777" w:rsidR="00DA3615" w:rsidRPr="00030181" w:rsidRDefault="00DA3615" w:rsidP="005C5EBA">
            <w:pPr>
              <w:spacing w:after="160" w:line="360" w:lineRule="auto"/>
              <w:jc w:val="both"/>
              <w:rPr>
                <w:rFonts w:ascii="Arial" w:hAnsi="Arial" w:cs="Arial"/>
              </w:rPr>
            </w:pPr>
            <w:r w:rsidRPr="00030181">
              <w:rPr>
                <w:rFonts w:ascii="Arial" w:hAnsi="Arial" w:cs="Arial"/>
              </w:rPr>
              <w:t>High</w:t>
            </w:r>
          </w:p>
        </w:tc>
        <w:tc>
          <w:tcPr>
            <w:tcW w:w="0" w:type="auto"/>
            <w:hideMark/>
          </w:tcPr>
          <w:p w14:paraId="56E8C32E" w14:textId="77777777" w:rsidR="00DA3615" w:rsidRPr="00030181" w:rsidRDefault="00DA3615" w:rsidP="005C5EBA">
            <w:pPr>
              <w:spacing w:after="160" w:line="360" w:lineRule="auto"/>
              <w:jc w:val="both"/>
              <w:rPr>
                <w:rFonts w:ascii="Arial" w:hAnsi="Arial" w:cs="Arial"/>
              </w:rPr>
            </w:pPr>
            <w:r w:rsidRPr="00030181">
              <w:rPr>
                <w:rFonts w:ascii="Arial" w:hAnsi="Arial" w:cs="Arial"/>
              </w:rPr>
              <w:t>High</w:t>
            </w:r>
          </w:p>
        </w:tc>
        <w:tc>
          <w:tcPr>
            <w:tcW w:w="0" w:type="auto"/>
            <w:hideMark/>
          </w:tcPr>
          <w:p w14:paraId="3A949BC5" w14:textId="77777777" w:rsidR="00DA3615" w:rsidRPr="00030181" w:rsidRDefault="00DA3615" w:rsidP="005C5EBA">
            <w:pPr>
              <w:spacing w:after="160" w:line="360" w:lineRule="auto"/>
              <w:jc w:val="both"/>
              <w:rPr>
                <w:rFonts w:ascii="Arial" w:hAnsi="Arial" w:cs="Arial"/>
              </w:rPr>
            </w:pPr>
            <w:r w:rsidRPr="00030181">
              <w:rPr>
                <w:rFonts w:ascii="Arial" w:hAnsi="Arial" w:cs="Arial"/>
              </w:rPr>
              <w:t>High</w:t>
            </w:r>
          </w:p>
        </w:tc>
      </w:tr>
    </w:tbl>
    <w:p w14:paraId="30CFC692" w14:textId="77777777" w:rsidR="00DA3615" w:rsidRPr="00030181" w:rsidRDefault="00DA3615" w:rsidP="005C5EBA">
      <w:pPr>
        <w:spacing w:line="360" w:lineRule="auto"/>
        <w:jc w:val="both"/>
        <w:rPr>
          <w:rFonts w:ascii="Arial" w:hAnsi="Arial" w:cs="Arial"/>
        </w:rPr>
      </w:pPr>
    </w:p>
    <w:p w14:paraId="1CEE6682" w14:textId="33968742" w:rsidR="00DA3615" w:rsidRPr="00030181" w:rsidRDefault="00DA3615" w:rsidP="005C5EBA">
      <w:pPr>
        <w:spacing w:line="360" w:lineRule="auto"/>
        <w:jc w:val="both"/>
        <w:rPr>
          <w:rFonts w:ascii="Arial" w:hAnsi="Arial" w:cs="Arial"/>
        </w:rPr>
      </w:pPr>
      <w:r w:rsidRPr="00030181">
        <w:rPr>
          <w:rFonts w:ascii="Arial" w:hAnsi="Arial" w:cs="Arial"/>
        </w:rPr>
        <w:t>JBI (2017) Critical Appraisal Checklist for Analytical Cross-Sectional Studies</w:t>
      </w:r>
    </w:p>
    <w:tbl>
      <w:tblPr>
        <w:tblStyle w:val="TableGrid"/>
        <w:tblW w:w="0" w:type="auto"/>
        <w:tblLook w:val="04A0" w:firstRow="1" w:lastRow="0" w:firstColumn="1" w:lastColumn="0" w:noHBand="0" w:noVBand="1"/>
      </w:tblPr>
      <w:tblGrid>
        <w:gridCol w:w="1697"/>
        <w:gridCol w:w="1023"/>
        <w:gridCol w:w="1040"/>
        <w:gridCol w:w="1041"/>
        <w:gridCol w:w="894"/>
        <w:gridCol w:w="1344"/>
        <w:gridCol w:w="876"/>
        <w:gridCol w:w="1101"/>
      </w:tblGrid>
      <w:tr w:rsidR="00DA3615" w:rsidRPr="00030181" w14:paraId="2CC31E42" w14:textId="77777777" w:rsidTr="00DA3615">
        <w:tc>
          <w:tcPr>
            <w:tcW w:w="0" w:type="auto"/>
            <w:hideMark/>
          </w:tcPr>
          <w:p w14:paraId="00DF5030" w14:textId="77777777" w:rsidR="00DA3615" w:rsidRPr="00030181" w:rsidRDefault="00DA3615" w:rsidP="005C5EBA">
            <w:pPr>
              <w:spacing w:after="160" w:line="360" w:lineRule="auto"/>
              <w:jc w:val="both"/>
              <w:rPr>
                <w:rFonts w:ascii="Arial" w:hAnsi="Arial" w:cs="Arial"/>
              </w:rPr>
            </w:pPr>
            <w:r w:rsidRPr="00030181">
              <w:rPr>
                <w:rFonts w:ascii="Arial" w:hAnsi="Arial" w:cs="Arial"/>
              </w:rPr>
              <w:t>Questions</w:t>
            </w:r>
          </w:p>
        </w:tc>
        <w:tc>
          <w:tcPr>
            <w:tcW w:w="0" w:type="auto"/>
            <w:hideMark/>
          </w:tcPr>
          <w:p w14:paraId="1213F571" w14:textId="77777777" w:rsidR="00DA3615" w:rsidRPr="00030181" w:rsidRDefault="00DA3615" w:rsidP="005C5EBA">
            <w:pPr>
              <w:spacing w:after="160" w:line="360" w:lineRule="auto"/>
              <w:jc w:val="both"/>
              <w:rPr>
                <w:rFonts w:ascii="Arial" w:hAnsi="Arial" w:cs="Arial"/>
              </w:rPr>
            </w:pPr>
            <w:r w:rsidRPr="00030181">
              <w:rPr>
                <w:rFonts w:ascii="Arial" w:hAnsi="Arial" w:cs="Arial"/>
              </w:rPr>
              <w:t>Jimoh et al. (2019)</w:t>
            </w:r>
          </w:p>
        </w:tc>
        <w:tc>
          <w:tcPr>
            <w:tcW w:w="0" w:type="auto"/>
            <w:hideMark/>
          </w:tcPr>
          <w:p w14:paraId="22BBA5C7" w14:textId="77777777" w:rsidR="00DA3615" w:rsidRPr="00030181" w:rsidRDefault="00DA3615" w:rsidP="005C5EBA">
            <w:pPr>
              <w:spacing w:after="160" w:line="360" w:lineRule="auto"/>
              <w:jc w:val="both"/>
              <w:rPr>
                <w:rFonts w:ascii="Arial" w:hAnsi="Arial" w:cs="Arial"/>
              </w:rPr>
            </w:pPr>
            <w:r w:rsidRPr="00030181">
              <w:rPr>
                <w:rFonts w:ascii="Arial" w:hAnsi="Arial" w:cs="Arial"/>
              </w:rPr>
              <w:t>Madeira et al. (2019)</w:t>
            </w:r>
          </w:p>
        </w:tc>
        <w:tc>
          <w:tcPr>
            <w:tcW w:w="0" w:type="auto"/>
            <w:hideMark/>
          </w:tcPr>
          <w:p w14:paraId="13D38B57" w14:textId="77777777" w:rsidR="00DA3615" w:rsidRPr="00030181" w:rsidRDefault="00DA3615" w:rsidP="005C5EBA">
            <w:pPr>
              <w:spacing w:after="160" w:line="360" w:lineRule="auto"/>
              <w:jc w:val="both"/>
              <w:rPr>
                <w:rFonts w:ascii="Arial" w:hAnsi="Arial" w:cs="Arial"/>
              </w:rPr>
            </w:pPr>
            <w:r w:rsidRPr="00030181">
              <w:rPr>
                <w:rFonts w:ascii="Arial" w:hAnsi="Arial" w:cs="Arial"/>
              </w:rPr>
              <w:t>Laurenti et al. (2020)</w:t>
            </w:r>
          </w:p>
        </w:tc>
        <w:tc>
          <w:tcPr>
            <w:tcW w:w="0" w:type="auto"/>
            <w:hideMark/>
          </w:tcPr>
          <w:p w14:paraId="359541BD" w14:textId="77777777" w:rsidR="00DA3615" w:rsidRPr="00030181" w:rsidRDefault="00DA3615" w:rsidP="005C5EBA">
            <w:pPr>
              <w:spacing w:after="160" w:line="360" w:lineRule="auto"/>
              <w:jc w:val="both"/>
              <w:rPr>
                <w:rFonts w:ascii="Arial" w:hAnsi="Arial" w:cs="Arial"/>
              </w:rPr>
            </w:pPr>
            <w:r w:rsidRPr="00030181">
              <w:rPr>
                <w:rFonts w:ascii="Arial" w:hAnsi="Arial" w:cs="Arial"/>
              </w:rPr>
              <w:t>Duodu et al. (2025)</w:t>
            </w:r>
          </w:p>
        </w:tc>
        <w:tc>
          <w:tcPr>
            <w:tcW w:w="0" w:type="auto"/>
            <w:hideMark/>
          </w:tcPr>
          <w:p w14:paraId="3A07C98A" w14:textId="77777777" w:rsidR="00DA3615" w:rsidRPr="00030181" w:rsidRDefault="00DA3615" w:rsidP="005C5EBA">
            <w:pPr>
              <w:spacing w:after="160" w:line="360" w:lineRule="auto"/>
              <w:jc w:val="both"/>
              <w:rPr>
                <w:rFonts w:ascii="Arial" w:hAnsi="Arial" w:cs="Arial"/>
              </w:rPr>
            </w:pPr>
            <w:r w:rsidRPr="00030181">
              <w:rPr>
                <w:rFonts w:ascii="Arial" w:hAnsi="Arial" w:cs="Arial"/>
              </w:rPr>
              <w:t>Velázquez-Alva et al. (2020)</w:t>
            </w:r>
          </w:p>
        </w:tc>
        <w:tc>
          <w:tcPr>
            <w:tcW w:w="0" w:type="auto"/>
            <w:hideMark/>
          </w:tcPr>
          <w:p w14:paraId="57CB7512" w14:textId="77777777" w:rsidR="00DA3615" w:rsidRPr="00030181" w:rsidRDefault="00DA3615" w:rsidP="005C5EBA">
            <w:pPr>
              <w:spacing w:after="160" w:line="360" w:lineRule="auto"/>
              <w:jc w:val="both"/>
              <w:rPr>
                <w:rFonts w:ascii="Arial" w:hAnsi="Arial" w:cs="Arial"/>
              </w:rPr>
            </w:pPr>
            <w:r w:rsidRPr="00030181">
              <w:rPr>
                <w:rFonts w:ascii="Arial" w:hAnsi="Arial" w:cs="Arial"/>
              </w:rPr>
              <w:t>Ran et al. (2023)</w:t>
            </w:r>
          </w:p>
        </w:tc>
        <w:tc>
          <w:tcPr>
            <w:tcW w:w="0" w:type="auto"/>
            <w:hideMark/>
          </w:tcPr>
          <w:p w14:paraId="33570763" w14:textId="77777777" w:rsidR="00DA3615" w:rsidRPr="00030181" w:rsidRDefault="00DA3615" w:rsidP="005C5EBA">
            <w:pPr>
              <w:spacing w:after="160" w:line="360" w:lineRule="auto"/>
              <w:jc w:val="both"/>
              <w:rPr>
                <w:rFonts w:ascii="Arial" w:hAnsi="Arial" w:cs="Arial"/>
              </w:rPr>
            </w:pPr>
            <w:r w:rsidRPr="00030181">
              <w:rPr>
                <w:rFonts w:ascii="Arial" w:hAnsi="Arial" w:cs="Arial"/>
              </w:rPr>
              <w:t>Babatola (2023)</w:t>
            </w:r>
          </w:p>
        </w:tc>
      </w:tr>
      <w:tr w:rsidR="00DA3615" w:rsidRPr="00030181" w14:paraId="26250913" w14:textId="77777777" w:rsidTr="00DA3615">
        <w:tc>
          <w:tcPr>
            <w:tcW w:w="0" w:type="auto"/>
            <w:hideMark/>
          </w:tcPr>
          <w:p w14:paraId="546C93C8" w14:textId="77777777" w:rsidR="00DA3615" w:rsidRPr="00030181" w:rsidRDefault="00DA3615" w:rsidP="005C5EBA">
            <w:pPr>
              <w:spacing w:after="160" w:line="360" w:lineRule="auto"/>
              <w:jc w:val="both"/>
              <w:rPr>
                <w:rFonts w:ascii="Arial" w:hAnsi="Arial" w:cs="Arial"/>
              </w:rPr>
            </w:pPr>
            <w:r w:rsidRPr="00030181">
              <w:rPr>
                <w:rFonts w:ascii="Arial" w:hAnsi="Arial" w:cs="Arial"/>
              </w:rPr>
              <w:t>Were the criteria for inclusion in the sample clearly defined?</w:t>
            </w:r>
          </w:p>
        </w:tc>
        <w:tc>
          <w:tcPr>
            <w:tcW w:w="0" w:type="auto"/>
            <w:hideMark/>
          </w:tcPr>
          <w:p w14:paraId="646E3645"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7324F45E"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6BBFAB4A"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331B1A83"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31D4EB55"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5054EA41"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64AB994D"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r>
      <w:tr w:rsidR="00DA3615" w:rsidRPr="00030181" w14:paraId="3A5125B6" w14:textId="77777777" w:rsidTr="00DA3615">
        <w:tc>
          <w:tcPr>
            <w:tcW w:w="0" w:type="auto"/>
            <w:hideMark/>
          </w:tcPr>
          <w:p w14:paraId="75D9D92B" w14:textId="77777777" w:rsidR="00DA3615" w:rsidRPr="00030181" w:rsidRDefault="00DA3615" w:rsidP="005C5EBA">
            <w:pPr>
              <w:spacing w:after="160" w:line="360" w:lineRule="auto"/>
              <w:jc w:val="both"/>
              <w:rPr>
                <w:rFonts w:ascii="Arial" w:hAnsi="Arial" w:cs="Arial"/>
              </w:rPr>
            </w:pPr>
            <w:r w:rsidRPr="00030181">
              <w:rPr>
                <w:rFonts w:ascii="Arial" w:hAnsi="Arial" w:cs="Arial"/>
              </w:rPr>
              <w:t>Were the study subjects and the setting described in detail?</w:t>
            </w:r>
          </w:p>
        </w:tc>
        <w:tc>
          <w:tcPr>
            <w:tcW w:w="0" w:type="auto"/>
            <w:hideMark/>
          </w:tcPr>
          <w:p w14:paraId="416D3A76"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166893D1"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44FB6F53"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7CEA980B"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4ED7D67B"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494C0985"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05160F2F"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r>
      <w:tr w:rsidR="00DA3615" w:rsidRPr="00030181" w14:paraId="202B3629" w14:textId="77777777" w:rsidTr="00DA3615">
        <w:tc>
          <w:tcPr>
            <w:tcW w:w="0" w:type="auto"/>
            <w:hideMark/>
          </w:tcPr>
          <w:p w14:paraId="56209454" w14:textId="77777777" w:rsidR="00DA3615" w:rsidRPr="00030181" w:rsidRDefault="00DA3615" w:rsidP="005C5EBA">
            <w:pPr>
              <w:spacing w:after="160" w:line="360" w:lineRule="auto"/>
              <w:jc w:val="both"/>
              <w:rPr>
                <w:rFonts w:ascii="Arial" w:hAnsi="Arial" w:cs="Arial"/>
              </w:rPr>
            </w:pPr>
            <w:r w:rsidRPr="00030181">
              <w:rPr>
                <w:rFonts w:ascii="Arial" w:hAnsi="Arial" w:cs="Arial"/>
              </w:rPr>
              <w:t>Was the exposure measured in a valid and reliable way?</w:t>
            </w:r>
          </w:p>
        </w:tc>
        <w:tc>
          <w:tcPr>
            <w:tcW w:w="0" w:type="auto"/>
            <w:hideMark/>
          </w:tcPr>
          <w:p w14:paraId="3AE732DB"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5296DB51"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00689184"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46A31552"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7975D69C"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38B71582"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62C0F95C"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r>
      <w:tr w:rsidR="00DA3615" w:rsidRPr="00030181" w14:paraId="247E254C" w14:textId="77777777" w:rsidTr="00DA3615">
        <w:tc>
          <w:tcPr>
            <w:tcW w:w="0" w:type="auto"/>
            <w:hideMark/>
          </w:tcPr>
          <w:p w14:paraId="34C98069" w14:textId="77777777" w:rsidR="00DA3615" w:rsidRPr="00030181" w:rsidRDefault="00DA3615" w:rsidP="005C5EBA">
            <w:pPr>
              <w:spacing w:after="160" w:line="360" w:lineRule="auto"/>
              <w:jc w:val="both"/>
              <w:rPr>
                <w:rFonts w:ascii="Arial" w:hAnsi="Arial" w:cs="Arial"/>
              </w:rPr>
            </w:pPr>
            <w:r w:rsidRPr="00030181">
              <w:rPr>
                <w:rFonts w:ascii="Arial" w:hAnsi="Arial" w:cs="Arial"/>
              </w:rPr>
              <w:t>Were objective, standard criteria used for measurement of the condition?</w:t>
            </w:r>
          </w:p>
        </w:tc>
        <w:tc>
          <w:tcPr>
            <w:tcW w:w="0" w:type="auto"/>
            <w:hideMark/>
          </w:tcPr>
          <w:p w14:paraId="31501ADB"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69230DCF"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00D5BEA1" w14:textId="77777777" w:rsidR="00DA3615" w:rsidRPr="00030181" w:rsidRDefault="00DA3615" w:rsidP="005C5EBA">
            <w:pPr>
              <w:spacing w:after="160" w:line="360" w:lineRule="auto"/>
              <w:jc w:val="both"/>
              <w:rPr>
                <w:rFonts w:ascii="Arial" w:hAnsi="Arial" w:cs="Arial"/>
              </w:rPr>
            </w:pPr>
            <w:r w:rsidRPr="00030181">
              <w:rPr>
                <w:rFonts w:ascii="Arial" w:hAnsi="Arial" w:cs="Arial"/>
              </w:rPr>
              <w:t>Partially</w:t>
            </w:r>
          </w:p>
        </w:tc>
        <w:tc>
          <w:tcPr>
            <w:tcW w:w="0" w:type="auto"/>
            <w:hideMark/>
          </w:tcPr>
          <w:p w14:paraId="22FEE6B4"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27E5546B"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23E467B9"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0C6BF40C" w14:textId="77777777" w:rsidR="00DA3615" w:rsidRPr="00030181" w:rsidRDefault="00DA3615" w:rsidP="005C5EBA">
            <w:pPr>
              <w:spacing w:after="160" w:line="360" w:lineRule="auto"/>
              <w:jc w:val="both"/>
              <w:rPr>
                <w:rFonts w:ascii="Arial" w:hAnsi="Arial" w:cs="Arial"/>
              </w:rPr>
            </w:pPr>
            <w:r w:rsidRPr="00030181">
              <w:rPr>
                <w:rFonts w:ascii="Arial" w:hAnsi="Arial" w:cs="Arial"/>
              </w:rPr>
              <w:t>Partially</w:t>
            </w:r>
          </w:p>
        </w:tc>
      </w:tr>
      <w:tr w:rsidR="00DA3615" w:rsidRPr="00030181" w14:paraId="036962A8" w14:textId="77777777" w:rsidTr="00DA3615">
        <w:tc>
          <w:tcPr>
            <w:tcW w:w="0" w:type="auto"/>
            <w:hideMark/>
          </w:tcPr>
          <w:p w14:paraId="1669A7E5" w14:textId="77777777" w:rsidR="00DA3615" w:rsidRPr="00030181" w:rsidRDefault="00DA3615" w:rsidP="005C5EBA">
            <w:pPr>
              <w:spacing w:after="160" w:line="360" w:lineRule="auto"/>
              <w:jc w:val="both"/>
              <w:rPr>
                <w:rFonts w:ascii="Arial" w:hAnsi="Arial" w:cs="Arial"/>
              </w:rPr>
            </w:pPr>
            <w:r w:rsidRPr="00030181">
              <w:rPr>
                <w:rFonts w:ascii="Arial" w:hAnsi="Arial" w:cs="Arial"/>
              </w:rPr>
              <w:t xml:space="preserve">Were confounding </w:t>
            </w:r>
            <w:r w:rsidRPr="00030181">
              <w:rPr>
                <w:rFonts w:ascii="Arial" w:hAnsi="Arial" w:cs="Arial"/>
              </w:rPr>
              <w:lastRenderedPageBreak/>
              <w:t>factors identified?</w:t>
            </w:r>
          </w:p>
        </w:tc>
        <w:tc>
          <w:tcPr>
            <w:tcW w:w="0" w:type="auto"/>
            <w:hideMark/>
          </w:tcPr>
          <w:p w14:paraId="6E5ABEC3" w14:textId="77777777" w:rsidR="00DA3615" w:rsidRPr="00030181" w:rsidRDefault="00DA3615" w:rsidP="005C5EBA">
            <w:pPr>
              <w:spacing w:after="160" w:line="360" w:lineRule="auto"/>
              <w:jc w:val="both"/>
              <w:rPr>
                <w:rFonts w:ascii="Arial" w:hAnsi="Arial" w:cs="Arial"/>
              </w:rPr>
            </w:pPr>
            <w:r w:rsidRPr="00030181">
              <w:rPr>
                <w:rFonts w:ascii="Arial" w:hAnsi="Arial" w:cs="Arial"/>
              </w:rPr>
              <w:lastRenderedPageBreak/>
              <w:t>Partially</w:t>
            </w:r>
          </w:p>
        </w:tc>
        <w:tc>
          <w:tcPr>
            <w:tcW w:w="0" w:type="auto"/>
            <w:hideMark/>
          </w:tcPr>
          <w:p w14:paraId="2A553ABC"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22BB1225" w14:textId="77777777" w:rsidR="00DA3615" w:rsidRPr="00030181" w:rsidRDefault="00DA3615" w:rsidP="005C5EBA">
            <w:pPr>
              <w:spacing w:after="160" w:line="360" w:lineRule="auto"/>
              <w:jc w:val="both"/>
              <w:rPr>
                <w:rFonts w:ascii="Arial" w:hAnsi="Arial" w:cs="Arial"/>
              </w:rPr>
            </w:pPr>
            <w:r w:rsidRPr="00030181">
              <w:rPr>
                <w:rFonts w:ascii="Arial" w:hAnsi="Arial" w:cs="Arial"/>
              </w:rPr>
              <w:t>Partially</w:t>
            </w:r>
          </w:p>
        </w:tc>
        <w:tc>
          <w:tcPr>
            <w:tcW w:w="0" w:type="auto"/>
            <w:hideMark/>
          </w:tcPr>
          <w:p w14:paraId="7DB3D2BB"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76A84019"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2FAFFC24"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0D68AAB4" w14:textId="77777777" w:rsidR="00DA3615" w:rsidRPr="00030181" w:rsidRDefault="00DA3615" w:rsidP="005C5EBA">
            <w:pPr>
              <w:spacing w:after="160" w:line="360" w:lineRule="auto"/>
              <w:jc w:val="both"/>
              <w:rPr>
                <w:rFonts w:ascii="Arial" w:hAnsi="Arial" w:cs="Arial"/>
              </w:rPr>
            </w:pPr>
            <w:r w:rsidRPr="00030181">
              <w:rPr>
                <w:rFonts w:ascii="Arial" w:hAnsi="Arial" w:cs="Arial"/>
              </w:rPr>
              <w:t>Partially</w:t>
            </w:r>
          </w:p>
        </w:tc>
      </w:tr>
      <w:tr w:rsidR="00DA3615" w:rsidRPr="00030181" w14:paraId="557C1869" w14:textId="77777777" w:rsidTr="00DA3615">
        <w:tc>
          <w:tcPr>
            <w:tcW w:w="0" w:type="auto"/>
            <w:hideMark/>
          </w:tcPr>
          <w:p w14:paraId="7CFA8166" w14:textId="77777777" w:rsidR="00DA3615" w:rsidRPr="00030181" w:rsidRDefault="00DA3615" w:rsidP="005C5EBA">
            <w:pPr>
              <w:spacing w:after="160" w:line="360" w:lineRule="auto"/>
              <w:jc w:val="both"/>
              <w:rPr>
                <w:rFonts w:ascii="Arial" w:hAnsi="Arial" w:cs="Arial"/>
              </w:rPr>
            </w:pPr>
            <w:r w:rsidRPr="00030181">
              <w:rPr>
                <w:rFonts w:ascii="Arial" w:hAnsi="Arial" w:cs="Arial"/>
              </w:rPr>
              <w:t>Were strategies to deal with confounding factors stated?</w:t>
            </w:r>
          </w:p>
        </w:tc>
        <w:tc>
          <w:tcPr>
            <w:tcW w:w="0" w:type="auto"/>
            <w:hideMark/>
          </w:tcPr>
          <w:p w14:paraId="31431300" w14:textId="77777777" w:rsidR="00DA3615" w:rsidRPr="00030181" w:rsidRDefault="00DA3615" w:rsidP="005C5EBA">
            <w:pPr>
              <w:spacing w:after="160" w:line="360" w:lineRule="auto"/>
              <w:jc w:val="both"/>
              <w:rPr>
                <w:rFonts w:ascii="Arial" w:hAnsi="Arial" w:cs="Arial"/>
              </w:rPr>
            </w:pPr>
            <w:r w:rsidRPr="00030181">
              <w:rPr>
                <w:rFonts w:ascii="Arial" w:hAnsi="Arial" w:cs="Arial"/>
              </w:rPr>
              <w:t>Partially</w:t>
            </w:r>
          </w:p>
        </w:tc>
        <w:tc>
          <w:tcPr>
            <w:tcW w:w="0" w:type="auto"/>
            <w:hideMark/>
          </w:tcPr>
          <w:p w14:paraId="753CC508"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375FC289" w14:textId="77777777" w:rsidR="00DA3615" w:rsidRPr="00030181" w:rsidRDefault="00DA3615" w:rsidP="005C5EBA">
            <w:pPr>
              <w:spacing w:after="160" w:line="360" w:lineRule="auto"/>
              <w:jc w:val="both"/>
              <w:rPr>
                <w:rFonts w:ascii="Arial" w:hAnsi="Arial" w:cs="Arial"/>
              </w:rPr>
            </w:pPr>
            <w:r w:rsidRPr="00030181">
              <w:rPr>
                <w:rFonts w:ascii="Arial" w:hAnsi="Arial" w:cs="Arial"/>
              </w:rPr>
              <w:t>No</w:t>
            </w:r>
          </w:p>
        </w:tc>
        <w:tc>
          <w:tcPr>
            <w:tcW w:w="0" w:type="auto"/>
            <w:hideMark/>
          </w:tcPr>
          <w:p w14:paraId="6FB6DAB5"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54F142E5"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46A02FD2"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0A5762F5" w14:textId="77777777" w:rsidR="00DA3615" w:rsidRPr="00030181" w:rsidRDefault="00DA3615" w:rsidP="005C5EBA">
            <w:pPr>
              <w:spacing w:after="160" w:line="360" w:lineRule="auto"/>
              <w:jc w:val="both"/>
              <w:rPr>
                <w:rFonts w:ascii="Arial" w:hAnsi="Arial" w:cs="Arial"/>
              </w:rPr>
            </w:pPr>
            <w:r w:rsidRPr="00030181">
              <w:rPr>
                <w:rFonts w:ascii="Arial" w:hAnsi="Arial" w:cs="Arial"/>
              </w:rPr>
              <w:t>Partially</w:t>
            </w:r>
          </w:p>
        </w:tc>
      </w:tr>
      <w:tr w:rsidR="00DA3615" w:rsidRPr="00030181" w14:paraId="41410332" w14:textId="77777777" w:rsidTr="00DA3615">
        <w:tc>
          <w:tcPr>
            <w:tcW w:w="0" w:type="auto"/>
            <w:hideMark/>
          </w:tcPr>
          <w:p w14:paraId="14C151F5" w14:textId="77777777" w:rsidR="00DA3615" w:rsidRPr="00030181" w:rsidRDefault="00DA3615" w:rsidP="005C5EBA">
            <w:pPr>
              <w:spacing w:after="160" w:line="360" w:lineRule="auto"/>
              <w:jc w:val="both"/>
              <w:rPr>
                <w:rFonts w:ascii="Arial" w:hAnsi="Arial" w:cs="Arial"/>
              </w:rPr>
            </w:pPr>
            <w:r w:rsidRPr="00030181">
              <w:rPr>
                <w:rFonts w:ascii="Arial" w:hAnsi="Arial" w:cs="Arial"/>
              </w:rPr>
              <w:t>Were the outcomes measured in a valid and reliable way?</w:t>
            </w:r>
          </w:p>
        </w:tc>
        <w:tc>
          <w:tcPr>
            <w:tcW w:w="0" w:type="auto"/>
            <w:hideMark/>
          </w:tcPr>
          <w:p w14:paraId="5771E75D"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47C5BFF0"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08613C46"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1551F3FE"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040A1159"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11482E0B"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191B2401"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r>
      <w:tr w:rsidR="00DA3615" w:rsidRPr="00030181" w14:paraId="3AC9855D" w14:textId="77777777" w:rsidTr="00DA3615">
        <w:tc>
          <w:tcPr>
            <w:tcW w:w="0" w:type="auto"/>
            <w:hideMark/>
          </w:tcPr>
          <w:p w14:paraId="76245DEB" w14:textId="77777777" w:rsidR="00DA3615" w:rsidRPr="00030181" w:rsidRDefault="00DA3615" w:rsidP="005C5EBA">
            <w:pPr>
              <w:spacing w:after="160" w:line="360" w:lineRule="auto"/>
              <w:jc w:val="both"/>
              <w:rPr>
                <w:rFonts w:ascii="Arial" w:hAnsi="Arial" w:cs="Arial"/>
              </w:rPr>
            </w:pPr>
            <w:r w:rsidRPr="00030181">
              <w:rPr>
                <w:rFonts w:ascii="Arial" w:hAnsi="Arial" w:cs="Arial"/>
              </w:rPr>
              <w:t>Was appropriate statistical analysis used?</w:t>
            </w:r>
          </w:p>
        </w:tc>
        <w:tc>
          <w:tcPr>
            <w:tcW w:w="0" w:type="auto"/>
            <w:hideMark/>
          </w:tcPr>
          <w:p w14:paraId="6C33E885"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1E6C22BD"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357D8035"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2AAC3909"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2C14E88F"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392A8B12"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3025F234"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r>
    </w:tbl>
    <w:p w14:paraId="0CEA1D41" w14:textId="77777777" w:rsidR="00DA3615" w:rsidRPr="00030181" w:rsidRDefault="00DA3615" w:rsidP="005C5EBA">
      <w:pPr>
        <w:spacing w:line="360" w:lineRule="auto"/>
        <w:jc w:val="both"/>
        <w:rPr>
          <w:rFonts w:ascii="Arial" w:hAnsi="Arial" w:cs="Arial"/>
        </w:rPr>
      </w:pPr>
    </w:p>
    <w:p w14:paraId="600E1DC5" w14:textId="2E018F7B" w:rsidR="00DA3615" w:rsidRPr="00030181" w:rsidRDefault="00DA3615" w:rsidP="005C5EBA">
      <w:pPr>
        <w:spacing w:line="360" w:lineRule="auto"/>
        <w:jc w:val="both"/>
        <w:rPr>
          <w:rFonts w:ascii="Arial" w:hAnsi="Arial" w:cs="Arial"/>
        </w:rPr>
      </w:pPr>
      <w:r w:rsidRPr="00030181">
        <w:rPr>
          <w:rFonts w:ascii="Arial" w:hAnsi="Arial" w:cs="Arial"/>
        </w:rPr>
        <w:t>JBI (2017) Critical Appraisal Checklist for Cohort Studies</w:t>
      </w:r>
    </w:p>
    <w:tbl>
      <w:tblPr>
        <w:tblStyle w:val="TableGrid"/>
        <w:tblW w:w="0" w:type="auto"/>
        <w:tblLook w:val="04A0" w:firstRow="1" w:lastRow="0" w:firstColumn="1" w:lastColumn="0" w:noHBand="0" w:noVBand="1"/>
      </w:tblPr>
      <w:tblGrid>
        <w:gridCol w:w="6881"/>
        <w:gridCol w:w="2135"/>
      </w:tblGrid>
      <w:tr w:rsidR="00DA3615" w:rsidRPr="00030181" w14:paraId="37A5E93E" w14:textId="77777777" w:rsidTr="00DA3615">
        <w:tc>
          <w:tcPr>
            <w:tcW w:w="0" w:type="auto"/>
            <w:hideMark/>
          </w:tcPr>
          <w:p w14:paraId="1898F85E" w14:textId="77777777" w:rsidR="00DA3615" w:rsidRPr="00030181" w:rsidRDefault="00DA3615" w:rsidP="005C5EBA">
            <w:pPr>
              <w:spacing w:after="160" w:line="360" w:lineRule="auto"/>
              <w:jc w:val="both"/>
              <w:rPr>
                <w:rFonts w:ascii="Arial" w:hAnsi="Arial" w:cs="Arial"/>
              </w:rPr>
            </w:pPr>
            <w:r w:rsidRPr="00030181">
              <w:rPr>
                <w:rFonts w:ascii="Arial" w:hAnsi="Arial" w:cs="Arial"/>
              </w:rPr>
              <w:t>Questions</w:t>
            </w:r>
          </w:p>
        </w:tc>
        <w:tc>
          <w:tcPr>
            <w:tcW w:w="0" w:type="auto"/>
            <w:hideMark/>
          </w:tcPr>
          <w:p w14:paraId="3F7CF3E8" w14:textId="77777777" w:rsidR="00DA3615" w:rsidRPr="00030181" w:rsidRDefault="00DA3615" w:rsidP="005C5EBA">
            <w:pPr>
              <w:spacing w:after="160" w:line="360" w:lineRule="auto"/>
              <w:jc w:val="both"/>
              <w:rPr>
                <w:rFonts w:ascii="Arial" w:hAnsi="Arial" w:cs="Arial"/>
              </w:rPr>
            </w:pPr>
            <w:r w:rsidRPr="00030181">
              <w:rPr>
                <w:rFonts w:ascii="Arial" w:hAnsi="Arial" w:cs="Arial"/>
              </w:rPr>
              <w:t>Eichelmann et al. (2024)</w:t>
            </w:r>
          </w:p>
        </w:tc>
      </w:tr>
      <w:tr w:rsidR="00DA3615" w:rsidRPr="00030181" w14:paraId="095D285D" w14:textId="77777777" w:rsidTr="00DA3615">
        <w:tc>
          <w:tcPr>
            <w:tcW w:w="0" w:type="auto"/>
            <w:hideMark/>
          </w:tcPr>
          <w:p w14:paraId="72F1C0D1" w14:textId="77777777" w:rsidR="00DA3615" w:rsidRPr="00030181" w:rsidRDefault="00DA3615" w:rsidP="005C5EBA">
            <w:pPr>
              <w:spacing w:after="160" w:line="360" w:lineRule="auto"/>
              <w:jc w:val="both"/>
              <w:rPr>
                <w:rFonts w:ascii="Arial" w:hAnsi="Arial" w:cs="Arial"/>
              </w:rPr>
            </w:pPr>
            <w:r w:rsidRPr="00030181">
              <w:rPr>
                <w:rFonts w:ascii="Arial" w:hAnsi="Arial" w:cs="Arial"/>
              </w:rPr>
              <w:t>Were the two groups similar and recruited from the same population?</w:t>
            </w:r>
          </w:p>
        </w:tc>
        <w:tc>
          <w:tcPr>
            <w:tcW w:w="0" w:type="auto"/>
            <w:hideMark/>
          </w:tcPr>
          <w:p w14:paraId="3F7F1533"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r>
      <w:tr w:rsidR="00DA3615" w:rsidRPr="00030181" w14:paraId="13BFE0C5" w14:textId="77777777" w:rsidTr="00DA3615">
        <w:tc>
          <w:tcPr>
            <w:tcW w:w="0" w:type="auto"/>
            <w:hideMark/>
          </w:tcPr>
          <w:p w14:paraId="55E21B4D" w14:textId="77777777" w:rsidR="00DA3615" w:rsidRPr="00030181" w:rsidRDefault="00DA3615" w:rsidP="005C5EBA">
            <w:pPr>
              <w:spacing w:after="160" w:line="360" w:lineRule="auto"/>
              <w:jc w:val="both"/>
              <w:rPr>
                <w:rFonts w:ascii="Arial" w:hAnsi="Arial" w:cs="Arial"/>
              </w:rPr>
            </w:pPr>
            <w:r w:rsidRPr="00030181">
              <w:rPr>
                <w:rFonts w:ascii="Arial" w:hAnsi="Arial" w:cs="Arial"/>
              </w:rPr>
              <w:t>Were the exposures measured similarly to assign people to both exposed and unexposed groups?</w:t>
            </w:r>
          </w:p>
        </w:tc>
        <w:tc>
          <w:tcPr>
            <w:tcW w:w="0" w:type="auto"/>
            <w:hideMark/>
          </w:tcPr>
          <w:p w14:paraId="5E3E368E"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r>
      <w:tr w:rsidR="00DA3615" w:rsidRPr="00030181" w14:paraId="24F78AF6" w14:textId="77777777" w:rsidTr="00DA3615">
        <w:tc>
          <w:tcPr>
            <w:tcW w:w="0" w:type="auto"/>
            <w:hideMark/>
          </w:tcPr>
          <w:p w14:paraId="431EB0B8" w14:textId="77777777" w:rsidR="00DA3615" w:rsidRPr="00030181" w:rsidRDefault="00DA3615" w:rsidP="005C5EBA">
            <w:pPr>
              <w:spacing w:after="160" w:line="360" w:lineRule="auto"/>
              <w:jc w:val="both"/>
              <w:rPr>
                <w:rFonts w:ascii="Arial" w:hAnsi="Arial" w:cs="Arial"/>
              </w:rPr>
            </w:pPr>
            <w:r w:rsidRPr="00030181">
              <w:rPr>
                <w:rFonts w:ascii="Arial" w:hAnsi="Arial" w:cs="Arial"/>
              </w:rPr>
              <w:t>Was the exposure measured in a valid and reliable way?</w:t>
            </w:r>
          </w:p>
        </w:tc>
        <w:tc>
          <w:tcPr>
            <w:tcW w:w="0" w:type="auto"/>
            <w:hideMark/>
          </w:tcPr>
          <w:p w14:paraId="0B6E63CE"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r>
      <w:tr w:rsidR="00DA3615" w:rsidRPr="00030181" w14:paraId="27C84EA0" w14:textId="77777777" w:rsidTr="00DA3615">
        <w:tc>
          <w:tcPr>
            <w:tcW w:w="0" w:type="auto"/>
            <w:hideMark/>
          </w:tcPr>
          <w:p w14:paraId="479AD0E4" w14:textId="77777777" w:rsidR="00DA3615" w:rsidRPr="00030181" w:rsidRDefault="00DA3615" w:rsidP="005C5EBA">
            <w:pPr>
              <w:spacing w:after="160" w:line="360" w:lineRule="auto"/>
              <w:jc w:val="both"/>
              <w:rPr>
                <w:rFonts w:ascii="Arial" w:hAnsi="Arial" w:cs="Arial"/>
              </w:rPr>
            </w:pPr>
            <w:r w:rsidRPr="00030181">
              <w:rPr>
                <w:rFonts w:ascii="Arial" w:hAnsi="Arial" w:cs="Arial"/>
              </w:rPr>
              <w:t>Were confounding factors identified?</w:t>
            </w:r>
          </w:p>
        </w:tc>
        <w:tc>
          <w:tcPr>
            <w:tcW w:w="0" w:type="auto"/>
            <w:hideMark/>
          </w:tcPr>
          <w:p w14:paraId="194C8649"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r>
      <w:tr w:rsidR="00DA3615" w:rsidRPr="00030181" w14:paraId="11E8F476" w14:textId="77777777" w:rsidTr="00DA3615">
        <w:tc>
          <w:tcPr>
            <w:tcW w:w="0" w:type="auto"/>
            <w:hideMark/>
          </w:tcPr>
          <w:p w14:paraId="4A7D1B21" w14:textId="77777777" w:rsidR="00DA3615" w:rsidRPr="00030181" w:rsidRDefault="00DA3615" w:rsidP="005C5EBA">
            <w:pPr>
              <w:spacing w:after="160" w:line="360" w:lineRule="auto"/>
              <w:jc w:val="both"/>
              <w:rPr>
                <w:rFonts w:ascii="Arial" w:hAnsi="Arial" w:cs="Arial"/>
              </w:rPr>
            </w:pPr>
            <w:r w:rsidRPr="00030181">
              <w:rPr>
                <w:rFonts w:ascii="Arial" w:hAnsi="Arial" w:cs="Arial"/>
              </w:rPr>
              <w:t>Were strategies to deal with confounding factors stated?</w:t>
            </w:r>
          </w:p>
        </w:tc>
        <w:tc>
          <w:tcPr>
            <w:tcW w:w="0" w:type="auto"/>
            <w:hideMark/>
          </w:tcPr>
          <w:p w14:paraId="3C869402"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r>
      <w:tr w:rsidR="00DA3615" w:rsidRPr="00030181" w14:paraId="7BD77332" w14:textId="77777777" w:rsidTr="00DA3615">
        <w:tc>
          <w:tcPr>
            <w:tcW w:w="0" w:type="auto"/>
            <w:hideMark/>
          </w:tcPr>
          <w:p w14:paraId="30F6FD47" w14:textId="77777777" w:rsidR="00DA3615" w:rsidRPr="00030181" w:rsidRDefault="00DA3615" w:rsidP="005C5EBA">
            <w:pPr>
              <w:spacing w:after="160" w:line="360" w:lineRule="auto"/>
              <w:jc w:val="both"/>
              <w:rPr>
                <w:rFonts w:ascii="Arial" w:hAnsi="Arial" w:cs="Arial"/>
              </w:rPr>
            </w:pPr>
            <w:r w:rsidRPr="00030181">
              <w:rPr>
                <w:rFonts w:ascii="Arial" w:hAnsi="Arial" w:cs="Arial"/>
              </w:rPr>
              <w:t>Were the groups/participants free of the outcome at the start of the study?</w:t>
            </w:r>
          </w:p>
        </w:tc>
        <w:tc>
          <w:tcPr>
            <w:tcW w:w="0" w:type="auto"/>
            <w:hideMark/>
          </w:tcPr>
          <w:p w14:paraId="0E5F5F4B"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r>
      <w:tr w:rsidR="00DA3615" w:rsidRPr="00030181" w14:paraId="0A32B4AB" w14:textId="77777777" w:rsidTr="00DA3615">
        <w:tc>
          <w:tcPr>
            <w:tcW w:w="0" w:type="auto"/>
            <w:hideMark/>
          </w:tcPr>
          <w:p w14:paraId="136B32CA" w14:textId="77777777" w:rsidR="00DA3615" w:rsidRPr="00030181" w:rsidRDefault="00DA3615" w:rsidP="005C5EBA">
            <w:pPr>
              <w:spacing w:after="160" w:line="360" w:lineRule="auto"/>
              <w:jc w:val="both"/>
              <w:rPr>
                <w:rFonts w:ascii="Arial" w:hAnsi="Arial" w:cs="Arial"/>
              </w:rPr>
            </w:pPr>
            <w:r w:rsidRPr="00030181">
              <w:rPr>
                <w:rFonts w:ascii="Arial" w:hAnsi="Arial" w:cs="Arial"/>
              </w:rPr>
              <w:t>Were the outcomes measured in a valid and reliable way?</w:t>
            </w:r>
          </w:p>
        </w:tc>
        <w:tc>
          <w:tcPr>
            <w:tcW w:w="0" w:type="auto"/>
            <w:hideMark/>
          </w:tcPr>
          <w:p w14:paraId="128818F9"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r>
      <w:tr w:rsidR="00DA3615" w:rsidRPr="00030181" w14:paraId="06103B9B" w14:textId="77777777" w:rsidTr="00DA3615">
        <w:tc>
          <w:tcPr>
            <w:tcW w:w="0" w:type="auto"/>
            <w:hideMark/>
          </w:tcPr>
          <w:p w14:paraId="5649BE0A" w14:textId="77777777" w:rsidR="00DA3615" w:rsidRPr="00030181" w:rsidRDefault="00DA3615" w:rsidP="005C5EBA">
            <w:pPr>
              <w:spacing w:after="160" w:line="360" w:lineRule="auto"/>
              <w:jc w:val="both"/>
              <w:rPr>
                <w:rFonts w:ascii="Arial" w:hAnsi="Arial" w:cs="Arial"/>
              </w:rPr>
            </w:pPr>
            <w:r w:rsidRPr="00030181">
              <w:rPr>
                <w:rFonts w:ascii="Arial" w:hAnsi="Arial" w:cs="Arial"/>
              </w:rPr>
              <w:lastRenderedPageBreak/>
              <w:t>Was the follow up time reported and sufficient to be long enough for outcomes to occur?</w:t>
            </w:r>
          </w:p>
        </w:tc>
        <w:tc>
          <w:tcPr>
            <w:tcW w:w="0" w:type="auto"/>
            <w:hideMark/>
          </w:tcPr>
          <w:p w14:paraId="660C6F21"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r>
      <w:tr w:rsidR="00DA3615" w:rsidRPr="00030181" w14:paraId="57C7C39A" w14:textId="77777777" w:rsidTr="00DA3615">
        <w:tc>
          <w:tcPr>
            <w:tcW w:w="0" w:type="auto"/>
            <w:hideMark/>
          </w:tcPr>
          <w:p w14:paraId="37CB4B07" w14:textId="77777777" w:rsidR="00DA3615" w:rsidRPr="00030181" w:rsidRDefault="00DA3615" w:rsidP="005C5EBA">
            <w:pPr>
              <w:spacing w:after="160" w:line="360" w:lineRule="auto"/>
              <w:jc w:val="both"/>
              <w:rPr>
                <w:rFonts w:ascii="Arial" w:hAnsi="Arial" w:cs="Arial"/>
              </w:rPr>
            </w:pPr>
            <w:r w:rsidRPr="00030181">
              <w:rPr>
                <w:rFonts w:ascii="Arial" w:hAnsi="Arial" w:cs="Arial"/>
              </w:rPr>
              <w:t>Was follow up complete, and if not, were the reasons to loss to follow up described and explored?</w:t>
            </w:r>
          </w:p>
        </w:tc>
        <w:tc>
          <w:tcPr>
            <w:tcW w:w="0" w:type="auto"/>
            <w:hideMark/>
          </w:tcPr>
          <w:p w14:paraId="0D0A1B58" w14:textId="77777777" w:rsidR="00DA3615" w:rsidRPr="00030181" w:rsidRDefault="00DA3615" w:rsidP="005C5EBA">
            <w:pPr>
              <w:spacing w:after="160" w:line="360" w:lineRule="auto"/>
              <w:jc w:val="both"/>
              <w:rPr>
                <w:rFonts w:ascii="Arial" w:hAnsi="Arial" w:cs="Arial"/>
              </w:rPr>
            </w:pPr>
            <w:r w:rsidRPr="00030181">
              <w:rPr>
                <w:rFonts w:ascii="Arial" w:hAnsi="Arial" w:cs="Arial"/>
              </w:rPr>
              <w:t>Partially</w:t>
            </w:r>
          </w:p>
        </w:tc>
      </w:tr>
      <w:tr w:rsidR="00DA3615" w:rsidRPr="00030181" w14:paraId="6FB68642" w14:textId="77777777" w:rsidTr="00DA3615">
        <w:tc>
          <w:tcPr>
            <w:tcW w:w="0" w:type="auto"/>
            <w:hideMark/>
          </w:tcPr>
          <w:p w14:paraId="25A7D379" w14:textId="77777777" w:rsidR="00DA3615" w:rsidRPr="00030181" w:rsidRDefault="00DA3615" w:rsidP="005C5EBA">
            <w:pPr>
              <w:spacing w:after="160" w:line="360" w:lineRule="auto"/>
              <w:jc w:val="both"/>
              <w:rPr>
                <w:rFonts w:ascii="Arial" w:hAnsi="Arial" w:cs="Arial"/>
              </w:rPr>
            </w:pPr>
            <w:r w:rsidRPr="00030181">
              <w:rPr>
                <w:rFonts w:ascii="Arial" w:hAnsi="Arial" w:cs="Arial"/>
              </w:rPr>
              <w:t>Were strategies to address incomplete follow up utilized?</w:t>
            </w:r>
          </w:p>
        </w:tc>
        <w:tc>
          <w:tcPr>
            <w:tcW w:w="0" w:type="auto"/>
            <w:hideMark/>
          </w:tcPr>
          <w:p w14:paraId="32688B58" w14:textId="77777777" w:rsidR="00DA3615" w:rsidRPr="00030181" w:rsidRDefault="00DA3615" w:rsidP="005C5EBA">
            <w:pPr>
              <w:spacing w:after="160" w:line="360" w:lineRule="auto"/>
              <w:jc w:val="both"/>
              <w:rPr>
                <w:rFonts w:ascii="Arial" w:hAnsi="Arial" w:cs="Arial"/>
              </w:rPr>
            </w:pPr>
            <w:r w:rsidRPr="00030181">
              <w:rPr>
                <w:rFonts w:ascii="Arial" w:hAnsi="Arial" w:cs="Arial"/>
              </w:rPr>
              <w:t>Partially</w:t>
            </w:r>
          </w:p>
        </w:tc>
      </w:tr>
      <w:tr w:rsidR="00DA3615" w:rsidRPr="00030181" w14:paraId="2619F8C0" w14:textId="77777777" w:rsidTr="00DA3615">
        <w:tc>
          <w:tcPr>
            <w:tcW w:w="0" w:type="auto"/>
            <w:hideMark/>
          </w:tcPr>
          <w:p w14:paraId="48498345" w14:textId="77777777" w:rsidR="00DA3615" w:rsidRPr="00030181" w:rsidRDefault="00DA3615" w:rsidP="005C5EBA">
            <w:pPr>
              <w:spacing w:after="160" w:line="360" w:lineRule="auto"/>
              <w:jc w:val="both"/>
              <w:rPr>
                <w:rFonts w:ascii="Arial" w:hAnsi="Arial" w:cs="Arial"/>
              </w:rPr>
            </w:pPr>
            <w:r w:rsidRPr="00030181">
              <w:rPr>
                <w:rFonts w:ascii="Arial" w:hAnsi="Arial" w:cs="Arial"/>
              </w:rPr>
              <w:t>Was appropriate statistical analysis used?</w:t>
            </w:r>
          </w:p>
        </w:tc>
        <w:tc>
          <w:tcPr>
            <w:tcW w:w="0" w:type="auto"/>
            <w:hideMark/>
          </w:tcPr>
          <w:p w14:paraId="473DBA1E"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r>
    </w:tbl>
    <w:p w14:paraId="678A1B41" w14:textId="77777777" w:rsidR="00DA3615" w:rsidRPr="00030181" w:rsidRDefault="00DA3615" w:rsidP="005C5EBA">
      <w:pPr>
        <w:spacing w:line="360" w:lineRule="auto"/>
        <w:jc w:val="both"/>
        <w:rPr>
          <w:rFonts w:ascii="Arial" w:hAnsi="Arial" w:cs="Arial"/>
        </w:rPr>
      </w:pPr>
    </w:p>
    <w:p w14:paraId="4D68AE26" w14:textId="0C71099A" w:rsidR="00DA3615" w:rsidRPr="00030181" w:rsidRDefault="00DA3615" w:rsidP="005C5EBA">
      <w:pPr>
        <w:spacing w:line="360" w:lineRule="auto"/>
        <w:jc w:val="both"/>
        <w:rPr>
          <w:rFonts w:ascii="Arial" w:hAnsi="Arial" w:cs="Arial"/>
        </w:rPr>
      </w:pPr>
      <w:r w:rsidRPr="00030181">
        <w:rPr>
          <w:rFonts w:ascii="Arial" w:hAnsi="Arial" w:cs="Arial"/>
        </w:rPr>
        <w:t>Appraisal of Evidence Synthesis / Programme Development Studies</w:t>
      </w:r>
    </w:p>
    <w:tbl>
      <w:tblPr>
        <w:tblStyle w:val="TableGrid"/>
        <w:tblW w:w="0" w:type="auto"/>
        <w:tblLook w:val="04A0" w:firstRow="1" w:lastRow="0" w:firstColumn="1" w:lastColumn="0" w:noHBand="0" w:noVBand="1"/>
      </w:tblPr>
      <w:tblGrid>
        <w:gridCol w:w="3957"/>
        <w:gridCol w:w="1682"/>
        <w:gridCol w:w="1518"/>
        <w:gridCol w:w="1859"/>
      </w:tblGrid>
      <w:tr w:rsidR="00DA3615" w:rsidRPr="00030181" w14:paraId="6B6DE1A9" w14:textId="77777777" w:rsidTr="00DA3615">
        <w:tc>
          <w:tcPr>
            <w:tcW w:w="0" w:type="auto"/>
            <w:hideMark/>
          </w:tcPr>
          <w:p w14:paraId="43EDBDD3" w14:textId="77777777" w:rsidR="00DA3615" w:rsidRPr="00030181" w:rsidRDefault="00DA3615" w:rsidP="005C5EBA">
            <w:pPr>
              <w:spacing w:after="160" w:line="360" w:lineRule="auto"/>
              <w:jc w:val="both"/>
              <w:rPr>
                <w:rFonts w:ascii="Arial" w:hAnsi="Arial" w:cs="Arial"/>
              </w:rPr>
            </w:pPr>
            <w:r w:rsidRPr="00030181">
              <w:rPr>
                <w:rFonts w:ascii="Arial" w:hAnsi="Arial" w:cs="Arial"/>
              </w:rPr>
              <w:t>Questions</w:t>
            </w:r>
          </w:p>
        </w:tc>
        <w:tc>
          <w:tcPr>
            <w:tcW w:w="0" w:type="auto"/>
            <w:hideMark/>
          </w:tcPr>
          <w:p w14:paraId="12980F36" w14:textId="77777777" w:rsidR="00DA3615" w:rsidRPr="00030181" w:rsidRDefault="00DA3615" w:rsidP="005C5EBA">
            <w:pPr>
              <w:spacing w:after="160" w:line="360" w:lineRule="auto"/>
              <w:jc w:val="both"/>
              <w:rPr>
                <w:rFonts w:ascii="Arial" w:hAnsi="Arial" w:cs="Arial"/>
              </w:rPr>
            </w:pPr>
            <w:r w:rsidRPr="00030181">
              <w:rPr>
                <w:rFonts w:ascii="Arial" w:hAnsi="Arial" w:cs="Arial"/>
              </w:rPr>
              <w:t>Bunn et al. (2018)</w:t>
            </w:r>
          </w:p>
        </w:tc>
        <w:tc>
          <w:tcPr>
            <w:tcW w:w="0" w:type="auto"/>
            <w:hideMark/>
          </w:tcPr>
          <w:p w14:paraId="6E8C5000" w14:textId="77777777" w:rsidR="00DA3615" w:rsidRPr="00030181" w:rsidRDefault="00DA3615" w:rsidP="005C5EBA">
            <w:pPr>
              <w:spacing w:after="160" w:line="360" w:lineRule="auto"/>
              <w:jc w:val="both"/>
              <w:rPr>
                <w:rFonts w:ascii="Arial" w:hAnsi="Arial" w:cs="Arial"/>
              </w:rPr>
            </w:pPr>
            <w:r w:rsidRPr="00030181">
              <w:rPr>
                <w:rFonts w:ascii="Arial" w:hAnsi="Arial" w:cs="Arial"/>
              </w:rPr>
              <w:t>Liu et al. (2024)</w:t>
            </w:r>
          </w:p>
        </w:tc>
        <w:tc>
          <w:tcPr>
            <w:tcW w:w="0" w:type="auto"/>
            <w:hideMark/>
          </w:tcPr>
          <w:p w14:paraId="17E5F17C" w14:textId="77777777" w:rsidR="00DA3615" w:rsidRPr="00030181" w:rsidRDefault="00DA3615" w:rsidP="005C5EBA">
            <w:pPr>
              <w:spacing w:after="160" w:line="360" w:lineRule="auto"/>
              <w:jc w:val="both"/>
              <w:rPr>
                <w:rFonts w:ascii="Arial" w:hAnsi="Arial" w:cs="Arial"/>
              </w:rPr>
            </w:pPr>
            <w:r w:rsidRPr="00030181">
              <w:rPr>
                <w:rFonts w:ascii="Arial" w:hAnsi="Arial" w:cs="Arial"/>
              </w:rPr>
              <w:t>Cereda et al. (2016)</w:t>
            </w:r>
          </w:p>
        </w:tc>
      </w:tr>
      <w:tr w:rsidR="00DA3615" w:rsidRPr="00030181" w14:paraId="60ECAAAA" w14:textId="77777777" w:rsidTr="00DA3615">
        <w:tc>
          <w:tcPr>
            <w:tcW w:w="0" w:type="auto"/>
            <w:hideMark/>
          </w:tcPr>
          <w:p w14:paraId="7176F266" w14:textId="77777777" w:rsidR="00DA3615" w:rsidRPr="00030181" w:rsidRDefault="00DA3615" w:rsidP="005C5EBA">
            <w:pPr>
              <w:spacing w:after="160" w:line="360" w:lineRule="auto"/>
              <w:jc w:val="both"/>
              <w:rPr>
                <w:rFonts w:ascii="Arial" w:hAnsi="Arial" w:cs="Arial"/>
              </w:rPr>
            </w:pPr>
            <w:r w:rsidRPr="00030181">
              <w:rPr>
                <w:rFonts w:ascii="Arial" w:hAnsi="Arial" w:cs="Arial"/>
              </w:rPr>
              <w:t>Was there a clear objective?</w:t>
            </w:r>
          </w:p>
        </w:tc>
        <w:tc>
          <w:tcPr>
            <w:tcW w:w="0" w:type="auto"/>
            <w:hideMark/>
          </w:tcPr>
          <w:p w14:paraId="7B3E235E"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19DFD825"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3B73B4D2"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r>
      <w:tr w:rsidR="00DA3615" w:rsidRPr="00030181" w14:paraId="5490D0DE" w14:textId="77777777" w:rsidTr="00DA3615">
        <w:tc>
          <w:tcPr>
            <w:tcW w:w="0" w:type="auto"/>
            <w:hideMark/>
          </w:tcPr>
          <w:p w14:paraId="725C1572" w14:textId="77777777" w:rsidR="00DA3615" w:rsidRPr="00030181" w:rsidRDefault="00DA3615" w:rsidP="005C5EBA">
            <w:pPr>
              <w:spacing w:after="160" w:line="360" w:lineRule="auto"/>
              <w:jc w:val="both"/>
              <w:rPr>
                <w:rFonts w:ascii="Arial" w:hAnsi="Arial" w:cs="Arial"/>
              </w:rPr>
            </w:pPr>
            <w:r w:rsidRPr="00030181">
              <w:rPr>
                <w:rFonts w:ascii="Arial" w:hAnsi="Arial" w:cs="Arial"/>
              </w:rPr>
              <w:t>Was the methodology appropriate?</w:t>
            </w:r>
          </w:p>
        </w:tc>
        <w:tc>
          <w:tcPr>
            <w:tcW w:w="0" w:type="auto"/>
            <w:hideMark/>
          </w:tcPr>
          <w:p w14:paraId="51AFA083"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59ADA338"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755B8F2E"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r>
      <w:tr w:rsidR="00DA3615" w:rsidRPr="00030181" w14:paraId="2223F6CE" w14:textId="77777777" w:rsidTr="00DA3615">
        <w:tc>
          <w:tcPr>
            <w:tcW w:w="0" w:type="auto"/>
            <w:hideMark/>
          </w:tcPr>
          <w:p w14:paraId="52A9C9E9" w14:textId="77777777" w:rsidR="00DA3615" w:rsidRPr="00030181" w:rsidRDefault="00DA3615" w:rsidP="005C5EBA">
            <w:pPr>
              <w:spacing w:after="160" w:line="360" w:lineRule="auto"/>
              <w:jc w:val="both"/>
              <w:rPr>
                <w:rFonts w:ascii="Arial" w:hAnsi="Arial" w:cs="Arial"/>
              </w:rPr>
            </w:pPr>
            <w:r w:rsidRPr="00030181">
              <w:rPr>
                <w:rFonts w:ascii="Arial" w:hAnsi="Arial" w:cs="Arial"/>
              </w:rPr>
              <w:t>Were evidence sources clearly described?</w:t>
            </w:r>
          </w:p>
        </w:tc>
        <w:tc>
          <w:tcPr>
            <w:tcW w:w="0" w:type="auto"/>
            <w:hideMark/>
          </w:tcPr>
          <w:p w14:paraId="56B3D3BF"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4BCF3A00"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67F0F640"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r>
      <w:tr w:rsidR="00DA3615" w:rsidRPr="00030181" w14:paraId="40F015B6" w14:textId="77777777" w:rsidTr="00DA3615">
        <w:tc>
          <w:tcPr>
            <w:tcW w:w="0" w:type="auto"/>
            <w:hideMark/>
          </w:tcPr>
          <w:p w14:paraId="58BFF27C" w14:textId="77777777" w:rsidR="00DA3615" w:rsidRPr="00030181" w:rsidRDefault="00DA3615" w:rsidP="005C5EBA">
            <w:pPr>
              <w:spacing w:after="160" w:line="360" w:lineRule="auto"/>
              <w:jc w:val="both"/>
              <w:rPr>
                <w:rFonts w:ascii="Arial" w:hAnsi="Arial" w:cs="Arial"/>
              </w:rPr>
            </w:pPr>
            <w:r w:rsidRPr="00030181">
              <w:rPr>
                <w:rFonts w:ascii="Arial" w:hAnsi="Arial" w:cs="Arial"/>
              </w:rPr>
              <w:t>Were methods transparent and reproducible?</w:t>
            </w:r>
          </w:p>
        </w:tc>
        <w:tc>
          <w:tcPr>
            <w:tcW w:w="0" w:type="auto"/>
            <w:hideMark/>
          </w:tcPr>
          <w:p w14:paraId="56C65AFC"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129D4A85"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3740830B"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r>
      <w:tr w:rsidR="00DA3615" w:rsidRPr="00030181" w14:paraId="69DC5586" w14:textId="77777777" w:rsidTr="00DA3615">
        <w:tc>
          <w:tcPr>
            <w:tcW w:w="0" w:type="auto"/>
            <w:hideMark/>
          </w:tcPr>
          <w:p w14:paraId="557DC35A" w14:textId="77777777" w:rsidR="00DA3615" w:rsidRPr="00030181" w:rsidRDefault="00DA3615" w:rsidP="005C5EBA">
            <w:pPr>
              <w:spacing w:after="160" w:line="360" w:lineRule="auto"/>
              <w:jc w:val="both"/>
              <w:rPr>
                <w:rFonts w:ascii="Arial" w:hAnsi="Arial" w:cs="Arial"/>
              </w:rPr>
            </w:pPr>
            <w:r w:rsidRPr="00030181">
              <w:rPr>
                <w:rFonts w:ascii="Arial" w:hAnsi="Arial" w:cs="Arial"/>
              </w:rPr>
              <w:t>Were conclusions supported by evidence?</w:t>
            </w:r>
          </w:p>
        </w:tc>
        <w:tc>
          <w:tcPr>
            <w:tcW w:w="0" w:type="auto"/>
            <w:hideMark/>
          </w:tcPr>
          <w:p w14:paraId="54BC4489"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559E2ABD"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2FDA6EE0"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r>
      <w:tr w:rsidR="00DA3615" w:rsidRPr="00030181" w14:paraId="21D79385" w14:textId="77777777" w:rsidTr="00DA3615">
        <w:tc>
          <w:tcPr>
            <w:tcW w:w="0" w:type="auto"/>
            <w:hideMark/>
          </w:tcPr>
          <w:p w14:paraId="44C9E0D4" w14:textId="77777777" w:rsidR="00DA3615" w:rsidRPr="00030181" w:rsidRDefault="00DA3615" w:rsidP="005C5EBA">
            <w:pPr>
              <w:spacing w:after="160" w:line="360" w:lineRule="auto"/>
              <w:jc w:val="both"/>
              <w:rPr>
                <w:rFonts w:ascii="Arial" w:hAnsi="Arial" w:cs="Arial"/>
              </w:rPr>
            </w:pPr>
            <w:r w:rsidRPr="00030181">
              <w:rPr>
                <w:rFonts w:ascii="Arial" w:hAnsi="Arial" w:cs="Arial"/>
              </w:rPr>
              <w:t>Were recommendations justified?</w:t>
            </w:r>
          </w:p>
        </w:tc>
        <w:tc>
          <w:tcPr>
            <w:tcW w:w="0" w:type="auto"/>
            <w:hideMark/>
          </w:tcPr>
          <w:p w14:paraId="0FC2F51E"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45423A0B"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c>
          <w:tcPr>
            <w:tcW w:w="0" w:type="auto"/>
            <w:hideMark/>
          </w:tcPr>
          <w:p w14:paraId="18B9900A"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r>
      <w:tr w:rsidR="00DA3615" w:rsidRPr="00030181" w14:paraId="1EAC2270" w14:textId="77777777" w:rsidTr="00DA3615">
        <w:tc>
          <w:tcPr>
            <w:tcW w:w="0" w:type="auto"/>
            <w:hideMark/>
          </w:tcPr>
          <w:p w14:paraId="66431E85" w14:textId="77777777" w:rsidR="00DA3615" w:rsidRPr="00030181" w:rsidRDefault="00DA3615" w:rsidP="005C5EBA">
            <w:pPr>
              <w:spacing w:after="160" w:line="360" w:lineRule="auto"/>
              <w:jc w:val="both"/>
              <w:rPr>
                <w:rFonts w:ascii="Arial" w:hAnsi="Arial" w:cs="Arial"/>
              </w:rPr>
            </w:pPr>
            <w:r w:rsidRPr="00030181">
              <w:rPr>
                <w:rFonts w:ascii="Arial" w:hAnsi="Arial" w:cs="Arial"/>
              </w:rPr>
              <w:t>Overall quality</w:t>
            </w:r>
          </w:p>
        </w:tc>
        <w:tc>
          <w:tcPr>
            <w:tcW w:w="0" w:type="auto"/>
            <w:hideMark/>
          </w:tcPr>
          <w:p w14:paraId="37F6BFEA" w14:textId="77777777" w:rsidR="00DA3615" w:rsidRPr="00030181" w:rsidRDefault="00DA3615" w:rsidP="005C5EBA">
            <w:pPr>
              <w:spacing w:after="160" w:line="360" w:lineRule="auto"/>
              <w:jc w:val="both"/>
              <w:rPr>
                <w:rFonts w:ascii="Arial" w:hAnsi="Arial" w:cs="Arial"/>
              </w:rPr>
            </w:pPr>
            <w:r w:rsidRPr="00030181">
              <w:rPr>
                <w:rFonts w:ascii="Arial" w:hAnsi="Arial" w:cs="Arial"/>
              </w:rPr>
              <w:t>High</w:t>
            </w:r>
          </w:p>
        </w:tc>
        <w:tc>
          <w:tcPr>
            <w:tcW w:w="0" w:type="auto"/>
            <w:hideMark/>
          </w:tcPr>
          <w:p w14:paraId="102D478E" w14:textId="77777777" w:rsidR="00DA3615" w:rsidRPr="00030181" w:rsidRDefault="00DA3615" w:rsidP="005C5EBA">
            <w:pPr>
              <w:spacing w:after="160" w:line="360" w:lineRule="auto"/>
              <w:jc w:val="both"/>
              <w:rPr>
                <w:rFonts w:ascii="Arial" w:hAnsi="Arial" w:cs="Arial"/>
              </w:rPr>
            </w:pPr>
            <w:r w:rsidRPr="00030181">
              <w:rPr>
                <w:rFonts w:ascii="Arial" w:hAnsi="Arial" w:cs="Arial"/>
              </w:rPr>
              <w:t>High</w:t>
            </w:r>
          </w:p>
        </w:tc>
        <w:tc>
          <w:tcPr>
            <w:tcW w:w="0" w:type="auto"/>
            <w:hideMark/>
          </w:tcPr>
          <w:p w14:paraId="341EDA5E" w14:textId="77777777" w:rsidR="00DA3615" w:rsidRPr="00030181" w:rsidRDefault="00DA3615" w:rsidP="005C5EBA">
            <w:pPr>
              <w:spacing w:after="160" w:line="360" w:lineRule="auto"/>
              <w:jc w:val="both"/>
              <w:rPr>
                <w:rFonts w:ascii="Arial" w:hAnsi="Arial" w:cs="Arial"/>
              </w:rPr>
            </w:pPr>
            <w:r w:rsidRPr="00030181">
              <w:rPr>
                <w:rFonts w:ascii="Arial" w:hAnsi="Arial" w:cs="Arial"/>
              </w:rPr>
              <w:t>High</w:t>
            </w:r>
          </w:p>
        </w:tc>
      </w:tr>
    </w:tbl>
    <w:p w14:paraId="4D47199B" w14:textId="77777777" w:rsidR="00D55096" w:rsidRPr="00030181" w:rsidRDefault="00D55096" w:rsidP="005C5EBA">
      <w:pPr>
        <w:spacing w:line="360" w:lineRule="auto"/>
        <w:jc w:val="both"/>
        <w:rPr>
          <w:rFonts w:ascii="Arial" w:hAnsi="Arial" w:cs="Arial"/>
        </w:rPr>
      </w:pPr>
    </w:p>
    <w:p w14:paraId="4CB1F7CE" w14:textId="5735FD66" w:rsidR="00DA3615" w:rsidRPr="00030181" w:rsidRDefault="00DA3615" w:rsidP="005C5EBA">
      <w:pPr>
        <w:spacing w:line="360" w:lineRule="auto"/>
        <w:jc w:val="both"/>
        <w:rPr>
          <w:rFonts w:ascii="Arial" w:hAnsi="Arial" w:cs="Arial"/>
        </w:rPr>
      </w:pPr>
      <w:r w:rsidRPr="00030181">
        <w:rPr>
          <w:rFonts w:ascii="Arial" w:hAnsi="Arial" w:cs="Arial"/>
        </w:rPr>
        <w:t>MMAT Appraisal for Mixed-Methods Study</w:t>
      </w:r>
    </w:p>
    <w:tbl>
      <w:tblPr>
        <w:tblStyle w:val="TableGrid"/>
        <w:tblW w:w="0" w:type="auto"/>
        <w:tblLook w:val="04A0" w:firstRow="1" w:lastRow="0" w:firstColumn="1" w:lastColumn="0" w:noHBand="0" w:noVBand="1"/>
      </w:tblPr>
      <w:tblGrid>
        <w:gridCol w:w="5688"/>
        <w:gridCol w:w="2210"/>
      </w:tblGrid>
      <w:tr w:rsidR="00DA3615" w:rsidRPr="00030181" w14:paraId="0A6DE577" w14:textId="77777777" w:rsidTr="00DA3615">
        <w:tc>
          <w:tcPr>
            <w:tcW w:w="0" w:type="auto"/>
            <w:hideMark/>
          </w:tcPr>
          <w:p w14:paraId="627C80DC" w14:textId="77777777" w:rsidR="00DA3615" w:rsidRPr="00030181" w:rsidRDefault="00DA3615" w:rsidP="005C5EBA">
            <w:pPr>
              <w:spacing w:after="160" w:line="360" w:lineRule="auto"/>
              <w:jc w:val="both"/>
              <w:rPr>
                <w:rFonts w:ascii="Arial" w:hAnsi="Arial" w:cs="Arial"/>
              </w:rPr>
            </w:pPr>
            <w:r w:rsidRPr="00030181">
              <w:rPr>
                <w:rFonts w:ascii="Arial" w:hAnsi="Arial" w:cs="Arial"/>
              </w:rPr>
              <w:t>Questions</w:t>
            </w:r>
          </w:p>
        </w:tc>
        <w:tc>
          <w:tcPr>
            <w:tcW w:w="0" w:type="auto"/>
            <w:hideMark/>
          </w:tcPr>
          <w:p w14:paraId="5D686EC2" w14:textId="77777777" w:rsidR="00DA3615" w:rsidRPr="00030181" w:rsidRDefault="00DA3615" w:rsidP="005C5EBA">
            <w:pPr>
              <w:spacing w:after="160" w:line="360" w:lineRule="auto"/>
              <w:jc w:val="both"/>
              <w:rPr>
                <w:rFonts w:ascii="Arial" w:hAnsi="Arial" w:cs="Arial"/>
              </w:rPr>
            </w:pPr>
            <w:r w:rsidRPr="00030181">
              <w:rPr>
                <w:rFonts w:ascii="Arial" w:hAnsi="Arial" w:cs="Arial"/>
              </w:rPr>
              <w:t>Charlesworth (2016)</w:t>
            </w:r>
          </w:p>
        </w:tc>
      </w:tr>
      <w:tr w:rsidR="00DA3615" w:rsidRPr="00030181" w14:paraId="426A17B3" w14:textId="77777777" w:rsidTr="00DA3615">
        <w:tc>
          <w:tcPr>
            <w:tcW w:w="0" w:type="auto"/>
            <w:hideMark/>
          </w:tcPr>
          <w:p w14:paraId="3508C9AB" w14:textId="77777777" w:rsidR="00DA3615" w:rsidRPr="00030181" w:rsidRDefault="00DA3615" w:rsidP="005C5EBA">
            <w:pPr>
              <w:spacing w:after="160" w:line="360" w:lineRule="auto"/>
              <w:jc w:val="both"/>
              <w:rPr>
                <w:rFonts w:ascii="Arial" w:hAnsi="Arial" w:cs="Arial"/>
              </w:rPr>
            </w:pPr>
            <w:r w:rsidRPr="00030181">
              <w:rPr>
                <w:rFonts w:ascii="Arial" w:hAnsi="Arial" w:cs="Arial"/>
              </w:rPr>
              <w:t>Was there a clear research question?</w:t>
            </w:r>
          </w:p>
        </w:tc>
        <w:tc>
          <w:tcPr>
            <w:tcW w:w="0" w:type="auto"/>
            <w:hideMark/>
          </w:tcPr>
          <w:p w14:paraId="2D2D6AE1"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r>
      <w:tr w:rsidR="00DA3615" w:rsidRPr="00030181" w14:paraId="49EC78A5" w14:textId="77777777" w:rsidTr="00DA3615">
        <w:tc>
          <w:tcPr>
            <w:tcW w:w="0" w:type="auto"/>
            <w:hideMark/>
          </w:tcPr>
          <w:p w14:paraId="7B1BFF52" w14:textId="77777777" w:rsidR="00DA3615" w:rsidRPr="00030181" w:rsidRDefault="00DA3615" w:rsidP="005C5EBA">
            <w:pPr>
              <w:spacing w:after="160" w:line="360" w:lineRule="auto"/>
              <w:jc w:val="both"/>
              <w:rPr>
                <w:rFonts w:ascii="Arial" w:hAnsi="Arial" w:cs="Arial"/>
              </w:rPr>
            </w:pPr>
            <w:r w:rsidRPr="00030181">
              <w:rPr>
                <w:rFonts w:ascii="Arial" w:hAnsi="Arial" w:cs="Arial"/>
              </w:rPr>
              <w:t>Were data collection methods appropriate?</w:t>
            </w:r>
          </w:p>
        </w:tc>
        <w:tc>
          <w:tcPr>
            <w:tcW w:w="0" w:type="auto"/>
            <w:hideMark/>
          </w:tcPr>
          <w:p w14:paraId="7C1EF00F"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r>
      <w:tr w:rsidR="00DA3615" w:rsidRPr="00030181" w14:paraId="53B6E415" w14:textId="77777777" w:rsidTr="00DA3615">
        <w:tc>
          <w:tcPr>
            <w:tcW w:w="0" w:type="auto"/>
            <w:hideMark/>
          </w:tcPr>
          <w:p w14:paraId="0FDD1BE6" w14:textId="77777777" w:rsidR="00DA3615" w:rsidRPr="00030181" w:rsidRDefault="00DA3615" w:rsidP="005C5EBA">
            <w:pPr>
              <w:spacing w:after="160" w:line="360" w:lineRule="auto"/>
              <w:jc w:val="both"/>
              <w:rPr>
                <w:rFonts w:ascii="Arial" w:hAnsi="Arial" w:cs="Arial"/>
              </w:rPr>
            </w:pPr>
            <w:r w:rsidRPr="00030181">
              <w:rPr>
                <w:rFonts w:ascii="Arial" w:hAnsi="Arial" w:cs="Arial"/>
              </w:rPr>
              <w:t>Was the qualitative component adequately conducted?</w:t>
            </w:r>
          </w:p>
        </w:tc>
        <w:tc>
          <w:tcPr>
            <w:tcW w:w="0" w:type="auto"/>
            <w:hideMark/>
          </w:tcPr>
          <w:p w14:paraId="308404BF"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r>
      <w:tr w:rsidR="00DA3615" w:rsidRPr="00030181" w14:paraId="0E84F500" w14:textId="77777777" w:rsidTr="00DA3615">
        <w:tc>
          <w:tcPr>
            <w:tcW w:w="0" w:type="auto"/>
            <w:hideMark/>
          </w:tcPr>
          <w:p w14:paraId="2A58EB86" w14:textId="77777777" w:rsidR="00DA3615" w:rsidRPr="00030181" w:rsidRDefault="00DA3615" w:rsidP="005C5EBA">
            <w:pPr>
              <w:spacing w:after="160" w:line="360" w:lineRule="auto"/>
              <w:jc w:val="both"/>
              <w:rPr>
                <w:rFonts w:ascii="Arial" w:hAnsi="Arial" w:cs="Arial"/>
              </w:rPr>
            </w:pPr>
            <w:r w:rsidRPr="00030181">
              <w:rPr>
                <w:rFonts w:ascii="Arial" w:hAnsi="Arial" w:cs="Arial"/>
              </w:rPr>
              <w:t>Was the quantitative component adequately conducted?</w:t>
            </w:r>
          </w:p>
        </w:tc>
        <w:tc>
          <w:tcPr>
            <w:tcW w:w="0" w:type="auto"/>
            <w:hideMark/>
          </w:tcPr>
          <w:p w14:paraId="30502AC1" w14:textId="77777777" w:rsidR="00DA3615" w:rsidRPr="00030181" w:rsidRDefault="00DA3615" w:rsidP="005C5EBA">
            <w:pPr>
              <w:spacing w:after="160" w:line="360" w:lineRule="auto"/>
              <w:jc w:val="both"/>
              <w:rPr>
                <w:rFonts w:ascii="Arial" w:hAnsi="Arial" w:cs="Arial"/>
              </w:rPr>
            </w:pPr>
            <w:r w:rsidRPr="00030181">
              <w:rPr>
                <w:rFonts w:ascii="Arial" w:hAnsi="Arial" w:cs="Arial"/>
              </w:rPr>
              <w:t>Partially</w:t>
            </w:r>
          </w:p>
        </w:tc>
      </w:tr>
      <w:tr w:rsidR="00DA3615" w:rsidRPr="00030181" w14:paraId="48ADC011" w14:textId="77777777" w:rsidTr="00DA3615">
        <w:tc>
          <w:tcPr>
            <w:tcW w:w="0" w:type="auto"/>
            <w:hideMark/>
          </w:tcPr>
          <w:p w14:paraId="1DB7AE09" w14:textId="77777777" w:rsidR="00DA3615" w:rsidRPr="00030181" w:rsidRDefault="00DA3615" w:rsidP="005C5EBA">
            <w:pPr>
              <w:spacing w:after="160" w:line="360" w:lineRule="auto"/>
              <w:jc w:val="both"/>
              <w:rPr>
                <w:rFonts w:ascii="Arial" w:hAnsi="Arial" w:cs="Arial"/>
              </w:rPr>
            </w:pPr>
            <w:r w:rsidRPr="00030181">
              <w:rPr>
                <w:rFonts w:ascii="Arial" w:hAnsi="Arial" w:cs="Arial"/>
              </w:rPr>
              <w:lastRenderedPageBreak/>
              <w:t>Was integration of findings appropriate?</w:t>
            </w:r>
          </w:p>
        </w:tc>
        <w:tc>
          <w:tcPr>
            <w:tcW w:w="0" w:type="auto"/>
            <w:hideMark/>
          </w:tcPr>
          <w:p w14:paraId="2A9C491E"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r>
      <w:tr w:rsidR="00DA3615" w:rsidRPr="00030181" w14:paraId="1B892800" w14:textId="77777777" w:rsidTr="00DA3615">
        <w:tc>
          <w:tcPr>
            <w:tcW w:w="0" w:type="auto"/>
            <w:hideMark/>
          </w:tcPr>
          <w:p w14:paraId="4CAE208B" w14:textId="77777777" w:rsidR="00DA3615" w:rsidRPr="00030181" w:rsidRDefault="00DA3615" w:rsidP="005C5EBA">
            <w:pPr>
              <w:spacing w:after="160" w:line="360" w:lineRule="auto"/>
              <w:jc w:val="both"/>
              <w:rPr>
                <w:rFonts w:ascii="Arial" w:hAnsi="Arial" w:cs="Arial"/>
              </w:rPr>
            </w:pPr>
            <w:r w:rsidRPr="00030181">
              <w:rPr>
                <w:rFonts w:ascii="Arial" w:hAnsi="Arial" w:cs="Arial"/>
              </w:rPr>
              <w:t>Were interpretations supported by data?</w:t>
            </w:r>
          </w:p>
        </w:tc>
        <w:tc>
          <w:tcPr>
            <w:tcW w:w="0" w:type="auto"/>
            <w:hideMark/>
          </w:tcPr>
          <w:p w14:paraId="4F236291" w14:textId="77777777" w:rsidR="00DA3615" w:rsidRPr="00030181" w:rsidRDefault="00DA3615" w:rsidP="005C5EBA">
            <w:pPr>
              <w:spacing w:after="160" w:line="360" w:lineRule="auto"/>
              <w:jc w:val="both"/>
              <w:rPr>
                <w:rFonts w:ascii="Arial" w:hAnsi="Arial" w:cs="Arial"/>
              </w:rPr>
            </w:pPr>
            <w:r w:rsidRPr="00030181">
              <w:rPr>
                <w:rFonts w:ascii="Arial" w:hAnsi="Arial" w:cs="Arial"/>
              </w:rPr>
              <w:t>Yes</w:t>
            </w:r>
          </w:p>
        </w:tc>
      </w:tr>
      <w:tr w:rsidR="00DA3615" w:rsidRPr="00030181" w14:paraId="740F02AF" w14:textId="77777777" w:rsidTr="00DA3615">
        <w:tc>
          <w:tcPr>
            <w:tcW w:w="0" w:type="auto"/>
            <w:hideMark/>
          </w:tcPr>
          <w:p w14:paraId="77D03AE0" w14:textId="77777777" w:rsidR="00DA3615" w:rsidRPr="00030181" w:rsidRDefault="00DA3615" w:rsidP="005C5EBA">
            <w:pPr>
              <w:spacing w:after="160" w:line="360" w:lineRule="auto"/>
              <w:jc w:val="both"/>
              <w:rPr>
                <w:rFonts w:ascii="Arial" w:hAnsi="Arial" w:cs="Arial"/>
              </w:rPr>
            </w:pPr>
            <w:r w:rsidRPr="00030181">
              <w:rPr>
                <w:rFonts w:ascii="Arial" w:hAnsi="Arial" w:cs="Arial"/>
              </w:rPr>
              <w:t>Were limitations acknowledged?</w:t>
            </w:r>
          </w:p>
        </w:tc>
        <w:tc>
          <w:tcPr>
            <w:tcW w:w="0" w:type="auto"/>
            <w:hideMark/>
          </w:tcPr>
          <w:p w14:paraId="0A6F8A08" w14:textId="77777777" w:rsidR="00DA3615" w:rsidRPr="00030181" w:rsidRDefault="00DA3615" w:rsidP="005C5EBA">
            <w:pPr>
              <w:spacing w:after="160" w:line="360" w:lineRule="auto"/>
              <w:jc w:val="both"/>
              <w:rPr>
                <w:rFonts w:ascii="Arial" w:hAnsi="Arial" w:cs="Arial"/>
              </w:rPr>
            </w:pPr>
            <w:r w:rsidRPr="00030181">
              <w:rPr>
                <w:rFonts w:ascii="Arial" w:hAnsi="Arial" w:cs="Arial"/>
              </w:rPr>
              <w:t>Partially</w:t>
            </w:r>
          </w:p>
        </w:tc>
      </w:tr>
      <w:tr w:rsidR="00DA3615" w:rsidRPr="00030181" w14:paraId="5F28E5EB" w14:textId="77777777" w:rsidTr="00DA3615">
        <w:tc>
          <w:tcPr>
            <w:tcW w:w="0" w:type="auto"/>
            <w:hideMark/>
          </w:tcPr>
          <w:p w14:paraId="7EE6F319" w14:textId="77777777" w:rsidR="00DA3615" w:rsidRPr="00030181" w:rsidRDefault="00DA3615" w:rsidP="005C5EBA">
            <w:pPr>
              <w:spacing w:after="160" w:line="360" w:lineRule="auto"/>
              <w:jc w:val="both"/>
              <w:rPr>
                <w:rFonts w:ascii="Arial" w:hAnsi="Arial" w:cs="Arial"/>
              </w:rPr>
            </w:pPr>
            <w:r w:rsidRPr="00030181">
              <w:rPr>
                <w:rFonts w:ascii="Arial" w:hAnsi="Arial" w:cs="Arial"/>
              </w:rPr>
              <w:t>Overall quality</w:t>
            </w:r>
          </w:p>
        </w:tc>
        <w:tc>
          <w:tcPr>
            <w:tcW w:w="0" w:type="auto"/>
            <w:hideMark/>
          </w:tcPr>
          <w:p w14:paraId="7D090C46" w14:textId="77777777" w:rsidR="00DA3615" w:rsidRPr="00030181" w:rsidRDefault="00DA3615" w:rsidP="005C5EBA">
            <w:pPr>
              <w:spacing w:after="160" w:line="360" w:lineRule="auto"/>
              <w:jc w:val="both"/>
              <w:rPr>
                <w:rFonts w:ascii="Arial" w:hAnsi="Arial" w:cs="Arial"/>
              </w:rPr>
            </w:pPr>
            <w:r w:rsidRPr="00030181">
              <w:rPr>
                <w:rFonts w:ascii="Arial" w:hAnsi="Arial" w:cs="Arial"/>
              </w:rPr>
              <w:t>Moderate–High</w:t>
            </w:r>
          </w:p>
        </w:tc>
      </w:tr>
    </w:tbl>
    <w:p w14:paraId="2395A6AB" w14:textId="77777777" w:rsidR="00D55096" w:rsidRPr="00030181" w:rsidRDefault="00D55096" w:rsidP="005C5EBA">
      <w:pPr>
        <w:spacing w:line="360" w:lineRule="auto"/>
        <w:jc w:val="both"/>
        <w:rPr>
          <w:rFonts w:ascii="Arial" w:hAnsi="Arial" w:cs="Arial"/>
        </w:rPr>
      </w:pPr>
    </w:p>
    <w:p w14:paraId="3F095864" w14:textId="3BAE2A32" w:rsidR="00DA3615" w:rsidRPr="00030181" w:rsidRDefault="00DA3615" w:rsidP="005C5EBA">
      <w:pPr>
        <w:spacing w:line="360" w:lineRule="auto"/>
        <w:jc w:val="both"/>
        <w:rPr>
          <w:rFonts w:ascii="Arial" w:hAnsi="Arial" w:cs="Arial"/>
        </w:rPr>
      </w:pPr>
      <w:r w:rsidRPr="00030181">
        <w:rPr>
          <w:rFonts w:ascii="Arial" w:hAnsi="Arial" w:cs="Arial"/>
        </w:rPr>
        <w:t>Overall Appraisal Summary</w:t>
      </w:r>
    </w:p>
    <w:tbl>
      <w:tblPr>
        <w:tblStyle w:val="TableGrid"/>
        <w:tblW w:w="0" w:type="auto"/>
        <w:tblLook w:val="04A0" w:firstRow="1" w:lastRow="0" w:firstColumn="1" w:lastColumn="0" w:noHBand="0" w:noVBand="1"/>
      </w:tblPr>
      <w:tblGrid>
        <w:gridCol w:w="1799"/>
        <w:gridCol w:w="2774"/>
        <w:gridCol w:w="2230"/>
        <w:gridCol w:w="2213"/>
      </w:tblGrid>
      <w:tr w:rsidR="00DA3615" w:rsidRPr="00030181" w14:paraId="727F454D" w14:textId="77777777" w:rsidTr="00DA3615">
        <w:tc>
          <w:tcPr>
            <w:tcW w:w="0" w:type="auto"/>
            <w:hideMark/>
          </w:tcPr>
          <w:p w14:paraId="6490BD02" w14:textId="77777777" w:rsidR="00DA3615" w:rsidRPr="00030181" w:rsidRDefault="00DA3615" w:rsidP="005C5EBA">
            <w:pPr>
              <w:spacing w:after="160" w:line="360" w:lineRule="auto"/>
              <w:jc w:val="both"/>
              <w:rPr>
                <w:rFonts w:ascii="Arial" w:hAnsi="Arial" w:cs="Arial"/>
              </w:rPr>
            </w:pPr>
            <w:r w:rsidRPr="00030181">
              <w:rPr>
                <w:rFonts w:ascii="Arial" w:hAnsi="Arial" w:cs="Arial"/>
              </w:rPr>
              <w:t>Study</w:t>
            </w:r>
          </w:p>
        </w:tc>
        <w:tc>
          <w:tcPr>
            <w:tcW w:w="0" w:type="auto"/>
            <w:hideMark/>
          </w:tcPr>
          <w:p w14:paraId="1FAFD6E9" w14:textId="77777777" w:rsidR="00DA3615" w:rsidRPr="00030181" w:rsidRDefault="00DA3615" w:rsidP="005C5EBA">
            <w:pPr>
              <w:spacing w:after="160" w:line="360" w:lineRule="auto"/>
              <w:jc w:val="both"/>
              <w:rPr>
                <w:rFonts w:ascii="Arial" w:hAnsi="Arial" w:cs="Arial"/>
              </w:rPr>
            </w:pPr>
            <w:r w:rsidRPr="00030181">
              <w:rPr>
                <w:rFonts w:ascii="Arial" w:hAnsi="Arial" w:cs="Arial"/>
              </w:rPr>
              <w:t>Positive / Methodologically Sound</w:t>
            </w:r>
          </w:p>
        </w:tc>
        <w:tc>
          <w:tcPr>
            <w:tcW w:w="0" w:type="auto"/>
            <w:hideMark/>
          </w:tcPr>
          <w:p w14:paraId="37D472AD" w14:textId="77777777" w:rsidR="00DA3615" w:rsidRPr="00030181" w:rsidRDefault="00DA3615" w:rsidP="005C5EBA">
            <w:pPr>
              <w:spacing w:after="160" w:line="360" w:lineRule="auto"/>
              <w:jc w:val="both"/>
              <w:rPr>
                <w:rFonts w:ascii="Arial" w:hAnsi="Arial" w:cs="Arial"/>
              </w:rPr>
            </w:pPr>
            <w:r w:rsidRPr="00030181">
              <w:rPr>
                <w:rFonts w:ascii="Arial" w:hAnsi="Arial" w:cs="Arial"/>
              </w:rPr>
              <w:t>Negative / Methodological Limitations</w:t>
            </w:r>
          </w:p>
        </w:tc>
        <w:tc>
          <w:tcPr>
            <w:tcW w:w="0" w:type="auto"/>
            <w:hideMark/>
          </w:tcPr>
          <w:p w14:paraId="6C401C01" w14:textId="77777777" w:rsidR="00DA3615" w:rsidRPr="00030181" w:rsidRDefault="00DA3615" w:rsidP="005C5EBA">
            <w:pPr>
              <w:spacing w:after="160" w:line="360" w:lineRule="auto"/>
              <w:jc w:val="both"/>
              <w:rPr>
                <w:rFonts w:ascii="Arial" w:hAnsi="Arial" w:cs="Arial"/>
              </w:rPr>
            </w:pPr>
            <w:r w:rsidRPr="00030181">
              <w:rPr>
                <w:rFonts w:ascii="Arial" w:hAnsi="Arial" w:cs="Arial"/>
              </w:rPr>
              <w:t>Unknowns</w:t>
            </w:r>
          </w:p>
        </w:tc>
      </w:tr>
      <w:tr w:rsidR="00DA3615" w:rsidRPr="00030181" w14:paraId="4F4B5D8F" w14:textId="77777777" w:rsidTr="00DA3615">
        <w:tc>
          <w:tcPr>
            <w:tcW w:w="0" w:type="auto"/>
            <w:hideMark/>
          </w:tcPr>
          <w:p w14:paraId="17928D64" w14:textId="77777777" w:rsidR="00DA3615" w:rsidRPr="00030181" w:rsidRDefault="00DA3615" w:rsidP="005C5EBA">
            <w:pPr>
              <w:spacing w:after="160" w:line="360" w:lineRule="auto"/>
              <w:jc w:val="both"/>
              <w:rPr>
                <w:rFonts w:ascii="Arial" w:hAnsi="Arial" w:cs="Arial"/>
              </w:rPr>
            </w:pPr>
            <w:r w:rsidRPr="00030181">
              <w:rPr>
                <w:rFonts w:ascii="Arial" w:hAnsi="Arial" w:cs="Arial"/>
              </w:rPr>
              <w:t>Jimoh et al. (2019)</w:t>
            </w:r>
          </w:p>
        </w:tc>
        <w:tc>
          <w:tcPr>
            <w:tcW w:w="0" w:type="auto"/>
            <w:hideMark/>
          </w:tcPr>
          <w:p w14:paraId="6C46F6E3" w14:textId="77777777" w:rsidR="00DA3615" w:rsidRPr="00030181" w:rsidRDefault="00DA3615" w:rsidP="005C5EBA">
            <w:pPr>
              <w:spacing w:after="160" w:line="360" w:lineRule="auto"/>
              <w:jc w:val="both"/>
              <w:rPr>
                <w:rFonts w:ascii="Arial" w:hAnsi="Arial" w:cs="Arial"/>
              </w:rPr>
            </w:pPr>
            <w:r w:rsidRPr="00030181">
              <w:rPr>
                <w:rFonts w:ascii="Arial" w:hAnsi="Arial" w:cs="Arial"/>
              </w:rPr>
              <w:t>Multi-site UK care-home study with objective hydration assessment</w:t>
            </w:r>
          </w:p>
        </w:tc>
        <w:tc>
          <w:tcPr>
            <w:tcW w:w="0" w:type="auto"/>
            <w:hideMark/>
          </w:tcPr>
          <w:p w14:paraId="797A6031" w14:textId="77777777" w:rsidR="00DA3615" w:rsidRPr="00030181" w:rsidRDefault="00DA3615" w:rsidP="005C5EBA">
            <w:pPr>
              <w:spacing w:after="160" w:line="360" w:lineRule="auto"/>
              <w:jc w:val="both"/>
              <w:rPr>
                <w:rFonts w:ascii="Arial" w:hAnsi="Arial" w:cs="Arial"/>
              </w:rPr>
            </w:pPr>
            <w:r w:rsidRPr="00030181">
              <w:rPr>
                <w:rFonts w:ascii="Arial" w:hAnsi="Arial" w:cs="Arial"/>
              </w:rPr>
              <w:t>Limited direct observation subgroup</w:t>
            </w:r>
          </w:p>
        </w:tc>
        <w:tc>
          <w:tcPr>
            <w:tcW w:w="0" w:type="auto"/>
            <w:hideMark/>
          </w:tcPr>
          <w:p w14:paraId="66C93035" w14:textId="77777777" w:rsidR="00DA3615" w:rsidRPr="00030181" w:rsidRDefault="00DA3615" w:rsidP="005C5EBA">
            <w:pPr>
              <w:spacing w:after="160" w:line="360" w:lineRule="auto"/>
              <w:jc w:val="both"/>
              <w:rPr>
                <w:rFonts w:ascii="Arial" w:hAnsi="Arial" w:cs="Arial"/>
              </w:rPr>
            </w:pPr>
            <w:r w:rsidRPr="00030181">
              <w:rPr>
                <w:rFonts w:ascii="Arial" w:hAnsi="Arial" w:cs="Arial"/>
              </w:rPr>
              <w:t>Long-term hydration outcomes unclear</w:t>
            </w:r>
          </w:p>
        </w:tc>
      </w:tr>
      <w:tr w:rsidR="00DA3615" w:rsidRPr="00030181" w14:paraId="5F77832F" w14:textId="77777777" w:rsidTr="00DA3615">
        <w:tc>
          <w:tcPr>
            <w:tcW w:w="0" w:type="auto"/>
            <w:hideMark/>
          </w:tcPr>
          <w:p w14:paraId="19511DE7" w14:textId="77777777" w:rsidR="00DA3615" w:rsidRPr="00030181" w:rsidRDefault="00DA3615" w:rsidP="005C5EBA">
            <w:pPr>
              <w:spacing w:after="160" w:line="360" w:lineRule="auto"/>
              <w:jc w:val="both"/>
              <w:rPr>
                <w:rFonts w:ascii="Arial" w:hAnsi="Arial" w:cs="Arial"/>
              </w:rPr>
            </w:pPr>
            <w:r w:rsidRPr="00030181">
              <w:rPr>
                <w:rFonts w:ascii="Arial" w:hAnsi="Arial" w:cs="Arial"/>
              </w:rPr>
              <w:t>Madeira et al. (2019)</w:t>
            </w:r>
          </w:p>
        </w:tc>
        <w:tc>
          <w:tcPr>
            <w:tcW w:w="0" w:type="auto"/>
            <w:hideMark/>
          </w:tcPr>
          <w:p w14:paraId="57F4F06C" w14:textId="77777777" w:rsidR="00DA3615" w:rsidRPr="00030181" w:rsidRDefault="00DA3615" w:rsidP="005C5EBA">
            <w:pPr>
              <w:spacing w:after="160" w:line="360" w:lineRule="auto"/>
              <w:jc w:val="both"/>
              <w:rPr>
                <w:rFonts w:ascii="Arial" w:hAnsi="Arial" w:cs="Arial"/>
              </w:rPr>
            </w:pPr>
            <w:r w:rsidRPr="00030181">
              <w:rPr>
                <w:rFonts w:ascii="Arial" w:hAnsi="Arial" w:cs="Arial"/>
              </w:rPr>
              <w:t>Nationally representative nursing-home sample and validated MNA assessment</w:t>
            </w:r>
          </w:p>
        </w:tc>
        <w:tc>
          <w:tcPr>
            <w:tcW w:w="0" w:type="auto"/>
            <w:hideMark/>
          </w:tcPr>
          <w:p w14:paraId="6AB84057" w14:textId="77777777" w:rsidR="00DA3615" w:rsidRPr="00030181" w:rsidRDefault="00DA3615" w:rsidP="005C5EBA">
            <w:pPr>
              <w:spacing w:after="160" w:line="360" w:lineRule="auto"/>
              <w:jc w:val="both"/>
              <w:rPr>
                <w:rFonts w:ascii="Arial" w:hAnsi="Arial" w:cs="Arial"/>
              </w:rPr>
            </w:pPr>
            <w:r w:rsidRPr="00030181">
              <w:rPr>
                <w:rFonts w:ascii="Arial" w:hAnsi="Arial" w:cs="Arial"/>
              </w:rPr>
              <w:t>Cross-sectional design</w:t>
            </w:r>
          </w:p>
        </w:tc>
        <w:tc>
          <w:tcPr>
            <w:tcW w:w="0" w:type="auto"/>
            <w:hideMark/>
          </w:tcPr>
          <w:p w14:paraId="39893308" w14:textId="77777777" w:rsidR="00DA3615" w:rsidRPr="00030181" w:rsidRDefault="00DA3615" w:rsidP="005C5EBA">
            <w:pPr>
              <w:spacing w:after="160" w:line="360" w:lineRule="auto"/>
              <w:jc w:val="both"/>
              <w:rPr>
                <w:rFonts w:ascii="Arial" w:hAnsi="Arial" w:cs="Arial"/>
              </w:rPr>
            </w:pPr>
            <w:r w:rsidRPr="00030181">
              <w:rPr>
                <w:rFonts w:ascii="Arial" w:hAnsi="Arial" w:cs="Arial"/>
              </w:rPr>
              <w:t>Causal relationships cannot be established</w:t>
            </w:r>
          </w:p>
        </w:tc>
      </w:tr>
      <w:tr w:rsidR="00DA3615" w:rsidRPr="00030181" w14:paraId="7A1A3E81" w14:textId="77777777" w:rsidTr="00DA3615">
        <w:tc>
          <w:tcPr>
            <w:tcW w:w="0" w:type="auto"/>
            <w:hideMark/>
          </w:tcPr>
          <w:p w14:paraId="06F094A5" w14:textId="77777777" w:rsidR="00DA3615" w:rsidRPr="00030181" w:rsidRDefault="00DA3615" w:rsidP="005C5EBA">
            <w:pPr>
              <w:spacing w:after="160" w:line="360" w:lineRule="auto"/>
              <w:jc w:val="both"/>
              <w:rPr>
                <w:rFonts w:ascii="Arial" w:hAnsi="Arial" w:cs="Arial"/>
              </w:rPr>
            </w:pPr>
            <w:r w:rsidRPr="00030181">
              <w:rPr>
                <w:rFonts w:ascii="Arial" w:hAnsi="Arial" w:cs="Arial"/>
              </w:rPr>
              <w:t>Liu et al. (2024)</w:t>
            </w:r>
          </w:p>
        </w:tc>
        <w:tc>
          <w:tcPr>
            <w:tcW w:w="0" w:type="auto"/>
            <w:hideMark/>
          </w:tcPr>
          <w:p w14:paraId="56832700" w14:textId="77777777" w:rsidR="00DA3615" w:rsidRPr="00030181" w:rsidRDefault="00DA3615" w:rsidP="005C5EBA">
            <w:pPr>
              <w:spacing w:after="160" w:line="360" w:lineRule="auto"/>
              <w:jc w:val="both"/>
              <w:rPr>
                <w:rFonts w:ascii="Arial" w:hAnsi="Arial" w:cs="Arial"/>
              </w:rPr>
            </w:pPr>
            <w:r w:rsidRPr="00030181">
              <w:rPr>
                <w:rFonts w:ascii="Arial" w:hAnsi="Arial" w:cs="Arial"/>
              </w:rPr>
              <w:t>Evidence-based and Delphi-informed programme development</w:t>
            </w:r>
          </w:p>
        </w:tc>
        <w:tc>
          <w:tcPr>
            <w:tcW w:w="0" w:type="auto"/>
            <w:hideMark/>
          </w:tcPr>
          <w:p w14:paraId="007C1986" w14:textId="77777777" w:rsidR="00DA3615" w:rsidRPr="00030181" w:rsidRDefault="00DA3615" w:rsidP="005C5EBA">
            <w:pPr>
              <w:spacing w:after="160" w:line="360" w:lineRule="auto"/>
              <w:jc w:val="both"/>
              <w:rPr>
                <w:rFonts w:ascii="Arial" w:hAnsi="Arial" w:cs="Arial"/>
              </w:rPr>
            </w:pPr>
            <w:r w:rsidRPr="00030181">
              <w:rPr>
                <w:rFonts w:ascii="Arial" w:hAnsi="Arial" w:cs="Arial"/>
              </w:rPr>
              <w:t>Conducted in China</w:t>
            </w:r>
          </w:p>
        </w:tc>
        <w:tc>
          <w:tcPr>
            <w:tcW w:w="0" w:type="auto"/>
            <w:hideMark/>
          </w:tcPr>
          <w:p w14:paraId="33EBDA16" w14:textId="77777777" w:rsidR="00DA3615" w:rsidRPr="00030181" w:rsidRDefault="00DA3615" w:rsidP="005C5EBA">
            <w:pPr>
              <w:spacing w:after="160" w:line="360" w:lineRule="auto"/>
              <w:jc w:val="both"/>
              <w:rPr>
                <w:rFonts w:ascii="Arial" w:hAnsi="Arial" w:cs="Arial"/>
              </w:rPr>
            </w:pPr>
            <w:r w:rsidRPr="00030181">
              <w:rPr>
                <w:rFonts w:ascii="Arial" w:hAnsi="Arial" w:cs="Arial"/>
              </w:rPr>
              <w:t>Effectiveness after implementation unknown</w:t>
            </w:r>
          </w:p>
        </w:tc>
      </w:tr>
      <w:tr w:rsidR="00DA3615" w:rsidRPr="00030181" w14:paraId="2C18A623" w14:textId="77777777" w:rsidTr="00DA3615">
        <w:tc>
          <w:tcPr>
            <w:tcW w:w="0" w:type="auto"/>
            <w:hideMark/>
          </w:tcPr>
          <w:p w14:paraId="5BDCCF43" w14:textId="77777777" w:rsidR="00DA3615" w:rsidRPr="00030181" w:rsidRDefault="00DA3615" w:rsidP="005C5EBA">
            <w:pPr>
              <w:spacing w:after="160" w:line="360" w:lineRule="auto"/>
              <w:jc w:val="both"/>
              <w:rPr>
                <w:rFonts w:ascii="Arial" w:hAnsi="Arial" w:cs="Arial"/>
              </w:rPr>
            </w:pPr>
            <w:r w:rsidRPr="00030181">
              <w:rPr>
                <w:rFonts w:ascii="Arial" w:hAnsi="Arial" w:cs="Arial"/>
              </w:rPr>
              <w:t>Laurenti et al. (2020)</w:t>
            </w:r>
          </w:p>
        </w:tc>
        <w:tc>
          <w:tcPr>
            <w:tcW w:w="0" w:type="auto"/>
            <w:hideMark/>
          </w:tcPr>
          <w:p w14:paraId="41083141" w14:textId="77777777" w:rsidR="00DA3615" w:rsidRPr="00030181" w:rsidRDefault="00DA3615" w:rsidP="005C5EBA">
            <w:pPr>
              <w:spacing w:after="160" w:line="360" w:lineRule="auto"/>
              <w:jc w:val="both"/>
              <w:rPr>
                <w:rFonts w:ascii="Arial" w:hAnsi="Arial" w:cs="Arial"/>
              </w:rPr>
            </w:pPr>
            <w:r w:rsidRPr="00030181">
              <w:rPr>
                <w:rFonts w:ascii="Arial" w:hAnsi="Arial" w:cs="Arial"/>
              </w:rPr>
              <w:t>Strong focus on food safety and nutrition behaviours</w:t>
            </w:r>
          </w:p>
        </w:tc>
        <w:tc>
          <w:tcPr>
            <w:tcW w:w="0" w:type="auto"/>
            <w:hideMark/>
          </w:tcPr>
          <w:p w14:paraId="72566460" w14:textId="77777777" w:rsidR="00DA3615" w:rsidRPr="00030181" w:rsidRDefault="00DA3615" w:rsidP="005C5EBA">
            <w:pPr>
              <w:spacing w:after="160" w:line="360" w:lineRule="auto"/>
              <w:jc w:val="both"/>
              <w:rPr>
                <w:rFonts w:ascii="Arial" w:hAnsi="Arial" w:cs="Arial"/>
              </w:rPr>
            </w:pPr>
            <w:r w:rsidRPr="00030181">
              <w:rPr>
                <w:rFonts w:ascii="Arial" w:hAnsi="Arial" w:cs="Arial"/>
              </w:rPr>
              <w:t>Community setting rather than care homes</w:t>
            </w:r>
          </w:p>
        </w:tc>
        <w:tc>
          <w:tcPr>
            <w:tcW w:w="0" w:type="auto"/>
            <w:hideMark/>
          </w:tcPr>
          <w:p w14:paraId="7755A7F0" w14:textId="77777777" w:rsidR="00DA3615" w:rsidRPr="00030181" w:rsidRDefault="00DA3615" w:rsidP="005C5EBA">
            <w:pPr>
              <w:spacing w:after="160" w:line="360" w:lineRule="auto"/>
              <w:jc w:val="both"/>
              <w:rPr>
                <w:rFonts w:ascii="Arial" w:hAnsi="Arial" w:cs="Arial"/>
              </w:rPr>
            </w:pPr>
            <w:r w:rsidRPr="00030181">
              <w:rPr>
                <w:rFonts w:ascii="Arial" w:hAnsi="Arial" w:cs="Arial"/>
              </w:rPr>
              <w:t>Generalisability to institutional settings unclear</w:t>
            </w:r>
          </w:p>
        </w:tc>
      </w:tr>
      <w:tr w:rsidR="00DA3615" w:rsidRPr="00030181" w14:paraId="35FDA446" w14:textId="77777777" w:rsidTr="00DA3615">
        <w:tc>
          <w:tcPr>
            <w:tcW w:w="0" w:type="auto"/>
            <w:hideMark/>
          </w:tcPr>
          <w:p w14:paraId="48AA619C" w14:textId="77777777" w:rsidR="00DA3615" w:rsidRPr="00030181" w:rsidRDefault="00DA3615" w:rsidP="005C5EBA">
            <w:pPr>
              <w:spacing w:after="160" w:line="360" w:lineRule="auto"/>
              <w:jc w:val="both"/>
              <w:rPr>
                <w:rFonts w:ascii="Arial" w:hAnsi="Arial" w:cs="Arial"/>
              </w:rPr>
            </w:pPr>
            <w:r w:rsidRPr="00030181">
              <w:rPr>
                <w:rFonts w:ascii="Arial" w:hAnsi="Arial" w:cs="Arial"/>
              </w:rPr>
              <w:t>Bunn et al. (2018)</w:t>
            </w:r>
          </w:p>
        </w:tc>
        <w:tc>
          <w:tcPr>
            <w:tcW w:w="0" w:type="auto"/>
            <w:hideMark/>
          </w:tcPr>
          <w:p w14:paraId="4B6F6FCB" w14:textId="77777777" w:rsidR="00DA3615" w:rsidRPr="00030181" w:rsidRDefault="00DA3615" w:rsidP="005C5EBA">
            <w:pPr>
              <w:spacing w:after="160" w:line="360" w:lineRule="auto"/>
              <w:jc w:val="both"/>
              <w:rPr>
                <w:rFonts w:ascii="Arial" w:hAnsi="Arial" w:cs="Arial"/>
              </w:rPr>
            </w:pPr>
            <w:r w:rsidRPr="00030181">
              <w:rPr>
                <w:rFonts w:ascii="Arial" w:hAnsi="Arial" w:cs="Arial"/>
              </w:rPr>
              <w:t>Comprehensive UK policy and guideline synthesis</w:t>
            </w:r>
          </w:p>
        </w:tc>
        <w:tc>
          <w:tcPr>
            <w:tcW w:w="0" w:type="auto"/>
            <w:hideMark/>
          </w:tcPr>
          <w:p w14:paraId="0D209B96" w14:textId="77777777" w:rsidR="00DA3615" w:rsidRPr="00030181" w:rsidRDefault="00DA3615" w:rsidP="005C5EBA">
            <w:pPr>
              <w:spacing w:after="160" w:line="360" w:lineRule="auto"/>
              <w:jc w:val="both"/>
              <w:rPr>
                <w:rFonts w:ascii="Arial" w:hAnsi="Arial" w:cs="Arial"/>
              </w:rPr>
            </w:pPr>
            <w:r w:rsidRPr="00030181">
              <w:rPr>
                <w:rFonts w:ascii="Arial" w:hAnsi="Arial" w:cs="Arial"/>
              </w:rPr>
              <w:t>Not primary empirical research</w:t>
            </w:r>
          </w:p>
        </w:tc>
        <w:tc>
          <w:tcPr>
            <w:tcW w:w="0" w:type="auto"/>
            <w:hideMark/>
          </w:tcPr>
          <w:p w14:paraId="36FD7EFE" w14:textId="77777777" w:rsidR="00DA3615" w:rsidRPr="00030181" w:rsidRDefault="00DA3615" w:rsidP="005C5EBA">
            <w:pPr>
              <w:spacing w:after="160" w:line="360" w:lineRule="auto"/>
              <w:jc w:val="both"/>
              <w:rPr>
                <w:rFonts w:ascii="Arial" w:hAnsi="Arial" w:cs="Arial"/>
              </w:rPr>
            </w:pPr>
            <w:r w:rsidRPr="00030181">
              <w:rPr>
                <w:rFonts w:ascii="Arial" w:hAnsi="Arial" w:cs="Arial"/>
              </w:rPr>
              <w:t>Implementation effectiveness uncertain</w:t>
            </w:r>
          </w:p>
        </w:tc>
      </w:tr>
      <w:tr w:rsidR="00DA3615" w:rsidRPr="00030181" w14:paraId="082BC061" w14:textId="77777777" w:rsidTr="00DA3615">
        <w:tc>
          <w:tcPr>
            <w:tcW w:w="0" w:type="auto"/>
            <w:hideMark/>
          </w:tcPr>
          <w:p w14:paraId="5E93EEA4" w14:textId="77777777" w:rsidR="00DA3615" w:rsidRPr="00030181" w:rsidRDefault="00DA3615" w:rsidP="005C5EBA">
            <w:pPr>
              <w:spacing w:after="160" w:line="360" w:lineRule="auto"/>
              <w:jc w:val="both"/>
              <w:rPr>
                <w:rFonts w:ascii="Arial" w:hAnsi="Arial" w:cs="Arial"/>
              </w:rPr>
            </w:pPr>
            <w:r w:rsidRPr="00030181">
              <w:rPr>
                <w:rFonts w:ascii="Arial" w:hAnsi="Arial" w:cs="Arial"/>
              </w:rPr>
              <w:t>Eichelmann et al. (2024)</w:t>
            </w:r>
          </w:p>
        </w:tc>
        <w:tc>
          <w:tcPr>
            <w:tcW w:w="0" w:type="auto"/>
            <w:hideMark/>
          </w:tcPr>
          <w:p w14:paraId="6C36E1EB" w14:textId="77777777" w:rsidR="00DA3615" w:rsidRPr="00030181" w:rsidRDefault="00DA3615" w:rsidP="005C5EBA">
            <w:pPr>
              <w:spacing w:after="160" w:line="360" w:lineRule="auto"/>
              <w:jc w:val="both"/>
              <w:rPr>
                <w:rFonts w:ascii="Arial" w:hAnsi="Arial" w:cs="Arial"/>
              </w:rPr>
            </w:pPr>
            <w:r w:rsidRPr="00030181">
              <w:rPr>
                <w:rFonts w:ascii="Arial" w:hAnsi="Arial" w:cs="Arial"/>
              </w:rPr>
              <w:t>Strong analytical methods and large datasets</w:t>
            </w:r>
          </w:p>
        </w:tc>
        <w:tc>
          <w:tcPr>
            <w:tcW w:w="0" w:type="auto"/>
            <w:hideMark/>
          </w:tcPr>
          <w:p w14:paraId="1085D422" w14:textId="77777777" w:rsidR="00DA3615" w:rsidRPr="00030181" w:rsidRDefault="00DA3615" w:rsidP="005C5EBA">
            <w:pPr>
              <w:spacing w:after="160" w:line="360" w:lineRule="auto"/>
              <w:jc w:val="both"/>
              <w:rPr>
                <w:rFonts w:ascii="Arial" w:hAnsi="Arial" w:cs="Arial"/>
              </w:rPr>
            </w:pPr>
            <w:r w:rsidRPr="00030181">
              <w:rPr>
                <w:rFonts w:ascii="Arial" w:hAnsi="Arial" w:cs="Arial"/>
              </w:rPr>
              <w:t>Not care-home specific</w:t>
            </w:r>
          </w:p>
        </w:tc>
        <w:tc>
          <w:tcPr>
            <w:tcW w:w="0" w:type="auto"/>
            <w:hideMark/>
          </w:tcPr>
          <w:p w14:paraId="7927D538" w14:textId="77777777" w:rsidR="00DA3615" w:rsidRPr="00030181" w:rsidRDefault="00DA3615" w:rsidP="005C5EBA">
            <w:pPr>
              <w:spacing w:after="160" w:line="360" w:lineRule="auto"/>
              <w:jc w:val="both"/>
              <w:rPr>
                <w:rFonts w:ascii="Arial" w:hAnsi="Arial" w:cs="Arial"/>
              </w:rPr>
            </w:pPr>
            <w:r w:rsidRPr="00030181">
              <w:rPr>
                <w:rFonts w:ascii="Arial" w:hAnsi="Arial" w:cs="Arial"/>
              </w:rPr>
              <w:t>Applicability to older-care populations uncertain</w:t>
            </w:r>
          </w:p>
        </w:tc>
      </w:tr>
      <w:tr w:rsidR="00DA3615" w:rsidRPr="00030181" w14:paraId="6DD12DAD" w14:textId="77777777" w:rsidTr="00DA3615">
        <w:tc>
          <w:tcPr>
            <w:tcW w:w="0" w:type="auto"/>
            <w:hideMark/>
          </w:tcPr>
          <w:p w14:paraId="1180069C" w14:textId="77777777" w:rsidR="00DA3615" w:rsidRPr="00030181" w:rsidRDefault="00DA3615" w:rsidP="005C5EBA">
            <w:pPr>
              <w:spacing w:after="160" w:line="360" w:lineRule="auto"/>
              <w:jc w:val="both"/>
              <w:rPr>
                <w:rFonts w:ascii="Arial" w:hAnsi="Arial" w:cs="Arial"/>
              </w:rPr>
            </w:pPr>
            <w:r w:rsidRPr="00030181">
              <w:rPr>
                <w:rFonts w:ascii="Arial" w:hAnsi="Arial" w:cs="Arial"/>
              </w:rPr>
              <w:lastRenderedPageBreak/>
              <w:t>Watkins et al. (2017)</w:t>
            </w:r>
          </w:p>
        </w:tc>
        <w:tc>
          <w:tcPr>
            <w:tcW w:w="0" w:type="auto"/>
            <w:hideMark/>
          </w:tcPr>
          <w:p w14:paraId="778A3914" w14:textId="77777777" w:rsidR="00DA3615" w:rsidRPr="00030181" w:rsidRDefault="00DA3615" w:rsidP="005C5EBA">
            <w:pPr>
              <w:spacing w:after="160" w:line="360" w:lineRule="auto"/>
              <w:jc w:val="both"/>
              <w:rPr>
                <w:rFonts w:ascii="Arial" w:hAnsi="Arial" w:cs="Arial"/>
              </w:rPr>
            </w:pPr>
            <w:r w:rsidRPr="00030181">
              <w:rPr>
                <w:rFonts w:ascii="Arial" w:hAnsi="Arial" w:cs="Arial"/>
              </w:rPr>
              <w:t>Direct care-home relevance and synthesis of resident and staff experiences</w:t>
            </w:r>
          </w:p>
        </w:tc>
        <w:tc>
          <w:tcPr>
            <w:tcW w:w="0" w:type="auto"/>
            <w:hideMark/>
          </w:tcPr>
          <w:p w14:paraId="0CBCAD21" w14:textId="77777777" w:rsidR="00DA3615" w:rsidRPr="00030181" w:rsidRDefault="00DA3615" w:rsidP="005C5EBA">
            <w:pPr>
              <w:spacing w:after="160" w:line="360" w:lineRule="auto"/>
              <w:jc w:val="both"/>
              <w:rPr>
                <w:rFonts w:ascii="Arial" w:hAnsi="Arial" w:cs="Arial"/>
              </w:rPr>
            </w:pPr>
            <w:r w:rsidRPr="00030181">
              <w:rPr>
                <w:rFonts w:ascii="Arial" w:hAnsi="Arial" w:cs="Arial"/>
              </w:rPr>
              <w:t>Qualitative evidence limits statistical generalisability</w:t>
            </w:r>
          </w:p>
        </w:tc>
        <w:tc>
          <w:tcPr>
            <w:tcW w:w="0" w:type="auto"/>
            <w:hideMark/>
          </w:tcPr>
          <w:p w14:paraId="3D4A7E04" w14:textId="77777777" w:rsidR="00DA3615" w:rsidRPr="00030181" w:rsidRDefault="00DA3615" w:rsidP="005C5EBA">
            <w:pPr>
              <w:spacing w:after="160" w:line="360" w:lineRule="auto"/>
              <w:jc w:val="both"/>
              <w:rPr>
                <w:rFonts w:ascii="Arial" w:hAnsi="Arial" w:cs="Arial"/>
              </w:rPr>
            </w:pPr>
            <w:r w:rsidRPr="00030181">
              <w:rPr>
                <w:rFonts w:ascii="Arial" w:hAnsi="Arial" w:cs="Arial"/>
              </w:rPr>
              <w:t>Impact on long-term nutritional outcomes unclear</w:t>
            </w:r>
          </w:p>
        </w:tc>
      </w:tr>
      <w:tr w:rsidR="00DA3615" w:rsidRPr="00030181" w14:paraId="5782A0E2" w14:textId="77777777" w:rsidTr="00DA3615">
        <w:tc>
          <w:tcPr>
            <w:tcW w:w="0" w:type="auto"/>
            <w:hideMark/>
          </w:tcPr>
          <w:p w14:paraId="0CD237F8" w14:textId="77777777" w:rsidR="00DA3615" w:rsidRPr="00030181" w:rsidRDefault="00DA3615" w:rsidP="005C5EBA">
            <w:pPr>
              <w:spacing w:after="160" w:line="360" w:lineRule="auto"/>
              <w:jc w:val="both"/>
              <w:rPr>
                <w:rFonts w:ascii="Arial" w:hAnsi="Arial" w:cs="Arial"/>
              </w:rPr>
            </w:pPr>
            <w:r w:rsidRPr="00030181">
              <w:rPr>
                <w:rFonts w:ascii="Arial" w:hAnsi="Arial" w:cs="Arial"/>
              </w:rPr>
              <w:t>Onuorah et al. (2025)</w:t>
            </w:r>
          </w:p>
        </w:tc>
        <w:tc>
          <w:tcPr>
            <w:tcW w:w="0" w:type="auto"/>
            <w:hideMark/>
          </w:tcPr>
          <w:p w14:paraId="77B9CAC8" w14:textId="77777777" w:rsidR="00DA3615" w:rsidRPr="00030181" w:rsidRDefault="00DA3615" w:rsidP="005C5EBA">
            <w:pPr>
              <w:spacing w:after="160" w:line="360" w:lineRule="auto"/>
              <w:jc w:val="both"/>
              <w:rPr>
                <w:rFonts w:ascii="Arial" w:hAnsi="Arial" w:cs="Arial"/>
              </w:rPr>
            </w:pPr>
            <w:r w:rsidRPr="00030181">
              <w:rPr>
                <w:rFonts w:ascii="Arial" w:hAnsi="Arial" w:cs="Arial"/>
              </w:rPr>
              <w:t>Ethnographic depth and prolonged engagement</w:t>
            </w:r>
          </w:p>
        </w:tc>
        <w:tc>
          <w:tcPr>
            <w:tcW w:w="0" w:type="auto"/>
            <w:hideMark/>
          </w:tcPr>
          <w:p w14:paraId="2DA54282" w14:textId="77777777" w:rsidR="00DA3615" w:rsidRPr="00030181" w:rsidRDefault="00DA3615" w:rsidP="005C5EBA">
            <w:pPr>
              <w:spacing w:after="160" w:line="360" w:lineRule="auto"/>
              <w:jc w:val="both"/>
              <w:rPr>
                <w:rFonts w:ascii="Arial" w:hAnsi="Arial" w:cs="Arial"/>
              </w:rPr>
            </w:pPr>
            <w:r w:rsidRPr="00030181">
              <w:rPr>
                <w:rFonts w:ascii="Arial" w:hAnsi="Arial" w:cs="Arial"/>
              </w:rPr>
              <w:t>Small sample size</w:t>
            </w:r>
          </w:p>
        </w:tc>
        <w:tc>
          <w:tcPr>
            <w:tcW w:w="0" w:type="auto"/>
            <w:hideMark/>
          </w:tcPr>
          <w:p w14:paraId="37F545C6" w14:textId="77777777" w:rsidR="00DA3615" w:rsidRPr="00030181" w:rsidRDefault="00DA3615" w:rsidP="005C5EBA">
            <w:pPr>
              <w:spacing w:after="160" w:line="360" w:lineRule="auto"/>
              <w:jc w:val="both"/>
              <w:rPr>
                <w:rFonts w:ascii="Arial" w:hAnsi="Arial" w:cs="Arial"/>
              </w:rPr>
            </w:pPr>
            <w:r w:rsidRPr="00030181">
              <w:rPr>
                <w:rFonts w:ascii="Arial" w:hAnsi="Arial" w:cs="Arial"/>
              </w:rPr>
              <w:t>Findings may not apply beyond SSA migrants</w:t>
            </w:r>
          </w:p>
        </w:tc>
      </w:tr>
      <w:tr w:rsidR="00DA3615" w:rsidRPr="00030181" w14:paraId="74D05D9F" w14:textId="77777777" w:rsidTr="00DA3615">
        <w:tc>
          <w:tcPr>
            <w:tcW w:w="0" w:type="auto"/>
            <w:hideMark/>
          </w:tcPr>
          <w:p w14:paraId="4962E3C7" w14:textId="77777777" w:rsidR="00DA3615" w:rsidRPr="00030181" w:rsidRDefault="00DA3615" w:rsidP="005C5EBA">
            <w:pPr>
              <w:spacing w:after="160" w:line="360" w:lineRule="auto"/>
              <w:jc w:val="both"/>
              <w:rPr>
                <w:rFonts w:ascii="Arial" w:hAnsi="Arial" w:cs="Arial"/>
              </w:rPr>
            </w:pPr>
            <w:r w:rsidRPr="00030181">
              <w:rPr>
                <w:rFonts w:ascii="Arial" w:hAnsi="Arial" w:cs="Arial"/>
              </w:rPr>
              <w:t>Duodu et al. (2025)</w:t>
            </w:r>
          </w:p>
        </w:tc>
        <w:tc>
          <w:tcPr>
            <w:tcW w:w="0" w:type="auto"/>
            <w:hideMark/>
          </w:tcPr>
          <w:p w14:paraId="71C935C9" w14:textId="77777777" w:rsidR="00DA3615" w:rsidRPr="00030181" w:rsidRDefault="00DA3615" w:rsidP="005C5EBA">
            <w:pPr>
              <w:spacing w:after="160" w:line="360" w:lineRule="auto"/>
              <w:jc w:val="both"/>
              <w:rPr>
                <w:rFonts w:ascii="Arial" w:hAnsi="Arial" w:cs="Arial"/>
              </w:rPr>
            </w:pPr>
            <w:r w:rsidRPr="00030181">
              <w:rPr>
                <w:rFonts w:ascii="Arial" w:hAnsi="Arial" w:cs="Arial"/>
              </w:rPr>
              <w:t>Large sample and adjusted regression analyses</w:t>
            </w:r>
          </w:p>
        </w:tc>
        <w:tc>
          <w:tcPr>
            <w:tcW w:w="0" w:type="auto"/>
            <w:hideMark/>
          </w:tcPr>
          <w:p w14:paraId="4F2160D2" w14:textId="77777777" w:rsidR="00DA3615" w:rsidRPr="00030181" w:rsidRDefault="00DA3615" w:rsidP="005C5EBA">
            <w:pPr>
              <w:spacing w:after="160" w:line="360" w:lineRule="auto"/>
              <w:jc w:val="both"/>
              <w:rPr>
                <w:rFonts w:ascii="Arial" w:hAnsi="Arial" w:cs="Arial"/>
              </w:rPr>
            </w:pPr>
            <w:r w:rsidRPr="00030181">
              <w:rPr>
                <w:rFonts w:ascii="Arial" w:hAnsi="Arial" w:cs="Arial"/>
              </w:rPr>
              <w:t>Cross-sectional design</w:t>
            </w:r>
          </w:p>
        </w:tc>
        <w:tc>
          <w:tcPr>
            <w:tcW w:w="0" w:type="auto"/>
            <w:hideMark/>
          </w:tcPr>
          <w:p w14:paraId="4E8C3B6B" w14:textId="77777777" w:rsidR="00DA3615" w:rsidRPr="00030181" w:rsidRDefault="00DA3615" w:rsidP="005C5EBA">
            <w:pPr>
              <w:spacing w:after="160" w:line="360" w:lineRule="auto"/>
              <w:jc w:val="both"/>
              <w:rPr>
                <w:rFonts w:ascii="Arial" w:hAnsi="Arial" w:cs="Arial"/>
              </w:rPr>
            </w:pPr>
            <w:r w:rsidRPr="00030181">
              <w:rPr>
                <w:rFonts w:ascii="Arial" w:hAnsi="Arial" w:cs="Arial"/>
              </w:rPr>
              <w:t>Temporal relationships uncertain</w:t>
            </w:r>
          </w:p>
        </w:tc>
      </w:tr>
      <w:tr w:rsidR="00DA3615" w:rsidRPr="00030181" w14:paraId="27038AB7" w14:textId="77777777" w:rsidTr="00DA3615">
        <w:tc>
          <w:tcPr>
            <w:tcW w:w="0" w:type="auto"/>
            <w:hideMark/>
          </w:tcPr>
          <w:p w14:paraId="78A49039" w14:textId="77777777" w:rsidR="00DA3615" w:rsidRPr="00030181" w:rsidRDefault="00DA3615" w:rsidP="005C5EBA">
            <w:pPr>
              <w:spacing w:after="160" w:line="360" w:lineRule="auto"/>
              <w:jc w:val="both"/>
              <w:rPr>
                <w:rFonts w:ascii="Arial" w:hAnsi="Arial" w:cs="Arial"/>
              </w:rPr>
            </w:pPr>
            <w:r w:rsidRPr="00030181">
              <w:rPr>
                <w:rFonts w:ascii="Arial" w:hAnsi="Arial" w:cs="Arial"/>
              </w:rPr>
              <w:t>Velázquez-Alva et al. (2020)</w:t>
            </w:r>
          </w:p>
        </w:tc>
        <w:tc>
          <w:tcPr>
            <w:tcW w:w="0" w:type="auto"/>
            <w:hideMark/>
          </w:tcPr>
          <w:p w14:paraId="5C3DD776" w14:textId="77777777" w:rsidR="00DA3615" w:rsidRPr="00030181" w:rsidRDefault="00DA3615" w:rsidP="005C5EBA">
            <w:pPr>
              <w:spacing w:after="160" w:line="360" w:lineRule="auto"/>
              <w:jc w:val="both"/>
              <w:rPr>
                <w:rFonts w:ascii="Arial" w:hAnsi="Arial" w:cs="Arial"/>
              </w:rPr>
            </w:pPr>
            <w:r w:rsidRPr="00030181">
              <w:rPr>
                <w:rFonts w:ascii="Arial" w:hAnsi="Arial" w:cs="Arial"/>
              </w:rPr>
              <w:t>Nursing-home population and validated measures</w:t>
            </w:r>
          </w:p>
        </w:tc>
        <w:tc>
          <w:tcPr>
            <w:tcW w:w="0" w:type="auto"/>
            <w:hideMark/>
          </w:tcPr>
          <w:p w14:paraId="4B7FB457" w14:textId="77777777" w:rsidR="00DA3615" w:rsidRPr="00030181" w:rsidRDefault="00DA3615" w:rsidP="005C5EBA">
            <w:pPr>
              <w:spacing w:after="160" w:line="360" w:lineRule="auto"/>
              <w:jc w:val="both"/>
              <w:rPr>
                <w:rFonts w:ascii="Arial" w:hAnsi="Arial" w:cs="Arial"/>
              </w:rPr>
            </w:pPr>
            <w:r w:rsidRPr="00030181">
              <w:rPr>
                <w:rFonts w:ascii="Arial" w:hAnsi="Arial" w:cs="Arial"/>
              </w:rPr>
              <w:t>Female-only sample</w:t>
            </w:r>
          </w:p>
        </w:tc>
        <w:tc>
          <w:tcPr>
            <w:tcW w:w="0" w:type="auto"/>
            <w:hideMark/>
          </w:tcPr>
          <w:p w14:paraId="7D364BB6" w14:textId="77777777" w:rsidR="00DA3615" w:rsidRPr="00030181" w:rsidRDefault="00DA3615" w:rsidP="005C5EBA">
            <w:pPr>
              <w:spacing w:after="160" w:line="360" w:lineRule="auto"/>
              <w:jc w:val="both"/>
              <w:rPr>
                <w:rFonts w:ascii="Arial" w:hAnsi="Arial" w:cs="Arial"/>
              </w:rPr>
            </w:pPr>
            <w:r w:rsidRPr="00030181">
              <w:rPr>
                <w:rFonts w:ascii="Arial" w:hAnsi="Arial" w:cs="Arial"/>
              </w:rPr>
              <w:t>Generalisability limited</w:t>
            </w:r>
          </w:p>
        </w:tc>
      </w:tr>
      <w:tr w:rsidR="00DA3615" w:rsidRPr="00030181" w14:paraId="64A6428D" w14:textId="77777777" w:rsidTr="00DA3615">
        <w:tc>
          <w:tcPr>
            <w:tcW w:w="0" w:type="auto"/>
            <w:hideMark/>
          </w:tcPr>
          <w:p w14:paraId="4DED6339" w14:textId="77777777" w:rsidR="00DA3615" w:rsidRPr="00030181" w:rsidRDefault="00DA3615" w:rsidP="005C5EBA">
            <w:pPr>
              <w:spacing w:after="160" w:line="360" w:lineRule="auto"/>
              <w:jc w:val="both"/>
              <w:rPr>
                <w:rFonts w:ascii="Arial" w:hAnsi="Arial" w:cs="Arial"/>
              </w:rPr>
            </w:pPr>
            <w:r w:rsidRPr="00030181">
              <w:rPr>
                <w:rFonts w:ascii="Arial" w:hAnsi="Arial" w:cs="Arial"/>
              </w:rPr>
              <w:t>Ran et al. (2023)</w:t>
            </w:r>
          </w:p>
        </w:tc>
        <w:tc>
          <w:tcPr>
            <w:tcW w:w="0" w:type="auto"/>
            <w:hideMark/>
          </w:tcPr>
          <w:p w14:paraId="27046C42" w14:textId="77777777" w:rsidR="00DA3615" w:rsidRPr="00030181" w:rsidRDefault="00DA3615" w:rsidP="005C5EBA">
            <w:pPr>
              <w:spacing w:after="160" w:line="360" w:lineRule="auto"/>
              <w:jc w:val="both"/>
              <w:rPr>
                <w:rFonts w:ascii="Arial" w:hAnsi="Arial" w:cs="Arial"/>
              </w:rPr>
            </w:pPr>
            <w:r w:rsidRPr="00030181">
              <w:rPr>
                <w:rFonts w:ascii="Arial" w:hAnsi="Arial" w:cs="Arial"/>
              </w:rPr>
              <w:t>Robust prediction modelling</w:t>
            </w:r>
          </w:p>
        </w:tc>
        <w:tc>
          <w:tcPr>
            <w:tcW w:w="0" w:type="auto"/>
            <w:hideMark/>
          </w:tcPr>
          <w:p w14:paraId="6FB9DEB0" w14:textId="77777777" w:rsidR="00DA3615" w:rsidRPr="00030181" w:rsidRDefault="00DA3615" w:rsidP="005C5EBA">
            <w:pPr>
              <w:spacing w:after="160" w:line="360" w:lineRule="auto"/>
              <w:jc w:val="both"/>
              <w:rPr>
                <w:rFonts w:ascii="Arial" w:hAnsi="Arial" w:cs="Arial"/>
              </w:rPr>
            </w:pPr>
            <w:r w:rsidRPr="00030181">
              <w:rPr>
                <w:rFonts w:ascii="Arial" w:hAnsi="Arial" w:cs="Arial"/>
              </w:rPr>
              <w:t>Hospital-based sample</w:t>
            </w:r>
          </w:p>
        </w:tc>
        <w:tc>
          <w:tcPr>
            <w:tcW w:w="0" w:type="auto"/>
            <w:hideMark/>
          </w:tcPr>
          <w:p w14:paraId="48A1076A" w14:textId="77777777" w:rsidR="00DA3615" w:rsidRPr="00030181" w:rsidRDefault="00DA3615" w:rsidP="005C5EBA">
            <w:pPr>
              <w:spacing w:after="160" w:line="360" w:lineRule="auto"/>
              <w:jc w:val="both"/>
              <w:rPr>
                <w:rFonts w:ascii="Arial" w:hAnsi="Arial" w:cs="Arial"/>
              </w:rPr>
            </w:pPr>
            <w:r w:rsidRPr="00030181">
              <w:rPr>
                <w:rFonts w:ascii="Arial" w:hAnsi="Arial" w:cs="Arial"/>
              </w:rPr>
              <w:t>Applicability to care homes uncertain</w:t>
            </w:r>
          </w:p>
        </w:tc>
      </w:tr>
      <w:tr w:rsidR="00DA3615" w:rsidRPr="00030181" w14:paraId="259EA464" w14:textId="77777777" w:rsidTr="00DA3615">
        <w:tc>
          <w:tcPr>
            <w:tcW w:w="0" w:type="auto"/>
            <w:hideMark/>
          </w:tcPr>
          <w:p w14:paraId="5953FB48" w14:textId="77777777" w:rsidR="00DA3615" w:rsidRPr="00030181" w:rsidRDefault="00DA3615" w:rsidP="005C5EBA">
            <w:pPr>
              <w:spacing w:after="160" w:line="360" w:lineRule="auto"/>
              <w:jc w:val="both"/>
              <w:rPr>
                <w:rFonts w:ascii="Arial" w:hAnsi="Arial" w:cs="Arial"/>
              </w:rPr>
            </w:pPr>
            <w:r w:rsidRPr="00030181">
              <w:rPr>
                <w:rFonts w:ascii="Arial" w:hAnsi="Arial" w:cs="Arial"/>
              </w:rPr>
              <w:t>Mokaya et al. (2022)</w:t>
            </w:r>
          </w:p>
        </w:tc>
        <w:tc>
          <w:tcPr>
            <w:tcW w:w="0" w:type="auto"/>
            <w:hideMark/>
          </w:tcPr>
          <w:p w14:paraId="05DBCDC1" w14:textId="77777777" w:rsidR="00DA3615" w:rsidRPr="00030181" w:rsidRDefault="00DA3615" w:rsidP="005C5EBA">
            <w:pPr>
              <w:spacing w:after="160" w:line="360" w:lineRule="auto"/>
              <w:jc w:val="both"/>
              <w:rPr>
                <w:rFonts w:ascii="Arial" w:hAnsi="Arial" w:cs="Arial"/>
              </w:rPr>
            </w:pPr>
            <w:r w:rsidRPr="00030181">
              <w:rPr>
                <w:rFonts w:ascii="Arial" w:hAnsi="Arial" w:cs="Arial"/>
              </w:rPr>
              <w:t>Detailed exploration of dietary behaviour</w:t>
            </w:r>
          </w:p>
        </w:tc>
        <w:tc>
          <w:tcPr>
            <w:tcW w:w="0" w:type="auto"/>
            <w:hideMark/>
          </w:tcPr>
          <w:p w14:paraId="5C711B5C" w14:textId="77777777" w:rsidR="00DA3615" w:rsidRPr="00030181" w:rsidRDefault="00DA3615" w:rsidP="005C5EBA">
            <w:pPr>
              <w:spacing w:after="160" w:line="360" w:lineRule="auto"/>
              <w:jc w:val="both"/>
              <w:rPr>
                <w:rFonts w:ascii="Arial" w:hAnsi="Arial" w:cs="Arial"/>
              </w:rPr>
            </w:pPr>
            <w:r w:rsidRPr="00030181">
              <w:rPr>
                <w:rFonts w:ascii="Arial" w:hAnsi="Arial" w:cs="Arial"/>
              </w:rPr>
              <w:t>Small qualitative sample</w:t>
            </w:r>
          </w:p>
        </w:tc>
        <w:tc>
          <w:tcPr>
            <w:tcW w:w="0" w:type="auto"/>
            <w:hideMark/>
          </w:tcPr>
          <w:p w14:paraId="7A3385BD" w14:textId="77777777" w:rsidR="00DA3615" w:rsidRPr="00030181" w:rsidRDefault="00DA3615" w:rsidP="005C5EBA">
            <w:pPr>
              <w:spacing w:after="160" w:line="360" w:lineRule="auto"/>
              <w:jc w:val="both"/>
              <w:rPr>
                <w:rFonts w:ascii="Arial" w:hAnsi="Arial" w:cs="Arial"/>
              </w:rPr>
            </w:pPr>
            <w:r w:rsidRPr="00030181">
              <w:rPr>
                <w:rFonts w:ascii="Arial" w:hAnsi="Arial" w:cs="Arial"/>
              </w:rPr>
              <w:t>Findings context-specific</w:t>
            </w:r>
          </w:p>
        </w:tc>
      </w:tr>
      <w:tr w:rsidR="00DA3615" w:rsidRPr="00030181" w14:paraId="36D377B0" w14:textId="77777777" w:rsidTr="00DA3615">
        <w:tc>
          <w:tcPr>
            <w:tcW w:w="0" w:type="auto"/>
            <w:hideMark/>
          </w:tcPr>
          <w:p w14:paraId="52154633" w14:textId="77777777" w:rsidR="00DA3615" w:rsidRPr="00030181" w:rsidRDefault="00DA3615" w:rsidP="005C5EBA">
            <w:pPr>
              <w:spacing w:after="160" w:line="360" w:lineRule="auto"/>
              <w:jc w:val="both"/>
              <w:rPr>
                <w:rFonts w:ascii="Arial" w:hAnsi="Arial" w:cs="Arial"/>
              </w:rPr>
            </w:pPr>
            <w:r w:rsidRPr="00030181">
              <w:rPr>
                <w:rFonts w:ascii="Arial" w:hAnsi="Arial" w:cs="Arial"/>
              </w:rPr>
              <w:t>Cereda et al. (2016)</w:t>
            </w:r>
          </w:p>
        </w:tc>
        <w:tc>
          <w:tcPr>
            <w:tcW w:w="0" w:type="auto"/>
            <w:hideMark/>
          </w:tcPr>
          <w:p w14:paraId="1533035F" w14:textId="77777777" w:rsidR="00DA3615" w:rsidRPr="00030181" w:rsidRDefault="00DA3615" w:rsidP="005C5EBA">
            <w:pPr>
              <w:spacing w:after="160" w:line="360" w:lineRule="auto"/>
              <w:jc w:val="both"/>
              <w:rPr>
                <w:rFonts w:ascii="Arial" w:hAnsi="Arial" w:cs="Arial"/>
              </w:rPr>
            </w:pPr>
            <w:r w:rsidRPr="00030181">
              <w:rPr>
                <w:rFonts w:ascii="Arial" w:hAnsi="Arial" w:cs="Arial"/>
              </w:rPr>
              <w:t>Large systematic review and meta-analysis using validated MNA data</w:t>
            </w:r>
          </w:p>
        </w:tc>
        <w:tc>
          <w:tcPr>
            <w:tcW w:w="0" w:type="auto"/>
            <w:hideMark/>
          </w:tcPr>
          <w:p w14:paraId="61151C1E" w14:textId="77777777" w:rsidR="00DA3615" w:rsidRPr="00030181" w:rsidRDefault="00DA3615" w:rsidP="005C5EBA">
            <w:pPr>
              <w:spacing w:after="160" w:line="360" w:lineRule="auto"/>
              <w:jc w:val="both"/>
              <w:rPr>
                <w:rFonts w:ascii="Arial" w:hAnsi="Arial" w:cs="Arial"/>
              </w:rPr>
            </w:pPr>
            <w:r w:rsidRPr="00030181">
              <w:rPr>
                <w:rFonts w:ascii="Arial" w:hAnsi="Arial" w:cs="Arial"/>
              </w:rPr>
              <w:t>Predominantly international studies</w:t>
            </w:r>
          </w:p>
        </w:tc>
        <w:tc>
          <w:tcPr>
            <w:tcW w:w="0" w:type="auto"/>
            <w:hideMark/>
          </w:tcPr>
          <w:p w14:paraId="01E4851E" w14:textId="77777777" w:rsidR="00DA3615" w:rsidRPr="00030181" w:rsidRDefault="00DA3615" w:rsidP="005C5EBA">
            <w:pPr>
              <w:spacing w:after="160" w:line="360" w:lineRule="auto"/>
              <w:jc w:val="both"/>
              <w:rPr>
                <w:rFonts w:ascii="Arial" w:hAnsi="Arial" w:cs="Arial"/>
              </w:rPr>
            </w:pPr>
            <w:r w:rsidRPr="00030181">
              <w:rPr>
                <w:rFonts w:ascii="Arial" w:hAnsi="Arial" w:cs="Arial"/>
              </w:rPr>
              <w:t>Applicability to UK care homes may vary</w:t>
            </w:r>
          </w:p>
        </w:tc>
      </w:tr>
      <w:tr w:rsidR="00DA3615" w:rsidRPr="00030181" w14:paraId="751A7DDF" w14:textId="77777777" w:rsidTr="00DA3615">
        <w:tc>
          <w:tcPr>
            <w:tcW w:w="0" w:type="auto"/>
            <w:hideMark/>
          </w:tcPr>
          <w:p w14:paraId="69A35FB9" w14:textId="77777777" w:rsidR="00DA3615" w:rsidRPr="00030181" w:rsidRDefault="00DA3615" w:rsidP="005C5EBA">
            <w:pPr>
              <w:spacing w:after="160" w:line="360" w:lineRule="auto"/>
              <w:jc w:val="both"/>
              <w:rPr>
                <w:rFonts w:ascii="Arial" w:hAnsi="Arial" w:cs="Arial"/>
              </w:rPr>
            </w:pPr>
            <w:r w:rsidRPr="00030181">
              <w:rPr>
                <w:rFonts w:ascii="Arial" w:hAnsi="Arial" w:cs="Arial"/>
              </w:rPr>
              <w:t>Bamford et al. (2012)</w:t>
            </w:r>
          </w:p>
        </w:tc>
        <w:tc>
          <w:tcPr>
            <w:tcW w:w="0" w:type="auto"/>
            <w:hideMark/>
          </w:tcPr>
          <w:p w14:paraId="3B9C234F" w14:textId="77777777" w:rsidR="00DA3615" w:rsidRPr="00030181" w:rsidRDefault="00DA3615" w:rsidP="005C5EBA">
            <w:pPr>
              <w:spacing w:after="160" w:line="360" w:lineRule="auto"/>
              <w:jc w:val="both"/>
              <w:rPr>
                <w:rFonts w:ascii="Arial" w:hAnsi="Arial" w:cs="Arial"/>
              </w:rPr>
            </w:pPr>
            <w:r w:rsidRPr="00030181">
              <w:rPr>
                <w:rFonts w:ascii="Arial" w:hAnsi="Arial" w:cs="Arial"/>
              </w:rPr>
              <w:t>Direct care-home guideline implementation evidence</w:t>
            </w:r>
          </w:p>
        </w:tc>
        <w:tc>
          <w:tcPr>
            <w:tcW w:w="0" w:type="auto"/>
            <w:hideMark/>
          </w:tcPr>
          <w:p w14:paraId="70036523" w14:textId="77777777" w:rsidR="00DA3615" w:rsidRPr="00030181" w:rsidRDefault="00DA3615" w:rsidP="005C5EBA">
            <w:pPr>
              <w:spacing w:after="160" w:line="360" w:lineRule="auto"/>
              <w:jc w:val="both"/>
              <w:rPr>
                <w:rFonts w:ascii="Arial" w:hAnsi="Arial" w:cs="Arial"/>
              </w:rPr>
            </w:pPr>
            <w:r w:rsidRPr="00030181">
              <w:rPr>
                <w:rFonts w:ascii="Arial" w:hAnsi="Arial" w:cs="Arial"/>
              </w:rPr>
              <w:t>Small sample and older study</w:t>
            </w:r>
          </w:p>
        </w:tc>
        <w:tc>
          <w:tcPr>
            <w:tcW w:w="0" w:type="auto"/>
            <w:hideMark/>
          </w:tcPr>
          <w:p w14:paraId="4D4BEEF1" w14:textId="77777777" w:rsidR="00DA3615" w:rsidRPr="00030181" w:rsidRDefault="00DA3615" w:rsidP="005C5EBA">
            <w:pPr>
              <w:spacing w:after="160" w:line="360" w:lineRule="auto"/>
              <w:jc w:val="both"/>
              <w:rPr>
                <w:rFonts w:ascii="Arial" w:hAnsi="Arial" w:cs="Arial"/>
              </w:rPr>
            </w:pPr>
            <w:r w:rsidRPr="00030181">
              <w:rPr>
                <w:rFonts w:ascii="Arial" w:hAnsi="Arial" w:cs="Arial"/>
              </w:rPr>
              <w:t>Current relevance may be reduced</w:t>
            </w:r>
          </w:p>
        </w:tc>
      </w:tr>
      <w:tr w:rsidR="00DA3615" w:rsidRPr="00030181" w14:paraId="2B9ACA7B" w14:textId="77777777" w:rsidTr="00DA3615">
        <w:tc>
          <w:tcPr>
            <w:tcW w:w="0" w:type="auto"/>
            <w:hideMark/>
          </w:tcPr>
          <w:p w14:paraId="145BCA8D" w14:textId="678BB4F5" w:rsidR="00DA3615" w:rsidRPr="00030181" w:rsidRDefault="00DA3615" w:rsidP="005C5EBA">
            <w:pPr>
              <w:spacing w:after="160" w:line="360" w:lineRule="auto"/>
              <w:jc w:val="both"/>
              <w:rPr>
                <w:rFonts w:ascii="Arial" w:hAnsi="Arial" w:cs="Arial"/>
              </w:rPr>
            </w:pPr>
            <w:r w:rsidRPr="00030181">
              <w:rPr>
                <w:rFonts w:ascii="Arial" w:hAnsi="Arial" w:cs="Arial"/>
              </w:rPr>
              <w:t xml:space="preserve">Romano </w:t>
            </w:r>
            <w:r w:rsidR="00521D48" w:rsidRPr="00030181">
              <w:rPr>
                <w:rFonts w:ascii="Arial" w:hAnsi="Arial" w:cs="Arial"/>
              </w:rPr>
              <w:t>and</w:t>
            </w:r>
            <w:r w:rsidRPr="00030181">
              <w:rPr>
                <w:rFonts w:ascii="Arial" w:hAnsi="Arial" w:cs="Arial"/>
              </w:rPr>
              <w:t xml:space="preserve"> Minns Lowe (2022)</w:t>
            </w:r>
          </w:p>
        </w:tc>
        <w:tc>
          <w:tcPr>
            <w:tcW w:w="0" w:type="auto"/>
            <w:hideMark/>
          </w:tcPr>
          <w:p w14:paraId="2076447D" w14:textId="77777777" w:rsidR="00DA3615" w:rsidRPr="00030181" w:rsidRDefault="00DA3615" w:rsidP="005C5EBA">
            <w:pPr>
              <w:spacing w:after="160" w:line="360" w:lineRule="auto"/>
              <w:jc w:val="both"/>
              <w:rPr>
                <w:rFonts w:ascii="Arial" w:hAnsi="Arial" w:cs="Arial"/>
              </w:rPr>
            </w:pPr>
            <w:r w:rsidRPr="00030181">
              <w:rPr>
                <w:rFonts w:ascii="Arial" w:hAnsi="Arial" w:cs="Arial"/>
              </w:rPr>
              <w:t>Contemporary UK care-home evidence</w:t>
            </w:r>
          </w:p>
        </w:tc>
        <w:tc>
          <w:tcPr>
            <w:tcW w:w="0" w:type="auto"/>
            <w:hideMark/>
          </w:tcPr>
          <w:p w14:paraId="742E2AE6" w14:textId="77777777" w:rsidR="00DA3615" w:rsidRPr="00030181" w:rsidRDefault="00DA3615" w:rsidP="005C5EBA">
            <w:pPr>
              <w:spacing w:after="160" w:line="360" w:lineRule="auto"/>
              <w:jc w:val="both"/>
              <w:rPr>
                <w:rFonts w:ascii="Arial" w:hAnsi="Arial" w:cs="Arial"/>
              </w:rPr>
            </w:pPr>
            <w:r w:rsidRPr="00030181">
              <w:rPr>
                <w:rFonts w:ascii="Arial" w:hAnsi="Arial" w:cs="Arial"/>
              </w:rPr>
              <w:t>Small sample of dietitians</w:t>
            </w:r>
          </w:p>
        </w:tc>
        <w:tc>
          <w:tcPr>
            <w:tcW w:w="0" w:type="auto"/>
            <w:hideMark/>
          </w:tcPr>
          <w:p w14:paraId="2A30C24D" w14:textId="77777777" w:rsidR="00DA3615" w:rsidRPr="00030181" w:rsidRDefault="00DA3615" w:rsidP="005C5EBA">
            <w:pPr>
              <w:spacing w:after="160" w:line="360" w:lineRule="auto"/>
              <w:jc w:val="both"/>
              <w:rPr>
                <w:rFonts w:ascii="Arial" w:hAnsi="Arial" w:cs="Arial"/>
              </w:rPr>
            </w:pPr>
            <w:r w:rsidRPr="00030181">
              <w:rPr>
                <w:rFonts w:ascii="Arial" w:hAnsi="Arial" w:cs="Arial"/>
              </w:rPr>
              <w:t>Resident perspectives not included</w:t>
            </w:r>
          </w:p>
        </w:tc>
      </w:tr>
      <w:tr w:rsidR="00DA3615" w:rsidRPr="00030181" w14:paraId="01370AC0" w14:textId="77777777" w:rsidTr="00DA3615">
        <w:tc>
          <w:tcPr>
            <w:tcW w:w="0" w:type="auto"/>
            <w:hideMark/>
          </w:tcPr>
          <w:p w14:paraId="6C56A799" w14:textId="77777777" w:rsidR="00DA3615" w:rsidRPr="00030181" w:rsidRDefault="00DA3615" w:rsidP="005C5EBA">
            <w:pPr>
              <w:spacing w:after="160" w:line="360" w:lineRule="auto"/>
              <w:jc w:val="both"/>
              <w:rPr>
                <w:rFonts w:ascii="Arial" w:hAnsi="Arial" w:cs="Arial"/>
              </w:rPr>
            </w:pPr>
            <w:r w:rsidRPr="00030181">
              <w:rPr>
                <w:rFonts w:ascii="Arial" w:hAnsi="Arial" w:cs="Arial"/>
              </w:rPr>
              <w:t>Charlesworth (2016)</w:t>
            </w:r>
          </w:p>
        </w:tc>
        <w:tc>
          <w:tcPr>
            <w:tcW w:w="0" w:type="auto"/>
            <w:hideMark/>
          </w:tcPr>
          <w:p w14:paraId="53688D65" w14:textId="77777777" w:rsidR="00DA3615" w:rsidRPr="00030181" w:rsidRDefault="00DA3615" w:rsidP="005C5EBA">
            <w:pPr>
              <w:spacing w:after="160" w:line="360" w:lineRule="auto"/>
              <w:jc w:val="both"/>
              <w:rPr>
                <w:rFonts w:ascii="Arial" w:hAnsi="Arial" w:cs="Arial"/>
              </w:rPr>
            </w:pPr>
            <w:r w:rsidRPr="00030181">
              <w:rPr>
                <w:rFonts w:ascii="Arial" w:hAnsi="Arial" w:cs="Arial"/>
              </w:rPr>
              <w:t>Real-world care-home service evaluation</w:t>
            </w:r>
          </w:p>
        </w:tc>
        <w:tc>
          <w:tcPr>
            <w:tcW w:w="0" w:type="auto"/>
            <w:hideMark/>
          </w:tcPr>
          <w:p w14:paraId="6D053C6C" w14:textId="77777777" w:rsidR="00DA3615" w:rsidRPr="00030181" w:rsidRDefault="00DA3615" w:rsidP="005C5EBA">
            <w:pPr>
              <w:spacing w:after="160" w:line="360" w:lineRule="auto"/>
              <w:jc w:val="both"/>
              <w:rPr>
                <w:rFonts w:ascii="Arial" w:hAnsi="Arial" w:cs="Arial"/>
              </w:rPr>
            </w:pPr>
            <w:r w:rsidRPr="00030181">
              <w:rPr>
                <w:rFonts w:ascii="Arial" w:hAnsi="Arial" w:cs="Arial"/>
              </w:rPr>
              <w:t>Local evaluation and limited peer review</w:t>
            </w:r>
          </w:p>
        </w:tc>
        <w:tc>
          <w:tcPr>
            <w:tcW w:w="0" w:type="auto"/>
            <w:hideMark/>
          </w:tcPr>
          <w:p w14:paraId="7CEBE82D" w14:textId="77777777" w:rsidR="00DA3615" w:rsidRPr="00030181" w:rsidRDefault="00DA3615" w:rsidP="005C5EBA">
            <w:pPr>
              <w:spacing w:after="160" w:line="360" w:lineRule="auto"/>
              <w:jc w:val="both"/>
              <w:rPr>
                <w:rFonts w:ascii="Arial" w:hAnsi="Arial" w:cs="Arial"/>
              </w:rPr>
            </w:pPr>
            <w:r w:rsidRPr="00030181">
              <w:rPr>
                <w:rFonts w:ascii="Arial" w:hAnsi="Arial" w:cs="Arial"/>
              </w:rPr>
              <w:t>Wider applicability uncertain</w:t>
            </w:r>
          </w:p>
        </w:tc>
      </w:tr>
      <w:tr w:rsidR="00DA3615" w:rsidRPr="00030181" w14:paraId="6C0754F1" w14:textId="77777777" w:rsidTr="00DA3615">
        <w:tc>
          <w:tcPr>
            <w:tcW w:w="0" w:type="auto"/>
            <w:hideMark/>
          </w:tcPr>
          <w:p w14:paraId="37A419BA" w14:textId="77777777" w:rsidR="00DA3615" w:rsidRPr="00030181" w:rsidRDefault="00DA3615" w:rsidP="005C5EBA">
            <w:pPr>
              <w:spacing w:after="160" w:line="360" w:lineRule="auto"/>
              <w:jc w:val="both"/>
              <w:rPr>
                <w:rFonts w:ascii="Arial" w:hAnsi="Arial" w:cs="Arial"/>
              </w:rPr>
            </w:pPr>
            <w:r w:rsidRPr="00030181">
              <w:rPr>
                <w:rFonts w:ascii="Arial" w:hAnsi="Arial" w:cs="Arial"/>
              </w:rPr>
              <w:t>Babatola (2023)</w:t>
            </w:r>
          </w:p>
        </w:tc>
        <w:tc>
          <w:tcPr>
            <w:tcW w:w="0" w:type="auto"/>
            <w:hideMark/>
          </w:tcPr>
          <w:p w14:paraId="2D7BD455" w14:textId="77777777" w:rsidR="00DA3615" w:rsidRPr="00030181" w:rsidRDefault="00DA3615" w:rsidP="005C5EBA">
            <w:pPr>
              <w:spacing w:after="160" w:line="360" w:lineRule="auto"/>
              <w:jc w:val="both"/>
              <w:rPr>
                <w:rFonts w:ascii="Arial" w:hAnsi="Arial" w:cs="Arial"/>
              </w:rPr>
            </w:pPr>
            <w:r w:rsidRPr="00030181">
              <w:rPr>
                <w:rFonts w:ascii="Arial" w:hAnsi="Arial" w:cs="Arial"/>
              </w:rPr>
              <w:t>UK food safety compliance evidence</w:t>
            </w:r>
          </w:p>
        </w:tc>
        <w:tc>
          <w:tcPr>
            <w:tcW w:w="0" w:type="auto"/>
            <w:hideMark/>
          </w:tcPr>
          <w:p w14:paraId="028D8511" w14:textId="77777777" w:rsidR="00DA3615" w:rsidRPr="00030181" w:rsidRDefault="00DA3615" w:rsidP="005C5EBA">
            <w:pPr>
              <w:spacing w:after="160" w:line="360" w:lineRule="auto"/>
              <w:jc w:val="both"/>
              <w:rPr>
                <w:rFonts w:ascii="Arial" w:hAnsi="Arial" w:cs="Arial"/>
              </w:rPr>
            </w:pPr>
            <w:r w:rsidRPr="00030181">
              <w:rPr>
                <w:rFonts w:ascii="Arial" w:hAnsi="Arial" w:cs="Arial"/>
              </w:rPr>
              <w:t>Not exclusively care homes</w:t>
            </w:r>
          </w:p>
        </w:tc>
        <w:tc>
          <w:tcPr>
            <w:tcW w:w="0" w:type="auto"/>
            <w:hideMark/>
          </w:tcPr>
          <w:p w14:paraId="0A369BE5" w14:textId="77777777" w:rsidR="00DA3615" w:rsidRPr="00030181" w:rsidRDefault="00DA3615" w:rsidP="005C5EBA">
            <w:pPr>
              <w:spacing w:after="160" w:line="360" w:lineRule="auto"/>
              <w:jc w:val="both"/>
              <w:rPr>
                <w:rFonts w:ascii="Arial" w:hAnsi="Arial" w:cs="Arial"/>
              </w:rPr>
            </w:pPr>
            <w:r w:rsidRPr="00030181">
              <w:rPr>
                <w:rFonts w:ascii="Arial" w:hAnsi="Arial" w:cs="Arial"/>
              </w:rPr>
              <w:t>Sector-specific effects unclear</w:t>
            </w:r>
          </w:p>
        </w:tc>
      </w:tr>
    </w:tbl>
    <w:p w14:paraId="50870492" w14:textId="77777777" w:rsidR="00E737D1" w:rsidRPr="00030181" w:rsidRDefault="00E737D1" w:rsidP="005C5EBA">
      <w:pPr>
        <w:spacing w:line="360" w:lineRule="auto"/>
        <w:jc w:val="both"/>
        <w:rPr>
          <w:rFonts w:ascii="Arial" w:hAnsi="Arial" w:cs="Arial"/>
        </w:rPr>
      </w:pPr>
    </w:p>
    <w:p w14:paraId="38AF0D28" w14:textId="77777777" w:rsidR="00E737D1" w:rsidRPr="00030181" w:rsidRDefault="00E737D1" w:rsidP="005C5EBA">
      <w:pPr>
        <w:spacing w:line="360" w:lineRule="auto"/>
        <w:jc w:val="both"/>
        <w:rPr>
          <w:rFonts w:ascii="Arial" w:hAnsi="Arial" w:cs="Arial"/>
        </w:rPr>
      </w:pPr>
    </w:p>
    <w:sectPr w:rsidR="00E737D1" w:rsidRPr="00030181" w:rsidSect="00AD385F">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309A7" w14:textId="77777777" w:rsidR="004643EF" w:rsidRDefault="004643EF" w:rsidP="009A4FE2">
      <w:pPr>
        <w:spacing w:after="0" w:line="240" w:lineRule="auto"/>
      </w:pPr>
      <w:r>
        <w:separator/>
      </w:r>
    </w:p>
  </w:endnote>
  <w:endnote w:type="continuationSeparator" w:id="0">
    <w:p w14:paraId="08E18E84" w14:textId="77777777" w:rsidR="004643EF" w:rsidRDefault="004643EF" w:rsidP="009A4F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3525497"/>
      <w:docPartObj>
        <w:docPartGallery w:val="Page Numbers (Bottom of Page)"/>
        <w:docPartUnique/>
      </w:docPartObj>
    </w:sdtPr>
    <w:sdtEndPr>
      <w:rPr>
        <w:noProof/>
      </w:rPr>
    </w:sdtEndPr>
    <w:sdtContent>
      <w:p w14:paraId="60C53F16" w14:textId="2D8BBE5F" w:rsidR="009A4FE2" w:rsidRDefault="009A4FE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E54093" w14:textId="77777777" w:rsidR="009A4FE2" w:rsidRDefault="009A4F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03AA1" w14:textId="77777777" w:rsidR="004643EF" w:rsidRDefault="004643EF" w:rsidP="009A4FE2">
      <w:pPr>
        <w:spacing w:after="0" w:line="240" w:lineRule="auto"/>
      </w:pPr>
      <w:r>
        <w:separator/>
      </w:r>
    </w:p>
  </w:footnote>
  <w:footnote w:type="continuationSeparator" w:id="0">
    <w:p w14:paraId="7E75EBB0" w14:textId="77777777" w:rsidR="004643EF" w:rsidRDefault="004643EF" w:rsidP="009A4F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BE50D16"/>
    <w:multiLevelType w:val="multilevel"/>
    <w:tmpl w:val="7AFEB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DB3D13"/>
    <w:multiLevelType w:val="hybridMultilevel"/>
    <w:tmpl w:val="7C84483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1" w15:restartNumberingAfterBreak="0">
    <w:nsid w:val="117570B4"/>
    <w:multiLevelType w:val="multilevel"/>
    <w:tmpl w:val="E2124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CC0702"/>
    <w:multiLevelType w:val="hybridMultilevel"/>
    <w:tmpl w:val="6F740F1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3" w15:restartNumberingAfterBreak="0">
    <w:nsid w:val="23B04C03"/>
    <w:multiLevelType w:val="multilevel"/>
    <w:tmpl w:val="93B87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D67D1C"/>
    <w:multiLevelType w:val="multilevel"/>
    <w:tmpl w:val="EFDEDC1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 w15:restartNumberingAfterBreak="0">
    <w:nsid w:val="266E0A87"/>
    <w:multiLevelType w:val="multilevel"/>
    <w:tmpl w:val="0A9E8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726781"/>
    <w:multiLevelType w:val="multilevel"/>
    <w:tmpl w:val="22FC7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9D3B13"/>
    <w:multiLevelType w:val="hybridMultilevel"/>
    <w:tmpl w:val="21D694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3831786A"/>
    <w:multiLevelType w:val="multilevel"/>
    <w:tmpl w:val="BB5A1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9B5C4A"/>
    <w:multiLevelType w:val="multilevel"/>
    <w:tmpl w:val="8E806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403841"/>
    <w:multiLevelType w:val="multilevel"/>
    <w:tmpl w:val="9A3A2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9E3DDD"/>
    <w:multiLevelType w:val="hybridMultilevel"/>
    <w:tmpl w:val="37E2627A"/>
    <w:lvl w:ilvl="0" w:tplc="37FE7F5A">
      <w:numFmt w:val="bullet"/>
      <w:lvlText w:val="•"/>
      <w:lvlJc w:val="left"/>
      <w:pPr>
        <w:ind w:left="720" w:hanging="360"/>
      </w:pPr>
      <w:rPr>
        <w:rFonts w:ascii="Calibri" w:eastAsiaTheme="minorHAns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48EF4B86"/>
    <w:multiLevelType w:val="hybridMultilevel"/>
    <w:tmpl w:val="543608D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5561240C"/>
    <w:multiLevelType w:val="multilevel"/>
    <w:tmpl w:val="1DE2B02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587836EC"/>
    <w:multiLevelType w:val="multilevel"/>
    <w:tmpl w:val="4FF0F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012AF8"/>
    <w:multiLevelType w:val="multilevel"/>
    <w:tmpl w:val="3580E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3587DCA"/>
    <w:multiLevelType w:val="multilevel"/>
    <w:tmpl w:val="E676C1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43277EF"/>
    <w:multiLevelType w:val="hybridMultilevel"/>
    <w:tmpl w:val="C21E9552"/>
    <w:lvl w:ilvl="0" w:tplc="37FE7F5A">
      <w:numFmt w:val="bullet"/>
      <w:lvlText w:val="•"/>
      <w:lvlJc w:val="left"/>
      <w:pPr>
        <w:ind w:left="360" w:hanging="360"/>
      </w:pPr>
      <w:rPr>
        <w:rFonts w:ascii="Calibri" w:eastAsiaTheme="minorHAnsi" w:hAnsi="Calibri" w:cs="Calibri"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8" w15:restartNumberingAfterBreak="0">
    <w:nsid w:val="76F97F38"/>
    <w:multiLevelType w:val="hybridMultilevel"/>
    <w:tmpl w:val="BA9C812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15:restartNumberingAfterBreak="0">
    <w:nsid w:val="7C5A49A3"/>
    <w:multiLevelType w:val="hybridMultilevel"/>
    <w:tmpl w:val="7B08414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1490367772">
    <w:abstractNumId w:val="14"/>
  </w:num>
  <w:num w:numId="2" w16cid:durableId="846477568">
    <w:abstractNumId w:val="19"/>
  </w:num>
  <w:num w:numId="3" w16cid:durableId="1218006447">
    <w:abstractNumId w:val="28"/>
  </w:num>
  <w:num w:numId="4" w16cid:durableId="378631326">
    <w:abstractNumId w:val="21"/>
  </w:num>
  <w:num w:numId="5" w16cid:durableId="1829635320">
    <w:abstractNumId w:val="24"/>
  </w:num>
  <w:num w:numId="6" w16cid:durableId="1870532386">
    <w:abstractNumId w:val="25"/>
  </w:num>
  <w:num w:numId="7" w16cid:durableId="363553491">
    <w:abstractNumId w:val="27"/>
  </w:num>
  <w:num w:numId="8" w16cid:durableId="1547134982">
    <w:abstractNumId w:val="11"/>
  </w:num>
  <w:num w:numId="9" w16cid:durableId="201092170">
    <w:abstractNumId w:val="23"/>
  </w:num>
  <w:num w:numId="10" w16cid:durableId="2022581283">
    <w:abstractNumId w:val="12"/>
  </w:num>
  <w:num w:numId="11" w16cid:durableId="972096497">
    <w:abstractNumId w:val="20"/>
  </w:num>
  <w:num w:numId="12" w16cid:durableId="74402046">
    <w:abstractNumId w:val="10"/>
  </w:num>
  <w:num w:numId="13" w16cid:durableId="1172798506">
    <w:abstractNumId w:val="9"/>
  </w:num>
  <w:num w:numId="14" w16cid:durableId="687685426">
    <w:abstractNumId w:val="15"/>
  </w:num>
  <w:num w:numId="15" w16cid:durableId="886992163">
    <w:abstractNumId w:val="26"/>
  </w:num>
  <w:num w:numId="16" w16cid:durableId="1978755728">
    <w:abstractNumId w:val="13"/>
  </w:num>
  <w:num w:numId="17" w16cid:durableId="1652293666">
    <w:abstractNumId w:val="22"/>
  </w:num>
  <w:num w:numId="18" w16cid:durableId="1563056203">
    <w:abstractNumId w:val="29"/>
  </w:num>
  <w:num w:numId="19" w16cid:durableId="1957562599">
    <w:abstractNumId w:val="17"/>
  </w:num>
  <w:num w:numId="20" w16cid:durableId="1129275518">
    <w:abstractNumId w:val="16"/>
  </w:num>
  <w:num w:numId="21" w16cid:durableId="2140414495">
    <w:abstractNumId w:val="8"/>
  </w:num>
  <w:num w:numId="22" w16cid:durableId="1897276359">
    <w:abstractNumId w:val="6"/>
  </w:num>
  <w:num w:numId="23" w16cid:durableId="242683393">
    <w:abstractNumId w:val="5"/>
  </w:num>
  <w:num w:numId="24" w16cid:durableId="1144587436">
    <w:abstractNumId w:val="4"/>
  </w:num>
  <w:num w:numId="25" w16cid:durableId="625158296">
    <w:abstractNumId w:val="7"/>
  </w:num>
  <w:num w:numId="26" w16cid:durableId="882786753">
    <w:abstractNumId w:val="3"/>
  </w:num>
  <w:num w:numId="27" w16cid:durableId="1172141240">
    <w:abstractNumId w:val="2"/>
  </w:num>
  <w:num w:numId="28" w16cid:durableId="1437869119">
    <w:abstractNumId w:val="1"/>
  </w:num>
  <w:num w:numId="29" w16cid:durableId="1484392184">
    <w:abstractNumId w:val="0"/>
  </w:num>
  <w:num w:numId="30" w16cid:durableId="82354778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0F8"/>
    <w:rsid w:val="00007487"/>
    <w:rsid w:val="00013C63"/>
    <w:rsid w:val="00017258"/>
    <w:rsid w:val="00030181"/>
    <w:rsid w:val="000333F7"/>
    <w:rsid w:val="00036BFA"/>
    <w:rsid w:val="00060516"/>
    <w:rsid w:val="00062405"/>
    <w:rsid w:val="00073295"/>
    <w:rsid w:val="00074605"/>
    <w:rsid w:val="0007508D"/>
    <w:rsid w:val="0008042D"/>
    <w:rsid w:val="00092995"/>
    <w:rsid w:val="00095F12"/>
    <w:rsid w:val="000B45DA"/>
    <w:rsid w:val="000C4A05"/>
    <w:rsid w:val="000C6547"/>
    <w:rsid w:val="000D4AFF"/>
    <w:rsid w:val="000D6E1E"/>
    <w:rsid w:val="000E0749"/>
    <w:rsid w:val="000E7FB8"/>
    <w:rsid w:val="001055A3"/>
    <w:rsid w:val="00105D67"/>
    <w:rsid w:val="0012285F"/>
    <w:rsid w:val="00130E85"/>
    <w:rsid w:val="001333EB"/>
    <w:rsid w:val="0013355B"/>
    <w:rsid w:val="001725BD"/>
    <w:rsid w:val="0018210B"/>
    <w:rsid w:val="00183E7D"/>
    <w:rsid w:val="001875B8"/>
    <w:rsid w:val="00191834"/>
    <w:rsid w:val="001A2AB8"/>
    <w:rsid w:val="001A2BC8"/>
    <w:rsid w:val="001C4883"/>
    <w:rsid w:val="001D7EEB"/>
    <w:rsid w:val="001E5323"/>
    <w:rsid w:val="001F1AA1"/>
    <w:rsid w:val="001F77DA"/>
    <w:rsid w:val="002061D6"/>
    <w:rsid w:val="00210CD1"/>
    <w:rsid w:val="00223F6D"/>
    <w:rsid w:val="00224156"/>
    <w:rsid w:val="00225559"/>
    <w:rsid w:val="00240302"/>
    <w:rsid w:val="002574C6"/>
    <w:rsid w:val="0026205B"/>
    <w:rsid w:val="00276A4D"/>
    <w:rsid w:val="00276FEE"/>
    <w:rsid w:val="0029700E"/>
    <w:rsid w:val="002A0D1B"/>
    <w:rsid w:val="002A22E2"/>
    <w:rsid w:val="002A35AB"/>
    <w:rsid w:val="002A3960"/>
    <w:rsid w:val="002B51BD"/>
    <w:rsid w:val="002D307B"/>
    <w:rsid w:val="002D3EFF"/>
    <w:rsid w:val="002D770F"/>
    <w:rsid w:val="002D7819"/>
    <w:rsid w:val="002F1F96"/>
    <w:rsid w:val="00307873"/>
    <w:rsid w:val="00321351"/>
    <w:rsid w:val="003221A0"/>
    <w:rsid w:val="00322730"/>
    <w:rsid w:val="00326200"/>
    <w:rsid w:val="0033328C"/>
    <w:rsid w:val="0034208E"/>
    <w:rsid w:val="00344C44"/>
    <w:rsid w:val="0034558A"/>
    <w:rsid w:val="0035282B"/>
    <w:rsid w:val="00356248"/>
    <w:rsid w:val="00360026"/>
    <w:rsid w:val="00382153"/>
    <w:rsid w:val="00382C55"/>
    <w:rsid w:val="003956A9"/>
    <w:rsid w:val="003B4C3F"/>
    <w:rsid w:val="003C28AC"/>
    <w:rsid w:val="003D0317"/>
    <w:rsid w:val="003D38FD"/>
    <w:rsid w:val="003D793C"/>
    <w:rsid w:val="003E3370"/>
    <w:rsid w:val="003E76B9"/>
    <w:rsid w:val="00417FA6"/>
    <w:rsid w:val="00434401"/>
    <w:rsid w:val="00443FC5"/>
    <w:rsid w:val="004534A1"/>
    <w:rsid w:val="004643EF"/>
    <w:rsid w:val="004840AF"/>
    <w:rsid w:val="00484256"/>
    <w:rsid w:val="004A2A1F"/>
    <w:rsid w:val="004B2019"/>
    <w:rsid w:val="004D1596"/>
    <w:rsid w:val="004D6E92"/>
    <w:rsid w:val="004F59E4"/>
    <w:rsid w:val="005025A9"/>
    <w:rsid w:val="00521D48"/>
    <w:rsid w:val="005228E7"/>
    <w:rsid w:val="00525346"/>
    <w:rsid w:val="00525FA2"/>
    <w:rsid w:val="00545C3B"/>
    <w:rsid w:val="00563B10"/>
    <w:rsid w:val="005816FB"/>
    <w:rsid w:val="0058388B"/>
    <w:rsid w:val="005A292B"/>
    <w:rsid w:val="005B4AC6"/>
    <w:rsid w:val="005C5EBA"/>
    <w:rsid w:val="005D20C0"/>
    <w:rsid w:val="005D7399"/>
    <w:rsid w:val="005E29FD"/>
    <w:rsid w:val="005F2B50"/>
    <w:rsid w:val="005F5731"/>
    <w:rsid w:val="00602B36"/>
    <w:rsid w:val="00610E3F"/>
    <w:rsid w:val="00613193"/>
    <w:rsid w:val="006137EF"/>
    <w:rsid w:val="00624EB5"/>
    <w:rsid w:val="0064600A"/>
    <w:rsid w:val="00650A23"/>
    <w:rsid w:val="006763BE"/>
    <w:rsid w:val="006A2343"/>
    <w:rsid w:val="006A782D"/>
    <w:rsid w:val="006B1415"/>
    <w:rsid w:val="006B1EDA"/>
    <w:rsid w:val="006B2ECC"/>
    <w:rsid w:val="006C10F8"/>
    <w:rsid w:val="006C3281"/>
    <w:rsid w:val="006D07E9"/>
    <w:rsid w:val="006E70B7"/>
    <w:rsid w:val="006E7223"/>
    <w:rsid w:val="00712BF3"/>
    <w:rsid w:val="0072034F"/>
    <w:rsid w:val="0073487A"/>
    <w:rsid w:val="00752DEF"/>
    <w:rsid w:val="00757168"/>
    <w:rsid w:val="0076250B"/>
    <w:rsid w:val="0076302C"/>
    <w:rsid w:val="00763F42"/>
    <w:rsid w:val="00772B41"/>
    <w:rsid w:val="0077647F"/>
    <w:rsid w:val="007870ED"/>
    <w:rsid w:val="007A05DD"/>
    <w:rsid w:val="007A6778"/>
    <w:rsid w:val="007B6A8F"/>
    <w:rsid w:val="007C0302"/>
    <w:rsid w:val="007D1147"/>
    <w:rsid w:val="007E3C45"/>
    <w:rsid w:val="007E4ACD"/>
    <w:rsid w:val="007E50A2"/>
    <w:rsid w:val="007E6AE4"/>
    <w:rsid w:val="008016B3"/>
    <w:rsid w:val="00810BC6"/>
    <w:rsid w:val="0081184E"/>
    <w:rsid w:val="008177B4"/>
    <w:rsid w:val="00820A31"/>
    <w:rsid w:val="008217D5"/>
    <w:rsid w:val="00823A5B"/>
    <w:rsid w:val="0083672D"/>
    <w:rsid w:val="00837059"/>
    <w:rsid w:val="0084373D"/>
    <w:rsid w:val="00853707"/>
    <w:rsid w:val="00860990"/>
    <w:rsid w:val="00862CF2"/>
    <w:rsid w:val="008674D1"/>
    <w:rsid w:val="00870507"/>
    <w:rsid w:val="00881D2A"/>
    <w:rsid w:val="00883D8C"/>
    <w:rsid w:val="00884405"/>
    <w:rsid w:val="008C30B9"/>
    <w:rsid w:val="008C327C"/>
    <w:rsid w:val="008C6767"/>
    <w:rsid w:val="008D0E40"/>
    <w:rsid w:val="008E1210"/>
    <w:rsid w:val="008F3AF9"/>
    <w:rsid w:val="008F6592"/>
    <w:rsid w:val="00902E81"/>
    <w:rsid w:val="00912343"/>
    <w:rsid w:val="00916545"/>
    <w:rsid w:val="009235A9"/>
    <w:rsid w:val="00927B43"/>
    <w:rsid w:val="00933857"/>
    <w:rsid w:val="00952525"/>
    <w:rsid w:val="00957DF2"/>
    <w:rsid w:val="009643E9"/>
    <w:rsid w:val="00970A88"/>
    <w:rsid w:val="00981F4E"/>
    <w:rsid w:val="00990782"/>
    <w:rsid w:val="00991B6A"/>
    <w:rsid w:val="0099306B"/>
    <w:rsid w:val="00993C47"/>
    <w:rsid w:val="009A2116"/>
    <w:rsid w:val="009A4FE2"/>
    <w:rsid w:val="009B5DFA"/>
    <w:rsid w:val="009D14AC"/>
    <w:rsid w:val="009D1F47"/>
    <w:rsid w:val="009D55FF"/>
    <w:rsid w:val="009E48AB"/>
    <w:rsid w:val="009F102F"/>
    <w:rsid w:val="00A10246"/>
    <w:rsid w:val="00A22B77"/>
    <w:rsid w:val="00A33DAA"/>
    <w:rsid w:val="00A40BFB"/>
    <w:rsid w:val="00A414D3"/>
    <w:rsid w:val="00A646E6"/>
    <w:rsid w:val="00A76FDA"/>
    <w:rsid w:val="00A8353C"/>
    <w:rsid w:val="00A94F44"/>
    <w:rsid w:val="00AA2865"/>
    <w:rsid w:val="00AA3029"/>
    <w:rsid w:val="00AA34F7"/>
    <w:rsid w:val="00AA5CE2"/>
    <w:rsid w:val="00AA5D5D"/>
    <w:rsid w:val="00AA7EEC"/>
    <w:rsid w:val="00AB6708"/>
    <w:rsid w:val="00AD385F"/>
    <w:rsid w:val="00AD38E2"/>
    <w:rsid w:val="00AE53CB"/>
    <w:rsid w:val="00B000E0"/>
    <w:rsid w:val="00B01874"/>
    <w:rsid w:val="00B16E1F"/>
    <w:rsid w:val="00B421FA"/>
    <w:rsid w:val="00B64529"/>
    <w:rsid w:val="00B72822"/>
    <w:rsid w:val="00B7638A"/>
    <w:rsid w:val="00B933F4"/>
    <w:rsid w:val="00B97D19"/>
    <w:rsid w:val="00BA6D01"/>
    <w:rsid w:val="00BB594A"/>
    <w:rsid w:val="00BD2247"/>
    <w:rsid w:val="00BD5D4F"/>
    <w:rsid w:val="00BE63D1"/>
    <w:rsid w:val="00BE7EC3"/>
    <w:rsid w:val="00BF0AFC"/>
    <w:rsid w:val="00C06C16"/>
    <w:rsid w:val="00C1797D"/>
    <w:rsid w:val="00C24817"/>
    <w:rsid w:val="00C344A5"/>
    <w:rsid w:val="00C82F97"/>
    <w:rsid w:val="00CA4E26"/>
    <w:rsid w:val="00CC28D1"/>
    <w:rsid w:val="00CC577C"/>
    <w:rsid w:val="00CD4D49"/>
    <w:rsid w:val="00CE177F"/>
    <w:rsid w:val="00D031B2"/>
    <w:rsid w:val="00D052EB"/>
    <w:rsid w:val="00D31ACE"/>
    <w:rsid w:val="00D34A6B"/>
    <w:rsid w:val="00D4510A"/>
    <w:rsid w:val="00D55096"/>
    <w:rsid w:val="00D6356A"/>
    <w:rsid w:val="00D646A5"/>
    <w:rsid w:val="00D848D4"/>
    <w:rsid w:val="00D87191"/>
    <w:rsid w:val="00D8771B"/>
    <w:rsid w:val="00D96B60"/>
    <w:rsid w:val="00D9791D"/>
    <w:rsid w:val="00DA16CE"/>
    <w:rsid w:val="00DA3615"/>
    <w:rsid w:val="00DA5B79"/>
    <w:rsid w:val="00DD2950"/>
    <w:rsid w:val="00E03815"/>
    <w:rsid w:val="00E17875"/>
    <w:rsid w:val="00E25464"/>
    <w:rsid w:val="00E31F07"/>
    <w:rsid w:val="00E3424D"/>
    <w:rsid w:val="00E45459"/>
    <w:rsid w:val="00E51FF5"/>
    <w:rsid w:val="00E70C5C"/>
    <w:rsid w:val="00E737D1"/>
    <w:rsid w:val="00E82450"/>
    <w:rsid w:val="00E85965"/>
    <w:rsid w:val="00E920DE"/>
    <w:rsid w:val="00E923FB"/>
    <w:rsid w:val="00EB3771"/>
    <w:rsid w:val="00EB4085"/>
    <w:rsid w:val="00EB4C7C"/>
    <w:rsid w:val="00EB5968"/>
    <w:rsid w:val="00EC2B62"/>
    <w:rsid w:val="00ED125A"/>
    <w:rsid w:val="00EF6622"/>
    <w:rsid w:val="00F06434"/>
    <w:rsid w:val="00F11C64"/>
    <w:rsid w:val="00F14DD2"/>
    <w:rsid w:val="00F16C2A"/>
    <w:rsid w:val="00F17B83"/>
    <w:rsid w:val="00F22BAF"/>
    <w:rsid w:val="00F240D5"/>
    <w:rsid w:val="00F4444C"/>
    <w:rsid w:val="00F45E43"/>
    <w:rsid w:val="00F56FED"/>
    <w:rsid w:val="00F57DD2"/>
    <w:rsid w:val="00F62888"/>
    <w:rsid w:val="00F72364"/>
    <w:rsid w:val="00F802CF"/>
    <w:rsid w:val="00F831E6"/>
    <w:rsid w:val="00F86F04"/>
    <w:rsid w:val="00F948AD"/>
    <w:rsid w:val="00FA2366"/>
    <w:rsid w:val="00FA46CA"/>
    <w:rsid w:val="00FB062A"/>
    <w:rsid w:val="00FB0C68"/>
    <w:rsid w:val="00FE4D3D"/>
    <w:rsid w:val="00FE77B0"/>
    <w:rsid w:val="00FF4369"/>
    <w:rsid w:val="00FF721E"/>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8357C"/>
  <w15:chartTrackingRefBased/>
  <w15:docId w15:val="{71A5328E-4938-4B0A-9429-891CE3B44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10F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C10F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6C10F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6C10F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C10F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C10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10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10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10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10F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6C10F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C10F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6C10F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C10F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C10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10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10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10F8"/>
    <w:rPr>
      <w:rFonts w:eastAsiaTheme="majorEastAsia" w:cstheme="majorBidi"/>
      <w:color w:val="272727" w:themeColor="text1" w:themeTint="D8"/>
    </w:rPr>
  </w:style>
  <w:style w:type="paragraph" w:styleId="Title">
    <w:name w:val="Title"/>
    <w:basedOn w:val="Normal"/>
    <w:next w:val="Normal"/>
    <w:link w:val="TitleChar"/>
    <w:uiPriority w:val="10"/>
    <w:qFormat/>
    <w:rsid w:val="006C10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10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10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10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10F8"/>
    <w:pPr>
      <w:spacing w:before="160"/>
      <w:jc w:val="center"/>
    </w:pPr>
    <w:rPr>
      <w:i/>
      <w:iCs/>
      <w:color w:val="404040" w:themeColor="text1" w:themeTint="BF"/>
    </w:rPr>
  </w:style>
  <w:style w:type="character" w:customStyle="1" w:styleId="QuoteChar">
    <w:name w:val="Quote Char"/>
    <w:basedOn w:val="DefaultParagraphFont"/>
    <w:link w:val="Quote"/>
    <w:uiPriority w:val="29"/>
    <w:rsid w:val="006C10F8"/>
    <w:rPr>
      <w:i/>
      <w:iCs/>
      <w:color w:val="404040" w:themeColor="text1" w:themeTint="BF"/>
    </w:rPr>
  </w:style>
  <w:style w:type="paragraph" w:styleId="ListParagraph">
    <w:name w:val="List Paragraph"/>
    <w:basedOn w:val="Normal"/>
    <w:uiPriority w:val="34"/>
    <w:qFormat/>
    <w:rsid w:val="006C10F8"/>
    <w:pPr>
      <w:ind w:left="720"/>
      <w:contextualSpacing/>
    </w:pPr>
  </w:style>
  <w:style w:type="character" w:styleId="IntenseEmphasis">
    <w:name w:val="Intense Emphasis"/>
    <w:basedOn w:val="DefaultParagraphFont"/>
    <w:uiPriority w:val="21"/>
    <w:qFormat/>
    <w:rsid w:val="006C10F8"/>
    <w:rPr>
      <w:i/>
      <w:iCs/>
      <w:color w:val="2F5496" w:themeColor="accent1" w:themeShade="BF"/>
    </w:rPr>
  </w:style>
  <w:style w:type="paragraph" w:styleId="IntenseQuote">
    <w:name w:val="Intense Quote"/>
    <w:basedOn w:val="Normal"/>
    <w:next w:val="Normal"/>
    <w:link w:val="IntenseQuoteChar"/>
    <w:uiPriority w:val="30"/>
    <w:qFormat/>
    <w:rsid w:val="006C10F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C10F8"/>
    <w:rPr>
      <w:i/>
      <w:iCs/>
      <w:color w:val="2F5496" w:themeColor="accent1" w:themeShade="BF"/>
    </w:rPr>
  </w:style>
  <w:style w:type="character" w:styleId="IntenseReference">
    <w:name w:val="Intense Reference"/>
    <w:basedOn w:val="DefaultParagraphFont"/>
    <w:uiPriority w:val="32"/>
    <w:qFormat/>
    <w:rsid w:val="006C10F8"/>
    <w:rPr>
      <w:b/>
      <w:bCs/>
      <w:smallCaps/>
      <w:color w:val="2F5496" w:themeColor="accent1" w:themeShade="BF"/>
      <w:spacing w:val="5"/>
    </w:rPr>
  </w:style>
  <w:style w:type="character" w:styleId="Hyperlink">
    <w:name w:val="Hyperlink"/>
    <w:basedOn w:val="DefaultParagraphFont"/>
    <w:uiPriority w:val="99"/>
    <w:unhideWhenUsed/>
    <w:rsid w:val="009A2116"/>
    <w:rPr>
      <w:color w:val="0563C1" w:themeColor="hyperlink"/>
      <w:u w:val="single"/>
    </w:rPr>
  </w:style>
  <w:style w:type="character" w:styleId="UnresolvedMention">
    <w:name w:val="Unresolved Mention"/>
    <w:basedOn w:val="DefaultParagraphFont"/>
    <w:uiPriority w:val="99"/>
    <w:semiHidden/>
    <w:unhideWhenUsed/>
    <w:rsid w:val="009A2116"/>
    <w:rPr>
      <w:color w:val="605E5C"/>
      <w:shd w:val="clear" w:color="auto" w:fill="E1DFDD"/>
    </w:rPr>
  </w:style>
  <w:style w:type="table" w:styleId="TableGrid">
    <w:name w:val="Table Grid"/>
    <w:basedOn w:val="TableNormal"/>
    <w:uiPriority w:val="59"/>
    <w:rsid w:val="006137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884405"/>
    <w:pPr>
      <w:spacing w:after="0" w:line="240" w:lineRule="auto"/>
    </w:pPr>
    <w:rPr>
      <w:lang w:val="en-GB"/>
    </w:rPr>
  </w:style>
  <w:style w:type="character" w:customStyle="1" w:styleId="NoSpacingChar">
    <w:name w:val="No Spacing Char"/>
    <w:basedOn w:val="DefaultParagraphFont"/>
    <w:link w:val="NoSpacing"/>
    <w:uiPriority w:val="1"/>
    <w:rsid w:val="00884405"/>
    <w:rPr>
      <w:lang w:val="en-GB"/>
    </w:rPr>
  </w:style>
  <w:style w:type="table" w:styleId="TableGridLight">
    <w:name w:val="Grid Table Light"/>
    <w:basedOn w:val="TableNormal"/>
    <w:uiPriority w:val="40"/>
    <w:rsid w:val="00D848D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semiHidden/>
    <w:unhideWhenUsed/>
    <w:rsid w:val="00BA6D01"/>
    <w:rPr>
      <w:rFonts w:ascii="Times New Roman" w:hAnsi="Times New Roman" w:cs="Times New Roman"/>
      <w:sz w:val="24"/>
      <w:szCs w:val="24"/>
    </w:rPr>
  </w:style>
  <w:style w:type="paragraph" w:styleId="Header">
    <w:name w:val="header"/>
    <w:basedOn w:val="Normal"/>
    <w:link w:val="HeaderChar"/>
    <w:uiPriority w:val="99"/>
    <w:unhideWhenUsed/>
    <w:rsid w:val="00E17875"/>
    <w:pPr>
      <w:tabs>
        <w:tab w:val="center" w:pos="4680"/>
        <w:tab w:val="right" w:pos="9360"/>
      </w:tabs>
      <w:spacing w:after="0" w:line="240" w:lineRule="auto"/>
    </w:pPr>
    <w:rPr>
      <w:rFonts w:eastAsiaTheme="minorEastAsia"/>
      <w:kern w:val="0"/>
      <w:lang w:val="en-US"/>
      <w14:ligatures w14:val="none"/>
    </w:rPr>
  </w:style>
  <w:style w:type="character" w:customStyle="1" w:styleId="HeaderChar">
    <w:name w:val="Header Char"/>
    <w:basedOn w:val="DefaultParagraphFont"/>
    <w:link w:val="Header"/>
    <w:uiPriority w:val="99"/>
    <w:rsid w:val="00E17875"/>
    <w:rPr>
      <w:rFonts w:eastAsiaTheme="minorEastAsia"/>
      <w:kern w:val="0"/>
      <w:lang w:val="en-US"/>
      <w14:ligatures w14:val="none"/>
    </w:rPr>
  </w:style>
  <w:style w:type="paragraph" w:styleId="Footer">
    <w:name w:val="footer"/>
    <w:basedOn w:val="Normal"/>
    <w:link w:val="FooterChar"/>
    <w:uiPriority w:val="99"/>
    <w:unhideWhenUsed/>
    <w:rsid w:val="00E17875"/>
    <w:pPr>
      <w:tabs>
        <w:tab w:val="center" w:pos="4680"/>
        <w:tab w:val="right" w:pos="9360"/>
      </w:tabs>
      <w:spacing w:after="0" w:line="240" w:lineRule="auto"/>
    </w:pPr>
    <w:rPr>
      <w:rFonts w:eastAsiaTheme="minorEastAsia"/>
      <w:kern w:val="0"/>
      <w:lang w:val="en-US"/>
      <w14:ligatures w14:val="none"/>
    </w:rPr>
  </w:style>
  <w:style w:type="character" w:customStyle="1" w:styleId="FooterChar">
    <w:name w:val="Footer Char"/>
    <w:basedOn w:val="DefaultParagraphFont"/>
    <w:link w:val="Footer"/>
    <w:uiPriority w:val="99"/>
    <w:rsid w:val="00E17875"/>
    <w:rPr>
      <w:rFonts w:eastAsiaTheme="minorEastAsia"/>
      <w:kern w:val="0"/>
      <w:lang w:val="en-US"/>
      <w14:ligatures w14:val="none"/>
    </w:rPr>
  </w:style>
  <w:style w:type="paragraph" w:styleId="BodyText">
    <w:name w:val="Body Text"/>
    <w:basedOn w:val="Normal"/>
    <w:link w:val="BodyTextChar"/>
    <w:uiPriority w:val="99"/>
    <w:unhideWhenUsed/>
    <w:rsid w:val="00E17875"/>
    <w:pPr>
      <w:spacing w:after="120" w:line="276" w:lineRule="auto"/>
    </w:pPr>
    <w:rPr>
      <w:rFonts w:eastAsiaTheme="minorEastAsia"/>
      <w:kern w:val="0"/>
      <w:lang w:val="en-US"/>
      <w14:ligatures w14:val="none"/>
    </w:rPr>
  </w:style>
  <w:style w:type="character" w:customStyle="1" w:styleId="BodyTextChar">
    <w:name w:val="Body Text Char"/>
    <w:basedOn w:val="DefaultParagraphFont"/>
    <w:link w:val="BodyText"/>
    <w:uiPriority w:val="99"/>
    <w:rsid w:val="00E17875"/>
    <w:rPr>
      <w:rFonts w:eastAsiaTheme="minorEastAsia"/>
      <w:kern w:val="0"/>
      <w:lang w:val="en-US"/>
      <w14:ligatures w14:val="none"/>
    </w:rPr>
  </w:style>
  <w:style w:type="paragraph" w:styleId="BodyText2">
    <w:name w:val="Body Text 2"/>
    <w:basedOn w:val="Normal"/>
    <w:link w:val="BodyText2Char"/>
    <w:uiPriority w:val="99"/>
    <w:unhideWhenUsed/>
    <w:rsid w:val="00E17875"/>
    <w:pPr>
      <w:spacing w:after="120" w:line="480" w:lineRule="auto"/>
    </w:pPr>
    <w:rPr>
      <w:rFonts w:eastAsiaTheme="minorEastAsia"/>
      <w:kern w:val="0"/>
      <w:lang w:val="en-US"/>
      <w14:ligatures w14:val="none"/>
    </w:rPr>
  </w:style>
  <w:style w:type="character" w:customStyle="1" w:styleId="BodyText2Char">
    <w:name w:val="Body Text 2 Char"/>
    <w:basedOn w:val="DefaultParagraphFont"/>
    <w:link w:val="BodyText2"/>
    <w:uiPriority w:val="99"/>
    <w:rsid w:val="00E17875"/>
    <w:rPr>
      <w:rFonts w:eastAsiaTheme="minorEastAsia"/>
      <w:kern w:val="0"/>
      <w:lang w:val="en-US"/>
      <w14:ligatures w14:val="none"/>
    </w:rPr>
  </w:style>
  <w:style w:type="paragraph" w:styleId="BodyText3">
    <w:name w:val="Body Text 3"/>
    <w:basedOn w:val="Normal"/>
    <w:link w:val="BodyText3Char"/>
    <w:uiPriority w:val="99"/>
    <w:unhideWhenUsed/>
    <w:rsid w:val="00E17875"/>
    <w:pPr>
      <w:spacing w:after="120" w:line="276" w:lineRule="auto"/>
    </w:pPr>
    <w:rPr>
      <w:rFonts w:eastAsiaTheme="minorEastAsia"/>
      <w:kern w:val="0"/>
      <w:sz w:val="16"/>
      <w:szCs w:val="16"/>
      <w:lang w:val="en-US"/>
      <w14:ligatures w14:val="none"/>
    </w:rPr>
  </w:style>
  <w:style w:type="character" w:customStyle="1" w:styleId="BodyText3Char">
    <w:name w:val="Body Text 3 Char"/>
    <w:basedOn w:val="DefaultParagraphFont"/>
    <w:link w:val="BodyText3"/>
    <w:uiPriority w:val="99"/>
    <w:rsid w:val="00E17875"/>
    <w:rPr>
      <w:rFonts w:eastAsiaTheme="minorEastAsia"/>
      <w:kern w:val="0"/>
      <w:sz w:val="16"/>
      <w:szCs w:val="16"/>
      <w:lang w:val="en-US"/>
      <w14:ligatures w14:val="none"/>
    </w:rPr>
  </w:style>
  <w:style w:type="paragraph" w:styleId="List">
    <w:name w:val="List"/>
    <w:basedOn w:val="Normal"/>
    <w:uiPriority w:val="99"/>
    <w:unhideWhenUsed/>
    <w:rsid w:val="00E17875"/>
    <w:pPr>
      <w:spacing w:after="200" w:line="276" w:lineRule="auto"/>
      <w:ind w:left="360" w:hanging="360"/>
      <w:contextualSpacing/>
    </w:pPr>
    <w:rPr>
      <w:rFonts w:eastAsiaTheme="minorEastAsia"/>
      <w:kern w:val="0"/>
      <w:lang w:val="en-US"/>
      <w14:ligatures w14:val="none"/>
    </w:rPr>
  </w:style>
  <w:style w:type="paragraph" w:styleId="List2">
    <w:name w:val="List 2"/>
    <w:basedOn w:val="Normal"/>
    <w:uiPriority w:val="99"/>
    <w:unhideWhenUsed/>
    <w:rsid w:val="00E17875"/>
    <w:pPr>
      <w:spacing w:after="200" w:line="276" w:lineRule="auto"/>
      <w:ind w:left="720" w:hanging="360"/>
      <w:contextualSpacing/>
    </w:pPr>
    <w:rPr>
      <w:rFonts w:eastAsiaTheme="minorEastAsia"/>
      <w:kern w:val="0"/>
      <w:lang w:val="en-US"/>
      <w14:ligatures w14:val="none"/>
    </w:rPr>
  </w:style>
  <w:style w:type="paragraph" w:styleId="List3">
    <w:name w:val="List 3"/>
    <w:basedOn w:val="Normal"/>
    <w:uiPriority w:val="99"/>
    <w:unhideWhenUsed/>
    <w:rsid w:val="00E17875"/>
    <w:pPr>
      <w:spacing w:after="200" w:line="276" w:lineRule="auto"/>
      <w:ind w:left="1080" w:hanging="360"/>
      <w:contextualSpacing/>
    </w:pPr>
    <w:rPr>
      <w:rFonts w:eastAsiaTheme="minorEastAsia"/>
      <w:kern w:val="0"/>
      <w:lang w:val="en-US"/>
      <w14:ligatures w14:val="none"/>
    </w:rPr>
  </w:style>
  <w:style w:type="paragraph" w:styleId="ListBullet">
    <w:name w:val="List Bullet"/>
    <w:basedOn w:val="Normal"/>
    <w:uiPriority w:val="99"/>
    <w:unhideWhenUsed/>
    <w:rsid w:val="00E17875"/>
    <w:pPr>
      <w:numPr>
        <w:numId w:val="21"/>
      </w:numPr>
      <w:tabs>
        <w:tab w:val="clear" w:pos="360"/>
      </w:tabs>
      <w:spacing w:after="200" w:line="276" w:lineRule="auto"/>
      <w:ind w:left="0" w:firstLine="0"/>
      <w:contextualSpacing/>
    </w:pPr>
    <w:rPr>
      <w:rFonts w:eastAsiaTheme="minorEastAsia"/>
      <w:kern w:val="0"/>
      <w:lang w:val="en-US"/>
      <w14:ligatures w14:val="none"/>
    </w:rPr>
  </w:style>
  <w:style w:type="paragraph" w:styleId="ListBullet2">
    <w:name w:val="List Bullet 2"/>
    <w:basedOn w:val="Normal"/>
    <w:uiPriority w:val="99"/>
    <w:unhideWhenUsed/>
    <w:rsid w:val="00E17875"/>
    <w:pPr>
      <w:numPr>
        <w:numId w:val="22"/>
      </w:numPr>
      <w:tabs>
        <w:tab w:val="clear" w:pos="720"/>
      </w:tabs>
      <w:spacing w:after="200" w:line="276" w:lineRule="auto"/>
      <w:ind w:left="0" w:firstLine="0"/>
      <w:contextualSpacing/>
    </w:pPr>
    <w:rPr>
      <w:rFonts w:eastAsiaTheme="minorEastAsia"/>
      <w:kern w:val="0"/>
      <w:lang w:val="en-US"/>
      <w14:ligatures w14:val="none"/>
    </w:rPr>
  </w:style>
  <w:style w:type="paragraph" w:styleId="ListBullet3">
    <w:name w:val="List Bullet 3"/>
    <w:basedOn w:val="Normal"/>
    <w:uiPriority w:val="99"/>
    <w:unhideWhenUsed/>
    <w:rsid w:val="00E17875"/>
    <w:pPr>
      <w:numPr>
        <w:numId w:val="23"/>
      </w:numPr>
      <w:tabs>
        <w:tab w:val="clear" w:pos="1080"/>
      </w:tabs>
      <w:spacing w:after="200" w:line="276" w:lineRule="auto"/>
      <w:ind w:left="0" w:firstLine="0"/>
      <w:contextualSpacing/>
    </w:pPr>
    <w:rPr>
      <w:rFonts w:eastAsiaTheme="minorEastAsia"/>
      <w:kern w:val="0"/>
      <w:lang w:val="en-US"/>
      <w14:ligatures w14:val="none"/>
    </w:rPr>
  </w:style>
  <w:style w:type="paragraph" w:styleId="ListNumber">
    <w:name w:val="List Number"/>
    <w:basedOn w:val="Normal"/>
    <w:uiPriority w:val="99"/>
    <w:unhideWhenUsed/>
    <w:rsid w:val="00E17875"/>
    <w:pPr>
      <w:numPr>
        <w:numId w:val="25"/>
      </w:numPr>
      <w:tabs>
        <w:tab w:val="clear" w:pos="360"/>
      </w:tabs>
      <w:spacing w:after="200" w:line="276" w:lineRule="auto"/>
      <w:ind w:left="0" w:firstLine="0"/>
      <w:contextualSpacing/>
    </w:pPr>
    <w:rPr>
      <w:rFonts w:eastAsiaTheme="minorEastAsia"/>
      <w:kern w:val="0"/>
      <w:lang w:val="en-US"/>
      <w14:ligatures w14:val="none"/>
    </w:rPr>
  </w:style>
  <w:style w:type="paragraph" w:styleId="ListNumber2">
    <w:name w:val="List Number 2"/>
    <w:basedOn w:val="Normal"/>
    <w:uiPriority w:val="99"/>
    <w:unhideWhenUsed/>
    <w:rsid w:val="00E17875"/>
    <w:pPr>
      <w:numPr>
        <w:numId w:val="26"/>
      </w:numPr>
      <w:tabs>
        <w:tab w:val="clear" w:pos="720"/>
      </w:tabs>
      <w:spacing w:after="200" w:line="276" w:lineRule="auto"/>
      <w:ind w:left="0" w:firstLine="0"/>
      <w:contextualSpacing/>
    </w:pPr>
    <w:rPr>
      <w:rFonts w:eastAsiaTheme="minorEastAsia"/>
      <w:kern w:val="0"/>
      <w:lang w:val="en-US"/>
      <w14:ligatures w14:val="none"/>
    </w:rPr>
  </w:style>
  <w:style w:type="paragraph" w:styleId="ListNumber3">
    <w:name w:val="List Number 3"/>
    <w:basedOn w:val="Normal"/>
    <w:uiPriority w:val="99"/>
    <w:unhideWhenUsed/>
    <w:rsid w:val="00E17875"/>
    <w:pPr>
      <w:numPr>
        <w:numId w:val="27"/>
      </w:numPr>
      <w:tabs>
        <w:tab w:val="clear" w:pos="1080"/>
      </w:tabs>
      <w:spacing w:after="200" w:line="276" w:lineRule="auto"/>
      <w:ind w:left="0" w:firstLine="0"/>
      <w:contextualSpacing/>
    </w:pPr>
    <w:rPr>
      <w:rFonts w:eastAsiaTheme="minorEastAsia"/>
      <w:kern w:val="0"/>
      <w:lang w:val="en-US"/>
      <w14:ligatures w14:val="none"/>
    </w:rPr>
  </w:style>
  <w:style w:type="paragraph" w:styleId="ListContinue">
    <w:name w:val="List Continue"/>
    <w:basedOn w:val="Normal"/>
    <w:uiPriority w:val="99"/>
    <w:unhideWhenUsed/>
    <w:rsid w:val="00E17875"/>
    <w:pPr>
      <w:spacing w:after="120" w:line="276" w:lineRule="auto"/>
      <w:ind w:left="360"/>
      <w:contextualSpacing/>
    </w:pPr>
    <w:rPr>
      <w:rFonts w:eastAsiaTheme="minorEastAsia"/>
      <w:kern w:val="0"/>
      <w:lang w:val="en-US"/>
      <w14:ligatures w14:val="none"/>
    </w:rPr>
  </w:style>
  <w:style w:type="paragraph" w:styleId="ListContinue2">
    <w:name w:val="List Continue 2"/>
    <w:basedOn w:val="Normal"/>
    <w:uiPriority w:val="99"/>
    <w:unhideWhenUsed/>
    <w:rsid w:val="00E17875"/>
    <w:pPr>
      <w:spacing w:after="120" w:line="276" w:lineRule="auto"/>
      <w:ind w:left="720"/>
      <w:contextualSpacing/>
    </w:pPr>
    <w:rPr>
      <w:rFonts w:eastAsiaTheme="minorEastAsia"/>
      <w:kern w:val="0"/>
      <w:lang w:val="en-US"/>
      <w14:ligatures w14:val="none"/>
    </w:rPr>
  </w:style>
  <w:style w:type="paragraph" w:styleId="ListContinue3">
    <w:name w:val="List Continue 3"/>
    <w:basedOn w:val="Normal"/>
    <w:uiPriority w:val="99"/>
    <w:unhideWhenUsed/>
    <w:rsid w:val="00E17875"/>
    <w:pPr>
      <w:spacing w:after="120" w:line="276" w:lineRule="auto"/>
      <w:ind w:left="1080"/>
      <w:contextualSpacing/>
    </w:pPr>
    <w:rPr>
      <w:rFonts w:eastAsiaTheme="minorEastAsia"/>
      <w:kern w:val="0"/>
      <w:lang w:val="en-US"/>
      <w14:ligatures w14:val="none"/>
    </w:rPr>
  </w:style>
  <w:style w:type="paragraph" w:styleId="MacroText">
    <w:name w:val="macro"/>
    <w:link w:val="MacroTextChar"/>
    <w:uiPriority w:val="99"/>
    <w:unhideWhenUsed/>
    <w:rsid w:val="00E17875"/>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kern w:val="0"/>
      <w:sz w:val="20"/>
      <w:szCs w:val="20"/>
      <w:lang w:val="en-US"/>
      <w14:ligatures w14:val="none"/>
    </w:rPr>
  </w:style>
  <w:style w:type="character" w:customStyle="1" w:styleId="MacroTextChar">
    <w:name w:val="Macro Text Char"/>
    <w:basedOn w:val="DefaultParagraphFont"/>
    <w:link w:val="MacroText"/>
    <w:uiPriority w:val="99"/>
    <w:rsid w:val="00E17875"/>
    <w:rPr>
      <w:rFonts w:ascii="Courier" w:eastAsiaTheme="minorEastAsia" w:hAnsi="Courier"/>
      <w:kern w:val="0"/>
      <w:sz w:val="20"/>
      <w:szCs w:val="20"/>
      <w:lang w:val="en-US"/>
      <w14:ligatures w14:val="none"/>
    </w:rPr>
  </w:style>
  <w:style w:type="paragraph" w:styleId="Caption">
    <w:name w:val="caption"/>
    <w:basedOn w:val="Normal"/>
    <w:next w:val="Normal"/>
    <w:uiPriority w:val="35"/>
    <w:unhideWhenUsed/>
    <w:qFormat/>
    <w:rsid w:val="00E17875"/>
    <w:pPr>
      <w:spacing w:after="200" w:line="240" w:lineRule="auto"/>
    </w:pPr>
    <w:rPr>
      <w:rFonts w:eastAsiaTheme="minorEastAsia"/>
      <w:b/>
      <w:bCs/>
      <w:color w:val="4472C4" w:themeColor="accent1"/>
      <w:kern w:val="0"/>
      <w:sz w:val="18"/>
      <w:szCs w:val="18"/>
      <w:lang w:val="en-US"/>
      <w14:ligatures w14:val="none"/>
    </w:rPr>
  </w:style>
  <w:style w:type="character" w:styleId="Strong">
    <w:name w:val="Strong"/>
    <w:basedOn w:val="DefaultParagraphFont"/>
    <w:uiPriority w:val="22"/>
    <w:qFormat/>
    <w:rsid w:val="00E17875"/>
    <w:rPr>
      <w:b/>
      <w:bCs/>
    </w:rPr>
  </w:style>
  <w:style w:type="character" w:styleId="Emphasis">
    <w:name w:val="Emphasis"/>
    <w:basedOn w:val="DefaultParagraphFont"/>
    <w:uiPriority w:val="20"/>
    <w:qFormat/>
    <w:rsid w:val="00E17875"/>
    <w:rPr>
      <w:i/>
      <w:iCs/>
    </w:rPr>
  </w:style>
  <w:style w:type="character" w:styleId="SubtleEmphasis">
    <w:name w:val="Subtle Emphasis"/>
    <w:basedOn w:val="DefaultParagraphFont"/>
    <w:uiPriority w:val="19"/>
    <w:qFormat/>
    <w:rsid w:val="00E17875"/>
    <w:rPr>
      <w:i/>
      <w:iCs/>
      <w:color w:val="808080" w:themeColor="text1" w:themeTint="7F"/>
    </w:rPr>
  </w:style>
  <w:style w:type="character" w:styleId="SubtleReference">
    <w:name w:val="Subtle Reference"/>
    <w:basedOn w:val="DefaultParagraphFont"/>
    <w:uiPriority w:val="31"/>
    <w:qFormat/>
    <w:rsid w:val="00E17875"/>
    <w:rPr>
      <w:smallCaps/>
      <w:color w:val="ED7D31" w:themeColor="accent2"/>
      <w:u w:val="single"/>
    </w:rPr>
  </w:style>
  <w:style w:type="character" w:styleId="BookTitle">
    <w:name w:val="Book Title"/>
    <w:basedOn w:val="DefaultParagraphFont"/>
    <w:uiPriority w:val="33"/>
    <w:qFormat/>
    <w:rsid w:val="00E17875"/>
    <w:rPr>
      <w:b/>
      <w:bCs/>
      <w:smallCaps/>
      <w:spacing w:val="5"/>
    </w:rPr>
  </w:style>
  <w:style w:type="paragraph" w:styleId="TOCHeading">
    <w:name w:val="TOC Heading"/>
    <w:basedOn w:val="Heading1"/>
    <w:next w:val="Normal"/>
    <w:uiPriority w:val="39"/>
    <w:unhideWhenUsed/>
    <w:qFormat/>
    <w:rsid w:val="00E17875"/>
    <w:pPr>
      <w:spacing w:before="480" w:after="0" w:line="276" w:lineRule="auto"/>
      <w:outlineLvl w:val="9"/>
    </w:pPr>
    <w:rPr>
      <w:b/>
      <w:bCs/>
      <w:kern w:val="0"/>
      <w:sz w:val="28"/>
      <w:szCs w:val="28"/>
      <w:lang w:val="en-US"/>
      <w14:ligatures w14:val="none"/>
    </w:rPr>
  </w:style>
  <w:style w:type="table" w:styleId="LightShading">
    <w:name w:val="Light Shading"/>
    <w:basedOn w:val="TableNormal"/>
    <w:uiPriority w:val="60"/>
    <w:rsid w:val="00E17875"/>
    <w:pPr>
      <w:spacing w:after="0" w:line="240" w:lineRule="auto"/>
    </w:pPr>
    <w:rPr>
      <w:rFonts w:eastAsiaTheme="minorEastAsia"/>
      <w:color w:val="000000" w:themeColor="text1" w:themeShade="BF"/>
      <w:kern w:val="0"/>
      <w:lang w:val="en-US"/>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E17875"/>
    <w:pPr>
      <w:spacing w:after="0" w:line="240" w:lineRule="auto"/>
    </w:pPr>
    <w:rPr>
      <w:rFonts w:eastAsiaTheme="minorEastAsia"/>
      <w:color w:val="2F5496" w:themeColor="accent1" w:themeShade="BF"/>
      <w:kern w:val="0"/>
      <w:lang w:val="en-US"/>
      <w14:ligatures w14:val="none"/>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rsid w:val="00E17875"/>
    <w:pPr>
      <w:spacing w:after="0" w:line="240" w:lineRule="auto"/>
    </w:pPr>
    <w:rPr>
      <w:rFonts w:eastAsiaTheme="minorEastAsia"/>
      <w:color w:val="C45911" w:themeColor="accent2" w:themeShade="BF"/>
      <w:kern w:val="0"/>
      <w:lang w:val="en-US"/>
      <w14:ligatures w14:val="none"/>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E17875"/>
    <w:pPr>
      <w:spacing w:after="0" w:line="240" w:lineRule="auto"/>
    </w:pPr>
    <w:rPr>
      <w:rFonts w:eastAsiaTheme="minorEastAsia"/>
      <w:color w:val="7B7B7B" w:themeColor="accent3" w:themeShade="BF"/>
      <w:kern w:val="0"/>
      <w:lang w:val="en-US"/>
      <w14:ligatures w14:val="none"/>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rsid w:val="00E17875"/>
    <w:pPr>
      <w:spacing w:after="0" w:line="240" w:lineRule="auto"/>
    </w:pPr>
    <w:rPr>
      <w:rFonts w:eastAsiaTheme="minorEastAsia"/>
      <w:color w:val="BF8F00" w:themeColor="accent4" w:themeShade="BF"/>
      <w:kern w:val="0"/>
      <w:lang w:val="en-US"/>
      <w14:ligatures w14:val="none"/>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rsid w:val="00E17875"/>
    <w:pPr>
      <w:spacing w:after="0" w:line="240" w:lineRule="auto"/>
    </w:pPr>
    <w:rPr>
      <w:rFonts w:eastAsiaTheme="minorEastAsia"/>
      <w:color w:val="2E74B5" w:themeColor="accent5" w:themeShade="BF"/>
      <w:kern w:val="0"/>
      <w:lang w:val="en-US"/>
      <w14:ligatures w14:val="none"/>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6">
    <w:name w:val="Light Shading Accent 6"/>
    <w:basedOn w:val="TableNormal"/>
    <w:uiPriority w:val="60"/>
    <w:rsid w:val="00E17875"/>
    <w:pPr>
      <w:spacing w:after="0" w:line="240" w:lineRule="auto"/>
    </w:pPr>
    <w:rPr>
      <w:rFonts w:eastAsiaTheme="minorEastAsia"/>
      <w:color w:val="538135" w:themeColor="accent6" w:themeShade="BF"/>
      <w:kern w:val="0"/>
      <w:lang w:val="en-US"/>
      <w14:ligatures w14:val="none"/>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ghtList">
    <w:name w:val="Light List"/>
    <w:basedOn w:val="TableNormal"/>
    <w:uiPriority w:val="61"/>
    <w:rsid w:val="00E17875"/>
    <w:pPr>
      <w:spacing w:after="0" w:line="240" w:lineRule="auto"/>
    </w:pPr>
    <w:rPr>
      <w:rFonts w:eastAsiaTheme="minorEastAsia"/>
      <w:kern w:val="0"/>
      <w:lang w:val="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E17875"/>
    <w:pPr>
      <w:spacing w:after="0" w:line="240" w:lineRule="auto"/>
    </w:pPr>
    <w:rPr>
      <w:rFonts w:eastAsiaTheme="minorEastAsia"/>
      <w:kern w:val="0"/>
      <w:lang w:val="en-US"/>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2">
    <w:name w:val="Light List Accent 2"/>
    <w:basedOn w:val="TableNormal"/>
    <w:uiPriority w:val="61"/>
    <w:rsid w:val="00E17875"/>
    <w:pPr>
      <w:spacing w:after="0" w:line="240" w:lineRule="auto"/>
    </w:pPr>
    <w:rPr>
      <w:rFonts w:eastAsiaTheme="minorEastAsia"/>
      <w:kern w:val="0"/>
      <w:lang w:val="en-US"/>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rsid w:val="00E17875"/>
    <w:pPr>
      <w:spacing w:after="0" w:line="240" w:lineRule="auto"/>
    </w:pPr>
    <w:rPr>
      <w:rFonts w:eastAsiaTheme="minorEastAsia"/>
      <w:kern w:val="0"/>
      <w:lang w:val="en-US"/>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rsid w:val="00E17875"/>
    <w:pPr>
      <w:spacing w:after="0" w:line="240" w:lineRule="auto"/>
    </w:pPr>
    <w:rPr>
      <w:rFonts w:eastAsiaTheme="minorEastAsia"/>
      <w:kern w:val="0"/>
      <w:lang w:val="en-US"/>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rsid w:val="00E17875"/>
    <w:pPr>
      <w:spacing w:after="0" w:line="240" w:lineRule="auto"/>
    </w:pPr>
    <w:rPr>
      <w:rFonts w:eastAsiaTheme="minorEastAsia"/>
      <w:kern w:val="0"/>
      <w:lang w:val="en-US"/>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List-Accent6">
    <w:name w:val="Light List Accent 6"/>
    <w:basedOn w:val="TableNormal"/>
    <w:uiPriority w:val="61"/>
    <w:rsid w:val="00E17875"/>
    <w:pPr>
      <w:spacing w:after="0" w:line="240" w:lineRule="auto"/>
    </w:pPr>
    <w:rPr>
      <w:rFonts w:eastAsiaTheme="minorEastAsia"/>
      <w:kern w:val="0"/>
      <w:lang w:val="en-US"/>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Grid">
    <w:name w:val="Light Grid"/>
    <w:basedOn w:val="TableNormal"/>
    <w:uiPriority w:val="62"/>
    <w:rsid w:val="00E17875"/>
    <w:pPr>
      <w:spacing w:after="0" w:line="240" w:lineRule="auto"/>
    </w:pPr>
    <w:rPr>
      <w:rFonts w:eastAsiaTheme="minorEastAsia"/>
      <w:kern w:val="0"/>
      <w:lang w:val="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E17875"/>
    <w:pPr>
      <w:spacing w:after="0" w:line="240" w:lineRule="auto"/>
    </w:pPr>
    <w:rPr>
      <w:rFonts w:eastAsiaTheme="minorEastAsia"/>
      <w:kern w:val="0"/>
      <w:lang w:val="en-US"/>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2">
    <w:name w:val="Light Grid Accent 2"/>
    <w:basedOn w:val="TableNormal"/>
    <w:uiPriority w:val="62"/>
    <w:rsid w:val="00E17875"/>
    <w:pPr>
      <w:spacing w:after="0" w:line="240" w:lineRule="auto"/>
    </w:pPr>
    <w:rPr>
      <w:rFonts w:eastAsiaTheme="minorEastAsia"/>
      <w:kern w:val="0"/>
      <w:lang w:val="en-US"/>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rsid w:val="00E17875"/>
    <w:pPr>
      <w:spacing w:after="0" w:line="240" w:lineRule="auto"/>
    </w:pPr>
    <w:rPr>
      <w:rFonts w:eastAsiaTheme="minorEastAsia"/>
      <w:kern w:val="0"/>
      <w:lang w:val="en-US"/>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rsid w:val="00E17875"/>
    <w:pPr>
      <w:spacing w:after="0" w:line="240" w:lineRule="auto"/>
    </w:pPr>
    <w:rPr>
      <w:rFonts w:eastAsiaTheme="minorEastAsia"/>
      <w:kern w:val="0"/>
      <w:lang w:val="en-US"/>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rsid w:val="00E17875"/>
    <w:pPr>
      <w:spacing w:after="0" w:line="240" w:lineRule="auto"/>
    </w:pPr>
    <w:rPr>
      <w:rFonts w:eastAsiaTheme="minorEastAsia"/>
      <w:kern w:val="0"/>
      <w:lang w:val="en-US"/>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6">
    <w:name w:val="Light Grid Accent 6"/>
    <w:basedOn w:val="TableNormal"/>
    <w:uiPriority w:val="62"/>
    <w:rsid w:val="00E17875"/>
    <w:pPr>
      <w:spacing w:after="0" w:line="240" w:lineRule="auto"/>
    </w:pPr>
    <w:rPr>
      <w:rFonts w:eastAsiaTheme="minorEastAsia"/>
      <w:kern w:val="0"/>
      <w:lang w:val="en-US"/>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MediumShading1">
    <w:name w:val="Medium Shading 1"/>
    <w:basedOn w:val="TableNormal"/>
    <w:uiPriority w:val="63"/>
    <w:rsid w:val="00E17875"/>
    <w:pPr>
      <w:spacing w:after="0" w:line="240" w:lineRule="auto"/>
    </w:pPr>
    <w:rPr>
      <w:rFonts w:eastAsiaTheme="minorEastAsia"/>
      <w:kern w:val="0"/>
      <w:lang w:val="en-US"/>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E17875"/>
    <w:pPr>
      <w:spacing w:after="0" w:line="240" w:lineRule="auto"/>
    </w:pPr>
    <w:rPr>
      <w:rFonts w:eastAsiaTheme="minorEastAsia"/>
      <w:kern w:val="0"/>
      <w:lang w:val="en-US"/>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E17875"/>
    <w:pPr>
      <w:spacing w:after="0" w:line="240" w:lineRule="auto"/>
    </w:pPr>
    <w:rPr>
      <w:rFonts w:eastAsiaTheme="minorEastAsia"/>
      <w:kern w:val="0"/>
      <w:lang w:val="en-US"/>
      <w14:ligatures w14:val="non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E17875"/>
    <w:pPr>
      <w:spacing w:after="0" w:line="240" w:lineRule="auto"/>
    </w:pPr>
    <w:rPr>
      <w:rFonts w:eastAsiaTheme="minorEastAsia"/>
      <w:kern w:val="0"/>
      <w:lang w:val="en-US"/>
      <w14:ligatures w14:val="non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E17875"/>
    <w:pPr>
      <w:spacing w:after="0" w:line="240" w:lineRule="auto"/>
    </w:pPr>
    <w:rPr>
      <w:rFonts w:eastAsiaTheme="minorEastAsia"/>
      <w:kern w:val="0"/>
      <w:lang w:val="en-US"/>
      <w14:ligatures w14:val="non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E17875"/>
    <w:pPr>
      <w:spacing w:after="0" w:line="240" w:lineRule="auto"/>
    </w:pPr>
    <w:rPr>
      <w:rFonts w:eastAsiaTheme="minorEastAsia"/>
      <w:kern w:val="0"/>
      <w:lang w:val="en-US"/>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E17875"/>
    <w:pPr>
      <w:spacing w:after="0" w:line="240" w:lineRule="auto"/>
    </w:pPr>
    <w:rPr>
      <w:rFonts w:eastAsiaTheme="minorEastAsia"/>
      <w:kern w:val="0"/>
      <w:lang w:val="en-US"/>
      <w14:ligatures w14:val="non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E17875"/>
    <w:pPr>
      <w:spacing w:after="0" w:line="240" w:lineRule="auto"/>
    </w:pPr>
    <w:rPr>
      <w:rFonts w:eastAsiaTheme="minorEastAsia"/>
      <w:kern w:val="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E17875"/>
    <w:pPr>
      <w:spacing w:after="0" w:line="240" w:lineRule="auto"/>
    </w:pPr>
    <w:rPr>
      <w:rFonts w:eastAsiaTheme="minorEastAsia"/>
      <w:kern w:val="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E17875"/>
    <w:pPr>
      <w:spacing w:after="0" w:line="240" w:lineRule="auto"/>
    </w:pPr>
    <w:rPr>
      <w:rFonts w:eastAsiaTheme="minorEastAsia"/>
      <w:kern w:val="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E17875"/>
    <w:pPr>
      <w:spacing w:after="0" w:line="240" w:lineRule="auto"/>
    </w:pPr>
    <w:rPr>
      <w:rFonts w:eastAsiaTheme="minorEastAsia"/>
      <w:kern w:val="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E17875"/>
    <w:pPr>
      <w:spacing w:after="0" w:line="240" w:lineRule="auto"/>
    </w:pPr>
    <w:rPr>
      <w:rFonts w:eastAsiaTheme="minorEastAsia"/>
      <w:kern w:val="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E17875"/>
    <w:pPr>
      <w:spacing w:after="0" w:line="240" w:lineRule="auto"/>
    </w:pPr>
    <w:rPr>
      <w:rFonts w:eastAsiaTheme="minorEastAsia"/>
      <w:kern w:val="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E17875"/>
    <w:pPr>
      <w:spacing w:after="0" w:line="240" w:lineRule="auto"/>
    </w:pPr>
    <w:rPr>
      <w:rFonts w:eastAsiaTheme="minorEastAsia"/>
      <w:kern w:val="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E17875"/>
    <w:pPr>
      <w:spacing w:after="0" w:line="240" w:lineRule="auto"/>
    </w:pPr>
    <w:rPr>
      <w:rFonts w:eastAsiaTheme="minorEastAsia"/>
      <w:color w:val="000000" w:themeColor="text1"/>
      <w:kern w:val="0"/>
      <w:lang w:val="en-US"/>
      <w14:ligatures w14:val="non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E17875"/>
    <w:pPr>
      <w:spacing w:after="0" w:line="240" w:lineRule="auto"/>
    </w:pPr>
    <w:rPr>
      <w:rFonts w:eastAsiaTheme="minorEastAsia"/>
      <w:color w:val="000000" w:themeColor="text1"/>
      <w:kern w:val="0"/>
      <w:lang w:val="en-US"/>
      <w14:ligatures w14:val="none"/>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MediumList1-Accent2">
    <w:name w:val="Medium List 1 Accent 2"/>
    <w:basedOn w:val="TableNormal"/>
    <w:uiPriority w:val="65"/>
    <w:rsid w:val="00E17875"/>
    <w:pPr>
      <w:spacing w:after="0" w:line="240" w:lineRule="auto"/>
    </w:pPr>
    <w:rPr>
      <w:rFonts w:eastAsiaTheme="minorEastAsia"/>
      <w:color w:val="000000" w:themeColor="text1"/>
      <w:kern w:val="0"/>
      <w:lang w:val="en-US"/>
      <w14:ligatures w14:val="none"/>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rsid w:val="00E17875"/>
    <w:pPr>
      <w:spacing w:after="0" w:line="240" w:lineRule="auto"/>
    </w:pPr>
    <w:rPr>
      <w:rFonts w:eastAsiaTheme="minorEastAsia"/>
      <w:color w:val="000000" w:themeColor="text1"/>
      <w:kern w:val="0"/>
      <w:lang w:val="en-US"/>
      <w14:ligatures w14:val="none"/>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rsid w:val="00E17875"/>
    <w:pPr>
      <w:spacing w:after="0" w:line="240" w:lineRule="auto"/>
    </w:pPr>
    <w:rPr>
      <w:rFonts w:eastAsiaTheme="minorEastAsia"/>
      <w:color w:val="000000" w:themeColor="text1"/>
      <w:kern w:val="0"/>
      <w:lang w:val="en-US"/>
      <w14:ligatures w14:val="none"/>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rsid w:val="00E17875"/>
    <w:pPr>
      <w:spacing w:after="0" w:line="240" w:lineRule="auto"/>
    </w:pPr>
    <w:rPr>
      <w:rFonts w:eastAsiaTheme="minorEastAsia"/>
      <w:color w:val="000000" w:themeColor="text1"/>
      <w:kern w:val="0"/>
      <w:lang w:val="en-US"/>
      <w14:ligatures w14:val="none"/>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MediumList1-Accent6">
    <w:name w:val="Medium List 1 Accent 6"/>
    <w:basedOn w:val="TableNormal"/>
    <w:uiPriority w:val="65"/>
    <w:rsid w:val="00E17875"/>
    <w:pPr>
      <w:spacing w:after="0" w:line="240" w:lineRule="auto"/>
    </w:pPr>
    <w:rPr>
      <w:rFonts w:eastAsiaTheme="minorEastAsia"/>
      <w:color w:val="000000" w:themeColor="text1"/>
      <w:kern w:val="0"/>
      <w:lang w:val="en-US"/>
      <w14:ligatures w14:val="none"/>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rsid w:val="00E17875"/>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E17875"/>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E17875"/>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E17875"/>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E17875"/>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E17875"/>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E17875"/>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E17875"/>
    <w:pPr>
      <w:spacing w:after="0" w:line="240" w:lineRule="auto"/>
    </w:pPr>
    <w:rPr>
      <w:rFonts w:eastAsiaTheme="minorEastAsia"/>
      <w:kern w:val="0"/>
      <w:lang w:val="en-US"/>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E17875"/>
    <w:pPr>
      <w:spacing w:after="0" w:line="240" w:lineRule="auto"/>
    </w:pPr>
    <w:rPr>
      <w:rFonts w:eastAsiaTheme="minorEastAsia"/>
      <w:kern w:val="0"/>
      <w:lang w:val="en-US"/>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MediumGrid1-Accent2">
    <w:name w:val="Medium Grid 1 Accent 2"/>
    <w:basedOn w:val="TableNormal"/>
    <w:uiPriority w:val="67"/>
    <w:rsid w:val="00E17875"/>
    <w:pPr>
      <w:spacing w:after="0" w:line="240" w:lineRule="auto"/>
    </w:pPr>
    <w:rPr>
      <w:rFonts w:eastAsiaTheme="minorEastAsia"/>
      <w:kern w:val="0"/>
      <w:lang w:val="en-US"/>
      <w14:ligatures w14:val="non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rsid w:val="00E17875"/>
    <w:pPr>
      <w:spacing w:after="0" w:line="240" w:lineRule="auto"/>
    </w:pPr>
    <w:rPr>
      <w:rFonts w:eastAsiaTheme="minorEastAsia"/>
      <w:kern w:val="0"/>
      <w:lang w:val="en-US"/>
      <w14:ligatures w14:val="non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rsid w:val="00E17875"/>
    <w:pPr>
      <w:spacing w:after="0" w:line="240" w:lineRule="auto"/>
    </w:pPr>
    <w:rPr>
      <w:rFonts w:eastAsiaTheme="minorEastAsia"/>
      <w:kern w:val="0"/>
      <w:lang w:val="en-US"/>
      <w14:ligatures w14:val="non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rsid w:val="00E17875"/>
    <w:pPr>
      <w:spacing w:after="0" w:line="240" w:lineRule="auto"/>
    </w:pPr>
    <w:rPr>
      <w:rFonts w:eastAsiaTheme="minorEastAsia"/>
      <w:kern w:val="0"/>
      <w:lang w:val="en-US"/>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MediumGrid1-Accent6">
    <w:name w:val="Medium Grid 1 Accent 6"/>
    <w:basedOn w:val="TableNormal"/>
    <w:uiPriority w:val="67"/>
    <w:rsid w:val="00E17875"/>
    <w:pPr>
      <w:spacing w:after="0" w:line="240" w:lineRule="auto"/>
    </w:pPr>
    <w:rPr>
      <w:rFonts w:eastAsiaTheme="minorEastAsia"/>
      <w:kern w:val="0"/>
      <w:lang w:val="en-US"/>
      <w14:ligatures w14:val="non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rsid w:val="00E17875"/>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E17875"/>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E17875"/>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E17875"/>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E17875"/>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E17875"/>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E17875"/>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E17875"/>
    <w:pPr>
      <w:spacing w:after="0" w:line="240" w:lineRule="auto"/>
    </w:pPr>
    <w:rPr>
      <w:rFonts w:eastAsiaTheme="minorEastAsia"/>
      <w:kern w:val="0"/>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E17875"/>
    <w:pPr>
      <w:spacing w:after="0" w:line="240" w:lineRule="auto"/>
    </w:pPr>
    <w:rPr>
      <w:rFonts w:eastAsiaTheme="minorEastAsia"/>
      <w:kern w:val="0"/>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Grid3-Accent2">
    <w:name w:val="Medium Grid 3 Accent 2"/>
    <w:basedOn w:val="TableNormal"/>
    <w:uiPriority w:val="69"/>
    <w:rsid w:val="00E17875"/>
    <w:pPr>
      <w:spacing w:after="0" w:line="240" w:lineRule="auto"/>
    </w:pPr>
    <w:rPr>
      <w:rFonts w:eastAsiaTheme="minorEastAsia"/>
      <w:kern w:val="0"/>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rsid w:val="00E17875"/>
    <w:pPr>
      <w:spacing w:after="0" w:line="240" w:lineRule="auto"/>
    </w:pPr>
    <w:rPr>
      <w:rFonts w:eastAsiaTheme="minorEastAsia"/>
      <w:kern w:val="0"/>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rsid w:val="00E17875"/>
    <w:pPr>
      <w:spacing w:after="0" w:line="240" w:lineRule="auto"/>
    </w:pPr>
    <w:rPr>
      <w:rFonts w:eastAsiaTheme="minorEastAsia"/>
      <w:kern w:val="0"/>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rsid w:val="00E17875"/>
    <w:pPr>
      <w:spacing w:after="0" w:line="240" w:lineRule="auto"/>
    </w:pPr>
    <w:rPr>
      <w:rFonts w:eastAsiaTheme="minorEastAsia"/>
      <w:kern w:val="0"/>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MediumGrid3-Accent6">
    <w:name w:val="Medium Grid 3 Accent 6"/>
    <w:basedOn w:val="TableNormal"/>
    <w:uiPriority w:val="69"/>
    <w:rsid w:val="00E17875"/>
    <w:pPr>
      <w:spacing w:after="0" w:line="240" w:lineRule="auto"/>
    </w:pPr>
    <w:rPr>
      <w:rFonts w:eastAsiaTheme="minorEastAsia"/>
      <w:kern w:val="0"/>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DarkList">
    <w:name w:val="Dark List"/>
    <w:basedOn w:val="TableNormal"/>
    <w:uiPriority w:val="70"/>
    <w:rsid w:val="00E17875"/>
    <w:pPr>
      <w:spacing w:after="0" w:line="240" w:lineRule="auto"/>
    </w:pPr>
    <w:rPr>
      <w:rFonts w:eastAsiaTheme="minorEastAsia"/>
      <w:color w:val="FFFFFF" w:themeColor="background1"/>
      <w:kern w:val="0"/>
      <w:lang w:val="en-US"/>
      <w14:ligatures w14:val="non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E17875"/>
    <w:pPr>
      <w:spacing w:after="0" w:line="240" w:lineRule="auto"/>
    </w:pPr>
    <w:rPr>
      <w:rFonts w:eastAsiaTheme="minorEastAsia"/>
      <w:color w:val="FFFFFF" w:themeColor="background1"/>
      <w:kern w:val="0"/>
      <w:lang w:val="en-US"/>
      <w14:ligatures w14:val="none"/>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DarkList-Accent2">
    <w:name w:val="Dark List Accent 2"/>
    <w:basedOn w:val="TableNormal"/>
    <w:uiPriority w:val="70"/>
    <w:rsid w:val="00E17875"/>
    <w:pPr>
      <w:spacing w:after="0" w:line="240" w:lineRule="auto"/>
    </w:pPr>
    <w:rPr>
      <w:rFonts w:eastAsiaTheme="minorEastAsia"/>
      <w:color w:val="FFFFFF" w:themeColor="background1"/>
      <w:kern w:val="0"/>
      <w:lang w:val="en-US"/>
      <w14:ligatures w14:val="none"/>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rsid w:val="00E17875"/>
    <w:pPr>
      <w:spacing w:after="0" w:line="240" w:lineRule="auto"/>
    </w:pPr>
    <w:rPr>
      <w:rFonts w:eastAsiaTheme="minorEastAsia"/>
      <w:color w:val="FFFFFF" w:themeColor="background1"/>
      <w:kern w:val="0"/>
      <w:lang w:val="en-US"/>
      <w14:ligatures w14:val="none"/>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rsid w:val="00E17875"/>
    <w:pPr>
      <w:spacing w:after="0" w:line="240" w:lineRule="auto"/>
    </w:pPr>
    <w:rPr>
      <w:rFonts w:eastAsiaTheme="minorEastAsia"/>
      <w:color w:val="FFFFFF" w:themeColor="background1"/>
      <w:kern w:val="0"/>
      <w:lang w:val="en-US"/>
      <w14:ligatures w14:val="none"/>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rsid w:val="00E17875"/>
    <w:pPr>
      <w:spacing w:after="0" w:line="240" w:lineRule="auto"/>
    </w:pPr>
    <w:rPr>
      <w:rFonts w:eastAsiaTheme="minorEastAsia"/>
      <w:color w:val="FFFFFF" w:themeColor="background1"/>
      <w:kern w:val="0"/>
      <w:lang w:val="en-US"/>
      <w14:ligatures w14:val="none"/>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DarkList-Accent6">
    <w:name w:val="Dark List Accent 6"/>
    <w:basedOn w:val="TableNormal"/>
    <w:uiPriority w:val="70"/>
    <w:rsid w:val="00E17875"/>
    <w:pPr>
      <w:spacing w:after="0" w:line="240" w:lineRule="auto"/>
    </w:pPr>
    <w:rPr>
      <w:rFonts w:eastAsiaTheme="minorEastAsia"/>
      <w:color w:val="FFFFFF" w:themeColor="background1"/>
      <w:kern w:val="0"/>
      <w:lang w:val="en-US"/>
      <w14:ligatures w14:val="none"/>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ColorfulShading">
    <w:name w:val="Colorful Shading"/>
    <w:basedOn w:val="TableNormal"/>
    <w:uiPriority w:val="71"/>
    <w:rsid w:val="00E17875"/>
    <w:pPr>
      <w:spacing w:after="0" w:line="240" w:lineRule="auto"/>
    </w:pPr>
    <w:rPr>
      <w:rFonts w:eastAsiaTheme="minorEastAsia"/>
      <w:color w:val="000000" w:themeColor="text1"/>
      <w:kern w:val="0"/>
      <w:lang w:val="en-US"/>
      <w14:ligatures w14:val="none"/>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E17875"/>
    <w:pPr>
      <w:spacing w:after="0" w:line="240" w:lineRule="auto"/>
    </w:pPr>
    <w:rPr>
      <w:rFonts w:eastAsiaTheme="minorEastAsia"/>
      <w:color w:val="000000" w:themeColor="text1"/>
      <w:kern w:val="0"/>
      <w:lang w:val="en-US"/>
      <w14:ligatures w14:val="none"/>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E17875"/>
    <w:pPr>
      <w:spacing w:after="0" w:line="240" w:lineRule="auto"/>
    </w:pPr>
    <w:rPr>
      <w:rFonts w:eastAsiaTheme="minorEastAsia"/>
      <w:color w:val="000000" w:themeColor="text1"/>
      <w:kern w:val="0"/>
      <w:lang w:val="en-US"/>
      <w14:ligatures w14:val="none"/>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E17875"/>
    <w:pPr>
      <w:spacing w:after="0" w:line="240" w:lineRule="auto"/>
    </w:pPr>
    <w:rPr>
      <w:rFonts w:eastAsiaTheme="minorEastAsia"/>
      <w:color w:val="000000" w:themeColor="text1"/>
      <w:kern w:val="0"/>
      <w:lang w:val="en-US"/>
      <w14:ligatures w14:val="none"/>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rsid w:val="00E17875"/>
    <w:pPr>
      <w:spacing w:after="0" w:line="240" w:lineRule="auto"/>
    </w:pPr>
    <w:rPr>
      <w:rFonts w:eastAsiaTheme="minorEastAsia"/>
      <w:color w:val="000000" w:themeColor="text1"/>
      <w:kern w:val="0"/>
      <w:lang w:val="en-US"/>
      <w14:ligatures w14:val="none"/>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E17875"/>
    <w:pPr>
      <w:spacing w:after="0" w:line="240" w:lineRule="auto"/>
    </w:pPr>
    <w:rPr>
      <w:rFonts w:eastAsiaTheme="minorEastAsia"/>
      <w:color w:val="000000" w:themeColor="text1"/>
      <w:kern w:val="0"/>
      <w:lang w:val="en-US"/>
      <w14:ligatures w14:val="none"/>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E17875"/>
    <w:pPr>
      <w:spacing w:after="0" w:line="240" w:lineRule="auto"/>
    </w:pPr>
    <w:rPr>
      <w:rFonts w:eastAsiaTheme="minorEastAsia"/>
      <w:color w:val="000000" w:themeColor="text1"/>
      <w:kern w:val="0"/>
      <w:lang w:val="en-US"/>
      <w14:ligatures w14:val="none"/>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E17875"/>
    <w:pPr>
      <w:spacing w:after="0" w:line="240" w:lineRule="auto"/>
    </w:pPr>
    <w:rPr>
      <w:rFonts w:eastAsiaTheme="minorEastAsia"/>
      <w:color w:val="000000" w:themeColor="text1"/>
      <w:kern w:val="0"/>
      <w:lang w:val="en-US"/>
      <w14:ligatures w14:val="non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E17875"/>
    <w:pPr>
      <w:spacing w:after="0" w:line="240" w:lineRule="auto"/>
    </w:pPr>
    <w:rPr>
      <w:rFonts w:eastAsiaTheme="minorEastAsia"/>
      <w:color w:val="000000" w:themeColor="text1"/>
      <w:kern w:val="0"/>
      <w:lang w:val="en-US"/>
      <w14:ligatures w14:val="none"/>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olorfulList-Accent2">
    <w:name w:val="Colorful List Accent 2"/>
    <w:basedOn w:val="TableNormal"/>
    <w:uiPriority w:val="72"/>
    <w:rsid w:val="00E17875"/>
    <w:pPr>
      <w:spacing w:after="0" w:line="240" w:lineRule="auto"/>
    </w:pPr>
    <w:rPr>
      <w:rFonts w:eastAsiaTheme="minorEastAsia"/>
      <w:color w:val="000000" w:themeColor="text1"/>
      <w:kern w:val="0"/>
      <w:lang w:val="en-US"/>
      <w14:ligatures w14:val="none"/>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rsid w:val="00E17875"/>
    <w:pPr>
      <w:spacing w:after="0" w:line="240" w:lineRule="auto"/>
    </w:pPr>
    <w:rPr>
      <w:rFonts w:eastAsiaTheme="minorEastAsia"/>
      <w:color w:val="000000" w:themeColor="text1"/>
      <w:kern w:val="0"/>
      <w:lang w:val="en-US"/>
      <w14:ligatures w14:val="none"/>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rsid w:val="00E17875"/>
    <w:pPr>
      <w:spacing w:after="0" w:line="240" w:lineRule="auto"/>
    </w:pPr>
    <w:rPr>
      <w:rFonts w:eastAsiaTheme="minorEastAsia"/>
      <w:color w:val="000000" w:themeColor="text1"/>
      <w:kern w:val="0"/>
      <w:lang w:val="en-US"/>
      <w14:ligatures w14:val="none"/>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rsid w:val="00E17875"/>
    <w:pPr>
      <w:spacing w:after="0" w:line="240" w:lineRule="auto"/>
    </w:pPr>
    <w:rPr>
      <w:rFonts w:eastAsiaTheme="minorEastAsia"/>
      <w:color w:val="000000" w:themeColor="text1"/>
      <w:kern w:val="0"/>
      <w:lang w:val="en-US"/>
      <w14:ligatures w14:val="none"/>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ColorfulList-Accent6">
    <w:name w:val="Colorful List Accent 6"/>
    <w:basedOn w:val="TableNormal"/>
    <w:uiPriority w:val="72"/>
    <w:rsid w:val="00E17875"/>
    <w:pPr>
      <w:spacing w:after="0" w:line="240" w:lineRule="auto"/>
    </w:pPr>
    <w:rPr>
      <w:rFonts w:eastAsiaTheme="minorEastAsia"/>
      <w:color w:val="000000" w:themeColor="text1"/>
      <w:kern w:val="0"/>
      <w:lang w:val="en-US"/>
      <w14:ligatures w14:val="none"/>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Grid">
    <w:name w:val="Colorful Grid"/>
    <w:basedOn w:val="TableNormal"/>
    <w:uiPriority w:val="73"/>
    <w:rsid w:val="00E17875"/>
    <w:pPr>
      <w:spacing w:after="0" w:line="240" w:lineRule="auto"/>
    </w:pPr>
    <w:rPr>
      <w:rFonts w:eastAsiaTheme="minorEastAsia"/>
      <w:color w:val="000000" w:themeColor="text1"/>
      <w:kern w:val="0"/>
      <w:lang w:val="en-US"/>
      <w14:ligatures w14:val="non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E17875"/>
    <w:pPr>
      <w:spacing w:after="0" w:line="240" w:lineRule="auto"/>
    </w:pPr>
    <w:rPr>
      <w:rFonts w:eastAsiaTheme="minorEastAsia"/>
      <w:color w:val="000000" w:themeColor="text1"/>
      <w:kern w:val="0"/>
      <w:lang w:val="en-US"/>
      <w14:ligatures w14:val="none"/>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olorfulGrid-Accent2">
    <w:name w:val="Colorful Grid Accent 2"/>
    <w:basedOn w:val="TableNormal"/>
    <w:uiPriority w:val="73"/>
    <w:rsid w:val="00E17875"/>
    <w:pPr>
      <w:spacing w:after="0" w:line="240" w:lineRule="auto"/>
    </w:pPr>
    <w:rPr>
      <w:rFonts w:eastAsiaTheme="minorEastAsia"/>
      <w:color w:val="000000" w:themeColor="text1"/>
      <w:kern w:val="0"/>
      <w:lang w:val="en-US"/>
      <w14:ligatures w14:val="none"/>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rsid w:val="00E17875"/>
    <w:pPr>
      <w:spacing w:after="0" w:line="240" w:lineRule="auto"/>
    </w:pPr>
    <w:rPr>
      <w:rFonts w:eastAsiaTheme="minorEastAsia"/>
      <w:color w:val="000000" w:themeColor="text1"/>
      <w:kern w:val="0"/>
      <w:lang w:val="en-US"/>
      <w14:ligatures w14:val="none"/>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rsid w:val="00E17875"/>
    <w:pPr>
      <w:spacing w:after="0" w:line="240" w:lineRule="auto"/>
    </w:pPr>
    <w:rPr>
      <w:rFonts w:eastAsiaTheme="minorEastAsia"/>
      <w:color w:val="000000" w:themeColor="text1"/>
      <w:kern w:val="0"/>
      <w:lang w:val="en-US"/>
      <w14:ligatures w14:val="none"/>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rsid w:val="00E17875"/>
    <w:pPr>
      <w:spacing w:after="0" w:line="240" w:lineRule="auto"/>
    </w:pPr>
    <w:rPr>
      <w:rFonts w:eastAsiaTheme="minorEastAsia"/>
      <w:color w:val="000000" w:themeColor="text1"/>
      <w:kern w:val="0"/>
      <w:lang w:val="en-US"/>
      <w14:ligatures w14:val="none"/>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olorfulGrid-Accent6">
    <w:name w:val="Colorful Grid Accent 6"/>
    <w:basedOn w:val="TableNormal"/>
    <w:uiPriority w:val="73"/>
    <w:rsid w:val="00E17875"/>
    <w:pPr>
      <w:spacing w:after="0" w:line="240" w:lineRule="auto"/>
    </w:pPr>
    <w:rPr>
      <w:rFonts w:eastAsiaTheme="minorEastAsia"/>
      <w:color w:val="000000" w:themeColor="text1"/>
      <w:kern w:val="0"/>
      <w:lang w:val="en-US"/>
      <w14:ligatures w14:val="none"/>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paragraph" w:styleId="TOC1">
    <w:name w:val="toc 1"/>
    <w:basedOn w:val="Normal"/>
    <w:next w:val="Normal"/>
    <w:autoRedefine/>
    <w:uiPriority w:val="39"/>
    <w:unhideWhenUsed/>
    <w:rsid w:val="008177B4"/>
    <w:pPr>
      <w:spacing w:after="100"/>
    </w:pPr>
  </w:style>
  <w:style w:type="paragraph" w:styleId="TableofFigures">
    <w:name w:val="table of figures"/>
    <w:basedOn w:val="Normal"/>
    <w:next w:val="Normal"/>
    <w:uiPriority w:val="99"/>
    <w:unhideWhenUsed/>
    <w:rsid w:val="003B4C3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eprints.soton.ac.uk/37682" TargetMode="External"/><Relationship Id="rId21" Type="http://schemas.openxmlformats.org/officeDocument/2006/relationships/image" Target="media/image9.emf"/><Relationship Id="rId42" Type="http://schemas.openxmlformats.org/officeDocument/2006/relationships/hyperlink" Target="https://doi.org/10.1191/1478088706qp063oa" TargetMode="External"/><Relationship Id="rId63" Type="http://schemas.openxmlformats.org/officeDocument/2006/relationships/hyperlink" Target="https://training.cochrane.org/handbook" TargetMode="External"/><Relationship Id="rId84" Type="http://schemas.openxmlformats.org/officeDocument/2006/relationships/hyperlink" Target="https://www.food.gov.uk/business-guidance/haccp" TargetMode="External"/><Relationship Id="rId138" Type="http://schemas.openxmlformats.org/officeDocument/2006/relationships/hyperlink" Target="https://www.england.nhs.uk" TargetMode="External"/><Relationship Id="rId159" Type="http://schemas.openxmlformats.org/officeDocument/2006/relationships/hyperlink" Target="https://doi.org/10.1016/S0956-7135(03)00016-X" TargetMode="External"/><Relationship Id="rId170" Type="http://schemas.openxmlformats.org/officeDocument/2006/relationships/hyperlink" Target="https://doi.org/10.1016/j.diabres.2020.108171" TargetMode="External"/><Relationship Id="rId191" Type="http://schemas.openxmlformats.org/officeDocument/2006/relationships/hyperlink" Target="https://www.who.int/publications/i/item/framework-for-action-on-interprofessional-education-collaborative-practice" TargetMode="External"/><Relationship Id="rId107" Type="http://schemas.openxmlformats.org/officeDocument/2006/relationships/hyperlink" Target="https://www.openup.co.uk" TargetMode="External"/><Relationship Id="rId11" Type="http://schemas.openxmlformats.org/officeDocument/2006/relationships/image" Target="media/image4.jpeg"/><Relationship Id="rId32" Type="http://schemas.openxmlformats.org/officeDocument/2006/relationships/hyperlink" Target="https://www.tandfonline.com/journals/cije20" TargetMode="External"/><Relationship Id="rId53" Type="http://schemas.openxmlformats.org/officeDocument/2006/relationships/hyperlink" Target="https://doi.org/10.1016/j.jamda.2014.10.016" TargetMode="External"/><Relationship Id="rId74" Type="http://schemas.openxmlformats.org/officeDocument/2006/relationships/hyperlink" Target="https://www.diabetes.org.uk/about-diabetes/type-2-diabetes" TargetMode="External"/><Relationship Id="rId128" Type="http://schemas.openxmlformats.org/officeDocument/2006/relationships/hyperlink" Target="https://www.nice.org.uk/guidance/ng28" TargetMode="External"/><Relationship Id="rId149" Type="http://schemas.openxmlformats.org/officeDocument/2006/relationships/hyperlink" Target="https://ourworldindata.org/grapher/death-rate-from-diabetes-gbd" TargetMode="External"/><Relationship Id="rId5" Type="http://schemas.openxmlformats.org/officeDocument/2006/relationships/webSettings" Target="webSettings.xml"/><Relationship Id="rId95" Type="http://schemas.openxmlformats.org/officeDocument/2006/relationships/hyperlink" Target="https://www.healthdata.org/sites/default/files/2025-10/GBD_2023_Booklet_Final_2025.10.17.pdf" TargetMode="External"/><Relationship Id="rId160" Type="http://schemas.openxmlformats.org/officeDocument/2006/relationships/hyperlink" Target="https://doi.org/10.1002/14651858.CD000072.pub3" TargetMode="External"/><Relationship Id="rId181" Type="http://schemas.openxmlformats.org/officeDocument/2006/relationships/hyperlink" Target="https://www.gov.uk/government/organisations/uk-health-security-agency" TargetMode="External"/><Relationship Id="rId22" Type="http://schemas.openxmlformats.org/officeDocument/2006/relationships/hyperlink" Target="https://doi.org/10.1016/j.arr.2013.06.002" TargetMode="External"/><Relationship Id="rId43" Type="http://schemas.openxmlformats.org/officeDocument/2006/relationships/hyperlink" Target="https://uk.sagepub.com/en-gb/eur/thematic-analysis/book248481" TargetMode="External"/><Relationship Id="rId64" Type="http://schemas.openxmlformats.org/officeDocument/2006/relationships/hyperlink" Target="https://doi.org/10.12968/bjon.2007.16.11.23681" TargetMode="External"/><Relationship Id="rId118" Type="http://schemas.openxmlformats.org/officeDocument/2006/relationships/hyperlink" Target="https://doi.org/10.1111/j.1365-2702.2004.00926.x" TargetMode="External"/><Relationship Id="rId139" Type="http://schemas.openxmlformats.org/officeDocument/2006/relationships/hyperlink" Target="https://www.england.nhs.uk/improvement-hub" TargetMode="External"/><Relationship Id="rId85" Type="http://schemas.openxmlformats.org/officeDocument/2006/relationships/hyperlink" Target="https://doi.org/10.12968/bjon.2013.22.15.878" TargetMode="External"/><Relationship Id="rId150" Type="http://schemas.openxmlformats.org/officeDocument/2006/relationships/hyperlink" Target="https://ourworldindata.org/burden-of-disease" TargetMode="External"/><Relationship Id="rId171" Type="http://schemas.openxmlformats.org/officeDocument/2006/relationships/hyperlink" Target="https://www.idf.org/e-library/guidelines/78-global-guideline-for-managing-older-people-with-type-2-diabetes.html" TargetMode="External"/><Relationship Id="rId192" Type="http://schemas.openxmlformats.org/officeDocument/2006/relationships/hyperlink" Target="https://www.who.int/news-room/fact-sheets/detail/diabetes" TargetMode="External"/><Relationship Id="rId12" Type="http://schemas.openxmlformats.org/officeDocument/2006/relationships/image" Target="media/image5.jpeg"/><Relationship Id="rId33" Type="http://schemas.openxmlformats.org/officeDocument/2006/relationships/hyperlink" Target="https://doi.org/10.1108/BFJ-08-2022-0715" TargetMode="External"/><Relationship Id="rId108" Type="http://schemas.openxmlformats.org/officeDocument/2006/relationships/hyperlink" Target="https://doi.org/10.1016/j.cger.2019.03.001" TargetMode="External"/><Relationship Id="rId129" Type="http://schemas.openxmlformats.org/officeDocument/2006/relationships/hyperlink" Target="https://www.ncbi.nlm.nih.gov/mesh" TargetMode="External"/><Relationship Id="rId54" Type="http://schemas.openxmlformats.org/officeDocument/2006/relationships/hyperlink" Target="https://doi.org/10.3390/geriatrics3040077" TargetMode="External"/><Relationship Id="rId75" Type="http://schemas.openxmlformats.org/officeDocument/2006/relationships/hyperlink" Target="https://doi.org/10.7861/futurehosp.3-3-191" TargetMode="External"/><Relationship Id="rId96" Type="http://schemas.openxmlformats.org/officeDocument/2006/relationships/hyperlink" Target="https://www.ihi.org" TargetMode="External"/><Relationship Id="rId140" Type="http://schemas.openxmlformats.org/officeDocument/2006/relationships/hyperlink" Target="https://somersetft.nhs.uk/wp-content/uploads/2020/08/MUST-Care-Pathway.pdf" TargetMode="External"/><Relationship Id="rId161" Type="http://schemas.openxmlformats.org/officeDocument/2006/relationships/hyperlink" Target="https://doi.org/10.7861/clinmedicine.19-4-307" TargetMode="External"/><Relationship Id="rId182" Type="http://schemas.openxmlformats.org/officeDocument/2006/relationships/hyperlink" Target="https://www.un.org/en/global-issues/ageing" TargetMode="External"/><Relationship Id="rId6" Type="http://schemas.openxmlformats.org/officeDocument/2006/relationships/footnotes" Target="footnotes.xml"/><Relationship Id="rId23" Type="http://schemas.openxmlformats.org/officeDocument/2006/relationships/hyperlink" Target="https://doi.org/10.2337/dc18-2665" TargetMode="External"/><Relationship Id="rId119" Type="http://schemas.openxmlformats.org/officeDocument/2006/relationships/hyperlink" Target="https://www.wiley.com" TargetMode="External"/><Relationship Id="rId44" Type="http://schemas.openxmlformats.org/officeDocument/2006/relationships/hyperlink" Target="https://www.bapen.org.uk/must-and-self-screening/must-report" TargetMode="External"/><Relationship Id="rId65" Type="http://schemas.openxmlformats.org/officeDocument/2006/relationships/hyperlink" Target="https://us.sagepub.com/en-us/nam/research-design/book255675" TargetMode="External"/><Relationship Id="rId86" Type="http://schemas.openxmlformats.org/officeDocument/2006/relationships/hyperlink" Target="https://doi.org/10.1093/gerona/56.3.M146" TargetMode="External"/><Relationship Id="rId130" Type="http://schemas.openxmlformats.org/officeDocument/2006/relationships/hyperlink" Target="https://www.nationalvoices.org.uk/publications/our-publications/narrative-person-centred-coordinated-care" TargetMode="External"/><Relationship Id="rId151" Type="http://schemas.openxmlformats.org/officeDocument/2006/relationships/hyperlink" Target="https://www.bmj.com/content/372/bmj.n71" TargetMode="External"/><Relationship Id="rId172" Type="http://schemas.openxmlformats.org/officeDocument/2006/relationships/hyperlink" Target="https://www.skillsforcare.org.uk/Learning-development/Learning-and-development.as" TargetMode="External"/><Relationship Id="rId193" Type="http://schemas.openxmlformats.org/officeDocument/2006/relationships/hyperlink" Target="https://www.who.int/news-room/fact-sheets/detail/ageing-and-health" TargetMode="External"/><Relationship Id="rId13" Type="http://schemas.openxmlformats.org/officeDocument/2006/relationships/image" Target="media/image6.jpeg"/><Relationship Id="rId109" Type="http://schemas.openxmlformats.org/officeDocument/2006/relationships/hyperlink" Target="https://doi.org/10.1017/S1368980019002301" TargetMode="External"/><Relationship Id="rId34" Type="http://schemas.openxmlformats.org/officeDocument/2006/relationships/hyperlink" Target="https://doi.org/10.1146/annurev-publhealth-032013-182510" TargetMode="External"/><Relationship Id="rId55" Type="http://schemas.openxmlformats.org/officeDocument/2006/relationships/hyperlink" Target="https://www.cqc.org.uk/publications" TargetMode="External"/><Relationship Id="rId76" Type="http://schemas.openxmlformats.org/officeDocument/2006/relationships/hyperlink" Target="https://doi.org/10.1001/jama.260.12.1743" TargetMode="External"/><Relationship Id="rId97" Type="http://schemas.openxmlformats.org/officeDocument/2006/relationships/hyperlink" Target="https://diabetesatlas.org" TargetMode="External"/><Relationship Id="rId120" Type="http://schemas.openxmlformats.org/officeDocument/2006/relationships/hyperlink" Target="https://doi.org/10.1016/j.jcjd.2015.08.005" TargetMode="External"/><Relationship Id="rId141" Type="http://schemas.openxmlformats.org/officeDocument/2006/relationships/hyperlink" Target="https://doi.org/10.1016/j.clnu.2007.10.007" TargetMode="External"/><Relationship Id="rId7" Type="http://schemas.openxmlformats.org/officeDocument/2006/relationships/endnotes" Target="endnotes.xml"/><Relationship Id="rId162" Type="http://schemas.openxmlformats.org/officeDocument/2006/relationships/hyperlink" Target="https://journals.rcni.com/nursing-older-people" TargetMode="External"/><Relationship Id="rId183" Type="http://schemas.openxmlformats.org/officeDocument/2006/relationships/hyperlink" Target="https://www.york.ac.uk/crd/guidance" TargetMode="External"/><Relationship Id="rId2" Type="http://schemas.openxmlformats.org/officeDocument/2006/relationships/numbering" Target="numbering.xml"/><Relationship Id="rId29" Type="http://schemas.openxmlformats.org/officeDocument/2006/relationships/hyperlink" Target="https://www.alzheimers.org.uk/get-support/daily-living/eating-and-drinking" TargetMode="External"/><Relationship Id="rId24" Type="http://schemas.openxmlformats.org/officeDocument/2006/relationships/hyperlink" Target="https://doi.org/10.1016/S0140-6736(19)30041-8" TargetMode="External"/><Relationship Id="rId40" Type="http://schemas.openxmlformats.org/officeDocument/2006/relationships/hyperlink" Target="https://www.blackpool.gov.uk/Residents/Health-and-social-care/Public-health.aspx" TargetMode="External"/><Relationship Id="rId45" Type="http://schemas.openxmlformats.org/officeDocument/2006/relationships/hyperlink" Target="https://www.basp.ac.uk/resources" TargetMode="External"/><Relationship Id="rId66" Type="http://schemas.openxmlformats.org/officeDocument/2006/relationships/hyperlink" Target="https://us.sagepub.com/en-us/nam/qualitative-inquiry-and-research-design/book246896" TargetMode="External"/><Relationship Id="rId87" Type="http://schemas.openxmlformats.org/officeDocument/2006/relationships/hyperlink" Target="https://doi.org/10.1177/1090198111418634" TargetMode="External"/><Relationship Id="rId110" Type="http://schemas.openxmlformats.org/officeDocument/2006/relationships/hyperlink" Target="https://doi.org/10.3390/nu11040773" TargetMode="External"/><Relationship Id="rId115" Type="http://schemas.openxmlformats.org/officeDocument/2006/relationships/hyperlink" Target="https://doi.org/10.1017/S1368980018002318" TargetMode="External"/><Relationship Id="rId131" Type="http://schemas.openxmlformats.org/officeDocument/2006/relationships/hyperlink" Target="https://www.nhs.uk/conditions/swallowing-problems-dysphagia" TargetMode="External"/><Relationship Id="rId136" Type="http://schemas.openxmlformats.org/officeDocument/2006/relationships/hyperlink" Target="https://www.england.nhs.uk/personalisedcare" TargetMode="External"/><Relationship Id="rId157" Type="http://schemas.openxmlformats.org/officeDocument/2006/relationships/hyperlink" Target="https://pubmed.ncbi.nlm.nih.gov/help" TargetMode="External"/><Relationship Id="rId178" Type="http://schemas.openxmlformats.org/officeDocument/2006/relationships/hyperlink" Target="https://doi.org/10.1186/1471-2288-8-45" TargetMode="External"/><Relationship Id="rId61" Type="http://schemas.openxmlformats.org/officeDocument/2006/relationships/hyperlink" Target="https://doi.org/10.1108/00070700810918041" TargetMode="External"/><Relationship Id="rId82" Type="http://schemas.openxmlformats.org/officeDocument/2006/relationships/hyperlink" Target="https://www.food.gov.uk/business-guidance/safer-food-better-business-for-residential-care-homes" TargetMode="External"/><Relationship Id="rId152" Type="http://schemas.openxmlformats.org/officeDocument/2006/relationships/hyperlink" Target="https://us.sagepub.com/en-us/nam/qualitative-research-evaluation-methods/book232962" TargetMode="External"/><Relationship Id="rId173" Type="http://schemas.openxmlformats.org/officeDocument/2006/relationships/hyperlink" Target="https://doi.org/10.1016/j.jbusres.2019.07.039" TargetMode="External"/><Relationship Id="rId194" Type="http://schemas.openxmlformats.org/officeDocument/2006/relationships/hyperlink" Target="https://www.who.int/health-topics/ageing" TargetMode="External"/><Relationship Id="rId199" Type="http://schemas.openxmlformats.org/officeDocument/2006/relationships/hyperlink" Target="https://www.springer.com" TargetMode="External"/><Relationship Id="rId203" Type="http://schemas.openxmlformats.org/officeDocument/2006/relationships/theme" Target="theme/theme1.xml"/><Relationship Id="rId19" Type="http://schemas.openxmlformats.org/officeDocument/2006/relationships/image" Target="media/image8.emf"/><Relationship Id="rId14" Type="http://schemas.openxmlformats.org/officeDocument/2006/relationships/customXml" Target="ink/ink1.xml"/><Relationship Id="rId30" Type="http://schemas.openxmlformats.org/officeDocument/2006/relationships/hyperlink" Target="https://diabetesjournals.org/care" TargetMode="External"/><Relationship Id="rId35" Type="http://schemas.openxmlformats.org/officeDocument/2006/relationships/hyperlink" Target="https://doi.org/10.1186/1748-5908-7-106" TargetMode="External"/><Relationship Id="rId56" Type="http://schemas.openxmlformats.org/officeDocument/2006/relationships/hyperlink" Target="https://doi.org/10.1016/j.clnu.2018.08.002" TargetMode="External"/><Relationship Id="rId77" Type="http://schemas.openxmlformats.org/officeDocument/2006/relationships/hyperlink" Target="https://doi.org/10.1016/j.jamda.2017.05.019" TargetMode="External"/><Relationship Id="rId100" Type="http://schemas.openxmlformats.org/officeDocument/2006/relationships/hyperlink" Target="https://doi.org/10.7748/ns2006.06.20.39.41.c4170" TargetMode="External"/><Relationship Id="rId105" Type="http://schemas.openxmlformats.org/officeDocument/2006/relationships/hyperlink" Target="https://doi.org/10.1111/j.1532-5415.2010.03016.x" TargetMode="External"/><Relationship Id="rId126" Type="http://schemas.openxmlformats.org/officeDocument/2006/relationships/hyperlink" Target="https://doi.org/10.2337/dc16-1229" TargetMode="External"/><Relationship Id="rId147" Type="http://schemas.openxmlformats.org/officeDocument/2006/relationships/hyperlink" Target="https://doi.org/10.1186/s12889-025-23773-2" TargetMode="External"/><Relationship Id="rId168" Type="http://schemas.openxmlformats.org/officeDocument/2006/relationships/hyperlink" Target="https://uk.sagepub.com/en-gb/eur/doing-qualitative-research/book265944" TargetMode="External"/><Relationship Id="rId8" Type="http://schemas.openxmlformats.org/officeDocument/2006/relationships/image" Target="media/image1.png"/><Relationship Id="rId51" Type="http://schemas.openxmlformats.org/officeDocument/2006/relationships/hyperlink" Target="https://doi.org/10.2147/CIA.S38589" TargetMode="External"/><Relationship Id="rId72" Type="http://schemas.openxmlformats.org/officeDocument/2006/relationships/hyperlink" Target="https://www.diabetes.org.uk/professionals/resources/shared-practice/diabetes-care-homes" TargetMode="External"/><Relationship Id="rId93" Type="http://schemas.openxmlformats.org/officeDocument/2006/relationships/hyperlink" Target="https://www.england.nhs.uk/ourwork/clinical-policy/house-of-care" TargetMode="External"/><Relationship Id="rId98" Type="http://schemas.openxmlformats.org/officeDocument/2006/relationships/hyperlink" Target="https://idf.org/about-diabetes/diabetes-facts-figures/" TargetMode="External"/><Relationship Id="rId121" Type="http://schemas.openxmlformats.org/officeDocument/2006/relationships/hyperlink" Target="https://doi.org/10.1097/00000446-200606000-00029" TargetMode="External"/><Relationship Id="rId142" Type="http://schemas.openxmlformats.org/officeDocument/2006/relationships/hyperlink" Target="https://training.cochrane.org/handbook/current/chapter" TargetMode="External"/><Relationship Id="rId163" Type="http://schemas.openxmlformats.org/officeDocument/2006/relationships/hyperlink" Target="https://doi.org/10.1093/ageing/afac006" TargetMode="External"/><Relationship Id="rId184" Type="http://schemas.openxmlformats.org/officeDocument/2006/relationships/hyperlink" Target="https://doi.org/10.3390/nu12082429" TargetMode="External"/><Relationship Id="rId189" Type="http://schemas.openxmlformats.org/officeDocument/2006/relationships/hyperlink" Target="https://doi.org/10.1016/j.gerinurse.2016.12.002" TargetMode="External"/><Relationship Id="rId3" Type="http://schemas.openxmlformats.org/officeDocument/2006/relationships/styles" Target="styles.xml"/><Relationship Id="rId25" Type="http://schemas.openxmlformats.org/officeDocument/2006/relationships/hyperlink" Target="https://doi.org/10.1016/j.maturitas.2013.07.013" TargetMode="External"/><Relationship Id="rId46" Type="http://schemas.openxmlformats.org/officeDocument/2006/relationships/hyperlink" Target="https://www.bda.uk.com" TargetMode="External"/><Relationship Id="rId67" Type="http://schemas.openxmlformats.org/officeDocument/2006/relationships/hyperlink" Target="https://casp-uk.net/casp-tools-checklists" TargetMode="External"/><Relationship Id="rId116" Type="http://schemas.openxmlformats.org/officeDocument/2006/relationships/hyperlink" Target="https://doi.org/10.2147/CIA.S90676" TargetMode="External"/><Relationship Id="rId137" Type="http://schemas.openxmlformats.org/officeDocument/2006/relationships/hyperlink" Target="https://www.england.nhs.uk/ourwork/clinical-policy/older-people/care-homes" TargetMode="External"/><Relationship Id="rId158" Type="http://schemas.openxmlformats.org/officeDocument/2006/relationships/hyperlink" Target="https://doi.org/10.1186/s12877-023-04284-4" TargetMode="External"/><Relationship Id="rId20" Type="http://schemas.openxmlformats.org/officeDocument/2006/relationships/customXml" Target="ink/ink4.xml"/><Relationship Id="rId41" Type="http://schemas.openxmlformats.org/officeDocument/2006/relationships/hyperlink" Target="https://uk.sagepub.com/en-gb/eur/systematic-approaches-to-a-successful-literature-review/book272735" TargetMode="External"/><Relationship Id="rId62" Type="http://schemas.openxmlformats.org/officeDocument/2006/relationships/hyperlink" Target="https://doi.org/10.1016/S0140-6736(12)62167-9" TargetMode="External"/><Relationship Id="rId83" Type="http://schemas.openxmlformats.org/officeDocument/2006/relationships/hyperlink" Target="https://www.food.gov.uk/safety-hygiene/food-hygiene-rating-scheme" TargetMode="External"/><Relationship Id="rId88" Type="http://schemas.openxmlformats.org/officeDocument/2006/relationships/hyperlink" Target="https://www.bmj.com/content/348/bmj.g3725" TargetMode="External"/><Relationship Id="rId111" Type="http://schemas.openxmlformats.org/officeDocument/2006/relationships/hyperlink" Target="https://doi.org/10.2337/dci19-0019" TargetMode="External"/><Relationship Id="rId132" Type="http://schemas.openxmlformats.org/officeDocument/2006/relationships/hyperlink" Target="https://www.nhs.uk/conditions/frailty" TargetMode="External"/><Relationship Id="rId153" Type="http://schemas.openxmlformats.org/officeDocument/2006/relationships/hyperlink" Target="https://www.lancaster.ac.uk/media/lancaster-university/content-assets/documents/fhm/dhr/chir/NSsynthesisguidanceVersion1-April2006.pdf" TargetMode="External"/><Relationship Id="rId174" Type="http://schemas.openxmlformats.org/officeDocument/2006/relationships/hyperlink" Target="https://www.scie.org.uk" TargetMode="External"/><Relationship Id="rId179" Type="http://schemas.openxmlformats.org/officeDocument/2006/relationships/hyperlink" Target="https://doi.org/10.1186/1471-2288-12-181" TargetMode="External"/><Relationship Id="rId195" Type="http://schemas.openxmlformats.org/officeDocument/2006/relationships/hyperlink" Target="https://www.wma.net/policies-post/wma-declaration-of-helsinki-ethical-principles-for-medical-research-involving-human-subjects" TargetMode="External"/><Relationship Id="rId190" Type="http://schemas.openxmlformats.org/officeDocument/2006/relationships/hyperlink" Target="https://www.kingsfund.org.uk" TargetMode="External"/><Relationship Id="rId15" Type="http://schemas.openxmlformats.org/officeDocument/2006/relationships/image" Target="media/image6.emf"/><Relationship Id="rId36" Type="http://schemas.openxmlformats.org/officeDocument/2006/relationships/hyperlink" Target="https://www.food.gov.uk/research/research-projects" TargetMode="External"/><Relationship Id="rId57" Type="http://schemas.openxmlformats.org/officeDocument/2006/relationships/hyperlink" Target="https://www.cdc.gov/violenceprevention/about/social-ecologicalmodel.html" TargetMode="External"/><Relationship Id="rId106" Type="http://schemas.openxmlformats.org/officeDocument/2006/relationships/hyperlink" Target="https://doi.org/10.2337/dc12-1801" TargetMode="External"/><Relationship Id="rId127" Type="http://schemas.openxmlformats.org/officeDocument/2006/relationships/hyperlink" Target="https://www.nice.org.uk/guidance/cg32" TargetMode="External"/><Relationship Id="rId10" Type="http://schemas.openxmlformats.org/officeDocument/2006/relationships/image" Target="media/image3.jpeg"/><Relationship Id="rId31" Type="http://schemas.openxmlformats.org/officeDocument/2006/relationships/hyperlink" Target="https://synthesismanual.jbi.global" TargetMode="External"/><Relationship Id="rId52" Type="http://schemas.openxmlformats.org/officeDocument/2006/relationships/hyperlink" Target="https://global.oup.com/academic/product/social-research-methods-9780199689453" TargetMode="External"/><Relationship Id="rId73" Type="http://schemas.openxmlformats.org/officeDocument/2006/relationships/hyperlink" Target="https://www.diabetes.org.uk/about-us/about-the-charity/our-strategy/statistics" TargetMode="External"/><Relationship Id="rId78" Type="http://schemas.openxmlformats.org/officeDocument/2006/relationships/hyperlink" Target="https://doi.org/10.1186/s41043-025-00859-6" TargetMode="External"/><Relationship Id="rId94" Type="http://schemas.openxmlformats.org/officeDocument/2006/relationships/hyperlink" Target="https://www.healthdata.org/research-analysis/gbd" TargetMode="External"/><Relationship Id="rId99" Type="http://schemas.openxmlformats.org/officeDocument/2006/relationships/hyperlink" Target="https://doi.org/10.1007/s00125-014-3460-0" TargetMode="External"/><Relationship Id="rId101" Type="http://schemas.openxmlformats.org/officeDocument/2006/relationships/hyperlink" Target="https://doi.org/10.1017/S0959259819000169" TargetMode="External"/><Relationship Id="rId122" Type="http://schemas.openxmlformats.org/officeDocument/2006/relationships/hyperlink" Target="https://doi.org/10.1093/nutrit/nuw033" TargetMode="External"/><Relationship Id="rId143" Type="http://schemas.openxmlformats.org/officeDocument/2006/relationships/hyperlink" Target="https://www.nuffieldtrust.org.uk/topic/social-care" TargetMode="External"/><Relationship Id="rId148" Type="http://schemas.openxmlformats.org/officeDocument/2006/relationships/hyperlink" Target="https://doi.org/10.1177/0145721711401530" TargetMode="External"/><Relationship Id="rId164" Type="http://schemas.openxmlformats.org/officeDocument/2006/relationships/hyperlink" Target="https://www.rcslt.org/speech-and-language-therapy/clinical-information/dysphagia" TargetMode="External"/><Relationship Id="rId169" Type="http://schemas.openxmlformats.org/officeDocument/2006/relationships/hyperlink" Target="https://www.diabetesonthenet.com" TargetMode="External"/><Relationship Id="rId185" Type="http://schemas.openxmlformats.org/officeDocument/2006/relationships/hyperlink" Target="https://bmcgeriatr.biomedcentral.com" TargetMode="External"/><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hyperlink" Target="https://doi.org/10.7326/M18-0850" TargetMode="External"/><Relationship Id="rId26" Type="http://schemas.openxmlformats.org/officeDocument/2006/relationships/hyperlink" Target="https://www.ageuk.org.uk/latest-press/articles/later-life-in-the-united-kingdom" TargetMode="External"/><Relationship Id="rId47" Type="http://schemas.openxmlformats.org/officeDocument/2006/relationships/hyperlink" Target="https://www.bgs.org.uk/resources/resource-series/fit-for-frailty" TargetMode="External"/><Relationship Id="rId68" Type="http://schemas.openxmlformats.org/officeDocument/2006/relationships/hyperlink" Target="https://doi.org/10.1093/ageing/afy169" TargetMode="External"/><Relationship Id="rId89" Type="http://schemas.openxmlformats.org/officeDocument/2006/relationships/hyperlink" Target="https://doi.org/10.2337/dc14-S144" TargetMode="External"/><Relationship Id="rId112" Type="http://schemas.openxmlformats.org/officeDocument/2006/relationships/hyperlink" Target="https://doi.org/10.1371/journal.pmed.1000097" TargetMode="External"/><Relationship Id="rId133" Type="http://schemas.openxmlformats.org/officeDocument/2006/relationships/hyperlink" Target="https://www.nhs.uk/conditions/malnutrition" TargetMode="External"/><Relationship Id="rId154" Type="http://schemas.openxmlformats.org/officeDocument/2006/relationships/hyperlink" Target="https://doi.org/10.1016/j.foodcont.2010.12.014" TargetMode="External"/><Relationship Id="rId175" Type="http://schemas.openxmlformats.org/officeDocument/2006/relationships/hyperlink" Target="https://doi.org/10.1016/j.foodcont.2012.05.035" TargetMode="External"/><Relationship Id="rId196" Type="http://schemas.openxmlformats.org/officeDocument/2006/relationships/hyperlink" Target="https://doi.org/10.5172/conu.673.31.1.44" TargetMode="External"/><Relationship Id="rId200" Type="http://schemas.openxmlformats.org/officeDocument/2006/relationships/hyperlink" Target="https://doi.org/10.1080/13561820902886206" TargetMode="External"/><Relationship Id="rId16" Type="http://schemas.openxmlformats.org/officeDocument/2006/relationships/customXml" Target="ink/ink2.xml"/><Relationship Id="rId37" Type="http://schemas.openxmlformats.org/officeDocument/2006/relationships/hyperlink" Target="https://doi.org/10.1016/j.jamda.2013.05.021" TargetMode="External"/><Relationship Id="rId58" Type="http://schemas.openxmlformats.org/officeDocument/2006/relationships/hyperlink" Target="https://doi.org/10.1016/j.clnu.2016.03.008" TargetMode="External"/><Relationship Id="rId79" Type="http://schemas.openxmlformats.org/officeDocument/2006/relationships/hyperlink" Target="https://doi.org/10.1016/S1474-4422(08)70063-2" TargetMode="External"/><Relationship Id="rId102" Type="http://schemas.openxmlformats.org/officeDocument/2006/relationships/hyperlink" Target="https://doi.org/10.3390/nu11020447" TargetMode="External"/><Relationship Id="rId123" Type="http://schemas.openxmlformats.org/officeDocument/2006/relationships/hyperlink" Target="https://doi.org/10.1017/S136898002200221" TargetMode="External"/><Relationship Id="rId144" Type="http://schemas.openxmlformats.org/officeDocument/2006/relationships/hyperlink" Target="https://doi.org/10.1093/heapro/15.3.259" TargetMode="External"/><Relationship Id="rId90" Type="http://schemas.openxmlformats.org/officeDocument/2006/relationships/hyperlink" Target="https://www.health.org.uk" TargetMode="External"/><Relationship Id="rId165" Type="http://schemas.openxmlformats.org/officeDocument/2006/relationships/hyperlink" Target="https://uk.sagepub.com/en-gb/eur/researching-health/book257434" TargetMode="External"/><Relationship Id="rId186" Type="http://schemas.openxmlformats.org/officeDocument/2006/relationships/hyperlink" Target="https://doi.org/10.1111/1747-0080.12551" TargetMode="External"/><Relationship Id="rId27" Type="http://schemas.openxmlformats.org/officeDocument/2006/relationships/hyperlink" Target="https://www.ageuk.org.uk" TargetMode="External"/><Relationship Id="rId48" Type="http://schemas.openxmlformats.org/officeDocument/2006/relationships/hyperlink" Target="https://www.bgs.org.uk/resources/resource-series/fit-for-frailty" TargetMode="External"/><Relationship Id="rId69" Type="http://schemas.openxmlformats.org/officeDocument/2006/relationships/hyperlink" Target="https://doi.org/10.1007/s12603-019-1211-7" TargetMode="External"/><Relationship Id="rId113" Type="http://schemas.openxmlformats.org/officeDocument/2006/relationships/hyperlink" Target="https://www.sciencedirect.com/journal/international-journal-of-nursing-studies" TargetMode="External"/><Relationship Id="rId134" Type="http://schemas.openxmlformats.org/officeDocument/2006/relationships/hyperlink" Target="https://digital.nhs.uk/data-and-information/publications/statistical/health-survey-for-england" TargetMode="External"/><Relationship Id="rId80" Type="http://schemas.openxmlformats.org/officeDocument/2006/relationships/hyperlink" Target="https://doi.org/10.1038/s41591-024-03124-1" TargetMode="External"/><Relationship Id="rId155" Type="http://schemas.openxmlformats.org/officeDocument/2006/relationships/hyperlink" Target="https://www.prisma-statement.org" TargetMode="External"/><Relationship Id="rId176" Type="http://schemas.openxmlformats.org/officeDocument/2006/relationships/hyperlink" Target="https://doi.org/10.1136/bmj.321.7258.405" TargetMode="External"/><Relationship Id="rId197" Type="http://schemas.openxmlformats.org/officeDocument/2006/relationships/hyperlink" Target="https://doi.org/10.1111/jhn.12238" TargetMode="External"/><Relationship Id="rId201" Type="http://schemas.openxmlformats.org/officeDocument/2006/relationships/footer" Target="footer1.xml"/><Relationship Id="rId17" Type="http://schemas.openxmlformats.org/officeDocument/2006/relationships/image" Target="media/image7.emf"/><Relationship Id="rId38" Type="http://schemas.openxmlformats.org/officeDocument/2006/relationships/hyperlink" Target="https://doi.org/10.1097/MCO.0000000000000120" TargetMode="External"/><Relationship Id="rId59" Type="http://schemas.openxmlformats.org/officeDocument/2006/relationships/hyperlink" Target="https://healthwatchkirklees.co.uk/wp-content/uploads/2016/04/Improving-Food-in-Residential-Care.pdf" TargetMode="External"/><Relationship Id="rId103" Type="http://schemas.openxmlformats.org/officeDocument/2006/relationships/hyperlink" Target="https://bmcgeriatr.biomedcentral.com/articles/10.1186/s12877-019-1092-0" TargetMode="External"/><Relationship Id="rId124" Type="http://schemas.openxmlformats.org/officeDocument/2006/relationships/hyperlink" Target="https://doi.org/10.1093/fampra/cmr054" TargetMode="External"/><Relationship Id="rId70" Type="http://schemas.openxmlformats.org/officeDocument/2006/relationships/hyperlink" Target="https://link.springer.com/journal/12603" TargetMode="External"/><Relationship Id="rId91" Type="http://schemas.openxmlformats.org/officeDocument/2006/relationships/hyperlink" Target="https://doi.org/10.1093/ageing/afv205" TargetMode="External"/><Relationship Id="rId145" Type="http://schemas.openxmlformats.org/officeDocument/2006/relationships/hyperlink" Target="https://www.ons.gov.uk" TargetMode="External"/><Relationship Id="rId166" Type="http://schemas.openxmlformats.org/officeDocument/2006/relationships/hyperlink" Target="https://doi.org/10.1046/j.1467-3010.2003.00316.x" TargetMode="External"/><Relationship Id="rId187" Type="http://schemas.openxmlformats.org/officeDocument/2006/relationships/hyperlink" Target="https://doi.org/10.3390/nu14051038" TargetMode="External"/><Relationship Id="rId1" Type="http://schemas.openxmlformats.org/officeDocument/2006/relationships/customXml" Target="../customXml/item1.xml"/><Relationship Id="rId28" Type="http://schemas.openxmlformats.org/officeDocument/2006/relationships/hyperlink" Target="https://doi.org/10.2147/CIA.S9664" TargetMode="External"/><Relationship Id="rId49" Type="http://schemas.openxmlformats.org/officeDocument/2006/relationships/hyperlink" Target="https://www.bgs.org.uk" TargetMode="External"/><Relationship Id="rId114" Type="http://schemas.openxmlformats.org/officeDocument/2006/relationships/hyperlink" Target="https://doi.org/10.1017/S1368980024002453" TargetMode="External"/><Relationship Id="rId60" Type="http://schemas.openxmlformats.org/officeDocument/2006/relationships/hyperlink" Target="https://bmcpublichealth.biomedcentral.com" TargetMode="External"/><Relationship Id="rId81" Type="http://schemas.openxmlformats.org/officeDocument/2006/relationships/hyperlink" Target="https://doi.org/10.1093/nutrit/nuv028" TargetMode="External"/><Relationship Id="rId135" Type="http://schemas.openxmlformats.org/officeDocument/2006/relationships/hyperlink" Target="https://www.england.nhs.uk/long-read/enhanced-health-in-care-homes-framework" TargetMode="External"/><Relationship Id="rId156" Type="http://schemas.openxmlformats.org/officeDocument/2006/relationships/hyperlink" Target="https://www.gov.uk/government/organisations/public-health-england" TargetMode="External"/><Relationship Id="rId177" Type="http://schemas.openxmlformats.org/officeDocument/2006/relationships/hyperlink" Target="https://www.kingsfund.org.uk/projects/social-care-360" TargetMode="External"/><Relationship Id="rId198" Type="http://schemas.openxmlformats.org/officeDocument/2006/relationships/hyperlink" Target="https://doi.org/10.1016/j.ijnurstu.2007.01.015" TargetMode="External"/><Relationship Id="rId202" Type="http://schemas.openxmlformats.org/officeDocument/2006/relationships/fontTable" Target="fontTable.xml"/><Relationship Id="rId18" Type="http://schemas.openxmlformats.org/officeDocument/2006/relationships/customXml" Target="ink/ink3.xml"/><Relationship Id="rId39" Type="http://schemas.openxmlformats.org/officeDocument/2006/relationships/hyperlink" Target="https://doi.org/10.7326/0003-4819-155-2-201107190-00005" TargetMode="External"/><Relationship Id="rId50" Type="http://schemas.openxmlformats.org/officeDocument/2006/relationships/hyperlink" Target="https://books.google.com/books?id=OCmbzWka6xUC" TargetMode="External"/><Relationship Id="rId104" Type="http://schemas.openxmlformats.org/officeDocument/2006/relationships/hyperlink" Target="https://jbi.global/critical-appraisal-tools" TargetMode="External"/><Relationship Id="rId125" Type="http://schemas.openxmlformats.org/officeDocument/2006/relationships/hyperlink" Target="https://www.medigraphic.com/cgi-bin/new/resumenI.cgi?IDARTICULO=71284" TargetMode="External"/><Relationship Id="rId146" Type="http://schemas.openxmlformats.org/officeDocument/2006/relationships/hyperlink" Target="https://www.ons.gov.uk/peoplepopulationandcommunity/populationandmigration/populationestimates" TargetMode="External"/><Relationship Id="rId167" Type="http://schemas.openxmlformats.org/officeDocument/2006/relationships/hyperlink" Target="https://doi.org/10.1001/jama.288.4.475" TargetMode="External"/><Relationship Id="rId188" Type="http://schemas.openxmlformats.org/officeDocument/2006/relationships/hyperlink" Target="https://doi.org/10.1016/j.clnu.2018.05.024" TargetMode="External"/><Relationship Id="rId71" Type="http://schemas.openxmlformats.org/officeDocument/2006/relationships/hyperlink" Target="https://doi.org/10.1016/S0140-6736(22)02612-5" TargetMode="External"/><Relationship Id="rId92" Type="http://schemas.openxmlformats.org/officeDocument/2006/relationships/hyperlink" Target="https://doi.org/10.1016/j.mad.2013.11.009"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1-05T18:25:45.265"/>
    </inkml:context>
    <inkml:brush xml:id="br0">
      <inkml:brushProperty name="width" value="0.2" units="cm"/>
      <inkml:brushProperty name="height" value="0.4" units="cm"/>
      <inkml:brushProperty name="color" value="#FFFFFF"/>
      <inkml:brushProperty name="tip" value="rectangle"/>
      <inkml:brushProperty name="rasterOp" value="maskPen"/>
      <inkml:brushProperty name="ignorePressure" value="1"/>
    </inkml:brush>
  </inkml:definitions>
  <inkml:trace contextRef="#ctx0" brushRef="#br0">69 252,'2'45,"-1"-30,0-1,-1 1,-1 0,0 0,-6 26,7-40,0 0,0 0,0 0,-1 0,1 0,-1 0,1 0,-1 0,1 0,-1 0,0 0,1 0,-1 0,0-1,0 1,1 0,-1 0,0-1,0 1,-2 0,2-1,1 0,-1 0,0 0,0 0,1 0,-1 0,0 0,0-1,1 1,-1 0,0-1,1 1,-1 0,0-1,1 1,-1-1,1 1,-1-1,1 1,-1-1,1 0,-1 0,-3-4,1 1,0-1,1 0,-1 0,1-1,-3-8,0-17,1 1,2 0,1-1,3-37,0 7,-2 55,1 1,0-1,0 0,0 1,0-1,1 1,0-1,1 1,-1 0,1 0,0 0,0 0,0 1,1-1,-1 1,1 0,0 0,1 0,-1 0,1 1,-1 0,1 0,0 0,0 0,0 1,1 0,-1 0,1 0,-1 1,1 0,8-1,-11 1,1 1,-1 0,1 0,-1 0,1 0,-1 1,1-1,-1 1,1 0,-1 0,0 0,1 0,-1 1,0 0,0-1,0 1,3 2,-1 0,-1 1,1-1,-1 1,0 0,0 0,-1 1,1-1,4 12,-1 0,-1 1,-1 0,-1 0,0 0,2 31,-5-32,2 72,-3-82,0 1,-1 0,0-1,-1 1,0 0,0-1,0 0,-7 14,7-18,1 0,-1-1,0 1,0-1,0 1,0-1,-1 0,1 0,-1 0,1 0,-1 0,1-1,-1 1,0-1,0 0,0 0,0 0,0 0,0 0,-6 0,7-1,-1 0,0 0,1-1,-1 1,1-1,-1 1,1-1,-1 0,1 0,-1 0,1-1,0 1,0 0,-1-1,1 0,0 1,0-1,1 0,-1 0,0 0,1 0,-1 0,1 0,0-1,-2-2,-2-8,0 1,1-2,0 1,1 0,1-1,0 0,0-19,1-6,7-53,-2 72,0 2</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1-05T18:25:43.887"/>
    </inkml:context>
    <inkml:brush xml:id="br0">
      <inkml:brushProperty name="width" value="0.2" units="cm"/>
      <inkml:brushProperty name="height" value="0.4" units="cm"/>
      <inkml:brushProperty name="color" value="#FFFFFF"/>
      <inkml:brushProperty name="tip" value="rectangle"/>
      <inkml:brushProperty name="rasterOp" value="maskPen"/>
      <inkml:brushProperty name="ignorePressure" value="1"/>
    </inkml:brush>
  </inkml:definitions>
  <inkml:trace contextRef="#ctx0" brushRef="#br0">0 42,'17'-1,"1"-1,-1-1,0 0,21-8,34-6,-66 16,-3 0,1 0,0 1,0-1,0 1,-1-1,1 1,0 0,0 1,0-1,5 2,-10-2,0 1,1 0,-1-1,0 1,1-1,-1 1,0 0,1-1,-1 0,0 1,0-1,0 1,0-1,1 0,-1 0,0 1,0-1,0 0,0 0,-1 0,-21 4,-16 0,-48-1,67-3</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1-05T18:25:42.919"/>
    </inkml:context>
    <inkml:brush xml:id="br0">
      <inkml:brushProperty name="width" value="0.2" units="cm"/>
      <inkml:brushProperty name="height" value="0.4" units="cm"/>
      <inkml:brushProperty name="color" value="#FFFFFF"/>
      <inkml:brushProperty name="tip" value="rectangle"/>
      <inkml:brushProperty name="rasterOp" value="maskPen"/>
      <inkml:brushProperty name="ignorePressure" value="1"/>
    </inkml:brush>
  </inkml:definitions>
  <inkml:trace contextRef="#ctx0" brushRef="#br0">0 0,'0'0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1-05T18:25:42.336"/>
    </inkml:context>
    <inkml:brush xml:id="br0">
      <inkml:brushProperty name="width" value="0.2" units="cm"/>
      <inkml:brushProperty name="height" value="0.4" units="cm"/>
      <inkml:brushProperty name="color" value="#FFFFFF"/>
      <inkml:brushProperty name="tip" value="rectangle"/>
      <inkml:brushProperty name="rasterOp" value="maskPen"/>
      <inkml:brushProperty name="ignorePressure" value="1"/>
    </inkml:brush>
  </inkml:definitions>
  <inkml:trace contextRef="#ctx0" brushRef="#br0">1 22,'0'-3,"4"-2,4 0,5 2,3 0,3 1,-2 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7B1BA86-06A5-4549-940C-BC3307FEC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90</Pages>
  <Words>29289</Words>
  <Characters>166953</Characters>
  <Application>Microsoft Office Word</Application>
  <DocSecurity>0</DocSecurity>
  <Lines>1391</Lines>
  <Paragraphs>391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dharti chauhan</dc:creator>
  <cp:keywords/>
  <dc:description/>
  <cp:lastModifiedBy>dharti chauhan</cp:lastModifiedBy>
  <cp:revision>2</cp:revision>
  <dcterms:created xsi:type="dcterms:W3CDTF">2026-06-11T21:07:00Z</dcterms:created>
  <dcterms:modified xsi:type="dcterms:W3CDTF">2026-06-11T21:07:00Z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1b79d30e-b6fc-427a-b75c-9878da317d74</vt:lpwstr>
  </property>
</Properties>
</file>