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8D747A6" w14:textId="3317369E" w:rsidR="0093750E" w:rsidRDefault="002C6F1D" w:rsidP="002C6F1D">
      <w:pPr>
        <w:spacing w:after="160"/>
        <w:jc w:val="left"/>
        <w:rPr>
          <w:b/>
          <w:bCs/>
          <w:lang w:val="en-US"/>
        </w:rPr>
      </w:pPr>
      <w:r>
        <w:rPr>
          <w:b/>
          <w:bCs/>
          <w:noProof/>
          <w:lang w:val="en-US"/>
        </w:rPr>
        <w:drawing>
          <wp:inline distT="0" distB="0" distL="0" distR="0" wp14:anchorId="1C970971" wp14:editId="4D46C7B5">
            <wp:extent cx="3575937" cy="1371600"/>
            <wp:effectExtent l="0" t="0" r="5715" b="0"/>
            <wp:docPr id="1533244172" name="Picture 1"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3244172" name="Picture 1" descr="A close up of a logo&#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3593889" cy="1378486"/>
                    </a:xfrm>
                    <a:prstGeom prst="rect">
                      <a:avLst/>
                    </a:prstGeom>
                  </pic:spPr>
                </pic:pic>
              </a:graphicData>
            </a:graphic>
          </wp:inline>
        </w:drawing>
      </w:r>
    </w:p>
    <w:p w14:paraId="4F2FFBEF" w14:textId="77777777" w:rsidR="0093750E" w:rsidRDefault="0093750E" w:rsidP="002408D5">
      <w:pPr>
        <w:spacing w:after="160"/>
        <w:jc w:val="center"/>
        <w:rPr>
          <w:b/>
          <w:bCs/>
          <w:lang w:val="en-US"/>
        </w:rPr>
      </w:pPr>
    </w:p>
    <w:p w14:paraId="4627A458" w14:textId="77777777" w:rsidR="0093750E" w:rsidRDefault="0093750E" w:rsidP="002C6F1D">
      <w:pPr>
        <w:spacing w:after="160"/>
        <w:rPr>
          <w:b/>
          <w:bCs/>
          <w:lang w:val="en-US"/>
        </w:rPr>
      </w:pPr>
    </w:p>
    <w:p w14:paraId="07DFCC38" w14:textId="77777777" w:rsidR="0093750E" w:rsidRDefault="0093750E" w:rsidP="002408D5">
      <w:pPr>
        <w:spacing w:after="160"/>
        <w:jc w:val="center"/>
        <w:rPr>
          <w:b/>
          <w:bCs/>
          <w:lang w:val="en-US"/>
        </w:rPr>
      </w:pPr>
    </w:p>
    <w:p w14:paraId="06EBE83C" w14:textId="77777777" w:rsidR="00100EE6" w:rsidRPr="004A0491" w:rsidRDefault="00100EE6" w:rsidP="00100EE6">
      <w:pPr>
        <w:pStyle w:val="TOC1"/>
        <w:tabs>
          <w:tab w:val="right" w:leader="dot" w:pos="9350"/>
        </w:tabs>
        <w:rPr>
          <w:rStyle w:val="Hyperlink"/>
          <w:noProof/>
        </w:rPr>
      </w:pPr>
      <w:r w:rsidRPr="004A0491">
        <w:rPr>
          <w:rStyle w:val="Hyperlink"/>
          <w:noProof/>
        </w:rPr>
        <w:t>Course: BA (Hons) Business Management</w:t>
      </w:r>
    </w:p>
    <w:p w14:paraId="2338FD3F" w14:textId="6CBB85AE" w:rsidR="00100EE6" w:rsidRPr="004A0491" w:rsidRDefault="00100EE6" w:rsidP="00100EE6">
      <w:pPr>
        <w:pStyle w:val="TOC1"/>
        <w:tabs>
          <w:tab w:val="right" w:leader="dot" w:pos="9350"/>
        </w:tabs>
        <w:rPr>
          <w:rStyle w:val="Hyperlink"/>
          <w:noProof/>
        </w:rPr>
      </w:pPr>
      <w:r w:rsidRPr="004A0491">
        <w:rPr>
          <w:rStyle w:val="Hyperlink"/>
          <w:noProof/>
        </w:rPr>
        <w:t xml:space="preserve">Level </w:t>
      </w:r>
      <w:r w:rsidR="008C49AE">
        <w:rPr>
          <w:rStyle w:val="Hyperlink"/>
          <w:noProof/>
        </w:rPr>
        <w:t>5</w:t>
      </w:r>
      <w:r w:rsidRPr="004A0491">
        <w:rPr>
          <w:rStyle w:val="Hyperlink"/>
          <w:noProof/>
        </w:rPr>
        <w:t xml:space="preserve"> – Term </w:t>
      </w:r>
      <w:r w:rsidR="008C49AE">
        <w:rPr>
          <w:rStyle w:val="Hyperlink"/>
          <w:noProof/>
        </w:rPr>
        <w:t>3</w:t>
      </w:r>
      <w:r w:rsidRPr="004A0491">
        <w:rPr>
          <w:rStyle w:val="Hyperlink"/>
          <w:noProof/>
        </w:rPr>
        <w:t xml:space="preserve"> - Weekend</w:t>
      </w:r>
    </w:p>
    <w:tbl>
      <w:tblPr>
        <w:tblW w:w="0" w:type="auto"/>
        <w:tblBorders>
          <w:top w:val="nil"/>
          <w:left w:val="nil"/>
          <w:bottom w:val="nil"/>
          <w:right w:val="nil"/>
        </w:tblBorders>
        <w:tblLayout w:type="fixed"/>
        <w:tblLook w:val="0000" w:firstRow="0" w:lastRow="0" w:firstColumn="0" w:lastColumn="0" w:noHBand="0" w:noVBand="0"/>
      </w:tblPr>
      <w:tblGrid>
        <w:gridCol w:w="4305"/>
      </w:tblGrid>
      <w:tr w:rsidR="00100EE6" w:rsidRPr="00406D6E" w14:paraId="0EE7A142" w14:textId="77777777" w:rsidTr="006B2838">
        <w:trPr>
          <w:trHeight w:val="126"/>
        </w:trPr>
        <w:tc>
          <w:tcPr>
            <w:tcW w:w="4305" w:type="dxa"/>
          </w:tcPr>
          <w:p w14:paraId="5C581D3F" w14:textId="77777777" w:rsidR="00100EE6" w:rsidRPr="004A0491" w:rsidRDefault="00100EE6" w:rsidP="006B2838">
            <w:pPr>
              <w:autoSpaceDE w:val="0"/>
              <w:autoSpaceDN w:val="0"/>
              <w:adjustRightInd w:val="0"/>
              <w:spacing w:line="240" w:lineRule="auto"/>
            </w:pPr>
          </w:p>
          <w:p w14:paraId="5B218FAA" w14:textId="77777777" w:rsidR="00E42DA5" w:rsidRDefault="00E42DA5" w:rsidP="006B2838">
            <w:pPr>
              <w:pStyle w:val="TOC1"/>
              <w:tabs>
                <w:tab w:val="right" w:leader="dot" w:pos="9350"/>
              </w:tabs>
              <w:rPr>
                <w:rStyle w:val="Hyperlink"/>
                <w:noProof/>
              </w:rPr>
            </w:pPr>
          </w:p>
          <w:p w14:paraId="29B0DB43" w14:textId="77777777" w:rsidR="00E42DA5" w:rsidRDefault="00E42DA5" w:rsidP="006B2838">
            <w:pPr>
              <w:pStyle w:val="TOC1"/>
              <w:tabs>
                <w:tab w:val="right" w:leader="dot" w:pos="9350"/>
              </w:tabs>
              <w:rPr>
                <w:rStyle w:val="Hyperlink"/>
                <w:noProof/>
              </w:rPr>
            </w:pPr>
            <w:r>
              <w:rPr>
                <w:rStyle w:val="Hyperlink"/>
                <w:noProof/>
              </w:rPr>
              <w:t>Project Management</w:t>
            </w:r>
          </w:p>
          <w:p w14:paraId="3B66DF0A" w14:textId="4F56FC16" w:rsidR="00100EE6" w:rsidRDefault="00100EE6" w:rsidP="006B2838">
            <w:pPr>
              <w:pStyle w:val="TOC1"/>
              <w:tabs>
                <w:tab w:val="right" w:leader="dot" w:pos="9350"/>
              </w:tabs>
              <w:rPr>
                <w:rStyle w:val="Hyperlink"/>
                <w:noProof/>
              </w:rPr>
            </w:pPr>
            <w:r>
              <w:rPr>
                <w:rStyle w:val="Hyperlink"/>
                <w:noProof/>
              </w:rPr>
              <w:t>(LCBB</w:t>
            </w:r>
            <w:r w:rsidR="00092407">
              <w:rPr>
                <w:rStyle w:val="Hyperlink"/>
                <w:noProof/>
              </w:rPr>
              <w:t>5</w:t>
            </w:r>
            <w:r>
              <w:rPr>
                <w:rStyle w:val="Hyperlink"/>
                <w:noProof/>
              </w:rPr>
              <w:t>005)</w:t>
            </w:r>
          </w:p>
          <w:p w14:paraId="748764B6" w14:textId="189EF350" w:rsidR="00100EE6" w:rsidRDefault="00E83A98" w:rsidP="006B2838">
            <w:pPr>
              <w:pStyle w:val="TOC1"/>
              <w:tabs>
                <w:tab w:val="right" w:leader="dot" w:pos="9350"/>
              </w:tabs>
              <w:rPr>
                <w:rStyle w:val="Hyperlink"/>
                <w:noProof/>
              </w:rPr>
            </w:pPr>
            <w:r>
              <w:rPr>
                <w:rStyle w:val="Hyperlink"/>
                <w:noProof/>
              </w:rPr>
              <w:t>Faizu Edu</w:t>
            </w:r>
          </w:p>
          <w:p w14:paraId="092F9168" w14:textId="77777777" w:rsidR="00100EE6" w:rsidRPr="004A0491" w:rsidRDefault="00100EE6" w:rsidP="006B2838">
            <w:pPr>
              <w:pStyle w:val="TOC1"/>
              <w:tabs>
                <w:tab w:val="right" w:leader="dot" w:pos="9350"/>
              </w:tabs>
              <w:rPr>
                <w:rStyle w:val="Hyperlink"/>
                <w:noProof/>
              </w:rPr>
            </w:pPr>
            <w:r w:rsidRPr="004A0491">
              <w:rPr>
                <w:rStyle w:val="Hyperlink"/>
                <w:noProof/>
              </w:rPr>
              <w:t>Assignment – A1</w:t>
            </w:r>
          </w:p>
          <w:p w14:paraId="00E9FCDB" w14:textId="77777777" w:rsidR="00100EE6" w:rsidRDefault="00100EE6" w:rsidP="006B2838">
            <w:pPr>
              <w:autoSpaceDE w:val="0"/>
              <w:autoSpaceDN w:val="0"/>
              <w:adjustRightInd w:val="0"/>
              <w:spacing w:line="240" w:lineRule="auto"/>
              <w:rPr>
                <w:rFonts w:ascii="Calibri" w:hAnsi="Calibri" w:cs="Calibri"/>
              </w:rPr>
            </w:pPr>
          </w:p>
          <w:p w14:paraId="2B960845" w14:textId="77777777" w:rsidR="00100EE6" w:rsidRPr="004A0491" w:rsidRDefault="00100EE6" w:rsidP="006B2838">
            <w:pPr>
              <w:pStyle w:val="TOC1"/>
              <w:tabs>
                <w:tab w:val="right" w:leader="dot" w:pos="9350"/>
              </w:tabs>
              <w:rPr>
                <w:rStyle w:val="Hyperlink"/>
                <w:noProof/>
              </w:rPr>
            </w:pPr>
          </w:p>
          <w:p w14:paraId="35C80713" w14:textId="77777777" w:rsidR="00100EE6" w:rsidRPr="004A0491" w:rsidRDefault="00100EE6" w:rsidP="006B2838">
            <w:pPr>
              <w:pStyle w:val="TOC1"/>
              <w:tabs>
                <w:tab w:val="right" w:leader="dot" w:pos="9350"/>
              </w:tabs>
              <w:rPr>
                <w:rStyle w:val="Hyperlink"/>
                <w:noProof/>
              </w:rPr>
            </w:pPr>
          </w:p>
          <w:p w14:paraId="55C4383C" w14:textId="77777777" w:rsidR="00100EE6" w:rsidRPr="004A0491" w:rsidRDefault="00100EE6" w:rsidP="006B2838">
            <w:pPr>
              <w:pStyle w:val="TOC1"/>
              <w:tabs>
                <w:tab w:val="right" w:leader="dot" w:pos="9350"/>
              </w:tabs>
              <w:rPr>
                <w:rStyle w:val="Hyperlink"/>
                <w:noProof/>
              </w:rPr>
            </w:pPr>
          </w:p>
          <w:p w14:paraId="63AE2D29" w14:textId="77777777" w:rsidR="00100EE6" w:rsidRPr="004A0491" w:rsidRDefault="00100EE6" w:rsidP="006B2838">
            <w:pPr>
              <w:pStyle w:val="TOC1"/>
              <w:tabs>
                <w:tab w:val="right" w:leader="dot" w:pos="9350"/>
              </w:tabs>
              <w:rPr>
                <w:rStyle w:val="Hyperlink"/>
                <w:noProof/>
              </w:rPr>
            </w:pPr>
          </w:p>
          <w:p w14:paraId="2C077628" w14:textId="77777777" w:rsidR="00100EE6" w:rsidRPr="004A0491" w:rsidRDefault="00100EE6" w:rsidP="006B2838">
            <w:pPr>
              <w:pStyle w:val="TOC1"/>
              <w:tabs>
                <w:tab w:val="right" w:leader="dot" w:pos="9350"/>
              </w:tabs>
              <w:rPr>
                <w:rStyle w:val="Hyperlink"/>
                <w:noProof/>
              </w:rPr>
            </w:pPr>
            <w:r>
              <w:rPr>
                <w:rStyle w:val="Hyperlink"/>
                <w:noProof/>
              </w:rPr>
              <w:t>Sandra Iulia Ghinescu</w:t>
            </w:r>
          </w:p>
          <w:p w14:paraId="354CA477" w14:textId="77777777" w:rsidR="00100EE6" w:rsidRPr="00B93DA1" w:rsidRDefault="00100EE6" w:rsidP="006B2838">
            <w:pPr>
              <w:pStyle w:val="TOC1"/>
              <w:tabs>
                <w:tab w:val="right" w:leader="dot" w:pos="9350"/>
              </w:tabs>
              <w:rPr>
                <w:rStyle w:val="Hyperlink"/>
                <w:noProof/>
              </w:rPr>
            </w:pPr>
            <w:r w:rsidRPr="00B93DA1">
              <w:rPr>
                <w:rStyle w:val="Hyperlink"/>
                <w:noProof/>
              </w:rPr>
              <w:t>2</w:t>
            </w:r>
            <w:r>
              <w:rPr>
                <w:rStyle w:val="Hyperlink"/>
                <w:noProof/>
              </w:rPr>
              <w:t>118454</w:t>
            </w:r>
          </w:p>
          <w:p w14:paraId="584E2B17" w14:textId="77777777" w:rsidR="00100EE6" w:rsidRPr="00387998" w:rsidRDefault="00100EE6" w:rsidP="006B2838">
            <w:pPr>
              <w:autoSpaceDE w:val="0"/>
              <w:autoSpaceDN w:val="0"/>
              <w:adjustRightInd w:val="0"/>
              <w:spacing w:line="240" w:lineRule="auto"/>
              <w:rPr>
                <w:rFonts w:ascii="Calibri" w:hAnsi="Calibri" w:cs="Calibri"/>
              </w:rPr>
            </w:pPr>
          </w:p>
          <w:p w14:paraId="49D80498" w14:textId="77777777" w:rsidR="00100EE6" w:rsidRPr="00387998" w:rsidRDefault="00100EE6" w:rsidP="006B2838">
            <w:pPr>
              <w:autoSpaceDE w:val="0"/>
              <w:autoSpaceDN w:val="0"/>
              <w:adjustRightInd w:val="0"/>
              <w:spacing w:line="240" w:lineRule="auto"/>
              <w:rPr>
                <w:rFonts w:ascii="Calibri" w:hAnsi="Calibri" w:cs="Calibri"/>
              </w:rPr>
            </w:pPr>
          </w:p>
          <w:p w14:paraId="7F3522FE" w14:textId="77777777" w:rsidR="00100EE6" w:rsidRPr="00387998" w:rsidRDefault="00100EE6" w:rsidP="006B2838">
            <w:pPr>
              <w:autoSpaceDE w:val="0"/>
              <w:autoSpaceDN w:val="0"/>
              <w:adjustRightInd w:val="0"/>
              <w:spacing w:line="240" w:lineRule="auto"/>
              <w:rPr>
                <w:rFonts w:ascii="Calibri" w:hAnsi="Calibri" w:cs="Calibri"/>
              </w:rPr>
            </w:pPr>
          </w:p>
          <w:p w14:paraId="348C5A11" w14:textId="77777777" w:rsidR="00100EE6" w:rsidRPr="00387998" w:rsidRDefault="00100EE6" w:rsidP="006B2838">
            <w:pPr>
              <w:autoSpaceDE w:val="0"/>
              <w:autoSpaceDN w:val="0"/>
              <w:adjustRightInd w:val="0"/>
              <w:spacing w:line="240" w:lineRule="auto"/>
              <w:rPr>
                <w:rFonts w:ascii="Calibri" w:hAnsi="Calibri" w:cs="Calibri"/>
              </w:rPr>
            </w:pPr>
          </w:p>
          <w:p w14:paraId="07681851" w14:textId="77777777" w:rsidR="00100EE6" w:rsidRPr="00387998" w:rsidRDefault="00100EE6" w:rsidP="006B2838">
            <w:pPr>
              <w:autoSpaceDE w:val="0"/>
              <w:autoSpaceDN w:val="0"/>
              <w:adjustRightInd w:val="0"/>
              <w:spacing w:line="240" w:lineRule="auto"/>
              <w:rPr>
                <w:rFonts w:ascii="Calibri" w:hAnsi="Calibri" w:cs="Calibri"/>
              </w:rPr>
            </w:pPr>
          </w:p>
          <w:p w14:paraId="3F79A29C" w14:textId="77777777" w:rsidR="00100EE6" w:rsidRPr="00387998" w:rsidRDefault="00100EE6" w:rsidP="006B2838">
            <w:pPr>
              <w:autoSpaceDE w:val="0"/>
              <w:autoSpaceDN w:val="0"/>
              <w:adjustRightInd w:val="0"/>
              <w:spacing w:line="240" w:lineRule="auto"/>
              <w:rPr>
                <w:rFonts w:ascii="Calibri" w:hAnsi="Calibri" w:cs="Calibri"/>
              </w:rPr>
            </w:pPr>
          </w:p>
          <w:p w14:paraId="38600394" w14:textId="77777777" w:rsidR="00100EE6" w:rsidRDefault="00100EE6" w:rsidP="006B2838">
            <w:pPr>
              <w:autoSpaceDE w:val="0"/>
              <w:autoSpaceDN w:val="0"/>
              <w:adjustRightInd w:val="0"/>
              <w:spacing w:line="240" w:lineRule="auto"/>
              <w:rPr>
                <w:rFonts w:ascii="Calibri" w:hAnsi="Calibri" w:cs="Calibri"/>
              </w:rPr>
            </w:pPr>
          </w:p>
          <w:p w14:paraId="5676147D" w14:textId="77777777" w:rsidR="00100EE6" w:rsidRDefault="00100EE6" w:rsidP="006B2838">
            <w:pPr>
              <w:autoSpaceDE w:val="0"/>
              <w:autoSpaceDN w:val="0"/>
              <w:adjustRightInd w:val="0"/>
              <w:spacing w:line="240" w:lineRule="auto"/>
              <w:rPr>
                <w:rFonts w:ascii="Calibri" w:hAnsi="Calibri" w:cs="Calibri"/>
              </w:rPr>
            </w:pPr>
          </w:p>
          <w:p w14:paraId="0AFCE371" w14:textId="77777777" w:rsidR="00100EE6" w:rsidRDefault="00100EE6" w:rsidP="006B2838">
            <w:pPr>
              <w:autoSpaceDE w:val="0"/>
              <w:autoSpaceDN w:val="0"/>
              <w:adjustRightInd w:val="0"/>
              <w:spacing w:line="240" w:lineRule="auto"/>
              <w:rPr>
                <w:rFonts w:ascii="Calibri" w:hAnsi="Calibri" w:cs="Calibri"/>
              </w:rPr>
            </w:pPr>
          </w:p>
          <w:p w14:paraId="22AE2C56" w14:textId="77777777" w:rsidR="00100EE6" w:rsidRPr="00406D6E" w:rsidRDefault="00100EE6" w:rsidP="006B2838">
            <w:pPr>
              <w:autoSpaceDE w:val="0"/>
              <w:autoSpaceDN w:val="0"/>
              <w:adjustRightInd w:val="0"/>
              <w:spacing w:line="240" w:lineRule="auto"/>
              <w:rPr>
                <w:rFonts w:ascii="Calibri" w:hAnsi="Calibri" w:cs="Calibri"/>
                <w:sz w:val="25"/>
                <w:szCs w:val="25"/>
              </w:rPr>
            </w:pPr>
          </w:p>
        </w:tc>
      </w:tr>
    </w:tbl>
    <w:p w14:paraId="0E03AD92" w14:textId="6CE8998C" w:rsidR="00FF12DC" w:rsidRDefault="00FF12DC" w:rsidP="002408D5">
      <w:pPr>
        <w:spacing w:after="160"/>
        <w:jc w:val="left"/>
      </w:pPr>
    </w:p>
    <w:sdt>
      <w:sdtPr>
        <w:rPr>
          <w:rFonts w:ascii="Times New Roman" w:eastAsiaTheme="minorHAnsi" w:hAnsi="Times New Roman" w:cs="Times New Roman"/>
          <w:color w:val="auto"/>
          <w:sz w:val="24"/>
          <w:szCs w:val="22"/>
          <w:lang w:val="en-IN"/>
        </w:rPr>
        <w:id w:val="-1948851606"/>
        <w:docPartObj>
          <w:docPartGallery w:val="Table of Contents"/>
          <w:docPartUnique/>
        </w:docPartObj>
      </w:sdtPr>
      <w:sdtEndPr>
        <w:rPr>
          <w:rFonts w:cstheme="minorBidi"/>
          <w:b/>
          <w:bCs/>
          <w:noProof/>
        </w:rPr>
      </w:sdtEndPr>
      <w:sdtContent>
        <w:p w14:paraId="4A138ED9" w14:textId="6B23488A" w:rsidR="002408D5" w:rsidRPr="002408D5" w:rsidRDefault="002408D5" w:rsidP="002408D5">
          <w:pPr>
            <w:pStyle w:val="TOCHeading"/>
            <w:ind w:left="2880" w:firstLine="720"/>
            <w:rPr>
              <w:rFonts w:ascii="Times New Roman" w:hAnsi="Times New Roman" w:cs="Times New Roman"/>
              <w:color w:val="auto"/>
            </w:rPr>
          </w:pPr>
          <w:r w:rsidRPr="002408D5">
            <w:rPr>
              <w:rFonts w:ascii="Times New Roman" w:hAnsi="Times New Roman" w:cs="Times New Roman"/>
              <w:color w:val="auto"/>
            </w:rPr>
            <w:t>Table of Contents</w:t>
          </w:r>
        </w:p>
        <w:p w14:paraId="554A7B19" w14:textId="7C1F615F" w:rsidR="002408D5" w:rsidRDefault="002408D5">
          <w:pPr>
            <w:pStyle w:val="TOC1"/>
            <w:tabs>
              <w:tab w:val="right" w:leader="dot" w:pos="9016"/>
            </w:tabs>
            <w:rPr>
              <w:rFonts w:asciiTheme="minorHAnsi" w:eastAsiaTheme="minorEastAsia" w:hAnsiTheme="minorHAnsi"/>
              <w:noProof/>
              <w:kern w:val="2"/>
              <w:sz w:val="22"/>
              <w:lang w:eastAsia="en-IN"/>
              <w14:ligatures w14:val="standardContextual"/>
            </w:rPr>
          </w:pPr>
          <w:r>
            <w:fldChar w:fldCharType="begin"/>
          </w:r>
          <w:r>
            <w:instrText xml:space="preserve"> TOC \o "1-3" \h \z \u </w:instrText>
          </w:r>
          <w:r>
            <w:fldChar w:fldCharType="separate"/>
          </w:r>
          <w:hyperlink w:anchor="_Toc149949153" w:history="1">
            <w:r w:rsidRPr="00A212E5">
              <w:rPr>
                <w:rStyle w:val="Hyperlink"/>
                <w:noProof/>
                <w:lang w:val="en-US"/>
              </w:rPr>
              <w:t>Introduction</w:t>
            </w:r>
            <w:r>
              <w:rPr>
                <w:noProof/>
                <w:webHidden/>
              </w:rPr>
              <w:tab/>
            </w:r>
            <w:r>
              <w:rPr>
                <w:noProof/>
                <w:webHidden/>
              </w:rPr>
              <w:fldChar w:fldCharType="begin"/>
            </w:r>
            <w:r>
              <w:rPr>
                <w:noProof/>
                <w:webHidden/>
              </w:rPr>
              <w:instrText xml:space="preserve"> PAGEREF _Toc149949153 \h </w:instrText>
            </w:r>
            <w:r>
              <w:rPr>
                <w:noProof/>
                <w:webHidden/>
              </w:rPr>
            </w:r>
            <w:r>
              <w:rPr>
                <w:noProof/>
                <w:webHidden/>
              </w:rPr>
              <w:fldChar w:fldCharType="separate"/>
            </w:r>
            <w:r>
              <w:rPr>
                <w:noProof/>
                <w:webHidden/>
              </w:rPr>
              <w:t>3</w:t>
            </w:r>
            <w:r>
              <w:rPr>
                <w:noProof/>
                <w:webHidden/>
              </w:rPr>
              <w:fldChar w:fldCharType="end"/>
            </w:r>
          </w:hyperlink>
        </w:p>
        <w:p w14:paraId="25614094" w14:textId="1E49265F" w:rsidR="002408D5" w:rsidRDefault="00EB23BA">
          <w:pPr>
            <w:pStyle w:val="TOC1"/>
            <w:tabs>
              <w:tab w:val="right" w:leader="dot" w:pos="9016"/>
            </w:tabs>
            <w:rPr>
              <w:rFonts w:asciiTheme="minorHAnsi" w:eastAsiaTheme="minorEastAsia" w:hAnsiTheme="minorHAnsi"/>
              <w:noProof/>
              <w:kern w:val="2"/>
              <w:sz w:val="22"/>
              <w:lang w:eastAsia="en-IN"/>
              <w14:ligatures w14:val="standardContextual"/>
            </w:rPr>
          </w:pPr>
          <w:hyperlink w:anchor="_Toc149949154" w:history="1">
            <w:r w:rsidR="002408D5" w:rsidRPr="00A212E5">
              <w:rPr>
                <w:rStyle w:val="Hyperlink"/>
                <w:noProof/>
                <w:lang w:val="en-US"/>
              </w:rPr>
              <w:t>Discussion</w:t>
            </w:r>
            <w:r w:rsidR="002408D5">
              <w:rPr>
                <w:noProof/>
                <w:webHidden/>
              </w:rPr>
              <w:tab/>
            </w:r>
            <w:r w:rsidR="002408D5">
              <w:rPr>
                <w:noProof/>
                <w:webHidden/>
              </w:rPr>
              <w:fldChar w:fldCharType="begin"/>
            </w:r>
            <w:r w:rsidR="002408D5">
              <w:rPr>
                <w:noProof/>
                <w:webHidden/>
              </w:rPr>
              <w:instrText xml:space="preserve"> PAGEREF _Toc149949154 \h </w:instrText>
            </w:r>
            <w:r w:rsidR="002408D5">
              <w:rPr>
                <w:noProof/>
                <w:webHidden/>
              </w:rPr>
            </w:r>
            <w:r w:rsidR="002408D5">
              <w:rPr>
                <w:noProof/>
                <w:webHidden/>
              </w:rPr>
              <w:fldChar w:fldCharType="separate"/>
            </w:r>
            <w:r w:rsidR="002408D5">
              <w:rPr>
                <w:noProof/>
                <w:webHidden/>
              </w:rPr>
              <w:t>4</w:t>
            </w:r>
            <w:r w:rsidR="002408D5">
              <w:rPr>
                <w:noProof/>
                <w:webHidden/>
              </w:rPr>
              <w:fldChar w:fldCharType="end"/>
            </w:r>
          </w:hyperlink>
        </w:p>
        <w:p w14:paraId="1EF74715" w14:textId="1C59BE1E" w:rsidR="002408D5" w:rsidRDefault="00EB23BA">
          <w:pPr>
            <w:pStyle w:val="TOC2"/>
            <w:tabs>
              <w:tab w:val="right" w:leader="dot" w:pos="9016"/>
            </w:tabs>
            <w:rPr>
              <w:rFonts w:asciiTheme="minorHAnsi" w:eastAsiaTheme="minorEastAsia" w:hAnsiTheme="minorHAnsi"/>
              <w:noProof/>
              <w:kern w:val="2"/>
              <w:sz w:val="22"/>
              <w:lang w:eastAsia="en-IN"/>
              <w14:ligatures w14:val="standardContextual"/>
            </w:rPr>
          </w:pPr>
          <w:hyperlink w:anchor="_Toc149949155" w:history="1">
            <w:r w:rsidR="002408D5" w:rsidRPr="00A212E5">
              <w:rPr>
                <w:rStyle w:val="Hyperlink"/>
                <w:noProof/>
                <w:lang w:val="en-US"/>
              </w:rPr>
              <w:t>Details of the Project</w:t>
            </w:r>
            <w:r w:rsidR="002408D5">
              <w:rPr>
                <w:noProof/>
                <w:webHidden/>
              </w:rPr>
              <w:tab/>
            </w:r>
            <w:r w:rsidR="002408D5">
              <w:rPr>
                <w:noProof/>
                <w:webHidden/>
              </w:rPr>
              <w:fldChar w:fldCharType="begin"/>
            </w:r>
            <w:r w:rsidR="002408D5">
              <w:rPr>
                <w:noProof/>
                <w:webHidden/>
              </w:rPr>
              <w:instrText xml:space="preserve"> PAGEREF _Toc149949155 \h </w:instrText>
            </w:r>
            <w:r w:rsidR="002408D5">
              <w:rPr>
                <w:noProof/>
                <w:webHidden/>
              </w:rPr>
            </w:r>
            <w:r w:rsidR="002408D5">
              <w:rPr>
                <w:noProof/>
                <w:webHidden/>
              </w:rPr>
              <w:fldChar w:fldCharType="separate"/>
            </w:r>
            <w:r w:rsidR="002408D5">
              <w:rPr>
                <w:noProof/>
                <w:webHidden/>
              </w:rPr>
              <w:t>4</w:t>
            </w:r>
            <w:r w:rsidR="002408D5">
              <w:rPr>
                <w:noProof/>
                <w:webHidden/>
              </w:rPr>
              <w:fldChar w:fldCharType="end"/>
            </w:r>
          </w:hyperlink>
        </w:p>
        <w:p w14:paraId="0F6EB7E4" w14:textId="05C7210F" w:rsidR="002408D5" w:rsidRDefault="00EB23BA">
          <w:pPr>
            <w:pStyle w:val="TOC2"/>
            <w:tabs>
              <w:tab w:val="right" w:leader="dot" w:pos="9016"/>
            </w:tabs>
            <w:rPr>
              <w:rFonts w:asciiTheme="minorHAnsi" w:eastAsiaTheme="minorEastAsia" w:hAnsiTheme="minorHAnsi"/>
              <w:noProof/>
              <w:kern w:val="2"/>
              <w:sz w:val="22"/>
              <w:lang w:eastAsia="en-IN"/>
              <w14:ligatures w14:val="standardContextual"/>
            </w:rPr>
          </w:pPr>
          <w:hyperlink w:anchor="_Toc149949156" w:history="1">
            <w:r w:rsidR="002408D5" w:rsidRPr="00A212E5">
              <w:rPr>
                <w:rStyle w:val="Hyperlink"/>
                <w:noProof/>
                <w:lang w:val="en-US"/>
              </w:rPr>
              <w:t xml:space="preserve">Literature </w:t>
            </w:r>
            <w:r w:rsidR="002408D5" w:rsidRPr="00A212E5">
              <w:rPr>
                <w:rStyle w:val="Hyperlink"/>
                <w:noProof/>
              </w:rPr>
              <w:t>Study</w:t>
            </w:r>
            <w:r w:rsidR="002408D5">
              <w:rPr>
                <w:noProof/>
                <w:webHidden/>
              </w:rPr>
              <w:tab/>
            </w:r>
            <w:r w:rsidR="002408D5">
              <w:rPr>
                <w:noProof/>
                <w:webHidden/>
              </w:rPr>
              <w:fldChar w:fldCharType="begin"/>
            </w:r>
            <w:r w:rsidR="002408D5">
              <w:rPr>
                <w:noProof/>
                <w:webHidden/>
              </w:rPr>
              <w:instrText xml:space="preserve"> PAGEREF _Toc149949156 \h </w:instrText>
            </w:r>
            <w:r w:rsidR="002408D5">
              <w:rPr>
                <w:noProof/>
                <w:webHidden/>
              </w:rPr>
            </w:r>
            <w:r w:rsidR="002408D5">
              <w:rPr>
                <w:noProof/>
                <w:webHidden/>
              </w:rPr>
              <w:fldChar w:fldCharType="separate"/>
            </w:r>
            <w:r w:rsidR="002408D5">
              <w:rPr>
                <w:noProof/>
                <w:webHidden/>
              </w:rPr>
              <w:t>5</w:t>
            </w:r>
            <w:r w:rsidR="002408D5">
              <w:rPr>
                <w:noProof/>
                <w:webHidden/>
              </w:rPr>
              <w:fldChar w:fldCharType="end"/>
            </w:r>
          </w:hyperlink>
        </w:p>
        <w:p w14:paraId="25914F57" w14:textId="12516DE7" w:rsidR="002408D5" w:rsidRDefault="00EB23BA">
          <w:pPr>
            <w:pStyle w:val="TOC2"/>
            <w:tabs>
              <w:tab w:val="right" w:leader="dot" w:pos="9016"/>
            </w:tabs>
            <w:rPr>
              <w:rFonts w:asciiTheme="minorHAnsi" w:eastAsiaTheme="minorEastAsia" w:hAnsiTheme="minorHAnsi"/>
              <w:noProof/>
              <w:kern w:val="2"/>
              <w:sz w:val="22"/>
              <w:lang w:eastAsia="en-IN"/>
              <w14:ligatures w14:val="standardContextual"/>
            </w:rPr>
          </w:pPr>
          <w:hyperlink w:anchor="_Toc149949157" w:history="1">
            <w:r w:rsidR="002408D5" w:rsidRPr="00A212E5">
              <w:rPr>
                <w:rStyle w:val="Hyperlink"/>
                <w:noProof/>
              </w:rPr>
              <w:t>Budget Evaluation</w:t>
            </w:r>
            <w:r w:rsidR="002408D5">
              <w:rPr>
                <w:noProof/>
                <w:webHidden/>
              </w:rPr>
              <w:tab/>
            </w:r>
            <w:r w:rsidR="002408D5">
              <w:rPr>
                <w:noProof/>
                <w:webHidden/>
              </w:rPr>
              <w:fldChar w:fldCharType="begin"/>
            </w:r>
            <w:r w:rsidR="002408D5">
              <w:rPr>
                <w:noProof/>
                <w:webHidden/>
              </w:rPr>
              <w:instrText xml:space="preserve"> PAGEREF _Toc149949157 \h </w:instrText>
            </w:r>
            <w:r w:rsidR="002408D5">
              <w:rPr>
                <w:noProof/>
                <w:webHidden/>
              </w:rPr>
            </w:r>
            <w:r w:rsidR="002408D5">
              <w:rPr>
                <w:noProof/>
                <w:webHidden/>
              </w:rPr>
              <w:fldChar w:fldCharType="separate"/>
            </w:r>
            <w:r w:rsidR="002408D5">
              <w:rPr>
                <w:noProof/>
                <w:webHidden/>
              </w:rPr>
              <w:t>6</w:t>
            </w:r>
            <w:r w:rsidR="002408D5">
              <w:rPr>
                <w:noProof/>
                <w:webHidden/>
              </w:rPr>
              <w:fldChar w:fldCharType="end"/>
            </w:r>
          </w:hyperlink>
        </w:p>
        <w:p w14:paraId="529D8835" w14:textId="4D41E4D2" w:rsidR="002408D5" w:rsidRDefault="00EB23BA">
          <w:pPr>
            <w:pStyle w:val="TOC2"/>
            <w:tabs>
              <w:tab w:val="right" w:leader="dot" w:pos="9016"/>
            </w:tabs>
            <w:rPr>
              <w:rFonts w:asciiTheme="minorHAnsi" w:eastAsiaTheme="minorEastAsia" w:hAnsiTheme="minorHAnsi"/>
              <w:noProof/>
              <w:kern w:val="2"/>
              <w:sz w:val="22"/>
              <w:lang w:eastAsia="en-IN"/>
              <w14:ligatures w14:val="standardContextual"/>
            </w:rPr>
          </w:pPr>
          <w:hyperlink w:anchor="_Toc149949158" w:history="1">
            <w:r w:rsidR="002408D5" w:rsidRPr="00A212E5">
              <w:rPr>
                <w:rStyle w:val="Hyperlink"/>
                <w:noProof/>
              </w:rPr>
              <w:t>Time Evaluation</w:t>
            </w:r>
            <w:r w:rsidR="002408D5">
              <w:rPr>
                <w:noProof/>
                <w:webHidden/>
              </w:rPr>
              <w:tab/>
            </w:r>
            <w:r w:rsidR="002408D5">
              <w:rPr>
                <w:noProof/>
                <w:webHidden/>
              </w:rPr>
              <w:fldChar w:fldCharType="begin"/>
            </w:r>
            <w:r w:rsidR="002408D5">
              <w:rPr>
                <w:noProof/>
                <w:webHidden/>
              </w:rPr>
              <w:instrText xml:space="preserve"> PAGEREF _Toc149949158 \h </w:instrText>
            </w:r>
            <w:r w:rsidR="002408D5">
              <w:rPr>
                <w:noProof/>
                <w:webHidden/>
              </w:rPr>
            </w:r>
            <w:r w:rsidR="002408D5">
              <w:rPr>
                <w:noProof/>
                <w:webHidden/>
              </w:rPr>
              <w:fldChar w:fldCharType="separate"/>
            </w:r>
            <w:r w:rsidR="002408D5">
              <w:rPr>
                <w:noProof/>
                <w:webHidden/>
              </w:rPr>
              <w:t>7</w:t>
            </w:r>
            <w:r w:rsidR="002408D5">
              <w:rPr>
                <w:noProof/>
                <w:webHidden/>
              </w:rPr>
              <w:fldChar w:fldCharType="end"/>
            </w:r>
          </w:hyperlink>
        </w:p>
        <w:p w14:paraId="007F3DA9" w14:textId="483DA8F0" w:rsidR="002408D5" w:rsidRDefault="00EB23BA">
          <w:pPr>
            <w:pStyle w:val="TOC2"/>
            <w:tabs>
              <w:tab w:val="right" w:leader="dot" w:pos="9016"/>
            </w:tabs>
            <w:rPr>
              <w:rFonts w:asciiTheme="minorHAnsi" w:eastAsiaTheme="minorEastAsia" w:hAnsiTheme="minorHAnsi"/>
              <w:noProof/>
              <w:kern w:val="2"/>
              <w:sz w:val="22"/>
              <w:lang w:eastAsia="en-IN"/>
              <w14:ligatures w14:val="standardContextual"/>
            </w:rPr>
          </w:pPr>
          <w:hyperlink w:anchor="_Toc149949159" w:history="1">
            <w:r w:rsidR="002408D5" w:rsidRPr="00A212E5">
              <w:rPr>
                <w:rStyle w:val="Hyperlink"/>
                <w:noProof/>
              </w:rPr>
              <w:t>Quality Assessment</w:t>
            </w:r>
            <w:r w:rsidR="002408D5">
              <w:rPr>
                <w:noProof/>
                <w:webHidden/>
              </w:rPr>
              <w:tab/>
            </w:r>
            <w:r w:rsidR="002408D5">
              <w:rPr>
                <w:noProof/>
                <w:webHidden/>
              </w:rPr>
              <w:fldChar w:fldCharType="begin"/>
            </w:r>
            <w:r w:rsidR="002408D5">
              <w:rPr>
                <w:noProof/>
                <w:webHidden/>
              </w:rPr>
              <w:instrText xml:space="preserve"> PAGEREF _Toc149949159 \h </w:instrText>
            </w:r>
            <w:r w:rsidR="002408D5">
              <w:rPr>
                <w:noProof/>
                <w:webHidden/>
              </w:rPr>
            </w:r>
            <w:r w:rsidR="002408D5">
              <w:rPr>
                <w:noProof/>
                <w:webHidden/>
              </w:rPr>
              <w:fldChar w:fldCharType="separate"/>
            </w:r>
            <w:r w:rsidR="002408D5">
              <w:rPr>
                <w:noProof/>
                <w:webHidden/>
              </w:rPr>
              <w:t>8</w:t>
            </w:r>
            <w:r w:rsidR="002408D5">
              <w:rPr>
                <w:noProof/>
                <w:webHidden/>
              </w:rPr>
              <w:fldChar w:fldCharType="end"/>
            </w:r>
          </w:hyperlink>
        </w:p>
        <w:p w14:paraId="2C6D3F28" w14:textId="63593EFD" w:rsidR="002408D5" w:rsidRDefault="00EB23BA">
          <w:pPr>
            <w:pStyle w:val="TOC2"/>
            <w:tabs>
              <w:tab w:val="right" w:leader="dot" w:pos="9016"/>
            </w:tabs>
            <w:rPr>
              <w:rFonts w:asciiTheme="minorHAnsi" w:eastAsiaTheme="minorEastAsia" w:hAnsiTheme="minorHAnsi"/>
              <w:noProof/>
              <w:kern w:val="2"/>
              <w:sz w:val="22"/>
              <w:lang w:eastAsia="en-IN"/>
              <w14:ligatures w14:val="standardContextual"/>
            </w:rPr>
          </w:pPr>
          <w:hyperlink w:anchor="_Toc149949160" w:history="1">
            <w:r w:rsidR="002408D5" w:rsidRPr="00A212E5">
              <w:rPr>
                <w:rStyle w:val="Hyperlink"/>
                <w:noProof/>
              </w:rPr>
              <w:t>Stakeholder Analysis</w:t>
            </w:r>
            <w:r w:rsidR="002408D5">
              <w:rPr>
                <w:noProof/>
                <w:webHidden/>
              </w:rPr>
              <w:tab/>
            </w:r>
            <w:r w:rsidR="002408D5">
              <w:rPr>
                <w:noProof/>
                <w:webHidden/>
              </w:rPr>
              <w:fldChar w:fldCharType="begin"/>
            </w:r>
            <w:r w:rsidR="002408D5">
              <w:rPr>
                <w:noProof/>
                <w:webHidden/>
              </w:rPr>
              <w:instrText xml:space="preserve"> PAGEREF _Toc149949160 \h </w:instrText>
            </w:r>
            <w:r w:rsidR="002408D5">
              <w:rPr>
                <w:noProof/>
                <w:webHidden/>
              </w:rPr>
            </w:r>
            <w:r w:rsidR="002408D5">
              <w:rPr>
                <w:noProof/>
                <w:webHidden/>
              </w:rPr>
              <w:fldChar w:fldCharType="separate"/>
            </w:r>
            <w:r w:rsidR="002408D5">
              <w:rPr>
                <w:noProof/>
                <w:webHidden/>
              </w:rPr>
              <w:t>8</w:t>
            </w:r>
            <w:r w:rsidR="002408D5">
              <w:rPr>
                <w:noProof/>
                <w:webHidden/>
              </w:rPr>
              <w:fldChar w:fldCharType="end"/>
            </w:r>
          </w:hyperlink>
        </w:p>
        <w:p w14:paraId="761CB54D" w14:textId="16B393FB" w:rsidR="002408D5" w:rsidRDefault="00EB23BA">
          <w:pPr>
            <w:pStyle w:val="TOC2"/>
            <w:tabs>
              <w:tab w:val="right" w:leader="dot" w:pos="9016"/>
            </w:tabs>
            <w:rPr>
              <w:rFonts w:asciiTheme="minorHAnsi" w:eastAsiaTheme="minorEastAsia" w:hAnsiTheme="minorHAnsi"/>
              <w:noProof/>
              <w:kern w:val="2"/>
              <w:sz w:val="22"/>
              <w:lang w:eastAsia="en-IN"/>
              <w14:ligatures w14:val="standardContextual"/>
            </w:rPr>
          </w:pPr>
          <w:hyperlink w:anchor="_Toc149949161" w:history="1">
            <w:r w:rsidR="002408D5" w:rsidRPr="00A212E5">
              <w:rPr>
                <w:rStyle w:val="Hyperlink"/>
                <w:noProof/>
              </w:rPr>
              <w:t>Risk Factor Evaluation</w:t>
            </w:r>
            <w:r w:rsidR="002408D5">
              <w:rPr>
                <w:noProof/>
                <w:webHidden/>
              </w:rPr>
              <w:tab/>
            </w:r>
            <w:r w:rsidR="002408D5">
              <w:rPr>
                <w:noProof/>
                <w:webHidden/>
              </w:rPr>
              <w:fldChar w:fldCharType="begin"/>
            </w:r>
            <w:r w:rsidR="002408D5">
              <w:rPr>
                <w:noProof/>
                <w:webHidden/>
              </w:rPr>
              <w:instrText xml:space="preserve"> PAGEREF _Toc149949161 \h </w:instrText>
            </w:r>
            <w:r w:rsidR="002408D5">
              <w:rPr>
                <w:noProof/>
                <w:webHidden/>
              </w:rPr>
            </w:r>
            <w:r w:rsidR="002408D5">
              <w:rPr>
                <w:noProof/>
                <w:webHidden/>
              </w:rPr>
              <w:fldChar w:fldCharType="separate"/>
            </w:r>
            <w:r w:rsidR="002408D5">
              <w:rPr>
                <w:noProof/>
                <w:webHidden/>
              </w:rPr>
              <w:t>9</w:t>
            </w:r>
            <w:r w:rsidR="002408D5">
              <w:rPr>
                <w:noProof/>
                <w:webHidden/>
              </w:rPr>
              <w:fldChar w:fldCharType="end"/>
            </w:r>
          </w:hyperlink>
        </w:p>
        <w:p w14:paraId="46643329" w14:textId="245BB53F" w:rsidR="002408D5" w:rsidRDefault="00EB23BA">
          <w:pPr>
            <w:pStyle w:val="TOC2"/>
            <w:tabs>
              <w:tab w:val="right" w:leader="dot" w:pos="9016"/>
            </w:tabs>
            <w:rPr>
              <w:rFonts w:asciiTheme="minorHAnsi" w:eastAsiaTheme="minorEastAsia" w:hAnsiTheme="minorHAnsi"/>
              <w:noProof/>
              <w:kern w:val="2"/>
              <w:sz w:val="22"/>
              <w:lang w:eastAsia="en-IN"/>
              <w14:ligatures w14:val="standardContextual"/>
            </w:rPr>
          </w:pPr>
          <w:hyperlink w:anchor="_Toc149949162" w:history="1">
            <w:r w:rsidR="002408D5" w:rsidRPr="00A212E5">
              <w:rPr>
                <w:rStyle w:val="Hyperlink"/>
                <w:noProof/>
              </w:rPr>
              <w:t>Challenges faced</w:t>
            </w:r>
            <w:r w:rsidR="002408D5">
              <w:rPr>
                <w:noProof/>
                <w:webHidden/>
              </w:rPr>
              <w:tab/>
            </w:r>
            <w:r w:rsidR="002408D5">
              <w:rPr>
                <w:noProof/>
                <w:webHidden/>
              </w:rPr>
              <w:fldChar w:fldCharType="begin"/>
            </w:r>
            <w:r w:rsidR="002408D5">
              <w:rPr>
                <w:noProof/>
                <w:webHidden/>
              </w:rPr>
              <w:instrText xml:space="preserve"> PAGEREF _Toc149949162 \h </w:instrText>
            </w:r>
            <w:r w:rsidR="002408D5">
              <w:rPr>
                <w:noProof/>
                <w:webHidden/>
              </w:rPr>
            </w:r>
            <w:r w:rsidR="002408D5">
              <w:rPr>
                <w:noProof/>
                <w:webHidden/>
              </w:rPr>
              <w:fldChar w:fldCharType="separate"/>
            </w:r>
            <w:r w:rsidR="002408D5">
              <w:rPr>
                <w:noProof/>
                <w:webHidden/>
              </w:rPr>
              <w:t>10</w:t>
            </w:r>
            <w:r w:rsidR="002408D5">
              <w:rPr>
                <w:noProof/>
                <w:webHidden/>
              </w:rPr>
              <w:fldChar w:fldCharType="end"/>
            </w:r>
          </w:hyperlink>
        </w:p>
        <w:p w14:paraId="0D0B8896" w14:textId="7500E06C" w:rsidR="002408D5" w:rsidRDefault="00EB23BA">
          <w:pPr>
            <w:pStyle w:val="TOC2"/>
            <w:tabs>
              <w:tab w:val="right" w:leader="dot" w:pos="9016"/>
            </w:tabs>
            <w:rPr>
              <w:rFonts w:asciiTheme="minorHAnsi" w:eastAsiaTheme="minorEastAsia" w:hAnsiTheme="minorHAnsi"/>
              <w:noProof/>
              <w:kern w:val="2"/>
              <w:sz w:val="22"/>
              <w:lang w:eastAsia="en-IN"/>
              <w14:ligatures w14:val="standardContextual"/>
            </w:rPr>
          </w:pPr>
          <w:hyperlink w:anchor="_Toc149949163" w:history="1">
            <w:r w:rsidR="002408D5" w:rsidRPr="00A212E5">
              <w:rPr>
                <w:rStyle w:val="Hyperlink"/>
                <w:noProof/>
              </w:rPr>
              <w:t>Utilizing Theories and Models in the Professional World:</w:t>
            </w:r>
            <w:r w:rsidR="002408D5">
              <w:rPr>
                <w:noProof/>
                <w:webHidden/>
              </w:rPr>
              <w:tab/>
            </w:r>
            <w:r w:rsidR="002408D5">
              <w:rPr>
                <w:noProof/>
                <w:webHidden/>
              </w:rPr>
              <w:fldChar w:fldCharType="begin"/>
            </w:r>
            <w:r w:rsidR="002408D5">
              <w:rPr>
                <w:noProof/>
                <w:webHidden/>
              </w:rPr>
              <w:instrText xml:space="preserve"> PAGEREF _Toc149949163 \h </w:instrText>
            </w:r>
            <w:r w:rsidR="002408D5">
              <w:rPr>
                <w:noProof/>
                <w:webHidden/>
              </w:rPr>
            </w:r>
            <w:r w:rsidR="002408D5">
              <w:rPr>
                <w:noProof/>
                <w:webHidden/>
              </w:rPr>
              <w:fldChar w:fldCharType="separate"/>
            </w:r>
            <w:r w:rsidR="002408D5">
              <w:rPr>
                <w:noProof/>
                <w:webHidden/>
              </w:rPr>
              <w:t>10</w:t>
            </w:r>
            <w:r w:rsidR="002408D5">
              <w:rPr>
                <w:noProof/>
                <w:webHidden/>
              </w:rPr>
              <w:fldChar w:fldCharType="end"/>
            </w:r>
          </w:hyperlink>
        </w:p>
        <w:p w14:paraId="0E838A0F" w14:textId="0814EBE8" w:rsidR="002408D5" w:rsidRDefault="00EB23BA">
          <w:pPr>
            <w:pStyle w:val="TOC2"/>
            <w:tabs>
              <w:tab w:val="right" w:leader="dot" w:pos="9016"/>
            </w:tabs>
            <w:rPr>
              <w:rFonts w:asciiTheme="minorHAnsi" w:eastAsiaTheme="minorEastAsia" w:hAnsiTheme="minorHAnsi"/>
              <w:noProof/>
              <w:kern w:val="2"/>
              <w:sz w:val="22"/>
              <w:lang w:eastAsia="en-IN"/>
              <w14:ligatures w14:val="standardContextual"/>
            </w:rPr>
          </w:pPr>
          <w:hyperlink w:anchor="_Toc149949164" w:history="1">
            <w:r w:rsidR="002408D5" w:rsidRPr="00A212E5">
              <w:rPr>
                <w:rStyle w:val="Hyperlink"/>
                <w:noProof/>
              </w:rPr>
              <w:t>Recommendations</w:t>
            </w:r>
            <w:r w:rsidR="002408D5">
              <w:rPr>
                <w:noProof/>
                <w:webHidden/>
              </w:rPr>
              <w:tab/>
            </w:r>
            <w:r w:rsidR="002408D5">
              <w:rPr>
                <w:noProof/>
                <w:webHidden/>
              </w:rPr>
              <w:fldChar w:fldCharType="begin"/>
            </w:r>
            <w:r w:rsidR="002408D5">
              <w:rPr>
                <w:noProof/>
                <w:webHidden/>
              </w:rPr>
              <w:instrText xml:space="preserve"> PAGEREF _Toc149949164 \h </w:instrText>
            </w:r>
            <w:r w:rsidR="002408D5">
              <w:rPr>
                <w:noProof/>
                <w:webHidden/>
              </w:rPr>
            </w:r>
            <w:r w:rsidR="002408D5">
              <w:rPr>
                <w:noProof/>
                <w:webHidden/>
              </w:rPr>
              <w:fldChar w:fldCharType="separate"/>
            </w:r>
            <w:r w:rsidR="002408D5">
              <w:rPr>
                <w:noProof/>
                <w:webHidden/>
              </w:rPr>
              <w:t>10</w:t>
            </w:r>
            <w:r w:rsidR="002408D5">
              <w:rPr>
                <w:noProof/>
                <w:webHidden/>
              </w:rPr>
              <w:fldChar w:fldCharType="end"/>
            </w:r>
          </w:hyperlink>
        </w:p>
        <w:p w14:paraId="67541154" w14:textId="7C69B1F9" w:rsidR="002408D5" w:rsidRDefault="00EB23BA">
          <w:pPr>
            <w:pStyle w:val="TOC1"/>
            <w:tabs>
              <w:tab w:val="right" w:leader="dot" w:pos="9016"/>
            </w:tabs>
            <w:rPr>
              <w:rFonts w:asciiTheme="minorHAnsi" w:eastAsiaTheme="minorEastAsia" w:hAnsiTheme="minorHAnsi"/>
              <w:noProof/>
              <w:kern w:val="2"/>
              <w:sz w:val="22"/>
              <w:lang w:eastAsia="en-IN"/>
              <w14:ligatures w14:val="standardContextual"/>
            </w:rPr>
          </w:pPr>
          <w:hyperlink w:anchor="_Toc149949165" w:history="1">
            <w:r w:rsidR="002408D5" w:rsidRPr="00A212E5">
              <w:rPr>
                <w:rStyle w:val="Hyperlink"/>
                <w:rFonts w:cs="Times New Roman"/>
                <w:bCs/>
                <w:noProof/>
              </w:rPr>
              <w:t>Conclusion</w:t>
            </w:r>
            <w:r w:rsidR="002408D5">
              <w:rPr>
                <w:noProof/>
                <w:webHidden/>
              </w:rPr>
              <w:tab/>
            </w:r>
            <w:r w:rsidR="002408D5">
              <w:rPr>
                <w:noProof/>
                <w:webHidden/>
              </w:rPr>
              <w:fldChar w:fldCharType="begin"/>
            </w:r>
            <w:r w:rsidR="002408D5">
              <w:rPr>
                <w:noProof/>
                <w:webHidden/>
              </w:rPr>
              <w:instrText xml:space="preserve"> PAGEREF _Toc149949165 \h </w:instrText>
            </w:r>
            <w:r w:rsidR="002408D5">
              <w:rPr>
                <w:noProof/>
                <w:webHidden/>
              </w:rPr>
            </w:r>
            <w:r w:rsidR="002408D5">
              <w:rPr>
                <w:noProof/>
                <w:webHidden/>
              </w:rPr>
              <w:fldChar w:fldCharType="separate"/>
            </w:r>
            <w:r w:rsidR="002408D5">
              <w:rPr>
                <w:noProof/>
                <w:webHidden/>
              </w:rPr>
              <w:t>11</w:t>
            </w:r>
            <w:r w:rsidR="002408D5">
              <w:rPr>
                <w:noProof/>
                <w:webHidden/>
              </w:rPr>
              <w:fldChar w:fldCharType="end"/>
            </w:r>
          </w:hyperlink>
        </w:p>
        <w:p w14:paraId="1F299FFB" w14:textId="167A3E40" w:rsidR="002408D5" w:rsidRDefault="00EB23BA">
          <w:pPr>
            <w:pStyle w:val="TOC1"/>
            <w:tabs>
              <w:tab w:val="right" w:leader="dot" w:pos="9016"/>
            </w:tabs>
            <w:rPr>
              <w:rFonts w:asciiTheme="minorHAnsi" w:eastAsiaTheme="minorEastAsia" w:hAnsiTheme="minorHAnsi"/>
              <w:noProof/>
              <w:kern w:val="2"/>
              <w:sz w:val="22"/>
              <w:lang w:eastAsia="en-IN"/>
              <w14:ligatures w14:val="standardContextual"/>
            </w:rPr>
          </w:pPr>
          <w:hyperlink w:anchor="_Toc149949166" w:history="1">
            <w:r w:rsidR="002408D5" w:rsidRPr="00A212E5">
              <w:rPr>
                <w:rStyle w:val="Hyperlink"/>
                <w:noProof/>
                <w:lang w:val="en-US"/>
              </w:rPr>
              <w:t>Reference</w:t>
            </w:r>
            <w:r w:rsidR="002408D5">
              <w:rPr>
                <w:noProof/>
                <w:webHidden/>
              </w:rPr>
              <w:tab/>
            </w:r>
            <w:r w:rsidR="002408D5">
              <w:rPr>
                <w:noProof/>
                <w:webHidden/>
              </w:rPr>
              <w:fldChar w:fldCharType="begin"/>
            </w:r>
            <w:r w:rsidR="002408D5">
              <w:rPr>
                <w:noProof/>
                <w:webHidden/>
              </w:rPr>
              <w:instrText xml:space="preserve"> PAGEREF _Toc149949166 \h </w:instrText>
            </w:r>
            <w:r w:rsidR="002408D5">
              <w:rPr>
                <w:noProof/>
                <w:webHidden/>
              </w:rPr>
            </w:r>
            <w:r w:rsidR="002408D5">
              <w:rPr>
                <w:noProof/>
                <w:webHidden/>
              </w:rPr>
              <w:fldChar w:fldCharType="separate"/>
            </w:r>
            <w:r w:rsidR="002408D5">
              <w:rPr>
                <w:noProof/>
                <w:webHidden/>
              </w:rPr>
              <w:t>12</w:t>
            </w:r>
            <w:r w:rsidR="002408D5">
              <w:rPr>
                <w:noProof/>
                <w:webHidden/>
              </w:rPr>
              <w:fldChar w:fldCharType="end"/>
            </w:r>
          </w:hyperlink>
        </w:p>
        <w:p w14:paraId="5F4DDDBE" w14:textId="0CC3B50A" w:rsidR="00541357" w:rsidRPr="00EB23BA" w:rsidRDefault="002408D5" w:rsidP="00EB23BA">
          <w:r>
            <w:rPr>
              <w:b/>
              <w:bCs/>
              <w:noProof/>
            </w:rPr>
            <w:fldChar w:fldCharType="end"/>
          </w:r>
        </w:p>
      </w:sdtContent>
    </w:sdt>
    <w:p w14:paraId="5F952394" w14:textId="644DB1A5" w:rsidR="0040632C" w:rsidRDefault="00D80182" w:rsidP="002408D5">
      <w:pPr>
        <w:pStyle w:val="Heading1"/>
        <w:rPr>
          <w:lang w:val="en-US"/>
        </w:rPr>
      </w:pPr>
      <w:bookmarkStart w:id="0" w:name="_Toc149926459"/>
      <w:bookmarkStart w:id="1" w:name="_Toc149949153"/>
      <w:r w:rsidRPr="00476B3F">
        <w:rPr>
          <w:lang w:val="en-US"/>
        </w:rPr>
        <w:t>Introduc</w:t>
      </w:r>
      <w:r>
        <w:rPr>
          <w:lang w:val="en-US"/>
        </w:rPr>
        <w:t>t</w:t>
      </w:r>
      <w:r w:rsidRPr="00476B3F">
        <w:rPr>
          <w:lang w:val="en-US"/>
        </w:rPr>
        <w:t>ion</w:t>
      </w:r>
      <w:bookmarkEnd w:id="0"/>
      <w:bookmarkEnd w:id="1"/>
    </w:p>
    <w:p w14:paraId="7FF0AD4C" w14:textId="2E4F71F6" w:rsidR="002F0198" w:rsidRDefault="002F0198" w:rsidP="002408D5">
      <w:r>
        <w:t>Technology behemoths stepping outside of their conventional spheres of influence have brought about a dramatic change in the global landscape of corporate influence and innovation in recent years. Google, a brand that is widely associated with information accessibility and digital innovation, has set out on a revolutionary mission to dramatically influence both the physical and digital worlds</w:t>
      </w:r>
      <w:r w:rsidR="00AC7EEC">
        <w:t xml:space="preserve"> (Kong et al., 2022)</w:t>
      </w:r>
      <w:r>
        <w:t xml:space="preserve">. A notable example of this concept in action is Google's ambitious one-billion-pound project in King's Cross, London, which is expected to completely transform the city's urban </w:t>
      </w:r>
      <w:r w:rsidR="00046637">
        <w:t>landscape. This ambitious project is centred on a large plot of land next to King's Cross Station. Being the first of its kind, this famous skyscraper was entirely designed and owned by Google outside of the United States, which is of great significan</w:t>
      </w:r>
      <w:r w:rsidR="001F1F3C">
        <w:t>ce</w:t>
      </w:r>
      <w:r w:rsidR="00AC7EEC">
        <w:t xml:space="preserve"> (Naldi, 2021)</w:t>
      </w:r>
      <w:r w:rsidR="00046637">
        <w:t>. This is a significant turning point in the business's international growth and highlights its commitment to quality and innovation.</w:t>
      </w:r>
    </w:p>
    <w:p w14:paraId="32508027" w14:textId="592718F2" w:rsidR="00F711AF" w:rsidRDefault="00046637" w:rsidP="002408D5">
      <w:r>
        <w:t>The many facets of this revolutionary project are explored in detail in this essay. A thorough examination of Google's venture into urban development is provided, covering stakeholder dynamics, timetables, budgetary allocations, quality considerations, and potential risk factors. This project represents the wider societal ramifications of Google's urban aspirations, as it is essential to the knowledge-based economy of King's Cross and the Knowledge Quarter in addition to the corporate world</w:t>
      </w:r>
      <w:r w:rsidR="00AC7EEC">
        <w:t xml:space="preserve"> (Cooke, 2021)</w:t>
      </w:r>
      <w:r>
        <w:t>. This essay examines this initiative critically, revealing its potential to change the face of the contemporary city and establish new benchmarks for urban growth in the digital era.</w:t>
      </w:r>
    </w:p>
    <w:p w14:paraId="5139AE10" w14:textId="62BE1C4C" w:rsidR="000E3C77" w:rsidRPr="00F711AF" w:rsidRDefault="00957C99" w:rsidP="002408D5">
      <w:pPr>
        <w:pStyle w:val="Heading1"/>
      </w:pPr>
      <w:bookmarkStart w:id="2" w:name="_Toc149926460"/>
      <w:bookmarkStart w:id="3" w:name="_Toc149949154"/>
      <w:r>
        <w:rPr>
          <w:lang w:val="en-US"/>
        </w:rPr>
        <w:t>Discussion</w:t>
      </w:r>
      <w:bookmarkEnd w:id="2"/>
      <w:bookmarkEnd w:id="3"/>
    </w:p>
    <w:p w14:paraId="194B40E1" w14:textId="3AE1DCF4" w:rsidR="00957C99" w:rsidRDefault="00957C99" w:rsidP="002408D5">
      <w:pPr>
        <w:pStyle w:val="Heading2"/>
        <w:rPr>
          <w:lang w:val="en-US"/>
        </w:rPr>
      </w:pPr>
      <w:bookmarkStart w:id="4" w:name="_Toc149949155"/>
      <w:r>
        <w:rPr>
          <w:lang w:val="en-US"/>
        </w:rPr>
        <w:t>Details of the Project</w:t>
      </w:r>
      <w:bookmarkEnd w:id="4"/>
    </w:p>
    <w:p w14:paraId="48F1F4B1" w14:textId="592EC7AD" w:rsidR="0020430D" w:rsidRDefault="000B3D73" w:rsidP="002408D5">
      <w:r>
        <w:t>In King's Cross, London, Google's ambitious one-billion-pound project is expected to make a major entrance onto the city's skyline in the upcoming year. Google's goal to establish a state-of-the-art, wholly-owned headquarters outside of the US is a testament to its commitment to growing its global footprint. Located next to King's Cross Station, the building has about 60,400 square metres of quality office space spread across a sizable land area. The structure, which is 11 floors tall and can house up to 4,500 workers, is a significant addition to Google's portfolio of international office spaces</w:t>
      </w:r>
      <w:r w:rsidR="00AC7EEC">
        <w:t xml:space="preserve"> (Kim et al., 2019)</w:t>
      </w:r>
      <w:r>
        <w:t>. Retail stores will occupy the bottom floor, generating a lively environment for both guests and staff. An events and training centre will also be present for a range of activities.</w:t>
      </w:r>
    </w:p>
    <w:p w14:paraId="273AF705" w14:textId="2DFE63BB" w:rsidR="00A440C3" w:rsidRPr="00915D7E" w:rsidRDefault="0065456B" w:rsidP="002408D5">
      <w:r>
        <w:t>This famous building serves as more than just a place of employment; it also represents Google's creative spirit. Built from the ground up, it is a testament to Google's dedication to excellence and is the company's first fully owned, purpose-built structure outside of the US. The office building goes beyond conventional workspaces by providing amenities for the well</w:t>
      </w:r>
      <w:r w:rsidR="001F1F3C">
        <w:t>-</w:t>
      </w:r>
      <w:r>
        <w:t>being of the staff, such as cafes, a gym, a multi-use games area (MUGA), and swimming pools</w:t>
      </w:r>
      <w:r w:rsidR="00965820" w:rsidRPr="00965820">
        <w:t xml:space="preserve"> </w:t>
      </w:r>
      <w:r w:rsidR="00965820">
        <w:t>(</w:t>
      </w:r>
      <w:r w:rsidR="00965820" w:rsidRPr="00965820">
        <w:t>Füzi</w:t>
      </w:r>
      <w:r w:rsidR="00965820">
        <w:t xml:space="preserve"> et al., 2022)</w:t>
      </w:r>
      <w:r>
        <w:t>. To promote a healthy work-life balance, the rooftop features a running track and planted terraces for outdoor enjoyment. Furthermore, a vast Google complex with space for up to 7,000 people will be created when the new building is joined with Google's current location at 6 Pancras Square and a planned third structure</w:t>
      </w:r>
      <w:r w:rsidR="00965820">
        <w:t xml:space="preserve"> (Yu et al., 2023)</w:t>
      </w:r>
      <w:r>
        <w:t>. This expansion benefits King's Cross and the Knowledge Quarter's growing knowledge-based economy in addition to enhancing Google's footprint in London. As the project nears completion, it serves as evidence of Google's dedication to innovation and expansion on a worldwide scale.</w:t>
      </w:r>
    </w:p>
    <w:p w14:paraId="42DAA62B" w14:textId="54CBFCA2" w:rsidR="00957C99" w:rsidRDefault="00957C99" w:rsidP="002408D5">
      <w:pPr>
        <w:pStyle w:val="Heading2"/>
        <w:rPr>
          <w:lang w:val="en-US"/>
        </w:rPr>
      </w:pPr>
      <w:bookmarkStart w:id="5" w:name="_Toc149949156"/>
      <w:r>
        <w:rPr>
          <w:lang w:val="en-US"/>
        </w:rPr>
        <w:t xml:space="preserve">Literature </w:t>
      </w:r>
      <w:r w:rsidRPr="002408D5">
        <w:t>Study</w:t>
      </w:r>
      <w:bookmarkEnd w:id="5"/>
    </w:p>
    <w:p w14:paraId="4F652B29" w14:textId="50C57490" w:rsidR="00EC2B21" w:rsidRDefault="0065456B" w:rsidP="002408D5">
      <w:r>
        <w:t>The much</w:t>
      </w:r>
      <w:r w:rsidR="001F1F3C">
        <w:t>-</w:t>
      </w:r>
      <w:r>
        <w:t>awaited £1 billion project by Google in King's Cross, London, is a prime example of how corporate innovation and urban development are merging</w:t>
      </w:r>
      <w:r w:rsidR="00965820">
        <w:t xml:space="preserve"> (</w:t>
      </w:r>
      <w:proofErr w:type="spellStart"/>
      <w:r w:rsidR="00965820" w:rsidRPr="00965820">
        <w:t>AbdelShakour</w:t>
      </w:r>
      <w:proofErr w:type="spellEnd"/>
      <w:r w:rsidR="00965820">
        <w:t xml:space="preserve"> et al., 2020)</w:t>
      </w:r>
      <w:r>
        <w:t>. This enormous project, whose inauguration is quickly approaching, has the potential to completely alter London's urban landscape and upend preconceived notions about how technology and real estate interact. The budget, schedule, quality, stakeholders, and risk factors are all examined in detail in this analysis, which also incorporates studies from recent literature.</w:t>
      </w:r>
    </w:p>
    <w:p w14:paraId="4829A60F" w14:textId="3285FAE0" w:rsidR="00EC2B21" w:rsidRDefault="0065456B" w:rsidP="002408D5">
      <w:r>
        <w:t>A major component of this project is the financial resources that have been allocated. Successful budget management is essential to its accomplishment. Rigid cost management is made possible by the Earned Value Management (EVM) model, which provides a methodical way to compare actual costs to anticipated expenses</w:t>
      </w:r>
      <w:r w:rsidR="00965820" w:rsidRPr="00965820">
        <w:t xml:space="preserve"> </w:t>
      </w:r>
      <w:r w:rsidR="00965820">
        <w:t>(</w:t>
      </w:r>
      <w:proofErr w:type="spellStart"/>
      <w:r w:rsidR="00965820" w:rsidRPr="00965820">
        <w:t>Proaño</w:t>
      </w:r>
      <w:proofErr w:type="spellEnd"/>
      <w:r w:rsidR="00965820" w:rsidRPr="00965820">
        <w:t>-Narváez</w:t>
      </w:r>
      <w:r w:rsidR="00965820">
        <w:t xml:space="preserve"> et al., 2022)</w:t>
      </w:r>
      <w:r>
        <w:t xml:space="preserve">. Current research highlights the importance of sophisticated project management strategies for guaranteeing financial effectiveness, as demonstrated by Prabhakar's (2021) study. According to </w:t>
      </w:r>
      <w:r w:rsidR="00965820" w:rsidRPr="00965820">
        <w:t>Briones-Peñalver</w:t>
      </w:r>
      <w:r w:rsidR="00965820">
        <w:t xml:space="preserve"> </w:t>
      </w:r>
      <w:r>
        <w:t>et al.</w:t>
      </w:r>
      <w:r w:rsidR="00965820">
        <w:t xml:space="preserve"> (2020)</w:t>
      </w:r>
      <w:r>
        <w:t>, economic models and theories can be used to investigate the possible long-term economic influence on the Knowledge Quarter and King's Cross.</w:t>
      </w:r>
    </w:p>
    <w:p w14:paraId="43DCC0F8" w14:textId="11146860" w:rsidR="00EC2B21" w:rsidRDefault="0065456B" w:rsidP="002408D5">
      <w:r>
        <w:t>For Google to maintain its reputation, quality is not only a goal but a need. A good workspace is ensured by adhering to the principles of Total Quality Management (TQM)</w:t>
      </w:r>
      <w:r w:rsidR="00965820">
        <w:t xml:space="preserve"> (Souza et al., 2022)</w:t>
      </w:r>
      <w:r>
        <w:t xml:space="preserve">. Nonetheless, new research by </w:t>
      </w:r>
      <w:proofErr w:type="spellStart"/>
      <w:r w:rsidR="00965820">
        <w:t>Gulum</w:t>
      </w:r>
      <w:proofErr w:type="spellEnd"/>
      <w:r w:rsidR="00965820">
        <w:t xml:space="preserve"> Tas</w:t>
      </w:r>
      <w:r>
        <w:t xml:space="preserve"> (2022) emphasises the significance of combining environmental quality with conventional TQM for a more comprehensive approach, given the expanding significance of sustainability and green construction techniques. As a fundamental component of quality assurance, the Six Sigma methodology helps minimise faults and provide high-quality final products (Wadhwa </w:t>
      </w:r>
      <w:r w:rsidR="00965820">
        <w:t>and Devanath, 2020</w:t>
      </w:r>
      <w:r>
        <w:t>).</w:t>
      </w:r>
    </w:p>
    <w:p w14:paraId="6CE32C85" w14:textId="3EC20EBF" w:rsidR="00EC2B21" w:rsidRDefault="00D749CD" w:rsidP="002408D5">
      <w:r>
        <w:t xml:space="preserve">Stakeholder management is crucial, as shown by stakeholder theory, particularly the stakeholder salience hypothesis. </w:t>
      </w:r>
      <w:r w:rsidR="00965820">
        <w:t xml:space="preserve">Bruce and </w:t>
      </w:r>
      <w:proofErr w:type="spellStart"/>
      <w:r w:rsidR="00965820">
        <w:t>Jeromin’s</w:t>
      </w:r>
      <w:proofErr w:type="spellEnd"/>
      <w:r>
        <w:t xml:space="preserve"> recent study (2020) </w:t>
      </w:r>
      <w:proofErr w:type="gramStart"/>
      <w:r>
        <w:t>highlights</w:t>
      </w:r>
      <w:proofErr w:type="gramEnd"/>
      <w:r>
        <w:t xml:space="preserve"> the growing impact of stakeholders, especially local authorities, in determining project results. Because employee engagement has a major impact on project success, research like that done by </w:t>
      </w:r>
      <w:r w:rsidR="00DD442A">
        <w:t>Agarwal</w:t>
      </w:r>
      <w:r>
        <w:t xml:space="preserve"> et al. (</w:t>
      </w:r>
      <w:r w:rsidR="00DD442A">
        <w:t>2022</w:t>
      </w:r>
      <w:r>
        <w:t>) can be used to examine the significance of employee engagement in the context of a post-pandemic work environment. The public is an equally important stakeholder, and in the era of social media and increased public scrutiny, ethical behaviour and openness are more important than ever.</w:t>
      </w:r>
    </w:p>
    <w:p w14:paraId="2C767143" w14:textId="7FB718CF" w:rsidR="00D749CD" w:rsidRDefault="00D749CD" w:rsidP="002408D5">
      <w:r>
        <w:t xml:space="preserve">Since it addresses scope, schedule, and risk considerations, the Project Management Body of Knowledge (PMBOK) framework is still essential for thorough project planning. </w:t>
      </w:r>
      <w:r w:rsidR="00DD442A">
        <w:t>YARANDI et al., (2020),</w:t>
      </w:r>
      <w:r>
        <w:t xml:space="preserve"> conducted a discussion on how digital transformation is impacting project management in a constantly changing technical world. Achieving successful project completion and risk reduction requires the adoption of digital tools and technologies that are in line with the CPM for scheduling and risk analysis models.</w:t>
      </w:r>
    </w:p>
    <w:p w14:paraId="67168BE9" w14:textId="62D11593" w:rsidR="00EC2B21" w:rsidRDefault="00D749CD" w:rsidP="002408D5">
      <w:r>
        <w:t>One example of how corporations are now participating in urban planning is Google's King's Cross initiative. Taking into account the most recent opportunities and challenges in project management and urban development, a comprehensive analysis grounded in both established models and contemporary literature offers insights into the project's potential to redefine urban environments and advance the knowledge-based economy.</w:t>
      </w:r>
    </w:p>
    <w:p w14:paraId="7310247F" w14:textId="77777777" w:rsidR="00AC7EEC" w:rsidRPr="00B53204" w:rsidRDefault="00AC7EEC" w:rsidP="002408D5">
      <w:pPr>
        <w:pStyle w:val="Heading2"/>
      </w:pPr>
      <w:bookmarkStart w:id="6" w:name="_Toc149949157"/>
      <w:r w:rsidRPr="00B53204">
        <w:t xml:space="preserve">Budget </w:t>
      </w:r>
      <w:r w:rsidRPr="002408D5">
        <w:t>Evaluation</w:t>
      </w:r>
      <w:bookmarkEnd w:id="6"/>
    </w:p>
    <w:p w14:paraId="7D0A8FFE" w14:textId="77777777" w:rsidR="00AC7EEC" w:rsidRPr="00B53204" w:rsidRDefault="00AC7EEC" w:rsidP="002408D5">
      <w:r w:rsidRPr="00B53204">
        <w:t>Examining the fundamental components of Google's planned London headquarters building is required, particularly its stunning one-billion-pound investment. This review, which is grounded in reason and reality, will examine important elements such the budget, schedule, quality, stakeholders, and risk factors. Throughout this study, pertinent theories and models will be used, difficulties will be resolved, and suggestions for improving the execution of projects will be made.</w:t>
      </w:r>
    </w:p>
    <w:p w14:paraId="4D551598" w14:textId="53EE2914" w:rsidR="00AC7EEC" w:rsidRDefault="00AC7EEC" w:rsidP="002408D5">
      <w:r w:rsidRPr="00E32482">
        <w:t xml:space="preserve">The </w:t>
      </w:r>
      <w:proofErr w:type="spellStart"/>
      <w:r w:rsidRPr="00E32482">
        <w:t>endeavor's</w:t>
      </w:r>
      <w:proofErr w:type="spellEnd"/>
      <w:r w:rsidRPr="00E32482">
        <w:t xml:space="preserve"> economic condition has been thoroughly assessed employing the method known as Earned Value Management (EVM) approach. Through a methodical comparison of actual and anticipated expenditures with completed work, EVM offers insightful data on financial performance (</w:t>
      </w:r>
      <w:r w:rsidRPr="00E32482">
        <w:rPr>
          <w:color w:val="222222"/>
          <w:shd w:val="clear" w:color="auto" w:fill="FFFFFF"/>
        </w:rPr>
        <w:t>Stone 2022</w:t>
      </w:r>
      <w:r w:rsidRPr="00E32482">
        <w:t>). To guarantee financial sustainability and limit risk, BDP, a consulting firm, must use financial models and correspond its price projections with standard practices in the context of the London office project (</w:t>
      </w:r>
      <w:r w:rsidRPr="00E32482">
        <w:rPr>
          <w:color w:val="222222"/>
          <w:shd w:val="clear" w:color="auto" w:fill="FFFFFF"/>
        </w:rPr>
        <w:t>Tillotson 2022</w:t>
      </w:r>
      <w:r w:rsidRPr="00E32482">
        <w:t xml:space="preserve">). A strong tool for financial analysis, the Earned Worth Management (EVM) framework offers a thorough evaluation of the project's financial health. </w:t>
      </w:r>
      <w:r w:rsidRPr="00E32482">
        <w:rPr>
          <w:color w:val="222222"/>
          <w:shd w:val="clear" w:color="auto" w:fill="FFFFFF"/>
        </w:rPr>
        <w:t>Schmidt, et al.</w:t>
      </w:r>
      <w:r w:rsidRPr="00E32482">
        <w:t xml:space="preserve"> (2022) states that EVM provides important insights for assessing financial results through providing a methodical analysis between present and imagined expenses versus performed physical activity. To maintain </w:t>
      </w:r>
      <w:r w:rsidR="00F02EE2" w:rsidRPr="00E32482">
        <w:t>economic</w:t>
      </w:r>
      <w:r w:rsidRPr="00E32482">
        <w:t xml:space="preserve"> viability, BDP, the design company in charge of the project, need to make ensure that its projected costs comply with industry norms. Furthermore, financial models—as suggested by </w:t>
      </w:r>
      <w:r w:rsidRPr="00E32482">
        <w:rPr>
          <w:color w:val="222222"/>
          <w:shd w:val="clear" w:color="auto" w:fill="FFFFFF"/>
        </w:rPr>
        <w:t>Alzoubi</w:t>
      </w:r>
      <w:r w:rsidRPr="00E32482">
        <w:t xml:space="preserve"> (2022)—will be utilized for risk reduction, offering a </w:t>
      </w:r>
      <w:r w:rsidR="00F02EE2" w:rsidRPr="00E32482">
        <w:t>pre-emptive</w:t>
      </w:r>
      <w:r w:rsidRPr="00E32482">
        <w:t xml:space="preserve"> approach to deal with possible differences in cost projections and enhancing the project's overall financial stability.</w:t>
      </w:r>
    </w:p>
    <w:p w14:paraId="542A52FE" w14:textId="77777777" w:rsidR="00AC7EEC" w:rsidRDefault="00AC7EEC" w:rsidP="002408D5">
      <w:pPr>
        <w:pStyle w:val="Heading2"/>
      </w:pPr>
      <w:bookmarkStart w:id="7" w:name="_Toc149949158"/>
      <w:r w:rsidRPr="004D580F">
        <w:t xml:space="preserve">Time </w:t>
      </w:r>
      <w:r w:rsidRPr="002408D5">
        <w:t>Evaluation</w:t>
      </w:r>
      <w:bookmarkEnd w:id="7"/>
    </w:p>
    <w:p w14:paraId="76BEADE4" w14:textId="77777777" w:rsidR="00AC7EEC" w:rsidRDefault="00AC7EEC" w:rsidP="002408D5">
      <w:r w:rsidRPr="00E6079E">
        <w:t>The Critical Path Method (CPM) application will make it easier to evaluate the project timeframe holistically. A deliberate emphasis on tasks that have a major influence on the work schedule can be guaranteed by CPM's support in determining critical duties and probable bottlenecks (</w:t>
      </w:r>
      <w:r w:rsidRPr="00E6079E">
        <w:rPr>
          <w:color w:val="222222"/>
          <w:shd w:val="clear" w:color="auto" w:fill="FFFFFF"/>
        </w:rPr>
        <w:t>He et al. 2022</w:t>
      </w:r>
      <w:r w:rsidRPr="00E6079E">
        <w:t>). Because delays in building can have a domino effect, the Time-Cost Trade-Off model is useful when deciding how to expedite particular tasks while weighing time and cost factors (</w:t>
      </w:r>
      <w:r w:rsidRPr="00E6079E">
        <w:rPr>
          <w:color w:val="222222"/>
          <w:shd w:val="clear" w:color="auto" w:fill="FFFFFF"/>
        </w:rPr>
        <w:t>Yang, et al. 2022</w:t>
      </w:r>
      <w:r w:rsidRPr="00E6079E">
        <w:t xml:space="preserve">). </w:t>
      </w:r>
      <w:proofErr w:type="spellStart"/>
      <w:r w:rsidRPr="00E6079E">
        <w:rPr>
          <w:color w:val="222222"/>
          <w:shd w:val="clear" w:color="auto" w:fill="FFFFFF"/>
        </w:rPr>
        <w:t>Danfulani</w:t>
      </w:r>
      <w:proofErr w:type="spellEnd"/>
      <w:r w:rsidRPr="00E6079E">
        <w:rPr>
          <w:color w:val="222222"/>
          <w:shd w:val="clear" w:color="auto" w:fill="FFFFFF"/>
        </w:rPr>
        <w:t xml:space="preserve"> et al.</w:t>
      </w:r>
      <w:r w:rsidRPr="00E6079E">
        <w:t xml:space="preserve"> (2023) stresses the necessity it is to apply the Critical Path Method, or CPM, to evaluate the project timeframe. By identifying crucial activities and possible bottlenecks, CPM enables a comprehensive evaluation that allows for a strategic emphasis on tasks that have a major influence on project timelines. One cannot emphasize how crucial it is to complete tasks on time. </w:t>
      </w:r>
      <w:r w:rsidRPr="00E6079E">
        <w:rPr>
          <w:color w:val="222222"/>
          <w:shd w:val="clear" w:color="auto" w:fill="FFFFFF"/>
        </w:rPr>
        <w:t>Wang et al.</w:t>
      </w:r>
      <w:r w:rsidRPr="00E6079E">
        <w:t xml:space="preserve"> (2023) explains how the Time-Cost Trade-Off model helps determine which tasks should be completed first while weighing the pros and disadvantages of each option. The project's development company, BDP, needs to make sure that the project's administration runs properly since any delays in building might have a domino impact on later stages.</w:t>
      </w:r>
    </w:p>
    <w:p w14:paraId="0C21F8F2" w14:textId="77777777" w:rsidR="00AC7EEC" w:rsidRPr="0072035C" w:rsidRDefault="00AC7EEC" w:rsidP="002408D5">
      <w:pPr>
        <w:pStyle w:val="Heading2"/>
      </w:pPr>
      <w:bookmarkStart w:id="8" w:name="_Toc149949159"/>
      <w:r w:rsidRPr="0072035C">
        <w:t xml:space="preserve">Quality </w:t>
      </w:r>
      <w:r w:rsidRPr="002408D5">
        <w:t>Assessment</w:t>
      </w:r>
      <w:bookmarkEnd w:id="8"/>
    </w:p>
    <w:p w14:paraId="0E580BCC" w14:textId="77777777" w:rsidR="00AC7EEC" w:rsidRDefault="00AC7EEC" w:rsidP="002408D5">
      <w:r w:rsidRPr="00264A2A">
        <w:t>The workmanship will be measured using the TQM (Total Quality Management) methodology. TQM stresses a comprehensive strategy for quality enhancement, which is consistent with Google's dedication to excellence (</w:t>
      </w:r>
      <w:r w:rsidRPr="00264A2A">
        <w:rPr>
          <w:color w:val="222222"/>
          <w:shd w:val="clear" w:color="auto" w:fill="FFFFFF"/>
        </w:rPr>
        <w:t>Yusuf 2023</w:t>
      </w:r>
      <w:r w:rsidRPr="00264A2A">
        <w:t>). TQM's Plan-Do-Check-Act cycle promotes creativity and environmentally friendly practices by guaranteeing constant enhancement of processes in the building industry. To ensure that the project's design and construction are in line with sustainability objectives, the Environmental Impact Assessment (EIA) approach will be the one utilized to evaluate the ecological effects of the project. When trying to determine quality in building as well as uphold the commitment to outstanding performance, the Total Quality Management (TQM) framework is essential (</w:t>
      </w:r>
      <w:r w:rsidRPr="00264A2A">
        <w:rPr>
          <w:color w:val="222222"/>
          <w:shd w:val="clear" w:color="auto" w:fill="FFFFFF"/>
        </w:rPr>
        <w:t>Yusuf 2023</w:t>
      </w:r>
      <w:r w:rsidRPr="00264A2A">
        <w:t>). A culture of innovation and sustainability is fostered inside the project using TQM's Plan, Do, Check cycle, and guarantees an ongoing effort to improve (</w:t>
      </w:r>
      <w:proofErr w:type="spellStart"/>
      <w:r w:rsidRPr="00264A2A">
        <w:rPr>
          <w:color w:val="222222"/>
          <w:shd w:val="clear" w:color="auto" w:fill="FFFFFF"/>
        </w:rPr>
        <w:t>Alketbi</w:t>
      </w:r>
      <w:proofErr w:type="spellEnd"/>
      <w:r w:rsidRPr="00264A2A">
        <w:rPr>
          <w:color w:val="222222"/>
          <w:shd w:val="clear" w:color="auto" w:fill="FFFFFF"/>
        </w:rPr>
        <w:t xml:space="preserve"> et al. 2022.</w:t>
      </w:r>
      <w:r w:rsidRPr="00264A2A">
        <w:t xml:space="preserve">). Furthermore, the Environmental Impact Assessment (EIA) model is essential for evaluating how the project's design and construction will affect the environment. Glasson, </w:t>
      </w:r>
      <w:proofErr w:type="spellStart"/>
      <w:r w:rsidRPr="00264A2A">
        <w:rPr>
          <w:color w:val="222222"/>
          <w:shd w:val="clear" w:color="auto" w:fill="FFFFFF"/>
        </w:rPr>
        <w:t>Shammi</w:t>
      </w:r>
      <w:proofErr w:type="spellEnd"/>
      <w:r w:rsidRPr="00264A2A">
        <w:rPr>
          <w:color w:val="222222"/>
          <w:shd w:val="clear" w:color="auto" w:fill="FFFFFF"/>
        </w:rPr>
        <w:t xml:space="preserve"> et al.</w:t>
      </w:r>
      <w:r w:rsidRPr="00264A2A">
        <w:t xml:space="preserve"> (2022) state that environmental impact assessments (EIAs) are an essential part of the quality evaluation for Google's London offices development as they verify adherence to sustainable development objectives while recognizing potential environmental repercussions</w:t>
      </w:r>
    </w:p>
    <w:p w14:paraId="62C94735" w14:textId="77777777" w:rsidR="00AC7EEC" w:rsidRDefault="00AC7EEC" w:rsidP="002408D5">
      <w:pPr>
        <w:pStyle w:val="Heading2"/>
      </w:pPr>
      <w:bookmarkStart w:id="9" w:name="_Toc149949160"/>
      <w:r w:rsidRPr="006F635F">
        <w:t>Stakeholder Analysis</w:t>
      </w:r>
      <w:bookmarkEnd w:id="9"/>
    </w:p>
    <w:p w14:paraId="2B089ED2" w14:textId="77777777" w:rsidR="00AC7EEC" w:rsidRDefault="00AC7EEC" w:rsidP="002408D5">
      <w:r w:rsidRPr="0080421C">
        <w:t>To identify and classify stakeholders according to their impact and interest, the Stakeholder Management Matrix—which draws inspiration from Freeman's Stakeholder Theory (</w:t>
      </w:r>
      <w:r w:rsidRPr="0080421C">
        <w:rPr>
          <w:color w:val="222222"/>
          <w:shd w:val="clear" w:color="auto" w:fill="FFFFFF"/>
        </w:rPr>
        <w:t xml:space="preserve">Valentinov </w:t>
      </w:r>
      <w:r w:rsidRPr="0080421C">
        <w:t xml:space="preserve">2022) will be utilized. This paradigm acknowledges the dynamic interactions that exist between stakeholders and organizations. Furthermore, the Institutional Theory put forward. </w:t>
      </w:r>
      <w:proofErr w:type="spellStart"/>
      <w:r w:rsidRPr="0080421C">
        <w:rPr>
          <w:color w:val="222222"/>
          <w:shd w:val="clear" w:color="auto" w:fill="FFFFFF"/>
        </w:rPr>
        <w:t>Pfajfar</w:t>
      </w:r>
      <w:proofErr w:type="spellEnd"/>
      <w:r w:rsidRPr="0080421C">
        <w:rPr>
          <w:color w:val="222222"/>
          <w:shd w:val="clear" w:color="auto" w:fill="FFFFFF"/>
        </w:rPr>
        <w:t xml:space="preserve"> et al.</w:t>
      </w:r>
      <w:r w:rsidRPr="0080421C">
        <w:t xml:space="preserve"> (2022) will direct the evaluation of Google's actions in relation to social norms, impacting its credibility in the perspective of stakeholders. The Stakeholder Management Matrix is based on Freeman's Stakeholder Theory, which directs the process of identifying and classifying stakeholder according to their interests and level of impact (</w:t>
      </w:r>
      <w:r w:rsidRPr="0080421C">
        <w:rPr>
          <w:color w:val="222222"/>
          <w:shd w:val="clear" w:color="auto" w:fill="FFFFFF"/>
        </w:rPr>
        <w:t xml:space="preserve">Valentinov </w:t>
      </w:r>
      <w:r w:rsidRPr="0080421C">
        <w:t>2022). To effectively engage stakeholders, companies must recognize the dynamic interactions that exist between them (</w:t>
      </w:r>
      <w:r w:rsidRPr="0080421C">
        <w:rPr>
          <w:color w:val="222222"/>
          <w:shd w:val="clear" w:color="auto" w:fill="FFFFFF"/>
        </w:rPr>
        <w:t>Nonet, et al. 2022</w:t>
      </w:r>
      <w:r w:rsidRPr="0080421C">
        <w:t>). Additionally, stakeholders' perceptions of Google's credibility are affected by the Institution Theory, which was put out by DiMaggio and Powell in 1983 and directs the evaluation of the company's compliance with cultural standards. By utilizing these ideas to guide a proactive approach, strategic stakeholder involvement is ensured, leading to better relationships and improved project alignment with society expectations.</w:t>
      </w:r>
    </w:p>
    <w:p w14:paraId="04C1B9A1" w14:textId="77777777" w:rsidR="00AC7EEC" w:rsidRPr="00310EC5" w:rsidRDefault="00AC7EEC" w:rsidP="002408D5">
      <w:pPr>
        <w:pStyle w:val="Heading2"/>
      </w:pPr>
      <w:bookmarkStart w:id="10" w:name="_Toc149949161"/>
      <w:r w:rsidRPr="00310EC5">
        <w:t>Risk Factor Evaluation</w:t>
      </w:r>
      <w:bookmarkEnd w:id="10"/>
    </w:p>
    <w:p w14:paraId="16FB1914" w14:textId="77777777" w:rsidR="00AC7EEC" w:rsidRDefault="00AC7EEC" w:rsidP="002408D5">
      <w:r w:rsidRPr="00076B66">
        <w:t>The identification, evaluation, and prioritizing of risks will be done using the Risk Matrix, which was influenced by the Risk-Response Planning concept. Proactive methods to reduce possible problems can be developed using this concept (</w:t>
      </w:r>
      <w:r w:rsidRPr="00076B66">
        <w:rPr>
          <w:color w:val="222222"/>
          <w:shd w:val="clear" w:color="auto" w:fill="FFFFFF"/>
        </w:rPr>
        <w:t>Rasheed ET AL. 2022</w:t>
      </w:r>
      <w:r w:rsidRPr="00076B66">
        <w:t>). The risk assessment process will be guided by the VUCA (Volatility, Uncertainty, Complexity, Ambiguity) paradigm, which acknowledges the dynamic character of the outside world and the necessity of adaptive tactics (</w:t>
      </w:r>
      <w:proofErr w:type="spellStart"/>
      <w:r w:rsidRPr="00076B66">
        <w:rPr>
          <w:color w:val="222222"/>
          <w:shd w:val="clear" w:color="auto" w:fill="FFFFFF"/>
        </w:rPr>
        <w:t>Adobor</w:t>
      </w:r>
      <w:proofErr w:type="spellEnd"/>
      <w:r w:rsidRPr="00076B66">
        <w:rPr>
          <w:color w:val="222222"/>
          <w:shd w:val="clear" w:color="auto" w:fill="FFFFFF"/>
        </w:rPr>
        <w:t xml:space="preserve"> et al. 2021</w:t>
      </w:r>
      <w:r w:rsidRPr="00076B66">
        <w:t>). Furthermore, Scenario Planning will be utilized to imagine possible future hazards and create plans for associated mitigation (</w:t>
      </w:r>
      <w:r w:rsidRPr="00076B66">
        <w:rPr>
          <w:color w:val="222222"/>
          <w:shd w:val="clear" w:color="auto" w:fill="FFFFFF"/>
        </w:rPr>
        <w:t>Keith et al. 2022</w:t>
      </w:r>
      <w:r w:rsidRPr="00076B66">
        <w:t>). A valuable tool for the methodical identification, evaluation, and prioritizing of risks is the Risk Matrix, which is based on the Risk-Response Planning paradigm (</w:t>
      </w:r>
      <w:proofErr w:type="spellStart"/>
      <w:r w:rsidRPr="00076B66">
        <w:rPr>
          <w:color w:val="222222"/>
          <w:shd w:val="clear" w:color="auto" w:fill="FFFFFF"/>
        </w:rPr>
        <w:t>Tamošaitien</w:t>
      </w:r>
      <w:proofErr w:type="spellEnd"/>
      <w:r w:rsidRPr="00076B66">
        <w:rPr>
          <w:color w:val="222222"/>
          <w:shd w:val="clear" w:color="auto" w:fill="FFFFFF"/>
        </w:rPr>
        <w:t xml:space="preserve"> et al. 2021</w:t>
      </w:r>
      <w:r w:rsidRPr="00076B66">
        <w:t xml:space="preserve">). </w:t>
      </w:r>
      <w:r w:rsidRPr="00076B66">
        <w:rPr>
          <w:color w:val="222222"/>
          <w:shd w:val="clear" w:color="auto" w:fill="FFFFFF"/>
        </w:rPr>
        <w:t>Thompson et al.</w:t>
      </w:r>
      <w:r w:rsidRPr="00076B66">
        <w:t xml:space="preserve"> (2022) have noted that this paradigm facilitates the creation of proactive initiatives aimed at reducing possible obstacles, hence augmenting risk management. Acknowledging the dynamic character of the outside world, the evaluation of risks is further guided by the VUCA (Volatility, Uncertainty, Complexity, Ambiguity) model (</w:t>
      </w:r>
      <w:r w:rsidRPr="00076B66">
        <w:rPr>
          <w:color w:val="222222"/>
          <w:shd w:val="clear" w:color="auto" w:fill="FFFFFF"/>
        </w:rPr>
        <w:t xml:space="preserve">Nowacka and </w:t>
      </w:r>
      <w:proofErr w:type="spellStart"/>
      <w:r w:rsidRPr="00076B66">
        <w:rPr>
          <w:color w:val="222222"/>
          <w:shd w:val="clear" w:color="auto" w:fill="FFFFFF"/>
        </w:rPr>
        <w:t>Rzemieniak</w:t>
      </w:r>
      <w:proofErr w:type="spellEnd"/>
      <w:r w:rsidRPr="00076B66">
        <w:rPr>
          <w:color w:val="222222"/>
          <w:shd w:val="clear" w:color="auto" w:fill="FFFFFF"/>
        </w:rPr>
        <w:t xml:space="preserve"> 2021</w:t>
      </w:r>
      <w:r w:rsidRPr="00076B66">
        <w:t xml:space="preserve">). According to </w:t>
      </w:r>
      <w:proofErr w:type="spellStart"/>
      <w:r w:rsidRPr="00076B66">
        <w:rPr>
          <w:color w:val="222222"/>
          <w:shd w:val="clear" w:color="auto" w:fill="FFFFFF"/>
        </w:rPr>
        <w:t>Muiderman</w:t>
      </w:r>
      <w:proofErr w:type="spellEnd"/>
      <w:r w:rsidRPr="00076B66">
        <w:rPr>
          <w:color w:val="222222"/>
          <w:shd w:val="clear" w:color="auto" w:fill="FFFFFF"/>
        </w:rPr>
        <w:t xml:space="preserve"> et al.</w:t>
      </w:r>
      <w:r w:rsidRPr="00076B66">
        <w:t xml:space="preserve"> (2022), scenario planning is a useful tool that enhances the risk appraisal process by helping to formulate adaptive mitigation approaches and conceptualizing probable future hazards. This ensures resilience in the face of uncertainty.</w:t>
      </w:r>
    </w:p>
    <w:p w14:paraId="39FDC199" w14:textId="77777777" w:rsidR="00AC7EEC" w:rsidRPr="00F01720" w:rsidRDefault="00AC7EEC" w:rsidP="002408D5">
      <w:pPr>
        <w:pStyle w:val="Heading2"/>
      </w:pPr>
      <w:bookmarkStart w:id="11" w:name="_Toc149949162"/>
      <w:r w:rsidRPr="00F01720">
        <w:t>Challenges faced</w:t>
      </w:r>
      <w:bookmarkEnd w:id="11"/>
    </w:p>
    <w:p w14:paraId="56F8E04D" w14:textId="77777777" w:rsidR="00AC7EEC" w:rsidRPr="009778F0" w:rsidRDefault="00AC7EEC" w:rsidP="002408D5">
      <w:r w:rsidRPr="009778F0">
        <w:t>Potential cost overruns, delays, stakeholder disputes, and unanticipated environmental effects are just a few of the difficulties that might occur during the project. It will need initiative to overcome these obstacles. The utilization of the Project Life Cycle (PLC) model facilitates strategic planning by helping to anticipate obstacles at various phases. Shareholder disputes can be effectively solved via the assistance of conflict mediation examples, which include the Jones-Kilmann Problem Mode Instrument (</w:t>
      </w:r>
      <w:proofErr w:type="spellStart"/>
      <w:r w:rsidRPr="009778F0">
        <w:rPr>
          <w:color w:val="222222"/>
          <w:shd w:val="clear" w:color="auto" w:fill="FFFFFF"/>
        </w:rPr>
        <w:t>Beccarini</w:t>
      </w:r>
      <w:proofErr w:type="spellEnd"/>
      <w:r w:rsidRPr="009778F0">
        <w:rPr>
          <w:color w:val="222222"/>
          <w:shd w:val="clear" w:color="auto" w:fill="FFFFFF"/>
        </w:rPr>
        <w:t xml:space="preserve"> et al. 2023</w:t>
      </w:r>
      <w:r w:rsidRPr="009778F0">
        <w:t>).</w:t>
      </w:r>
    </w:p>
    <w:p w14:paraId="24C1BC05" w14:textId="77777777" w:rsidR="00AC7EEC" w:rsidRPr="006840BD" w:rsidRDefault="00AC7EEC" w:rsidP="002408D5">
      <w:pPr>
        <w:pStyle w:val="Heading2"/>
      </w:pPr>
      <w:bookmarkStart w:id="12" w:name="_Toc149949163"/>
      <w:r w:rsidRPr="006840BD">
        <w:t>Utilizing Theories and Models in the Professional World:</w:t>
      </w:r>
      <w:bookmarkEnd w:id="12"/>
    </w:p>
    <w:p w14:paraId="1B1CD68F" w14:textId="77777777" w:rsidR="00AC7EEC" w:rsidRPr="00596043" w:rsidRDefault="00AC7EEC" w:rsidP="002408D5">
      <w:r w:rsidRPr="00596043">
        <w:t xml:space="preserve">These ideas and concepts are being applied outside of the project itself to impact Google's strategy as well as workplace culture. According to </w:t>
      </w:r>
      <w:r w:rsidRPr="00596043">
        <w:rPr>
          <w:color w:val="222222"/>
          <w:shd w:val="clear" w:color="auto" w:fill="FFFFFF"/>
        </w:rPr>
        <w:t xml:space="preserve">Niyi Anifowose et al. </w:t>
      </w:r>
      <w:r w:rsidRPr="00596043">
        <w:t>(2022), the TQM framework, for example, encourages innovation and continual development inside the company. Strengthening Google's CSR initiatives, the Stakeholder Engagement Matrix supports an anticipatory and systematic strategy regarding interactions with stakeholders. These models aid in the creation of an organization that learns and changes in response to its environment.</w:t>
      </w:r>
    </w:p>
    <w:p w14:paraId="3C5FF993" w14:textId="77777777" w:rsidR="00AC7EEC" w:rsidRPr="00F42E06" w:rsidRDefault="00AC7EEC" w:rsidP="002408D5">
      <w:pPr>
        <w:pStyle w:val="Heading2"/>
      </w:pPr>
      <w:bookmarkStart w:id="13" w:name="_Toc149949164"/>
      <w:r w:rsidRPr="00F42E06">
        <w:t>Recommendations</w:t>
      </w:r>
      <w:bookmarkEnd w:id="13"/>
    </w:p>
    <w:p w14:paraId="48F65D22" w14:textId="77777777" w:rsidR="00AC7EEC" w:rsidRDefault="00AC7EEC" w:rsidP="002408D5">
      <w:r w:rsidRPr="00F42E06">
        <w:t>Various recommendations can be made to improve the overall efficacy of the project based on the evaluation. A specialized risk management team may be established and possible issues can be proactively identified and addressed with the help of the Risk Matrix and VUCA model. EVM tool integration with financial management systems guarantees real-time cost tracking and enables timely remedial action. Working in conjunction with local communities under the direction of Institutional Theory can promote constructive connections and reduce the likelihood of conflict. Handling hazards in a dynamic environment needs continual monitoring and change, driven by the PLC model's principles.</w:t>
      </w:r>
    </w:p>
    <w:p w14:paraId="2E5FCE4C" w14:textId="77777777" w:rsidR="00AC7EEC" w:rsidRDefault="00AC7EEC" w:rsidP="002408D5">
      <w:pPr>
        <w:pStyle w:val="Heading1"/>
        <w:rPr>
          <w:rFonts w:cs="Times New Roman"/>
          <w:b w:val="0"/>
          <w:bCs/>
          <w:szCs w:val="28"/>
        </w:rPr>
      </w:pPr>
      <w:bookmarkStart w:id="14" w:name="_Toc149926461"/>
      <w:bookmarkStart w:id="15" w:name="_Toc149949165"/>
      <w:r w:rsidRPr="00BE5FFA">
        <w:rPr>
          <w:rFonts w:cs="Times New Roman"/>
          <w:bCs/>
          <w:szCs w:val="28"/>
        </w:rPr>
        <w:t>Conclusion</w:t>
      </w:r>
      <w:bookmarkEnd w:id="14"/>
      <w:bookmarkEnd w:id="15"/>
    </w:p>
    <w:p w14:paraId="046093A9" w14:textId="50D5D536" w:rsidR="00A34D4A" w:rsidRPr="00915D7E" w:rsidRDefault="00AC7EEC" w:rsidP="002408D5">
      <w:r>
        <w:t xml:space="preserve">In conclusion, the thorough analysis of Google's London headquarters project's budget, schedule, quality, stakeholders, and risk factors has yielded important insights on the project's future course and possible outcomes. A thorough grasp of project dynamics has been made possible by the use of theories and models such as Risk-Response Planning, Stakeholder Theory, Institutional Theory, Earned Value Management, Critical Path Method, and Total Quality Management. In addition to ensuring financial sustainability, the budget examination utilizes proactive risk mitigation strategies, motivated by Earned Value Management and financial modeling. The Time-Cost Trade-Off model and the Critical Path Method emphasize how important it is to conclude projects on schedule, and why efficient project leadership is necessary to prevent </w:t>
      </w:r>
      <w:proofErr w:type="spellStart"/>
      <w:r>
        <w:t>spiraling</w:t>
      </w:r>
      <w:proofErr w:type="spellEnd"/>
      <w:r>
        <w:t xml:space="preserve"> delays. Google's dedication to quality and sustainability can be observed in its quality assessment and is based on environmental impact evaluations and total quality management. Stakeholder analysis guarantees strategic participation and aligns the project with the norms of society. It is informed by Freeman's Stakeholder Theory and Institutional Theory. Together, the Risk Matrix, VUCA model, and scenario planning strengthen the assessment of risk factors and highlight proactive approaches to possible problems. Problems like overspending and disputes amongst </w:t>
      </w:r>
      <w:r w:rsidR="00F02EE2">
        <w:t>stakeholders’</w:t>
      </w:r>
      <w:r>
        <w:t xml:space="preserve"> demand that </w:t>
      </w:r>
      <w:r w:rsidR="00F02EE2">
        <w:t>they</w:t>
      </w:r>
      <w:r>
        <w:t xml:space="preserve"> adopt a proactive stance. These theoretical frameworks are not limited to project management; they also impact Google's organizational tactics and promote flexibility and creativity.</w:t>
      </w:r>
    </w:p>
    <w:p w14:paraId="2F3AA072" w14:textId="72C3196F" w:rsidR="00F41DC0" w:rsidRPr="00DE1CDC" w:rsidRDefault="00F41DC0" w:rsidP="002408D5">
      <w:pPr>
        <w:rPr>
          <w:rFonts w:cs="Times New Roman"/>
          <w:szCs w:val="24"/>
        </w:rPr>
      </w:pPr>
      <w:r w:rsidRPr="00476B3F">
        <w:rPr>
          <w:rFonts w:cs="Times New Roman"/>
          <w:b/>
          <w:sz w:val="28"/>
          <w:szCs w:val="28"/>
          <w:lang w:val="en-US"/>
        </w:rPr>
        <w:br w:type="page"/>
      </w:r>
    </w:p>
    <w:p w14:paraId="0BB14B6F" w14:textId="1BA6768B" w:rsidR="0040632C" w:rsidRPr="00476B3F" w:rsidRDefault="0040632C" w:rsidP="002408D5">
      <w:pPr>
        <w:pStyle w:val="Heading1"/>
        <w:rPr>
          <w:lang w:val="en-US"/>
        </w:rPr>
      </w:pPr>
      <w:bookmarkStart w:id="16" w:name="_Toc149926462"/>
      <w:bookmarkStart w:id="17" w:name="_Toc149949166"/>
      <w:r w:rsidRPr="00476B3F">
        <w:rPr>
          <w:lang w:val="en-US"/>
        </w:rPr>
        <w:t>Reference</w:t>
      </w:r>
      <w:bookmarkEnd w:id="16"/>
      <w:bookmarkEnd w:id="17"/>
    </w:p>
    <w:p w14:paraId="45E10A52" w14:textId="77777777" w:rsidR="001F1F3C" w:rsidRPr="001F1F3C" w:rsidRDefault="001F1F3C" w:rsidP="002408D5">
      <w:pPr>
        <w:rPr>
          <w:lang w:val="en-GB"/>
        </w:rPr>
      </w:pPr>
      <w:proofErr w:type="spellStart"/>
      <w:r w:rsidRPr="001F1F3C">
        <w:rPr>
          <w:lang w:val="en-GB"/>
        </w:rPr>
        <w:t>AbdelShakour</w:t>
      </w:r>
      <w:proofErr w:type="spellEnd"/>
      <w:r w:rsidRPr="001F1F3C">
        <w:rPr>
          <w:lang w:val="en-GB"/>
        </w:rPr>
        <w:t xml:space="preserve"> Ali, H., Hassan </w:t>
      </w:r>
      <w:proofErr w:type="spellStart"/>
      <w:r w:rsidRPr="001F1F3C">
        <w:rPr>
          <w:lang w:val="en-GB"/>
        </w:rPr>
        <w:t>Elborombaly</w:t>
      </w:r>
      <w:proofErr w:type="spellEnd"/>
      <w:r w:rsidRPr="001F1F3C">
        <w:rPr>
          <w:lang w:val="en-GB"/>
        </w:rPr>
        <w:t>, H.E. and Maarouf Ahmed, D., 2020. ECONOMIC DEVELOPMENT OF HISTORIC DISTRICTS THROUGH ADAPTIVE REUSE:[THE CASE STUDY OF KING'S CROSS REGENERATION PROJECT IN LONDON, UK]. </w:t>
      </w:r>
      <w:r w:rsidRPr="001F1F3C">
        <w:rPr>
          <w:i/>
          <w:iCs/>
          <w:lang w:val="en-GB"/>
        </w:rPr>
        <w:t>International Journal of Multidisciplinary Studies on Management, Business, and Economy</w:t>
      </w:r>
      <w:r w:rsidRPr="001F1F3C">
        <w:rPr>
          <w:lang w:val="en-GB"/>
        </w:rPr>
        <w:t>, </w:t>
      </w:r>
      <w:r w:rsidRPr="001F1F3C">
        <w:rPr>
          <w:i/>
          <w:iCs/>
          <w:lang w:val="en-GB"/>
        </w:rPr>
        <w:t>3</w:t>
      </w:r>
      <w:r w:rsidRPr="001F1F3C">
        <w:rPr>
          <w:lang w:val="en-GB"/>
        </w:rPr>
        <w:t xml:space="preserve">(1), pp.10-13. </w:t>
      </w:r>
      <w:hyperlink r:id="rId9" w:history="1">
        <w:r w:rsidRPr="001F1F3C">
          <w:rPr>
            <w:rStyle w:val="Hyperlink"/>
            <w:rFonts w:cs="Times New Roman"/>
            <w:szCs w:val="24"/>
            <w:lang w:val="en-GB"/>
          </w:rPr>
          <w:t>https://ijmsbe.journals.ekb.eg/article_182935.html</w:t>
        </w:r>
      </w:hyperlink>
    </w:p>
    <w:p w14:paraId="6555BBA9" w14:textId="77777777" w:rsidR="001F1F3C" w:rsidRPr="00504B4A" w:rsidRDefault="001F1F3C" w:rsidP="002408D5">
      <w:proofErr w:type="spellStart"/>
      <w:r w:rsidRPr="001F1F3C">
        <w:rPr>
          <w:shd w:val="clear" w:color="auto" w:fill="FFFFFF"/>
        </w:rPr>
        <w:t>Adobor</w:t>
      </w:r>
      <w:proofErr w:type="spellEnd"/>
      <w:r w:rsidRPr="001F1F3C">
        <w:rPr>
          <w:shd w:val="clear" w:color="auto" w:fill="FFFFFF"/>
        </w:rPr>
        <w:t xml:space="preserve">, H., Darbi, W.P.K. and </w:t>
      </w:r>
      <w:proofErr w:type="spellStart"/>
      <w:r w:rsidRPr="001F1F3C">
        <w:rPr>
          <w:shd w:val="clear" w:color="auto" w:fill="FFFFFF"/>
        </w:rPr>
        <w:t>Damoah</w:t>
      </w:r>
      <w:proofErr w:type="spellEnd"/>
      <w:r w:rsidRPr="001F1F3C">
        <w:rPr>
          <w:shd w:val="clear" w:color="auto" w:fill="FFFFFF"/>
        </w:rPr>
        <w:t>, O.B.O., 2021. Strategy in the era of “swans”: the role of strategic leadership under uncertainty and unpredictability. </w:t>
      </w:r>
      <w:r w:rsidRPr="001F1F3C">
        <w:rPr>
          <w:i/>
          <w:iCs/>
          <w:shd w:val="clear" w:color="auto" w:fill="FFFFFF"/>
        </w:rPr>
        <w:t>Journal of Strategy and Management</w:t>
      </w:r>
      <w:r w:rsidRPr="001F1F3C">
        <w:rPr>
          <w:shd w:val="clear" w:color="auto" w:fill="FFFFFF"/>
        </w:rPr>
        <w:t>.</w:t>
      </w:r>
    </w:p>
    <w:p w14:paraId="250D345D" w14:textId="77777777" w:rsidR="001F1F3C" w:rsidRPr="001F1F3C" w:rsidRDefault="001F1F3C" w:rsidP="002408D5">
      <w:pPr>
        <w:rPr>
          <w:lang w:val="en-GB"/>
        </w:rPr>
      </w:pPr>
      <w:r w:rsidRPr="001F1F3C">
        <w:rPr>
          <w:lang w:val="en-US"/>
        </w:rPr>
        <w:t>Agarwal, T., Arya, S. and Bhasin, K., 2022. Evaluating the impact of Coronavirus Disease-2019 pandemic on employer branding, employee engagement and employee performance: A moderation study of Indian information technology firms. </w:t>
      </w:r>
      <w:r w:rsidRPr="001F1F3C">
        <w:rPr>
          <w:i/>
          <w:iCs/>
          <w:lang w:val="en-US"/>
        </w:rPr>
        <w:t>Global Business Review</w:t>
      </w:r>
      <w:r w:rsidRPr="001F1F3C">
        <w:rPr>
          <w:lang w:val="en-US"/>
        </w:rPr>
        <w:t xml:space="preserve">, p.09721509221119014. </w:t>
      </w:r>
      <w:hyperlink r:id="rId10" w:history="1">
        <w:r w:rsidRPr="001F1F3C">
          <w:rPr>
            <w:rStyle w:val="Hyperlink"/>
            <w:rFonts w:cs="Times New Roman"/>
            <w:szCs w:val="24"/>
            <w:lang w:val="en-US"/>
          </w:rPr>
          <w:t>https://journals.sagepub.com/doi/abs/10.1177/09721509221119014</w:t>
        </w:r>
      </w:hyperlink>
    </w:p>
    <w:p w14:paraId="069E91D4" w14:textId="77777777" w:rsidR="001F1F3C" w:rsidRPr="001F1F3C" w:rsidRDefault="001F1F3C" w:rsidP="002408D5">
      <w:pPr>
        <w:rPr>
          <w:shd w:val="clear" w:color="auto" w:fill="FFFFFF"/>
        </w:rPr>
      </w:pPr>
      <w:proofErr w:type="spellStart"/>
      <w:r w:rsidRPr="001F1F3C">
        <w:rPr>
          <w:shd w:val="clear" w:color="auto" w:fill="FFFFFF"/>
        </w:rPr>
        <w:t>Alketbi</w:t>
      </w:r>
      <w:proofErr w:type="spellEnd"/>
      <w:r w:rsidRPr="001F1F3C">
        <w:rPr>
          <w:shd w:val="clear" w:color="auto" w:fill="FFFFFF"/>
        </w:rPr>
        <w:t xml:space="preserve">, K., </w:t>
      </w:r>
      <w:proofErr w:type="spellStart"/>
      <w:r w:rsidRPr="001F1F3C">
        <w:rPr>
          <w:shd w:val="clear" w:color="auto" w:fill="FFFFFF"/>
        </w:rPr>
        <w:t>Elmualim</w:t>
      </w:r>
      <w:proofErr w:type="spellEnd"/>
      <w:r w:rsidRPr="001F1F3C">
        <w:rPr>
          <w:shd w:val="clear" w:color="auto" w:fill="FFFFFF"/>
        </w:rPr>
        <w:t xml:space="preserve">, A. and </w:t>
      </w:r>
      <w:proofErr w:type="spellStart"/>
      <w:r w:rsidRPr="001F1F3C">
        <w:rPr>
          <w:shd w:val="clear" w:color="auto" w:fill="FFFFFF"/>
        </w:rPr>
        <w:t>Mushtaha</w:t>
      </w:r>
      <w:proofErr w:type="spellEnd"/>
      <w:r w:rsidRPr="001F1F3C">
        <w:rPr>
          <w:shd w:val="clear" w:color="auto" w:fill="FFFFFF"/>
        </w:rPr>
        <w:t>, E.S., 2022. INVESTIGATING THE FACTORS INFLUENCING THE TQM IMPLEMENTATION ON ORGANIZATIONS PERFORMANCE. </w:t>
      </w:r>
      <w:r w:rsidRPr="001F1F3C">
        <w:rPr>
          <w:i/>
          <w:iCs/>
          <w:shd w:val="clear" w:color="auto" w:fill="FFFFFF"/>
        </w:rPr>
        <w:t>International Journal for Quality Research</w:t>
      </w:r>
      <w:r w:rsidRPr="001F1F3C">
        <w:rPr>
          <w:shd w:val="clear" w:color="auto" w:fill="FFFFFF"/>
        </w:rPr>
        <w:t>, </w:t>
      </w:r>
      <w:r w:rsidRPr="001F1F3C">
        <w:rPr>
          <w:i/>
          <w:iCs/>
          <w:shd w:val="clear" w:color="auto" w:fill="FFFFFF"/>
        </w:rPr>
        <w:t>16</w:t>
      </w:r>
      <w:r w:rsidRPr="001F1F3C">
        <w:rPr>
          <w:shd w:val="clear" w:color="auto" w:fill="FFFFFF"/>
        </w:rPr>
        <w:t>(3).</w:t>
      </w:r>
    </w:p>
    <w:p w14:paraId="0C4D34C8" w14:textId="77777777" w:rsidR="001F1F3C" w:rsidRPr="001F1F3C" w:rsidRDefault="001F1F3C" w:rsidP="002408D5">
      <w:pPr>
        <w:rPr>
          <w:shd w:val="clear" w:color="auto" w:fill="FFFFFF"/>
        </w:rPr>
      </w:pPr>
      <w:r w:rsidRPr="001F1F3C">
        <w:rPr>
          <w:shd w:val="clear" w:color="auto" w:fill="FFFFFF"/>
        </w:rPr>
        <w:t>Alzoubi, H.M., 2022. BIM as a tool to optimize and manage project risk management. </w:t>
      </w:r>
      <w:r w:rsidRPr="001F1F3C">
        <w:rPr>
          <w:i/>
          <w:iCs/>
          <w:shd w:val="clear" w:color="auto" w:fill="FFFFFF"/>
        </w:rPr>
        <w:t>International Journal of Mechanical Engineering</w:t>
      </w:r>
      <w:r w:rsidRPr="001F1F3C">
        <w:rPr>
          <w:shd w:val="clear" w:color="auto" w:fill="FFFFFF"/>
        </w:rPr>
        <w:t>, </w:t>
      </w:r>
      <w:r w:rsidRPr="001F1F3C">
        <w:rPr>
          <w:i/>
          <w:iCs/>
          <w:shd w:val="clear" w:color="auto" w:fill="FFFFFF"/>
        </w:rPr>
        <w:t>7</w:t>
      </w:r>
      <w:r w:rsidRPr="001F1F3C">
        <w:rPr>
          <w:shd w:val="clear" w:color="auto" w:fill="FFFFFF"/>
        </w:rPr>
        <w:t>(1).</w:t>
      </w:r>
    </w:p>
    <w:p w14:paraId="08EE8A11" w14:textId="77777777" w:rsidR="001F1F3C" w:rsidRPr="00504B4A" w:rsidRDefault="001F1F3C" w:rsidP="002408D5">
      <w:proofErr w:type="spellStart"/>
      <w:r w:rsidRPr="001F1F3C">
        <w:rPr>
          <w:shd w:val="clear" w:color="auto" w:fill="FFFFFF"/>
        </w:rPr>
        <w:t>Beccarini</w:t>
      </w:r>
      <w:proofErr w:type="spellEnd"/>
      <w:r w:rsidRPr="001F1F3C">
        <w:rPr>
          <w:shd w:val="clear" w:color="auto" w:fill="FFFFFF"/>
        </w:rPr>
        <w:t xml:space="preserve">, I., </w:t>
      </w:r>
      <w:proofErr w:type="spellStart"/>
      <w:r w:rsidRPr="001F1F3C">
        <w:rPr>
          <w:shd w:val="clear" w:color="auto" w:fill="FFFFFF"/>
        </w:rPr>
        <w:t>Beunza</w:t>
      </w:r>
      <w:proofErr w:type="spellEnd"/>
      <w:r w:rsidRPr="001F1F3C">
        <w:rPr>
          <w:shd w:val="clear" w:color="auto" w:fill="FFFFFF"/>
        </w:rPr>
        <w:t>, D., Ferraro, F. and Hoepner, A.G., 2023. The contingent role of conflict: Deliberative interaction and disagreement in shareholder engagement. </w:t>
      </w:r>
      <w:r w:rsidRPr="001F1F3C">
        <w:rPr>
          <w:i/>
          <w:iCs/>
          <w:shd w:val="clear" w:color="auto" w:fill="FFFFFF"/>
        </w:rPr>
        <w:t>Business Ethics Quarterly</w:t>
      </w:r>
      <w:r w:rsidRPr="001F1F3C">
        <w:rPr>
          <w:shd w:val="clear" w:color="auto" w:fill="FFFFFF"/>
        </w:rPr>
        <w:t>, </w:t>
      </w:r>
      <w:r w:rsidRPr="001F1F3C">
        <w:rPr>
          <w:i/>
          <w:iCs/>
          <w:shd w:val="clear" w:color="auto" w:fill="FFFFFF"/>
        </w:rPr>
        <w:t>33</w:t>
      </w:r>
      <w:r w:rsidRPr="001F1F3C">
        <w:rPr>
          <w:shd w:val="clear" w:color="auto" w:fill="FFFFFF"/>
        </w:rPr>
        <w:t>(1), pp.26-66.</w:t>
      </w:r>
    </w:p>
    <w:p w14:paraId="42336480" w14:textId="77777777" w:rsidR="001F1F3C" w:rsidRPr="001F1F3C" w:rsidRDefault="001F1F3C" w:rsidP="002408D5">
      <w:pPr>
        <w:rPr>
          <w:lang w:val="en-GB"/>
        </w:rPr>
      </w:pPr>
      <w:r w:rsidRPr="001F1F3C">
        <w:rPr>
          <w:lang w:val="en-GB"/>
        </w:rPr>
        <w:t>Briones-Peñalver, A.J., Bernal-Conesa, J.A. and de Nieves Nieto, C., 2020. Knowledge and innovation management model. Its influence on technology transfer and performance in Spanish Defence industry. </w:t>
      </w:r>
      <w:r w:rsidRPr="001F1F3C">
        <w:rPr>
          <w:i/>
          <w:iCs/>
          <w:lang w:val="en-GB"/>
        </w:rPr>
        <w:t>International entrepreneurship and management journal</w:t>
      </w:r>
      <w:r w:rsidRPr="001F1F3C">
        <w:rPr>
          <w:lang w:val="en-GB"/>
        </w:rPr>
        <w:t>, </w:t>
      </w:r>
      <w:r w:rsidRPr="001F1F3C">
        <w:rPr>
          <w:i/>
          <w:iCs/>
          <w:lang w:val="en-GB"/>
        </w:rPr>
        <w:t>16</w:t>
      </w:r>
      <w:r w:rsidRPr="001F1F3C">
        <w:rPr>
          <w:lang w:val="en-GB"/>
        </w:rPr>
        <w:t xml:space="preserve">(2), pp.595-615. </w:t>
      </w:r>
      <w:hyperlink r:id="rId11" w:history="1">
        <w:r w:rsidRPr="001F1F3C">
          <w:rPr>
            <w:rStyle w:val="Hyperlink"/>
            <w:rFonts w:cs="Times New Roman"/>
            <w:szCs w:val="24"/>
            <w:lang w:val="en-GB"/>
          </w:rPr>
          <w:t>https://link.springer.com/article/10.1007/s11365-019-00577-6</w:t>
        </w:r>
      </w:hyperlink>
    </w:p>
    <w:p w14:paraId="48A3506D" w14:textId="77777777" w:rsidR="001F1F3C" w:rsidRPr="001F1F3C" w:rsidRDefault="001F1F3C" w:rsidP="002408D5">
      <w:pPr>
        <w:rPr>
          <w:lang w:val="en-GB"/>
        </w:rPr>
      </w:pPr>
      <w:r w:rsidRPr="001F1F3C">
        <w:rPr>
          <w:lang w:val="de-DE"/>
        </w:rPr>
        <w:t>Bruce, A. and Jeromin, C., 2020. Corporate purpose–das Erfolgskonzept der Zukunft. </w:t>
      </w:r>
      <w:r w:rsidRPr="001F1F3C">
        <w:rPr>
          <w:i/>
          <w:iCs/>
          <w:lang w:val="de-DE"/>
        </w:rPr>
        <w:t>Springer Books</w:t>
      </w:r>
      <w:r w:rsidRPr="001F1F3C">
        <w:rPr>
          <w:lang w:val="de-DE"/>
        </w:rPr>
        <w:t xml:space="preserve">. </w:t>
      </w:r>
      <w:hyperlink r:id="rId12" w:history="1">
        <w:r w:rsidRPr="001F1F3C">
          <w:rPr>
            <w:rStyle w:val="Hyperlink"/>
            <w:rFonts w:cs="Times New Roman"/>
            <w:szCs w:val="24"/>
            <w:lang w:val="de-DE"/>
          </w:rPr>
          <w:t>https://link.springer.com/content/pdf/10.1007/978-3-658-29803-6.pdf</w:t>
        </w:r>
      </w:hyperlink>
    </w:p>
    <w:p w14:paraId="3C513BD7" w14:textId="77777777" w:rsidR="001F1F3C" w:rsidRPr="001F1F3C" w:rsidRDefault="001F1F3C" w:rsidP="002408D5">
      <w:pPr>
        <w:rPr>
          <w:lang w:val="en-GB"/>
        </w:rPr>
      </w:pPr>
      <w:r w:rsidRPr="001F1F3C">
        <w:rPr>
          <w:lang w:val="en-US"/>
        </w:rPr>
        <w:t xml:space="preserve">Cooke, P., 2021. After the contagion. ghost city </w:t>
      </w:r>
      <w:proofErr w:type="spellStart"/>
      <w:r w:rsidRPr="001F1F3C">
        <w:rPr>
          <w:lang w:val="en-US"/>
        </w:rPr>
        <w:t>centres</w:t>
      </w:r>
      <w:proofErr w:type="spellEnd"/>
      <w:r w:rsidRPr="001F1F3C">
        <w:rPr>
          <w:lang w:val="en-US"/>
        </w:rPr>
        <w:t xml:space="preserve">: closed “smart” or open </w:t>
      </w:r>
      <w:proofErr w:type="gramStart"/>
      <w:r w:rsidRPr="001F1F3C">
        <w:rPr>
          <w:lang w:val="en-US"/>
        </w:rPr>
        <w:t>greener?.</w:t>
      </w:r>
      <w:proofErr w:type="gramEnd"/>
      <w:r w:rsidRPr="001F1F3C">
        <w:rPr>
          <w:lang w:val="en-US"/>
        </w:rPr>
        <w:t> </w:t>
      </w:r>
      <w:r w:rsidRPr="001F1F3C">
        <w:rPr>
          <w:i/>
          <w:iCs/>
          <w:lang w:val="en-US"/>
        </w:rPr>
        <w:t>Sustainability</w:t>
      </w:r>
      <w:r w:rsidRPr="001F1F3C">
        <w:rPr>
          <w:lang w:val="en-US"/>
        </w:rPr>
        <w:t>, </w:t>
      </w:r>
      <w:r w:rsidRPr="001F1F3C">
        <w:rPr>
          <w:i/>
          <w:iCs/>
          <w:lang w:val="en-US"/>
        </w:rPr>
        <w:t>13</w:t>
      </w:r>
      <w:r w:rsidRPr="001F1F3C">
        <w:rPr>
          <w:lang w:val="en-US"/>
        </w:rPr>
        <w:t xml:space="preserve">(6), p.3071. </w:t>
      </w:r>
      <w:hyperlink r:id="rId13" w:history="1">
        <w:r w:rsidRPr="001F1F3C">
          <w:rPr>
            <w:rStyle w:val="Hyperlink"/>
            <w:rFonts w:cs="Times New Roman"/>
            <w:szCs w:val="24"/>
            <w:lang w:val="en-US"/>
          </w:rPr>
          <w:t>https://www.mdpi.com/2071-1050/13/6/3071</w:t>
        </w:r>
      </w:hyperlink>
    </w:p>
    <w:p w14:paraId="13718392" w14:textId="77777777" w:rsidR="001F1F3C" w:rsidRPr="001F1F3C" w:rsidRDefault="001F1F3C" w:rsidP="002408D5">
      <w:pPr>
        <w:rPr>
          <w:shd w:val="clear" w:color="auto" w:fill="FFFFFF"/>
        </w:rPr>
      </w:pPr>
      <w:proofErr w:type="spellStart"/>
      <w:r w:rsidRPr="001F1F3C">
        <w:rPr>
          <w:shd w:val="clear" w:color="auto" w:fill="FFFFFF"/>
        </w:rPr>
        <w:t>Danfulani</w:t>
      </w:r>
      <w:proofErr w:type="spellEnd"/>
      <w:r w:rsidRPr="001F1F3C">
        <w:rPr>
          <w:shd w:val="clear" w:color="auto" w:fill="FFFFFF"/>
        </w:rPr>
        <w:t xml:space="preserve">, U.B., Mohammed, M., Reuben, B.Z., Yakubu, J.A. and </w:t>
      </w:r>
      <w:proofErr w:type="spellStart"/>
      <w:r w:rsidRPr="001F1F3C">
        <w:rPr>
          <w:shd w:val="clear" w:color="auto" w:fill="FFFFFF"/>
        </w:rPr>
        <w:t>Digil</w:t>
      </w:r>
      <w:proofErr w:type="spellEnd"/>
      <w:r w:rsidRPr="001F1F3C">
        <w:rPr>
          <w:shd w:val="clear" w:color="auto" w:fill="FFFFFF"/>
        </w:rPr>
        <w:t>, S.I., 2023. APPLICATION OF CRITICAL PATH METHOD (CPM) TO OPTIMAL PROJECT SCHEDULING: A CASE OF MOSUL BUILDING COMPANY, YOLA NORTH LOCAL GOVERNMENT ADAMAWA STATE, NIGERIA. </w:t>
      </w:r>
      <w:r w:rsidRPr="001F1F3C">
        <w:rPr>
          <w:i/>
          <w:iCs/>
          <w:shd w:val="clear" w:color="auto" w:fill="FFFFFF"/>
        </w:rPr>
        <w:t>FUDMA JOURNAL OF SCIENCES</w:t>
      </w:r>
      <w:r w:rsidRPr="001F1F3C">
        <w:rPr>
          <w:shd w:val="clear" w:color="auto" w:fill="FFFFFF"/>
        </w:rPr>
        <w:t>, </w:t>
      </w:r>
      <w:r w:rsidRPr="001F1F3C">
        <w:rPr>
          <w:i/>
          <w:iCs/>
          <w:shd w:val="clear" w:color="auto" w:fill="FFFFFF"/>
        </w:rPr>
        <w:t>7</w:t>
      </w:r>
      <w:r w:rsidRPr="001F1F3C">
        <w:rPr>
          <w:shd w:val="clear" w:color="auto" w:fill="FFFFFF"/>
        </w:rPr>
        <w:t>(3), pp.186-192.</w:t>
      </w:r>
    </w:p>
    <w:p w14:paraId="04D13110" w14:textId="77777777" w:rsidR="001F1F3C" w:rsidRPr="001F1F3C" w:rsidRDefault="001F1F3C" w:rsidP="002408D5">
      <w:pPr>
        <w:rPr>
          <w:shd w:val="clear" w:color="auto" w:fill="FFFFFF"/>
        </w:rPr>
      </w:pPr>
      <w:proofErr w:type="spellStart"/>
      <w:r w:rsidRPr="001F1F3C">
        <w:rPr>
          <w:shd w:val="clear" w:color="auto" w:fill="FFFFFF"/>
        </w:rPr>
        <w:t>Dentoni</w:t>
      </w:r>
      <w:proofErr w:type="spellEnd"/>
      <w:r w:rsidRPr="001F1F3C">
        <w:rPr>
          <w:shd w:val="clear" w:color="auto" w:fill="FFFFFF"/>
        </w:rPr>
        <w:t>, D., Bitzer, V. and Pascucci, S., 2016. Cross-sector partnerships and the co-creation of dynamic capabilities for stakeholder orientation. </w:t>
      </w:r>
      <w:r w:rsidRPr="001F1F3C">
        <w:rPr>
          <w:i/>
          <w:iCs/>
          <w:shd w:val="clear" w:color="auto" w:fill="FFFFFF"/>
        </w:rPr>
        <w:t>Journal of business ethics</w:t>
      </w:r>
      <w:r w:rsidRPr="001F1F3C">
        <w:rPr>
          <w:shd w:val="clear" w:color="auto" w:fill="FFFFFF"/>
        </w:rPr>
        <w:t>, </w:t>
      </w:r>
      <w:r w:rsidRPr="001F1F3C">
        <w:rPr>
          <w:i/>
          <w:iCs/>
          <w:shd w:val="clear" w:color="auto" w:fill="FFFFFF"/>
        </w:rPr>
        <w:t>135</w:t>
      </w:r>
      <w:r w:rsidRPr="001F1F3C">
        <w:rPr>
          <w:shd w:val="clear" w:color="auto" w:fill="FFFFFF"/>
        </w:rPr>
        <w:t>, pp.35-53.</w:t>
      </w:r>
    </w:p>
    <w:p w14:paraId="6853EF0D" w14:textId="77777777" w:rsidR="001F1F3C" w:rsidRPr="001F1F3C" w:rsidRDefault="001F1F3C" w:rsidP="002408D5">
      <w:pPr>
        <w:rPr>
          <w:lang w:val="en-GB"/>
        </w:rPr>
      </w:pPr>
      <w:r w:rsidRPr="001F1F3C">
        <w:rPr>
          <w:lang w:val="en-US"/>
        </w:rPr>
        <w:t xml:space="preserve">Füzi, A., Clifton, N. and Loudon, G., 2022. New in-house organizational spaces that support creativity and innovation: the co-working space. </w:t>
      </w:r>
      <w:hyperlink r:id="rId14" w:history="1">
        <w:r w:rsidRPr="001F1F3C">
          <w:rPr>
            <w:rStyle w:val="Hyperlink"/>
            <w:rFonts w:cs="Times New Roman"/>
            <w:szCs w:val="24"/>
            <w:lang w:val="en-US"/>
          </w:rPr>
          <w:t>https://figshare.cardiffmet.ac.uk/articles/conference_contribution/New_in-house_organizational_spaces_that_support_creativity_and_innovation_the_co-working_space/19317431</w:t>
        </w:r>
      </w:hyperlink>
    </w:p>
    <w:p w14:paraId="7706C76C" w14:textId="77777777" w:rsidR="001F1F3C" w:rsidRPr="001F1F3C" w:rsidRDefault="001F1F3C" w:rsidP="002408D5">
      <w:pPr>
        <w:rPr>
          <w:lang w:val="en-GB"/>
        </w:rPr>
      </w:pPr>
      <w:proofErr w:type="spellStart"/>
      <w:r w:rsidRPr="001F1F3C">
        <w:rPr>
          <w:lang w:val="en-US"/>
        </w:rPr>
        <w:t>Gulum</w:t>
      </w:r>
      <w:proofErr w:type="spellEnd"/>
      <w:r w:rsidRPr="001F1F3C">
        <w:rPr>
          <w:lang w:val="en-US"/>
        </w:rPr>
        <w:t xml:space="preserve"> Tas, P., 2022, June. An Overview of the Applications of BWM in Health. In </w:t>
      </w:r>
      <w:r w:rsidRPr="001F1F3C">
        <w:rPr>
          <w:i/>
          <w:iCs/>
          <w:lang w:val="en-US"/>
        </w:rPr>
        <w:t>The International Workshop on Best-Worst Method</w:t>
      </w:r>
      <w:r w:rsidRPr="001F1F3C">
        <w:rPr>
          <w:lang w:val="en-US"/>
        </w:rPr>
        <w:t xml:space="preserve"> (pp. 1-18). Cham: Springer International Publishing. </w:t>
      </w:r>
      <w:hyperlink r:id="rId15" w:history="1">
        <w:r w:rsidRPr="001F1F3C">
          <w:rPr>
            <w:rStyle w:val="Hyperlink"/>
            <w:rFonts w:cs="Times New Roman"/>
            <w:szCs w:val="24"/>
            <w:lang w:val="en-US"/>
          </w:rPr>
          <w:t>https://link.springer.com/chapter/10.1007/978-3-031-24816-0_1</w:t>
        </w:r>
      </w:hyperlink>
    </w:p>
    <w:p w14:paraId="5A1D642F" w14:textId="77777777" w:rsidR="001F1F3C" w:rsidRPr="001F1F3C" w:rsidRDefault="001F1F3C" w:rsidP="002408D5">
      <w:pPr>
        <w:rPr>
          <w:shd w:val="clear" w:color="auto" w:fill="FFFFFF"/>
        </w:rPr>
      </w:pPr>
      <w:r w:rsidRPr="001F1F3C">
        <w:rPr>
          <w:shd w:val="clear" w:color="auto" w:fill="FFFFFF"/>
        </w:rPr>
        <w:t>He, C., Liu, M., Alves, T.D.C., Scala, N.M. and Hsiang, S.M., 2022. Prioritizing collaborative scheduling practices based on their impact on project performance. </w:t>
      </w:r>
      <w:r w:rsidRPr="001F1F3C">
        <w:rPr>
          <w:i/>
          <w:iCs/>
          <w:shd w:val="clear" w:color="auto" w:fill="FFFFFF"/>
        </w:rPr>
        <w:t>Construction Management and Economics</w:t>
      </w:r>
      <w:r w:rsidRPr="001F1F3C">
        <w:rPr>
          <w:shd w:val="clear" w:color="auto" w:fill="FFFFFF"/>
        </w:rPr>
        <w:t>, </w:t>
      </w:r>
      <w:r w:rsidRPr="001F1F3C">
        <w:rPr>
          <w:i/>
          <w:iCs/>
          <w:shd w:val="clear" w:color="auto" w:fill="FFFFFF"/>
        </w:rPr>
        <w:t>40</w:t>
      </w:r>
      <w:r w:rsidRPr="001F1F3C">
        <w:rPr>
          <w:shd w:val="clear" w:color="auto" w:fill="FFFFFF"/>
        </w:rPr>
        <w:t>(7-8), pp.618-637.</w:t>
      </w:r>
    </w:p>
    <w:p w14:paraId="349932EC" w14:textId="77777777" w:rsidR="001F1F3C" w:rsidRPr="00504B4A" w:rsidRDefault="001F1F3C" w:rsidP="002408D5">
      <w:r w:rsidRPr="001F1F3C">
        <w:rPr>
          <w:shd w:val="clear" w:color="auto" w:fill="FFFFFF"/>
        </w:rPr>
        <w:t xml:space="preserve">Keith, L., </w:t>
      </w:r>
      <w:proofErr w:type="spellStart"/>
      <w:r w:rsidRPr="001F1F3C">
        <w:rPr>
          <w:shd w:val="clear" w:color="auto" w:fill="FFFFFF"/>
        </w:rPr>
        <w:t>Meerow</w:t>
      </w:r>
      <w:proofErr w:type="spellEnd"/>
      <w:r w:rsidRPr="001F1F3C">
        <w:rPr>
          <w:shd w:val="clear" w:color="auto" w:fill="FFFFFF"/>
        </w:rPr>
        <w:t xml:space="preserve">, S., Berke, P., DeAngelis, J., Jensen, L., </w:t>
      </w:r>
      <w:proofErr w:type="spellStart"/>
      <w:r w:rsidRPr="001F1F3C">
        <w:rPr>
          <w:shd w:val="clear" w:color="auto" w:fill="FFFFFF"/>
        </w:rPr>
        <w:t>Trego</w:t>
      </w:r>
      <w:proofErr w:type="spellEnd"/>
      <w:r w:rsidRPr="001F1F3C">
        <w:rPr>
          <w:shd w:val="clear" w:color="auto" w:fill="FFFFFF"/>
        </w:rPr>
        <w:t>, S., Schmidt, E. and Smith, S., 2022. Plan Integration for Resilience Scorecard™(PIRS™) for Heat: Spatially evaluating networks of plans to mitigate heat (Version 1.0).</w:t>
      </w:r>
    </w:p>
    <w:p w14:paraId="74434506" w14:textId="77777777" w:rsidR="001F1F3C" w:rsidRPr="001F1F3C" w:rsidRDefault="001F1F3C" w:rsidP="002408D5">
      <w:pPr>
        <w:rPr>
          <w:lang w:val="en-GB"/>
        </w:rPr>
      </w:pPr>
      <w:r w:rsidRPr="001F1F3C">
        <w:rPr>
          <w:lang w:val="en-US"/>
        </w:rPr>
        <w:t>Kim, J., Bauman, F., Raftery, P., Arens, E., Zhang, H., Fierro, G., Andersen, M. and Culler, D., 2019. Occupant comfort and behavior: High-resolution data from a 6-month field study of personal comfort systems with 37 real office workers. </w:t>
      </w:r>
      <w:r w:rsidRPr="001F1F3C">
        <w:rPr>
          <w:i/>
          <w:iCs/>
          <w:lang w:val="en-US"/>
        </w:rPr>
        <w:t>Building and Environment</w:t>
      </w:r>
      <w:r w:rsidRPr="001F1F3C">
        <w:rPr>
          <w:lang w:val="en-US"/>
        </w:rPr>
        <w:t>, </w:t>
      </w:r>
      <w:r w:rsidRPr="001F1F3C">
        <w:rPr>
          <w:i/>
          <w:iCs/>
          <w:lang w:val="en-US"/>
        </w:rPr>
        <w:t>148</w:t>
      </w:r>
      <w:r w:rsidRPr="001F1F3C">
        <w:rPr>
          <w:lang w:val="en-US"/>
        </w:rPr>
        <w:t xml:space="preserve">, pp.348-360. </w:t>
      </w:r>
      <w:hyperlink r:id="rId16" w:history="1">
        <w:r w:rsidRPr="001F1F3C">
          <w:rPr>
            <w:rStyle w:val="Hyperlink"/>
            <w:rFonts w:cs="Times New Roman"/>
            <w:szCs w:val="24"/>
            <w:lang w:val="en-US"/>
          </w:rPr>
          <w:t>https://www.sciencedirect.com/science/article/pii/S0360132318307078</w:t>
        </w:r>
      </w:hyperlink>
    </w:p>
    <w:p w14:paraId="53BBE759" w14:textId="77777777" w:rsidR="001F1F3C" w:rsidRPr="001F1F3C" w:rsidRDefault="001F1F3C" w:rsidP="002408D5">
      <w:pPr>
        <w:rPr>
          <w:lang w:val="en-GB"/>
        </w:rPr>
      </w:pPr>
      <w:r w:rsidRPr="001F1F3C">
        <w:rPr>
          <w:lang w:val="en-US"/>
        </w:rPr>
        <w:t>Kong, D., Lin, C., Wei, L. and Zhang, J., 2022. Information accessibility and corporate innovation. </w:t>
      </w:r>
      <w:r w:rsidRPr="001F1F3C">
        <w:rPr>
          <w:i/>
          <w:iCs/>
          <w:lang w:val="en-US"/>
        </w:rPr>
        <w:t>Management Science</w:t>
      </w:r>
      <w:r w:rsidRPr="001F1F3C">
        <w:rPr>
          <w:lang w:val="en-US"/>
        </w:rPr>
        <w:t>, </w:t>
      </w:r>
      <w:r w:rsidRPr="001F1F3C">
        <w:rPr>
          <w:i/>
          <w:iCs/>
          <w:lang w:val="en-US"/>
        </w:rPr>
        <w:t>68</w:t>
      </w:r>
      <w:r w:rsidRPr="001F1F3C">
        <w:rPr>
          <w:lang w:val="en-US"/>
        </w:rPr>
        <w:t xml:space="preserve">(11), pp.7837-7860. </w:t>
      </w:r>
      <w:hyperlink r:id="rId17" w:history="1">
        <w:r w:rsidRPr="001F1F3C">
          <w:rPr>
            <w:rStyle w:val="Hyperlink"/>
            <w:rFonts w:cs="Times New Roman"/>
            <w:szCs w:val="24"/>
            <w:lang w:val="en-US"/>
          </w:rPr>
          <w:t>https://pubsonline.informs.org/doi/abs/10.1287/mnsc.2021.4224</w:t>
        </w:r>
      </w:hyperlink>
    </w:p>
    <w:p w14:paraId="6AA71806" w14:textId="77777777" w:rsidR="001F1F3C" w:rsidRPr="00504B4A" w:rsidRDefault="001F1F3C" w:rsidP="002408D5">
      <w:proofErr w:type="spellStart"/>
      <w:r w:rsidRPr="001F1F3C">
        <w:rPr>
          <w:shd w:val="clear" w:color="auto" w:fill="FFFFFF"/>
        </w:rPr>
        <w:t>Muiderman</w:t>
      </w:r>
      <w:proofErr w:type="spellEnd"/>
      <w:r w:rsidRPr="001F1F3C">
        <w:rPr>
          <w:shd w:val="clear" w:color="auto" w:fill="FFFFFF"/>
        </w:rPr>
        <w:t>, K., Zurek, M., Vervoort, J., Gupta, A., Hasnain, S. and Driessen, P., 2022. The anticipatory governance of sustainability transformations: Hybrid approaches and dominant perspectives. </w:t>
      </w:r>
      <w:r w:rsidRPr="001F1F3C">
        <w:rPr>
          <w:i/>
          <w:iCs/>
          <w:shd w:val="clear" w:color="auto" w:fill="FFFFFF"/>
        </w:rPr>
        <w:t>Global Environmental Change</w:t>
      </w:r>
      <w:r w:rsidRPr="001F1F3C">
        <w:rPr>
          <w:shd w:val="clear" w:color="auto" w:fill="FFFFFF"/>
        </w:rPr>
        <w:t>, </w:t>
      </w:r>
      <w:r w:rsidRPr="001F1F3C">
        <w:rPr>
          <w:i/>
          <w:iCs/>
          <w:shd w:val="clear" w:color="auto" w:fill="FFFFFF"/>
        </w:rPr>
        <w:t>73</w:t>
      </w:r>
      <w:r w:rsidRPr="001F1F3C">
        <w:rPr>
          <w:shd w:val="clear" w:color="auto" w:fill="FFFFFF"/>
        </w:rPr>
        <w:t>, p.102452.</w:t>
      </w:r>
    </w:p>
    <w:p w14:paraId="27517E17" w14:textId="77777777" w:rsidR="001F1F3C" w:rsidRPr="001F1F3C" w:rsidRDefault="001F1F3C" w:rsidP="002408D5">
      <w:pPr>
        <w:rPr>
          <w:lang w:val="en-GB"/>
        </w:rPr>
      </w:pPr>
      <w:r w:rsidRPr="001F1F3C">
        <w:rPr>
          <w:lang w:val="en-US"/>
        </w:rPr>
        <w:t xml:space="preserve">Naldi, P., 2021. Managing arcadia: From the King’s cross estate to the Bretton estate. </w:t>
      </w:r>
      <w:hyperlink r:id="rId18" w:history="1">
        <w:r w:rsidRPr="001F1F3C">
          <w:rPr>
            <w:rStyle w:val="Hyperlink"/>
            <w:rFonts w:cs="Times New Roman"/>
            <w:szCs w:val="24"/>
            <w:lang w:val="en-US"/>
          </w:rPr>
          <w:t>https://ualresearchonline.arts.ac.uk/id/eprint/16731/6/PatNaldi_Chapter%20Eight.pdf</w:t>
        </w:r>
      </w:hyperlink>
    </w:p>
    <w:p w14:paraId="7C5EFF02" w14:textId="77777777" w:rsidR="001F1F3C" w:rsidRPr="00504B4A" w:rsidRDefault="001F1F3C" w:rsidP="002408D5">
      <w:r w:rsidRPr="001F1F3C">
        <w:rPr>
          <w:shd w:val="clear" w:color="auto" w:fill="FFFFFF"/>
        </w:rPr>
        <w:t>Niyi Anifowose, O., Ghasemi, M. and Olaleye, B.R., 2022. Total quality management and small and medium-sized enterprises’(SMEs) performance: Mediating role of innovation speed. </w:t>
      </w:r>
      <w:r w:rsidRPr="001F1F3C">
        <w:rPr>
          <w:i/>
          <w:iCs/>
          <w:shd w:val="clear" w:color="auto" w:fill="FFFFFF"/>
        </w:rPr>
        <w:t>Sustainability</w:t>
      </w:r>
      <w:r w:rsidRPr="001F1F3C">
        <w:rPr>
          <w:shd w:val="clear" w:color="auto" w:fill="FFFFFF"/>
        </w:rPr>
        <w:t>, </w:t>
      </w:r>
      <w:r w:rsidRPr="001F1F3C">
        <w:rPr>
          <w:i/>
          <w:iCs/>
          <w:shd w:val="clear" w:color="auto" w:fill="FFFFFF"/>
        </w:rPr>
        <w:t>14</w:t>
      </w:r>
      <w:r w:rsidRPr="001F1F3C">
        <w:rPr>
          <w:shd w:val="clear" w:color="auto" w:fill="FFFFFF"/>
        </w:rPr>
        <w:t>(14), p.8719.</w:t>
      </w:r>
    </w:p>
    <w:p w14:paraId="6369FAF1" w14:textId="77777777" w:rsidR="001F1F3C" w:rsidRPr="001F1F3C" w:rsidRDefault="001F1F3C" w:rsidP="002408D5">
      <w:pPr>
        <w:rPr>
          <w:shd w:val="clear" w:color="auto" w:fill="FFFFFF"/>
        </w:rPr>
      </w:pPr>
      <w:r w:rsidRPr="001F1F3C">
        <w:rPr>
          <w:shd w:val="clear" w:color="auto" w:fill="FFFFFF"/>
        </w:rPr>
        <w:t xml:space="preserve">Nonet, G.A.H., </w:t>
      </w:r>
      <w:proofErr w:type="spellStart"/>
      <w:r w:rsidRPr="001F1F3C">
        <w:rPr>
          <w:shd w:val="clear" w:color="auto" w:fill="FFFFFF"/>
        </w:rPr>
        <w:t>Gössling</w:t>
      </w:r>
      <w:proofErr w:type="spellEnd"/>
      <w:r w:rsidRPr="001F1F3C">
        <w:rPr>
          <w:shd w:val="clear" w:color="auto" w:fill="FFFFFF"/>
        </w:rPr>
        <w:t xml:space="preserve">, T., Van </w:t>
      </w:r>
      <w:proofErr w:type="spellStart"/>
      <w:r w:rsidRPr="001F1F3C">
        <w:rPr>
          <w:shd w:val="clear" w:color="auto" w:fill="FFFFFF"/>
        </w:rPr>
        <w:t>Tulder</w:t>
      </w:r>
      <w:proofErr w:type="spellEnd"/>
      <w:r w:rsidRPr="001F1F3C">
        <w:rPr>
          <w:shd w:val="clear" w:color="auto" w:fill="FFFFFF"/>
        </w:rPr>
        <w:t>, R. and Bryson, J.M., 2022. Multi-stakeholder Engagement for the sustainable development goals: introduction to the special issue. </w:t>
      </w:r>
      <w:r w:rsidRPr="001F1F3C">
        <w:rPr>
          <w:i/>
          <w:iCs/>
          <w:shd w:val="clear" w:color="auto" w:fill="FFFFFF"/>
        </w:rPr>
        <w:t>Journal of Business Ethics</w:t>
      </w:r>
      <w:r w:rsidRPr="001F1F3C">
        <w:rPr>
          <w:shd w:val="clear" w:color="auto" w:fill="FFFFFF"/>
        </w:rPr>
        <w:t>, </w:t>
      </w:r>
      <w:r w:rsidRPr="001F1F3C">
        <w:rPr>
          <w:i/>
          <w:iCs/>
          <w:shd w:val="clear" w:color="auto" w:fill="FFFFFF"/>
        </w:rPr>
        <w:t>180</w:t>
      </w:r>
      <w:r w:rsidRPr="001F1F3C">
        <w:rPr>
          <w:shd w:val="clear" w:color="auto" w:fill="FFFFFF"/>
        </w:rPr>
        <w:t>(4), pp.945-957.</w:t>
      </w:r>
    </w:p>
    <w:p w14:paraId="73CCDC45" w14:textId="77777777" w:rsidR="001F1F3C" w:rsidRPr="00504B4A" w:rsidRDefault="001F1F3C" w:rsidP="002408D5">
      <w:r w:rsidRPr="001F1F3C">
        <w:rPr>
          <w:shd w:val="clear" w:color="auto" w:fill="FFFFFF"/>
        </w:rPr>
        <w:t xml:space="preserve">Nowacka, A. and </w:t>
      </w:r>
      <w:proofErr w:type="spellStart"/>
      <w:r w:rsidRPr="001F1F3C">
        <w:rPr>
          <w:shd w:val="clear" w:color="auto" w:fill="FFFFFF"/>
        </w:rPr>
        <w:t>Rzemieniak</w:t>
      </w:r>
      <w:proofErr w:type="spellEnd"/>
      <w:r w:rsidRPr="001F1F3C">
        <w:rPr>
          <w:shd w:val="clear" w:color="auto" w:fill="FFFFFF"/>
        </w:rPr>
        <w:t>, M., 2021. The impact of the VUCA environment on the digital competences of managers in the power industry. </w:t>
      </w:r>
      <w:r w:rsidRPr="001F1F3C">
        <w:rPr>
          <w:i/>
          <w:iCs/>
          <w:shd w:val="clear" w:color="auto" w:fill="FFFFFF"/>
        </w:rPr>
        <w:t>Energies</w:t>
      </w:r>
      <w:r w:rsidRPr="001F1F3C">
        <w:rPr>
          <w:shd w:val="clear" w:color="auto" w:fill="FFFFFF"/>
        </w:rPr>
        <w:t>, </w:t>
      </w:r>
      <w:r w:rsidRPr="001F1F3C">
        <w:rPr>
          <w:i/>
          <w:iCs/>
          <w:shd w:val="clear" w:color="auto" w:fill="FFFFFF"/>
        </w:rPr>
        <w:t>15</w:t>
      </w:r>
      <w:r w:rsidRPr="001F1F3C">
        <w:rPr>
          <w:shd w:val="clear" w:color="auto" w:fill="FFFFFF"/>
        </w:rPr>
        <w:t>(1), p.185.</w:t>
      </w:r>
    </w:p>
    <w:p w14:paraId="152B326A" w14:textId="77777777" w:rsidR="001F1F3C" w:rsidRPr="00504B4A" w:rsidRDefault="001F1F3C" w:rsidP="002408D5">
      <w:proofErr w:type="spellStart"/>
      <w:r w:rsidRPr="001F1F3C">
        <w:rPr>
          <w:shd w:val="clear" w:color="auto" w:fill="FFFFFF"/>
        </w:rPr>
        <w:t>Pfajfar</w:t>
      </w:r>
      <w:proofErr w:type="spellEnd"/>
      <w:r w:rsidRPr="001F1F3C">
        <w:rPr>
          <w:shd w:val="clear" w:color="auto" w:fill="FFFFFF"/>
        </w:rPr>
        <w:t xml:space="preserve">, G., Shoham, A., </w:t>
      </w:r>
      <w:proofErr w:type="spellStart"/>
      <w:r w:rsidRPr="001F1F3C">
        <w:rPr>
          <w:shd w:val="clear" w:color="auto" w:fill="FFFFFF"/>
        </w:rPr>
        <w:t>Małecka</w:t>
      </w:r>
      <w:proofErr w:type="spellEnd"/>
      <w:r w:rsidRPr="001F1F3C">
        <w:rPr>
          <w:shd w:val="clear" w:color="auto" w:fill="FFFFFF"/>
        </w:rPr>
        <w:t>, A. and Zalaznik, M., 2022. Value of corporate social responsibility for multiple stakeholders and social impact–Relationship marketing perspective. </w:t>
      </w:r>
      <w:r w:rsidRPr="001F1F3C">
        <w:rPr>
          <w:i/>
          <w:iCs/>
          <w:shd w:val="clear" w:color="auto" w:fill="FFFFFF"/>
        </w:rPr>
        <w:t>Journal of business research</w:t>
      </w:r>
      <w:r w:rsidRPr="001F1F3C">
        <w:rPr>
          <w:shd w:val="clear" w:color="auto" w:fill="FFFFFF"/>
        </w:rPr>
        <w:t>, </w:t>
      </w:r>
      <w:r w:rsidRPr="001F1F3C">
        <w:rPr>
          <w:i/>
          <w:iCs/>
          <w:shd w:val="clear" w:color="auto" w:fill="FFFFFF"/>
        </w:rPr>
        <w:t>143</w:t>
      </w:r>
      <w:r w:rsidRPr="001F1F3C">
        <w:rPr>
          <w:shd w:val="clear" w:color="auto" w:fill="FFFFFF"/>
        </w:rPr>
        <w:t>, pp.46-61.</w:t>
      </w:r>
    </w:p>
    <w:p w14:paraId="3539BCFD" w14:textId="77777777" w:rsidR="001F1F3C" w:rsidRPr="001F1F3C" w:rsidRDefault="001F1F3C" w:rsidP="002408D5">
      <w:pPr>
        <w:rPr>
          <w:lang w:val="en-GB"/>
        </w:rPr>
      </w:pPr>
      <w:r w:rsidRPr="001F1F3C">
        <w:rPr>
          <w:lang w:val="en-US"/>
        </w:rPr>
        <w:t>Prabhakar, A., 2021. How to Unlock the Potential of the Advanced Research Projects Agency Model. </w:t>
      </w:r>
      <w:r w:rsidRPr="001F1F3C">
        <w:rPr>
          <w:i/>
          <w:iCs/>
          <w:lang w:val="en-US"/>
        </w:rPr>
        <w:t>Innovation &amp; Economic Competitiveness. Day One Project. June</w:t>
      </w:r>
      <w:r w:rsidRPr="001F1F3C">
        <w:rPr>
          <w:lang w:val="en-US"/>
        </w:rPr>
        <w:t>, </w:t>
      </w:r>
      <w:r w:rsidRPr="001F1F3C">
        <w:rPr>
          <w:i/>
          <w:iCs/>
          <w:lang w:val="en-US"/>
        </w:rPr>
        <w:t>3</w:t>
      </w:r>
      <w:r w:rsidRPr="001F1F3C">
        <w:rPr>
          <w:lang w:val="en-US"/>
        </w:rPr>
        <w:t xml:space="preserve">, p.2021. </w:t>
      </w:r>
      <w:hyperlink r:id="rId19" w:history="1">
        <w:r w:rsidRPr="001F1F3C">
          <w:rPr>
            <w:rStyle w:val="Hyperlink"/>
            <w:rFonts w:cs="Times New Roman"/>
            <w:szCs w:val="24"/>
            <w:lang w:val="en-US"/>
          </w:rPr>
          <w:t>https://www.tumejico.com/www/wp-content/uploads/2021/06/How-to-Unlock-the-Potential-of-the-Advanced-Research-Projects-Agency-Model.pdf</w:t>
        </w:r>
      </w:hyperlink>
    </w:p>
    <w:p w14:paraId="0313FD65" w14:textId="77777777" w:rsidR="001F1F3C" w:rsidRPr="001F1F3C" w:rsidRDefault="001F1F3C" w:rsidP="002408D5">
      <w:pPr>
        <w:rPr>
          <w:lang w:val="en-GB"/>
        </w:rPr>
      </w:pPr>
      <w:proofErr w:type="spellStart"/>
      <w:r w:rsidRPr="001F1F3C">
        <w:rPr>
          <w:lang w:val="en-GB"/>
        </w:rPr>
        <w:t>Proaño</w:t>
      </w:r>
      <w:proofErr w:type="spellEnd"/>
      <w:r w:rsidRPr="001F1F3C">
        <w:rPr>
          <w:lang w:val="en-GB"/>
        </w:rPr>
        <w:t>-Narváez, M., Flores-Vázquez, C., Vásquez Quiroz, P. and Avila-Calle, M., 2022. Earned Value Method (EVM) for Construction Projects: Current Application and Future Projections. </w:t>
      </w:r>
      <w:r w:rsidRPr="001F1F3C">
        <w:rPr>
          <w:i/>
          <w:iCs/>
          <w:lang w:val="en-GB"/>
        </w:rPr>
        <w:t>Buildings</w:t>
      </w:r>
      <w:r w:rsidRPr="001F1F3C">
        <w:rPr>
          <w:lang w:val="en-GB"/>
        </w:rPr>
        <w:t>, </w:t>
      </w:r>
      <w:r w:rsidRPr="001F1F3C">
        <w:rPr>
          <w:i/>
          <w:iCs/>
          <w:lang w:val="en-GB"/>
        </w:rPr>
        <w:t>12</w:t>
      </w:r>
      <w:r w:rsidRPr="001F1F3C">
        <w:rPr>
          <w:lang w:val="en-GB"/>
        </w:rPr>
        <w:t xml:space="preserve">(3), p.301. </w:t>
      </w:r>
      <w:hyperlink r:id="rId20" w:history="1">
        <w:r w:rsidRPr="001F1F3C">
          <w:rPr>
            <w:rStyle w:val="Hyperlink"/>
            <w:rFonts w:cs="Times New Roman"/>
            <w:szCs w:val="24"/>
            <w:lang w:val="en-GB"/>
          </w:rPr>
          <w:t>https://www.mdpi.com/2075-5309/12/3/301</w:t>
        </w:r>
      </w:hyperlink>
    </w:p>
    <w:p w14:paraId="30ECCA1C" w14:textId="77777777" w:rsidR="001F1F3C" w:rsidRPr="00504B4A" w:rsidRDefault="001F1F3C" w:rsidP="002408D5">
      <w:r w:rsidRPr="001F1F3C">
        <w:rPr>
          <w:shd w:val="clear" w:color="auto" w:fill="FFFFFF"/>
        </w:rPr>
        <w:t>Rasheed, N., Shahzad, W., Khalfan, M. and Rotimi, J.O.B., 2022. Risk identification, assessment, and allocation in PPP projects: A systematic review. </w:t>
      </w:r>
      <w:r w:rsidRPr="001F1F3C">
        <w:rPr>
          <w:i/>
          <w:iCs/>
          <w:shd w:val="clear" w:color="auto" w:fill="FFFFFF"/>
        </w:rPr>
        <w:t>Buildings</w:t>
      </w:r>
      <w:r w:rsidRPr="001F1F3C">
        <w:rPr>
          <w:shd w:val="clear" w:color="auto" w:fill="FFFFFF"/>
        </w:rPr>
        <w:t>, </w:t>
      </w:r>
      <w:r w:rsidRPr="001F1F3C">
        <w:rPr>
          <w:i/>
          <w:iCs/>
          <w:shd w:val="clear" w:color="auto" w:fill="FFFFFF"/>
        </w:rPr>
        <w:t>12</w:t>
      </w:r>
      <w:r w:rsidRPr="001F1F3C">
        <w:rPr>
          <w:shd w:val="clear" w:color="auto" w:fill="FFFFFF"/>
        </w:rPr>
        <w:t>(8), p.1109.</w:t>
      </w:r>
    </w:p>
    <w:p w14:paraId="0712536B" w14:textId="77777777" w:rsidR="001F1F3C" w:rsidRPr="001F1F3C" w:rsidRDefault="001F1F3C" w:rsidP="002408D5">
      <w:pPr>
        <w:rPr>
          <w:shd w:val="clear" w:color="auto" w:fill="FFFFFF"/>
        </w:rPr>
      </w:pPr>
      <w:r w:rsidRPr="001F1F3C">
        <w:rPr>
          <w:shd w:val="clear" w:color="auto" w:fill="FFFFFF"/>
        </w:rPr>
        <w:t xml:space="preserve">Schmidt, K., </w:t>
      </w:r>
      <w:proofErr w:type="spellStart"/>
      <w:r w:rsidRPr="001F1F3C">
        <w:rPr>
          <w:shd w:val="clear" w:color="auto" w:fill="FFFFFF"/>
        </w:rPr>
        <w:t>Kösling</w:t>
      </w:r>
      <w:proofErr w:type="spellEnd"/>
      <w:r w:rsidRPr="001F1F3C">
        <w:rPr>
          <w:shd w:val="clear" w:color="auto" w:fill="FFFFFF"/>
        </w:rPr>
        <w:t xml:space="preserve">, P., Bamberg, S. and </w:t>
      </w:r>
      <w:proofErr w:type="spellStart"/>
      <w:r w:rsidRPr="001F1F3C">
        <w:rPr>
          <w:shd w:val="clear" w:color="auto" w:fill="FFFFFF"/>
        </w:rPr>
        <w:t>Blöbaum</w:t>
      </w:r>
      <w:proofErr w:type="spellEnd"/>
      <w:r w:rsidRPr="001F1F3C">
        <w:rPr>
          <w:shd w:val="clear" w:color="auto" w:fill="FFFFFF"/>
        </w:rPr>
        <w:t>, A., 2022. A Prospect Theory-based experimental vignette methodology for exploring rebound effects and rebound-damping interventions. </w:t>
      </w:r>
      <w:r w:rsidRPr="001F1F3C">
        <w:rPr>
          <w:i/>
          <w:iCs/>
          <w:shd w:val="clear" w:color="auto" w:fill="FFFFFF"/>
        </w:rPr>
        <w:t>Ecological Economics</w:t>
      </w:r>
      <w:r w:rsidRPr="001F1F3C">
        <w:rPr>
          <w:shd w:val="clear" w:color="auto" w:fill="FFFFFF"/>
        </w:rPr>
        <w:t>, </w:t>
      </w:r>
      <w:r w:rsidRPr="001F1F3C">
        <w:rPr>
          <w:i/>
          <w:iCs/>
          <w:shd w:val="clear" w:color="auto" w:fill="FFFFFF"/>
        </w:rPr>
        <w:t>193</w:t>
      </w:r>
      <w:r w:rsidRPr="001F1F3C">
        <w:rPr>
          <w:shd w:val="clear" w:color="auto" w:fill="FFFFFF"/>
        </w:rPr>
        <w:t>, p.107302.</w:t>
      </w:r>
    </w:p>
    <w:p w14:paraId="6516DFAC" w14:textId="77777777" w:rsidR="001F1F3C" w:rsidRPr="00504B4A" w:rsidRDefault="001F1F3C" w:rsidP="002408D5">
      <w:proofErr w:type="spellStart"/>
      <w:r w:rsidRPr="001F1F3C">
        <w:rPr>
          <w:shd w:val="clear" w:color="auto" w:fill="FFFFFF"/>
        </w:rPr>
        <w:t>Shammi</w:t>
      </w:r>
      <w:proofErr w:type="spellEnd"/>
      <w:r w:rsidRPr="001F1F3C">
        <w:rPr>
          <w:shd w:val="clear" w:color="auto" w:fill="FFFFFF"/>
        </w:rPr>
        <w:t>, M., Halder, P.K., Tareq, S.M., Rahman, M.M. and Kabir, Z., 2022. From environmental impact assessment to strategic environmental assessment in Bangladesh: Evolution, perspective, governance and challenges. </w:t>
      </w:r>
      <w:r w:rsidRPr="001F1F3C">
        <w:rPr>
          <w:i/>
          <w:iCs/>
          <w:shd w:val="clear" w:color="auto" w:fill="FFFFFF"/>
        </w:rPr>
        <w:t>Environmental Impact Assessment Review</w:t>
      </w:r>
      <w:r w:rsidRPr="001F1F3C">
        <w:rPr>
          <w:shd w:val="clear" w:color="auto" w:fill="FFFFFF"/>
        </w:rPr>
        <w:t>, </w:t>
      </w:r>
      <w:r w:rsidRPr="001F1F3C">
        <w:rPr>
          <w:i/>
          <w:iCs/>
          <w:shd w:val="clear" w:color="auto" w:fill="FFFFFF"/>
        </w:rPr>
        <w:t>97</w:t>
      </w:r>
      <w:r w:rsidRPr="001F1F3C">
        <w:rPr>
          <w:shd w:val="clear" w:color="auto" w:fill="FFFFFF"/>
        </w:rPr>
        <w:t>, p.106890.</w:t>
      </w:r>
    </w:p>
    <w:p w14:paraId="398FC557" w14:textId="77777777" w:rsidR="001F1F3C" w:rsidRPr="001F1F3C" w:rsidRDefault="001F1F3C" w:rsidP="002408D5">
      <w:pPr>
        <w:rPr>
          <w:lang w:val="en-GB"/>
        </w:rPr>
      </w:pPr>
      <w:r w:rsidRPr="001F1F3C">
        <w:rPr>
          <w:lang w:val="en-GB"/>
        </w:rPr>
        <w:t xml:space="preserve">Souza, F.F.D., Corsi, A., Pagani, R.N., </w:t>
      </w:r>
      <w:proofErr w:type="spellStart"/>
      <w:r w:rsidRPr="001F1F3C">
        <w:rPr>
          <w:lang w:val="en-GB"/>
        </w:rPr>
        <w:t>Balbinotti</w:t>
      </w:r>
      <w:proofErr w:type="spellEnd"/>
      <w:r w:rsidRPr="001F1F3C">
        <w:rPr>
          <w:lang w:val="en-GB"/>
        </w:rPr>
        <w:t>, G. and Kovaleski, J.L., 2022. Total quality management 4.0: Adapting quality management to Industry 4.0. </w:t>
      </w:r>
      <w:r w:rsidRPr="001F1F3C">
        <w:rPr>
          <w:i/>
          <w:iCs/>
          <w:lang w:val="en-GB"/>
        </w:rPr>
        <w:t>The TQM Journal</w:t>
      </w:r>
      <w:r w:rsidRPr="001F1F3C">
        <w:rPr>
          <w:lang w:val="en-GB"/>
        </w:rPr>
        <w:t>, </w:t>
      </w:r>
      <w:r w:rsidRPr="001F1F3C">
        <w:rPr>
          <w:i/>
          <w:iCs/>
          <w:lang w:val="en-GB"/>
        </w:rPr>
        <w:t>34</w:t>
      </w:r>
      <w:r w:rsidRPr="001F1F3C">
        <w:rPr>
          <w:lang w:val="en-GB"/>
        </w:rPr>
        <w:t xml:space="preserve">(4), pp.749-769. </w:t>
      </w:r>
      <w:hyperlink r:id="rId21" w:history="1">
        <w:r w:rsidRPr="001F1F3C">
          <w:rPr>
            <w:rStyle w:val="Hyperlink"/>
            <w:rFonts w:cs="Times New Roman"/>
            <w:szCs w:val="24"/>
            <w:lang w:val="en-GB"/>
          </w:rPr>
          <w:t>https://www.emerald.com/insight/content/doi/10.1108/TQM-10-2020-0238/full/html</w:t>
        </w:r>
      </w:hyperlink>
    </w:p>
    <w:p w14:paraId="5B927E1C" w14:textId="77777777" w:rsidR="001F1F3C" w:rsidRPr="001F1F3C" w:rsidRDefault="001F1F3C" w:rsidP="002408D5">
      <w:pPr>
        <w:rPr>
          <w:shd w:val="clear" w:color="auto" w:fill="FFFFFF"/>
        </w:rPr>
      </w:pPr>
      <w:r w:rsidRPr="001F1F3C">
        <w:rPr>
          <w:shd w:val="clear" w:color="auto" w:fill="FFFFFF"/>
        </w:rPr>
        <w:t>Stone, C.L., 2022. </w:t>
      </w:r>
      <w:r w:rsidRPr="001F1F3C">
        <w:rPr>
          <w:i/>
          <w:iCs/>
          <w:shd w:val="clear" w:color="auto" w:fill="FFFFFF"/>
        </w:rPr>
        <w:t>Exploring the Procedures Project Managers Need to Improve for Successful Projects Using EVM</w:t>
      </w:r>
      <w:r w:rsidRPr="001F1F3C">
        <w:rPr>
          <w:shd w:val="clear" w:color="auto" w:fill="FFFFFF"/>
        </w:rPr>
        <w:t> (Doctoral dissertation, Colorado Technical University).</w:t>
      </w:r>
    </w:p>
    <w:p w14:paraId="1DFCDA68" w14:textId="77777777" w:rsidR="001F1F3C" w:rsidRPr="00504B4A" w:rsidRDefault="001F1F3C" w:rsidP="002408D5">
      <w:proofErr w:type="spellStart"/>
      <w:r w:rsidRPr="001F1F3C">
        <w:rPr>
          <w:shd w:val="clear" w:color="auto" w:fill="FFFFFF"/>
        </w:rPr>
        <w:t>Tamošaitienė</w:t>
      </w:r>
      <w:proofErr w:type="spellEnd"/>
      <w:r w:rsidRPr="001F1F3C">
        <w:rPr>
          <w:shd w:val="clear" w:color="auto" w:fill="FFFFFF"/>
        </w:rPr>
        <w:t>, J., Khosravi, M., Cristofaro, M., Chan, D.W. and Sarvari, H., 2021. Identification and prioritization of critical risk factors of commercial and recreational complex building projects: A Delphi study using the TOPSIS method. </w:t>
      </w:r>
      <w:r w:rsidRPr="001F1F3C">
        <w:rPr>
          <w:i/>
          <w:iCs/>
          <w:shd w:val="clear" w:color="auto" w:fill="FFFFFF"/>
        </w:rPr>
        <w:t>Applied Sciences</w:t>
      </w:r>
      <w:r w:rsidRPr="001F1F3C">
        <w:rPr>
          <w:shd w:val="clear" w:color="auto" w:fill="FFFFFF"/>
        </w:rPr>
        <w:t>, </w:t>
      </w:r>
      <w:r w:rsidRPr="001F1F3C">
        <w:rPr>
          <w:i/>
          <w:iCs/>
          <w:shd w:val="clear" w:color="auto" w:fill="FFFFFF"/>
        </w:rPr>
        <w:t>11</w:t>
      </w:r>
      <w:r w:rsidRPr="001F1F3C">
        <w:rPr>
          <w:shd w:val="clear" w:color="auto" w:fill="FFFFFF"/>
        </w:rPr>
        <w:t>(17), p.7906.</w:t>
      </w:r>
    </w:p>
    <w:p w14:paraId="08538048" w14:textId="77777777" w:rsidR="001F1F3C" w:rsidRPr="00504B4A" w:rsidRDefault="001F1F3C" w:rsidP="002408D5">
      <w:r w:rsidRPr="001F1F3C">
        <w:rPr>
          <w:shd w:val="clear" w:color="auto" w:fill="FFFFFF"/>
        </w:rPr>
        <w:t>Thompson, M.P., O’Connor, C.D., Gannon, B.M., Caggiano, M.D., Dunn, C.J., Schultz, C.A., Calkin, D.E., Pietruszka, B., Greiner, S.M., Stratton, R. and Morisette, J.T., 2022. Potential operational delineations: new horizons for proactive, risk-informed strategic land and fire management. </w:t>
      </w:r>
      <w:r w:rsidRPr="001F1F3C">
        <w:rPr>
          <w:i/>
          <w:iCs/>
          <w:shd w:val="clear" w:color="auto" w:fill="FFFFFF"/>
        </w:rPr>
        <w:t>Fire Ecology</w:t>
      </w:r>
      <w:r w:rsidRPr="001F1F3C">
        <w:rPr>
          <w:shd w:val="clear" w:color="auto" w:fill="FFFFFF"/>
        </w:rPr>
        <w:t>, </w:t>
      </w:r>
      <w:r w:rsidRPr="001F1F3C">
        <w:rPr>
          <w:i/>
          <w:iCs/>
          <w:shd w:val="clear" w:color="auto" w:fill="FFFFFF"/>
        </w:rPr>
        <w:t>18</w:t>
      </w:r>
      <w:r w:rsidRPr="001F1F3C">
        <w:rPr>
          <w:shd w:val="clear" w:color="auto" w:fill="FFFFFF"/>
        </w:rPr>
        <w:t>(1), pp.1-20.</w:t>
      </w:r>
    </w:p>
    <w:p w14:paraId="066CFBFD" w14:textId="77777777" w:rsidR="001F1F3C" w:rsidRPr="001F1F3C" w:rsidRDefault="001F1F3C" w:rsidP="002408D5">
      <w:pPr>
        <w:rPr>
          <w:shd w:val="clear" w:color="auto" w:fill="FFFFFF"/>
        </w:rPr>
      </w:pPr>
      <w:r w:rsidRPr="001F1F3C">
        <w:rPr>
          <w:shd w:val="clear" w:color="auto" w:fill="FFFFFF"/>
        </w:rPr>
        <w:t xml:space="preserve">Tillotson, M., 2022. A </w:t>
      </w:r>
      <w:proofErr w:type="spellStart"/>
      <w:r w:rsidRPr="001F1F3C">
        <w:rPr>
          <w:shd w:val="clear" w:color="auto" w:fill="FFFFFF"/>
        </w:rPr>
        <w:t>Yorkstone</w:t>
      </w:r>
      <w:proofErr w:type="spellEnd"/>
      <w:r w:rsidRPr="001F1F3C">
        <w:rPr>
          <w:shd w:val="clear" w:color="auto" w:fill="FFFFFF"/>
        </w:rPr>
        <w:t xml:space="preserve"> Godzilla. A materiality of mutuality at the Halifax Building Society, 1968–1974. </w:t>
      </w:r>
      <w:r w:rsidRPr="001F1F3C">
        <w:rPr>
          <w:i/>
          <w:iCs/>
          <w:shd w:val="clear" w:color="auto" w:fill="FFFFFF"/>
        </w:rPr>
        <w:t>Journal of cultural economy</w:t>
      </w:r>
      <w:r w:rsidRPr="001F1F3C">
        <w:rPr>
          <w:shd w:val="clear" w:color="auto" w:fill="FFFFFF"/>
        </w:rPr>
        <w:t>, </w:t>
      </w:r>
      <w:r w:rsidRPr="001F1F3C">
        <w:rPr>
          <w:i/>
          <w:iCs/>
          <w:shd w:val="clear" w:color="auto" w:fill="FFFFFF"/>
        </w:rPr>
        <w:t>15</w:t>
      </w:r>
      <w:r w:rsidRPr="001F1F3C">
        <w:rPr>
          <w:shd w:val="clear" w:color="auto" w:fill="FFFFFF"/>
        </w:rPr>
        <w:t xml:space="preserve">(5), pp.617-633. </w:t>
      </w:r>
    </w:p>
    <w:p w14:paraId="1E0BC45F" w14:textId="77777777" w:rsidR="001F1F3C" w:rsidRPr="001F1F3C" w:rsidRDefault="001F1F3C" w:rsidP="002408D5">
      <w:pPr>
        <w:rPr>
          <w:shd w:val="clear" w:color="auto" w:fill="FFFFFF"/>
        </w:rPr>
      </w:pPr>
      <w:r w:rsidRPr="001F1F3C">
        <w:rPr>
          <w:shd w:val="clear" w:color="auto" w:fill="FFFFFF"/>
        </w:rPr>
        <w:t>Valentinov, V., 2022. Stakeholder theory: Toward a classical institutional economics perspective. </w:t>
      </w:r>
      <w:r w:rsidRPr="001F1F3C">
        <w:rPr>
          <w:i/>
          <w:iCs/>
          <w:shd w:val="clear" w:color="auto" w:fill="FFFFFF"/>
        </w:rPr>
        <w:t>Journal of Business Ethics</w:t>
      </w:r>
      <w:r w:rsidRPr="001F1F3C">
        <w:rPr>
          <w:shd w:val="clear" w:color="auto" w:fill="FFFFFF"/>
        </w:rPr>
        <w:t>, pp.1-14.</w:t>
      </w:r>
    </w:p>
    <w:p w14:paraId="44793179" w14:textId="77777777" w:rsidR="001F1F3C" w:rsidRPr="001F1F3C" w:rsidRDefault="001F1F3C" w:rsidP="002408D5">
      <w:pPr>
        <w:rPr>
          <w:lang w:val="en-GB"/>
        </w:rPr>
      </w:pPr>
      <w:r w:rsidRPr="001F1F3C">
        <w:rPr>
          <w:lang w:val="en-US"/>
        </w:rPr>
        <w:t>Wadhwa, N. and Devanath, A., 2020. Evaluation of Analytical Performance in Clinical Biochemistry Laboratory in India Using Six Sigma Methodology. </w:t>
      </w:r>
      <w:r w:rsidRPr="001F1F3C">
        <w:rPr>
          <w:i/>
          <w:iCs/>
          <w:lang w:val="en-US"/>
        </w:rPr>
        <w:t>Indian Journal of Medical Biochemistry</w:t>
      </w:r>
      <w:r w:rsidRPr="001F1F3C">
        <w:rPr>
          <w:lang w:val="en-US"/>
        </w:rPr>
        <w:t>, </w:t>
      </w:r>
      <w:r w:rsidRPr="001F1F3C">
        <w:rPr>
          <w:i/>
          <w:iCs/>
          <w:lang w:val="en-US"/>
        </w:rPr>
        <w:t>24</w:t>
      </w:r>
      <w:r w:rsidRPr="001F1F3C">
        <w:rPr>
          <w:lang w:val="en-US"/>
        </w:rPr>
        <w:t xml:space="preserve">(1), p.20. </w:t>
      </w:r>
      <w:hyperlink r:id="rId22" w:history="1">
        <w:r w:rsidRPr="001F1F3C">
          <w:rPr>
            <w:rStyle w:val="Hyperlink"/>
            <w:rFonts w:cs="Times New Roman"/>
            <w:szCs w:val="24"/>
            <w:lang w:val="en-US"/>
          </w:rPr>
          <w:t>https://www.ijmb.in/doi/IJMB/pdf/10.5005/jp-journals-10054-0131</w:t>
        </w:r>
      </w:hyperlink>
    </w:p>
    <w:p w14:paraId="786BDB4D" w14:textId="77777777" w:rsidR="001F1F3C" w:rsidRPr="00504B4A" w:rsidRDefault="001F1F3C" w:rsidP="002408D5">
      <w:r w:rsidRPr="001F1F3C">
        <w:rPr>
          <w:shd w:val="clear" w:color="auto" w:fill="FFFFFF"/>
        </w:rPr>
        <w:t>Wang, P., Wang, K., Huang, Y. and Fenn, P., 2023. A contingency approach for time-cost trade-off in construction projects based on machine learning techniques. </w:t>
      </w:r>
      <w:r w:rsidRPr="001F1F3C">
        <w:rPr>
          <w:i/>
          <w:iCs/>
          <w:shd w:val="clear" w:color="auto" w:fill="FFFFFF"/>
        </w:rPr>
        <w:t>Engineering, Construction and Architectural Management</w:t>
      </w:r>
      <w:r w:rsidRPr="001F1F3C">
        <w:rPr>
          <w:shd w:val="clear" w:color="auto" w:fill="FFFFFF"/>
        </w:rPr>
        <w:t>.</w:t>
      </w:r>
    </w:p>
    <w:p w14:paraId="5CC90BD6" w14:textId="77777777" w:rsidR="001F1F3C" w:rsidRPr="001F1F3C" w:rsidRDefault="001F1F3C" w:rsidP="002408D5">
      <w:pPr>
        <w:rPr>
          <w:shd w:val="clear" w:color="auto" w:fill="FFFFFF"/>
        </w:rPr>
      </w:pPr>
      <w:r w:rsidRPr="001F1F3C">
        <w:rPr>
          <w:shd w:val="clear" w:color="auto" w:fill="FFFFFF"/>
        </w:rPr>
        <w:t>Yang, Y., Pan, M. and Pan, W., 2022. Integrated offsite logistics scheduling approach for high-rise modular building projects. </w:t>
      </w:r>
      <w:r w:rsidRPr="001F1F3C">
        <w:rPr>
          <w:i/>
          <w:iCs/>
          <w:shd w:val="clear" w:color="auto" w:fill="FFFFFF"/>
        </w:rPr>
        <w:t>Journal of Construction Engineering and Management</w:t>
      </w:r>
      <w:r w:rsidRPr="001F1F3C">
        <w:rPr>
          <w:shd w:val="clear" w:color="auto" w:fill="FFFFFF"/>
        </w:rPr>
        <w:t>, </w:t>
      </w:r>
      <w:r w:rsidRPr="001F1F3C">
        <w:rPr>
          <w:i/>
          <w:iCs/>
          <w:shd w:val="clear" w:color="auto" w:fill="FFFFFF"/>
        </w:rPr>
        <w:t>148</w:t>
      </w:r>
      <w:r w:rsidRPr="001F1F3C">
        <w:rPr>
          <w:shd w:val="clear" w:color="auto" w:fill="FFFFFF"/>
        </w:rPr>
        <w:t>(6), p.04022032.</w:t>
      </w:r>
    </w:p>
    <w:p w14:paraId="27D7FC1E" w14:textId="77777777" w:rsidR="001F1F3C" w:rsidRPr="001F1F3C" w:rsidRDefault="001F1F3C" w:rsidP="002408D5">
      <w:pPr>
        <w:rPr>
          <w:lang w:val="en-GB"/>
        </w:rPr>
      </w:pPr>
      <w:r w:rsidRPr="001F1F3C">
        <w:rPr>
          <w:lang w:val="en-US"/>
        </w:rPr>
        <w:t>YARANDI, M.S., JAFARNIA, E., GHIYASI, S. and SOLTANZADEH, A., 2020. The Integrated Methodology of Health, Safety, and Environmental (HSE) Risk Assessment based on the Project Management Body of Knowledge (PMBOK). </w:t>
      </w:r>
      <w:r w:rsidRPr="001F1F3C">
        <w:rPr>
          <w:i/>
          <w:iCs/>
          <w:lang w:val="en-US"/>
        </w:rPr>
        <w:t>International Journal of Occupational Hygiene</w:t>
      </w:r>
      <w:r w:rsidRPr="001F1F3C">
        <w:rPr>
          <w:lang w:val="en-US"/>
        </w:rPr>
        <w:t>, </w:t>
      </w:r>
      <w:r w:rsidRPr="001F1F3C">
        <w:rPr>
          <w:i/>
          <w:iCs/>
          <w:lang w:val="en-US"/>
        </w:rPr>
        <w:t>12</w:t>
      </w:r>
      <w:r w:rsidRPr="001F1F3C">
        <w:rPr>
          <w:lang w:val="en-US"/>
        </w:rPr>
        <w:t xml:space="preserve">(3). </w:t>
      </w:r>
      <w:hyperlink r:id="rId23" w:history="1">
        <w:r w:rsidRPr="001F1F3C">
          <w:rPr>
            <w:rStyle w:val="Hyperlink"/>
            <w:rFonts w:cs="Times New Roman"/>
            <w:szCs w:val="24"/>
            <w:lang w:val="en-US"/>
          </w:rPr>
          <w:t>https://www.researchgate.net/profile/Mohsen-Sadeghi-Yarandi/publication/348231817_The_Integrated_Methodology_of_Health_Safety_and_Environmental_HSE_Risk_Assessment_based_on_the_Project_Management_Body_of_Knowledge_PMBOK/links/5ff42e57a6fdccdcb82eed57/The-Integrated-Methodology-of-Health-Safety-and-Environmental-HSE-Risk-Assessment-based-on-the-Project-Management-Body-of-Knowledge-PMBOK.pdf</w:t>
        </w:r>
      </w:hyperlink>
    </w:p>
    <w:p w14:paraId="23EFC98A" w14:textId="77777777" w:rsidR="001F1F3C" w:rsidRPr="001F1F3C" w:rsidRDefault="001F1F3C" w:rsidP="002408D5">
      <w:pPr>
        <w:rPr>
          <w:lang w:val="en-GB"/>
        </w:rPr>
      </w:pPr>
      <w:r w:rsidRPr="001F1F3C">
        <w:rPr>
          <w:lang w:val="en-US"/>
        </w:rPr>
        <w:t>Yu, X., Dong, L., Liu, C. and Wu, H., 2023, March. The Significance and Project Planning of Building a Shipping System in Heilongjiang Province. In </w:t>
      </w:r>
      <w:r w:rsidRPr="001F1F3C">
        <w:rPr>
          <w:i/>
          <w:iCs/>
          <w:lang w:val="en-US"/>
        </w:rPr>
        <w:t>International Conference on Computer Science, Engineering and Education Applications</w:t>
      </w:r>
      <w:r w:rsidRPr="001F1F3C">
        <w:rPr>
          <w:lang w:val="en-US"/>
        </w:rPr>
        <w:t xml:space="preserve"> (pp. 860-872). Cham: Springer Nature Switzerland. </w:t>
      </w:r>
      <w:hyperlink r:id="rId24" w:history="1">
        <w:r w:rsidRPr="001F1F3C">
          <w:rPr>
            <w:rStyle w:val="Hyperlink"/>
            <w:rFonts w:cs="Times New Roman"/>
            <w:szCs w:val="24"/>
            <w:lang w:val="en-US"/>
          </w:rPr>
          <w:t>https://link.springer.com/chapter/10.1007/978-3-031-36118-0_74</w:t>
        </w:r>
      </w:hyperlink>
    </w:p>
    <w:p w14:paraId="41138747" w14:textId="77777777" w:rsidR="001F1F3C" w:rsidRPr="00504B4A" w:rsidRDefault="001F1F3C" w:rsidP="002408D5">
      <w:r w:rsidRPr="001F1F3C">
        <w:rPr>
          <w:shd w:val="clear" w:color="auto" w:fill="FFFFFF"/>
        </w:rPr>
        <w:t>Yusuf, F.A., 2023. Total quality management (TQM) and quality of higher education: A meta-analysis study. </w:t>
      </w:r>
      <w:r w:rsidRPr="001F1F3C">
        <w:rPr>
          <w:i/>
          <w:iCs/>
          <w:shd w:val="clear" w:color="auto" w:fill="FFFFFF"/>
        </w:rPr>
        <w:t>International Journal of Instruction</w:t>
      </w:r>
      <w:r w:rsidRPr="001F1F3C">
        <w:rPr>
          <w:shd w:val="clear" w:color="auto" w:fill="FFFFFF"/>
        </w:rPr>
        <w:t>, </w:t>
      </w:r>
      <w:r w:rsidRPr="001F1F3C">
        <w:rPr>
          <w:i/>
          <w:iCs/>
          <w:shd w:val="clear" w:color="auto" w:fill="FFFFFF"/>
        </w:rPr>
        <w:t>16</w:t>
      </w:r>
      <w:r w:rsidRPr="001F1F3C">
        <w:rPr>
          <w:shd w:val="clear" w:color="auto" w:fill="FFFFFF"/>
        </w:rPr>
        <w:t>(2), pp.161-178.</w:t>
      </w:r>
    </w:p>
    <w:p w14:paraId="108B4F76" w14:textId="77777777" w:rsidR="00AC7EEC" w:rsidRPr="00A34D4A" w:rsidRDefault="00AC7EEC" w:rsidP="002408D5">
      <w:pPr>
        <w:rPr>
          <w:rFonts w:cs="Times New Roman"/>
          <w:szCs w:val="24"/>
        </w:rPr>
      </w:pPr>
    </w:p>
    <w:sectPr w:rsidR="00AC7EEC" w:rsidRPr="00A34D4A" w:rsidSect="00FF12DC">
      <w:footerReference w:type="default" r:id="rId25"/>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97C3172" w14:textId="77777777" w:rsidR="00ED6331" w:rsidRDefault="00ED6331" w:rsidP="001052F4">
      <w:pPr>
        <w:spacing w:line="240" w:lineRule="auto"/>
      </w:pPr>
      <w:r>
        <w:separator/>
      </w:r>
    </w:p>
  </w:endnote>
  <w:endnote w:type="continuationSeparator" w:id="0">
    <w:p w14:paraId="347316A0" w14:textId="77777777" w:rsidR="00ED6331" w:rsidRDefault="00ED6331" w:rsidP="001052F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62233548"/>
      <w:docPartObj>
        <w:docPartGallery w:val="Page Numbers (Bottom of Page)"/>
        <w:docPartUnique/>
      </w:docPartObj>
    </w:sdtPr>
    <w:sdtEndPr>
      <w:rPr>
        <w:color w:val="7F7F7F" w:themeColor="background1" w:themeShade="7F"/>
        <w:spacing w:val="60"/>
      </w:rPr>
    </w:sdtEndPr>
    <w:sdtContent>
      <w:p w14:paraId="66CAB89D" w14:textId="776A5002" w:rsidR="00541357" w:rsidRDefault="00541357">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2C32679F" w14:textId="77777777" w:rsidR="00541357" w:rsidRDefault="0054135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B03EBD4" w14:textId="77777777" w:rsidR="00ED6331" w:rsidRDefault="00ED6331" w:rsidP="001052F4">
      <w:pPr>
        <w:spacing w:line="240" w:lineRule="auto"/>
      </w:pPr>
      <w:r>
        <w:separator/>
      </w:r>
    </w:p>
  </w:footnote>
  <w:footnote w:type="continuationSeparator" w:id="0">
    <w:p w14:paraId="04D1E121" w14:textId="77777777" w:rsidR="00ED6331" w:rsidRDefault="00ED6331" w:rsidP="001052F4">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DE34844"/>
    <w:multiLevelType w:val="hybridMultilevel"/>
    <w:tmpl w:val="4B20582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0612B68"/>
    <w:multiLevelType w:val="hybridMultilevel"/>
    <w:tmpl w:val="CE565E4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6FA565B2"/>
    <w:multiLevelType w:val="hybridMultilevel"/>
    <w:tmpl w:val="74CACC7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833882604">
    <w:abstractNumId w:val="1"/>
  </w:num>
  <w:num w:numId="2" w16cid:durableId="365522036">
    <w:abstractNumId w:val="2"/>
  </w:num>
  <w:num w:numId="3" w16cid:durableId="6488280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DIxNDW2NDU0MDSzMLZQ0lEKTi0uzszPAykwNKgFAPtSbFctAAAA"/>
  </w:docVars>
  <w:rsids>
    <w:rsidRoot w:val="0040632C"/>
    <w:rsid w:val="00046637"/>
    <w:rsid w:val="00056F05"/>
    <w:rsid w:val="00092407"/>
    <w:rsid w:val="00093317"/>
    <w:rsid w:val="000A4E0C"/>
    <w:rsid w:val="000B3D73"/>
    <w:rsid w:val="000C75E4"/>
    <w:rsid w:val="000E3C77"/>
    <w:rsid w:val="00100EE6"/>
    <w:rsid w:val="001052F4"/>
    <w:rsid w:val="001136C2"/>
    <w:rsid w:val="00115D1B"/>
    <w:rsid w:val="00142F21"/>
    <w:rsid w:val="001D5BC8"/>
    <w:rsid w:val="001F1F3C"/>
    <w:rsid w:val="0020430D"/>
    <w:rsid w:val="00232C03"/>
    <w:rsid w:val="002408D5"/>
    <w:rsid w:val="002A2C78"/>
    <w:rsid w:val="002C6F1D"/>
    <w:rsid w:val="002E6854"/>
    <w:rsid w:val="002F0198"/>
    <w:rsid w:val="002F6603"/>
    <w:rsid w:val="0033117C"/>
    <w:rsid w:val="00364991"/>
    <w:rsid w:val="00367D49"/>
    <w:rsid w:val="00405CF7"/>
    <w:rsid w:val="0040632C"/>
    <w:rsid w:val="00417598"/>
    <w:rsid w:val="00444380"/>
    <w:rsid w:val="00466E91"/>
    <w:rsid w:val="00476B3F"/>
    <w:rsid w:val="00482E3C"/>
    <w:rsid w:val="00491C96"/>
    <w:rsid w:val="004A2A98"/>
    <w:rsid w:val="004B0D21"/>
    <w:rsid w:val="00541357"/>
    <w:rsid w:val="00551CEE"/>
    <w:rsid w:val="00572A95"/>
    <w:rsid w:val="005A3DBE"/>
    <w:rsid w:val="005F6473"/>
    <w:rsid w:val="00630B62"/>
    <w:rsid w:val="006541C1"/>
    <w:rsid w:val="0065456B"/>
    <w:rsid w:val="006A1FFA"/>
    <w:rsid w:val="006D4021"/>
    <w:rsid w:val="006F63B2"/>
    <w:rsid w:val="007250D2"/>
    <w:rsid w:val="007532A7"/>
    <w:rsid w:val="00770663"/>
    <w:rsid w:val="00784522"/>
    <w:rsid w:val="007C1804"/>
    <w:rsid w:val="00807891"/>
    <w:rsid w:val="00890A83"/>
    <w:rsid w:val="00897D17"/>
    <w:rsid w:val="008A03A1"/>
    <w:rsid w:val="008C49AE"/>
    <w:rsid w:val="008E5ECA"/>
    <w:rsid w:val="0090018F"/>
    <w:rsid w:val="0090707F"/>
    <w:rsid w:val="00915D7E"/>
    <w:rsid w:val="0093750E"/>
    <w:rsid w:val="00957C99"/>
    <w:rsid w:val="009653E0"/>
    <w:rsid w:val="00965820"/>
    <w:rsid w:val="009D3501"/>
    <w:rsid w:val="00A25917"/>
    <w:rsid w:val="00A34D4A"/>
    <w:rsid w:val="00A440C3"/>
    <w:rsid w:val="00A76DD9"/>
    <w:rsid w:val="00AC7EEC"/>
    <w:rsid w:val="00AD3B70"/>
    <w:rsid w:val="00B0093C"/>
    <w:rsid w:val="00B33C9A"/>
    <w:rsid w:val="00B734A1"/>
    <w:rsid w:val="00BB2040"/>
    <w:rsid w:val="00BC5790"/>
    <w:rsid w:val="00C04A1F"/>
    <w:rsid w:val="00C11D0B"/>
    <w:rsid w:val="00C203FB"/>
    <w:rsid w:val="00CB525E"/>
    <w:rsid w:val="00D13213"/>
    <w:rsid w:val="00D32689"/>
    <w:rsid w:val="00D452FA"/>
    <w:rsid w:val="00D55919"/>
    <w:rsid w:val="00D749CD"/>
    <w:rsid w:val="00D80182"/>
    <w:rsid w:val="00DA7111"/>
    <w:rsid w:val="00DB157A"/>
    <w:rsid w:val="00DB479D"/>
    <w:rsid w:val="00DD1C68"/>
    <w:rsid w:val="00DD2382"/>
    <w:rsid w:val="00DD442A"/>
    <w:rsid w:val="00DE1CDC"/>
    <w:rsid w:val="00DF2110"/>
    <w:rsid w:val="00E42DA5"/>
    <w:rsid w:val="00E83A98"/>
    <w:rsid w:val="00E85761"/>
    <w:rsid w:val="00EB065C"/>
    <w:rsid w:val="00EB23BA"/>
    <w:rsid w:val="00EC2B21"/>
    <w:rsid w:val="00ED39CB"/>
    <w:rsid w:val="00ED6331"/>
    <w:rsid w:val="00EE5118"/>
    <w:rsid w:val="00F0097E"/>
    <w:rsid w:val="00F02EE2"/>
    <w:rsid w:val="00F245FD"/>
    <w:rsid w:val="00F330F2"/>
    <w:rsid w:val="00F377CD"/>
    <w:rsid w:val="00F41DC0"/>
    <w:rsid w:val="00F711AF"/>
    <w:rsid w:val="00FA4DBF"/>
    <w:rsid w:val="00FB5C46"/>
    <w:rsid w:val="00FE68B1"/>
    <w:rsid w:val="00FF12DC"/>
  </w:rsids>
  <m:mathPr>
    <m:mathFont m:val="Cambria Math"/>
    <m:brkBin m:val="before"/>
    <m:brkBinSub m:val="--"/>
    <m:smallFrac m:val="0"/>
    <m:dispDef/>
    <m:lMargin m:val="0"/>
    <m:rMargin m:val="0"/>
    <m:defJc m:val="centerGroup"/>
    <m:wrapIndent m:val="1440"/>
    <m:intLim m:val="subSup"/>
    <m:naryLim m:val="undOvr"/>
  </m:mathPr>
  <w:themeFontLang w:val="en-IN"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5D6A22"/>
  <w15:chartTrackingRefBased/>
  <w15:docId w15:val="{1773DDCA-25F5-4E02-BDE0-FBD9F3F196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408D5"/>
    <w:pPr>
      <w:spacing w:after="0" w:line="480" w:lineRule="auto"/>
      <w:jc w:val="both"/>
    </w:pPr>
    <w:rPr>
      <w:rFonts w:ascii="Times New Roman" w:hAnsi="Times New Roman"/>
      <w:sz w:val="24"/>
    </w:rPr>
  </w:style>
  <w:style w:type="paragraph" w:styleId="Heading1">
    <w:name w:val="heading 1"/>
    <w:basedOn w:val="Normal"/>
    <w:next w:val="Normal"/>
    <w:link w:val="Heading1Char"/>
    <w:uiPriority w:val="9"/>
    <w:qFormat/>
    <w:rsid w:val="00541357"/>
    <w:pPr>
      <w:keepNext/>
      <w:keepLines/>
      <w:spacing w:before="600" w:after="120"/>
      <w:outlineLvl w:val="0"/>
    </w:pPr>
    <w:rPr>
      <w:rFonts w:eastAsiaTheme="majorEastAsia" w:cstheme="majorBidi"/>
      <w:b/>
      <w:color w:val="000000" w:themeColor="text1"/>
      <w:sz w:val="28"/>
      <w:szCs w:val="32"/>
    </w:rPr>
  </w:style>
  <w:style w:type="paragraph" w:styleId="Heading2">
    <w:name w:val="heading 2"/>
    <w:basedOn w:val="Normal"/>
    <w:next w:val="Normal"/>
    <w:link w:val="Heading2Char"/>
    <w:uiPriority w:val="9"/>
    <w:unhideWhenUsed/>
    <w:qFormat/>
    <w:rsid w:val="002408D5"/>
    <w:pPr>
      <w:keepNext/>
      <w:keepLines/>
      <w:spacing w:before="240"/>
      <w:outlineLvl w:val="1"/>
    </w:pPr>
    <w:rPr>
      <w:rFonts w:eastAsiaTheme="majorEastAsia" w:cstheme="majorBidi"/>
      <w:b/>
      <w:color w:val="000000" w:themeColor="text1"/>
      <w:szCs w:val="26"/>
    </w:rPr>
  </w:style>
  <w:style w:type="paragraph" w:styleId="Heading3">
    <w:name w:val="heading 3"/>
    <w:basedOn w:val="Normal"/>
    <w:next w:val="Normal"/>
    <w:link w:val="Heading3Char"/>
    <w:uiPriority w:val="9"/>
    <w:semiHidden/>
    <w:unhideWhenUsed/>
    <w:qFormat/>
    <w:rsid w:val="00B734A1"/>
    <w:pPr>
      <w:keepNext/>
      <w:keepLines/>
      <w:spacing w:before="40"/>
      <w:outlineLvl w:val="2"/>
    </w:pPr>
    <w:rPr>
      <w:rFonts w:eastAsiaTheme="majorEastAsia" w:cstheme="majorBidi"/>
      <w:b/>
      <w:i/>
      <w:color w:val="000000" w:themeColor="text1"/>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40632C"/>
    <w:pPr>
      <w:spacing w:before="100" w:beforeAutospacing="1" w:after="100" w:afterAutospacing="1" w:line="240" w:lineRule="auto"/>
    </w:pPr>
    <w:rPr>
      <w:rFonts w:eastAsia="Times New Roman" w:cs="Times New Roman"/>
      <w:szCs w:val="24"/>
      <w:lang w:eastAsia="en-IN"/>
    </w:rPr>
  </w:style>
  <w:style w:type="character" w:styleId="Hyperlink">
    <w:name w:val="Hyperlink"/>
    <w:basedOn w:val="DefaultParagraphFont"/>
    <w:uiPriority w:val="99"/>
    <w:unhideWhenUsed/>
    <w:rsid w:val="00AD3B70"/>
    <w:rPr>
      <w:color w:val="0000FF"/>
      <w:u w:val="single"/>
    </w:rPr>
  </w:style>
  <w:style w:type="paragraph" w:styleId="ListParagraph">
    <w:name w:val="List Paragraph"/>
    <w:basedOn w:val="Normal"/>
    <w:uiPriority w:val="34"/>
    <w:qFormat/>
    <w:rsid w:val="00F41DC0"/>
    <w:pPr>
      <w:ind w:left="720"/>
      <w:contextualSpacing/>
    </w:pPr>
  </w:style>
  <w:style w:type="table" w:styleId="TableGrid">
    <w:name w:val="Table Grid"/>
    <w:basedOn w:val="TableNormal"/>
    <w:uiPriority w:val="39"/>
    <w:rsid w:val="00BC579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1052F4"/>
    <w:pPr>
      <w:tabs>
        <w:tab w:val="center" w:pos="4513"/>
        <w:tab w:val="right" w:pos="9026"/>
      </w:tabs>
      <w:spacing w:line="240" w:lineRule="auto"/>
    </w:pPr>
  </w:style>
  <w:style w:type="character" w:customStyle="1" w:styleId="HeaderChar">
    <w:name w:val="Header Char"/>
    <w:basedOn w:val="DefaultParagraphFont"/>
    <w:link w:val="Header"/>
    <w:uiPriority w:val="99"/>
    <w:rsid w:val="001052F4"/>
  </w:style>
  <w:style w:type="paragraph" w:styleId="Footer">
    <w:name w:val="footer"/>
    <w:basedOn w:val="Normal"/>
    <w:link w:val="FooterChar"/>
    <w:uiPriority w:val="99"/>
    <w:unhideWhenUsed/>
    <w:rsid w:val="001052F4"/>
    <w:pPr>
      <w:tabs>
        <w:tab w:val="center" w:pos="4513"/>
        <w:tab w:val="right" w:pos="9026"/>
      </w:tabs>
      <w:spacing w:line="240" w:lineRule="auto"/>
    </w:pPr>
  </w:style>
  <w:style w:type="character" w:customStyle="1" w:styleId="FooterChar">
    <w:name w:val="Footer Char"/>
    <w:basedOn w:val="DefaultParagraphFont"/>
    <w:link w:val="Footer"/>
    <w:uiPriority w:val="99"/>
    <w:rsid w:val="001052F4"/>
  </w:style>
  <w:style w:type="character" w:customStyle="1" w:styleId="Heading1Char">
    <w:name w:val="Heading 1 Char"/>
    <w:basedOn w:val="DefaultParagraphFont"/>
    <w:link w:val="Heading1"/>
    <w:uiPriority w:val="9"/>
    <w:rsid w:val="00541357"/>
    <w:rPr>
      <w:rFonts w:ascii="Times New Roman" w:eastAsiaTheme="majorEastAsia" w:hAnsi="Times New Roman" w:cstheme="majorBidi"/>
      <w:b/>
      <w:color w:val="000000" w:themeColor="text1"/>
      <w:sz w:val="28"/>
      <w:szCs w:val="32"/>
    </w:rPr>
  </w:style>
  <w:style w:type="character" w:customStyle="1" w:styleId="Heading2Char">
    <w:name w:val="Heading 2 Char"/>
    <w:basedOn w:val="DefaultParagraphFont"/>
    <w:link w:val="Heading2"/>
    <w:uiPriority w:val="9"/>
    <w:rsid w:val="002408D5"/>
    <w:rPr>
      <w:rFonts w:ascii="Times New Roman" w:eastAsiaTheme="majorEastAsia" w:hAnsi="Times New Roman" w:cstheme="majorBidi"/>
      <w:b/>
      <w:color w:val="000000" w:themeColor="text1"/>
      <w:sz w:val="24"/>
      <w:szCs w:val="26"/>
    </w:rPr>
  </w:style>
  <w:style w:type="paragraph" w:styleId="NoSpacing">
    <w:name w:val="No Spacing"/>
    <w:link w:val="NoSpacingChar"/>
    <w:uiPriority w:val="1"/>
    <w:qFormat/>
    <w:rsid w:val="00367D49"/>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367D49"/>
    <w:rPr>
      <w:rFonts w:eastAsiaTheme="minorEastAsia"/>
      <w:lang w:val="en-US"/>
    </w:rPr>
  </w:style>
  <w:style w:type="paragraph" w:styleId="TOC1">
    <w:name w:val="toc 1"/>
    <w:basedOn w:val="Normal"/>
    <w:next w:val="Normal"/>
    <w:autoRedefine/>
    <w:uiPriority w:val="39"/>
    <w:unhideWhenUsed/>
    <w:rsid w:val="00541357"/>
    <w:pPr>
      <w:spacing w:after="100"/>
    </w:pPr>
  </w:style>
  <w:style w:type="paragraph" w:styleId="TOC2">
    <w:name w:val="toc 2"/>
    <w:basedOn w:val="Normal"/>
    <w:next w:val="Normal"/>
    <w:autoRedefine/>
    <w:uiPriority w:val="39"/>
    <w:unhideWhenUsed/>
    <w:rsid w:val="00541357"/>
    <w:pPr>
      <w:spacing w:after="100"/>
      <w:ind w:left="240"/>
    </w:pPr>
  </w:style>
  <w:style w:type="character" w:customStyle="1" w:styleId="Heading3Char">
    <w:name w:val="Heading 3 Char"/>
    <w:basedOn w:val="DefaultParagraphFont"/>
    <w:link w:val="Heading3"/>
    <w:uiPriority w:val="9"/>
    <w:semiHidden/>
    <w:rsid w:val="00B734A1"/>
    <w:rPr>
      <w:rFonts w:ascii="Times New Roman" w:eastAsiaTheme="majorEastAsia" w:hAnsi="Times New Roman" w:cstheme="majorBidi"/>
      <w:b/>
      <w:i/>
      <w:color w:val="000000" w:themeColor="text1"/>
      <w:sz w:val="24"/>
      <w:szCs w:val="24"/>
    </w:rPr>
  </w:style>
  <w:style w:type="paragraph" w:styleId="Title">
    <w:name w:val="Title"/>
    <w:basedOn w:val="Normal"/>
    <w:next w:val="Normal"/>
    <w:link w:val="TitleChar"/>
    <w:uiPriority w:val="10"/>
    <w:qFormat/>
    <w:rsid w:val="00491C96"/>
    <w:pPr>
      <w:spacing w:line="240" w:lineRule="auto"/>
      <w:contextualSpacing/>
    </w:pPr>
    <w:rPr>
      <w:rFonts w:eastAsiaTheme="majorEastAsia" w:cstheme="majorBidi"/>
      <w:b/>
      <w:spacing w:val="-10"/>
      <w:kern w:val="28"/>
      <w:sz w:val="48"/>
      <w:szCs w:val="56"/>
    </w:rPr>
  </w:style>
  <w:style w:type="character" w:customStyle="1" w:styleId="TitleChar">
    <w:name w:val="Title Char"/>
    <w:basedOn w:val="DefaultParagraphFont"/>
    <w:link w:val="Title"/>
    <w:uiPriority w:val="10"/>
    <w:rsid w:val="00491C96"/>
    <w:rPr>
      <w:rFonts w:ascii="Times New Roman" w:eastAsiaTheme="majorEastAsia" w:hAnsi="Times New Roman" w:cstheme="majorBidi"/>
      <w:b/>
      <w:spacing w:val="-10"/>
      <w:kern w:val="28"/>
      <w:sz w:val="48"/>
      <w:szCs w:val="56"/>
    </w:rPr>
  </w:style>
  <w:style w:type="character" w:styleId="UnresolvedMention">
    <w:name w:val="Unresolved Mention"/>
    <w:basedOn w:val="DefaultParagraphFont"/>
    <w:uiPriority w:val="99"/>
    <w:semiHidden/>
    <w:unhideWhenUsed/>
    <w:rsid w:val="001F1F3C"/>
    <w:rPr>
      <w:color w:val="605E5C"/>
      <w:shd w:val="clear" w:color="auto" w:fill="E1DFDD"/>
    </w:rPr>
  </w:style>
  <w:style w:type="paragraph" w:styleId="TOCHeading">
    <w:name w:val="TOC Heading"/>
    <w:basedOn w:val="Heading1"/>
    <w:next w:val="Normal"/>
    <w:uiPriority w:val="39"/>
    <w:unhideWhenUsed/>
    <w:qFormat/>
    <w:rsid w:val="002408D5"/>
    <w:pPr>
      <w:spacing w:before="240" w:after="0" w:line="259" w:lineRule="auto"/>
      <w:jc w:val="left"/>
      <w:outlineLvl w:val="9"/>
    </w:pPr>
    <w:rPr>
      <w:rFonts w:asciiTheme="majorHAnsi" w:hAnsiTheme="majorHAnsi"/>
      <w:b w:val="0"/>
      <w:color w:val="2F5496" w:themeColor="accent1" w:themeShade="BF"/>
      <w:sz w:val="32"/>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1316505">
      <w:bodyDiv w:val="1"/>
      <w:marLeft w:val="0"/>
      <w:marRight w:val="0"/>
      <w:marTop w:val="0"/>
      <w:marBottom w:val="0"/>
      <w:divBdr>
        <w:top w:val="none" w:sz="0" w:space="0" w:color="auto"/>
        <w:left w:val="none" w:sz="0" w:space="0" w:color="auto"/>
        <w:bottom w:val="none" w:sz="0" w:space="0" w:color="auto"/>
        <w:right w:val="none" w:sz="0" w:space="0" w:color="auto"/>
      </w:divBdr>
    </w:div>
    <w:div w:id="772241967">
      <w:bodyDiv w:val="1"/>
      <w:marLeft w:val="0"/>
      <w:marRight w:val="0"/>
      <w:marTop w:val="0"/>
      <w:marBottom w:val="0"/>
      <w:divBdr>
        <w:top w:val="none" w:sz="0" w:space="0" w:color="auto"/>
        <w:left w:val="none" w:sz="0" w:space="0" w:color="auto"/>
        <w:bottom w:val="none" w:sz="0" w:space="0" w:color="auto"/>
        <w:right w:val="none" w:sz="0" w:space="0" w:color="auto"/>
      </w:divBdr>
    </w:div>
    <w:div w:id="10465619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mdpi.com/2071-1050/13/6/3071" TargetMode="External"/><Relationship Id="rId18" Type="http://schemas.openxmlformats.org/officeDocument/2006/relationships/hyperlink" Target="https://ualresearchonline.arts.ac.uk/id/eprint/16731/6/PatNaldi_Chapter%20Eight.pdf" TargetMode="Externa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https://www.emerald.com/insight/content/doi/10.1108/TQM-10-2020-0238/full/html" TargetMode="External"/><Relationship Id="rId7" Type="http://schemas.openxmlformats.org/officeDocument/2006/relationships/endnotes" Target="endnotes.xml"/><Relationship Id="rId12" Type="http://schemas.openxmlformats.org/officeDocument/2006/relationships/hyperlink" Target="https://link.springer.com/content/pdf/10.1007/978-3-658-29803-6.pdf" TargetMode="External"/><Relationship Id="rId17" Type="http://schemas.openxmlformats.org/officeDocument/2006/relationships/hyperlink" Target="https://pubsonline.informs.org/doi/abs/10.1287/mnsc.2021.4224" TargetMode="External"/><Relationship Id="rId25"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www.sciencedirect.com/science/article/pii/S0360132318307078" TargetMode="External"/><Relationship Id="rId20" Type="http://schemas.openxmlformats.org/officeDocument/2006/relationships/hyperlink" Target="https://www.mdpi.com/2075-5309/12/3/301"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link.springer.com/article/10.1007/s11365-019-00577-6" TargetMode="External"/><Relationship Id="rId24" Type="http://schemas.openxmlformats.org/officeDocument/2006/relationships/hyperlink" Target="https://link.springer.com/chapter/10.1007/978-3-031-36118-0_74" TargetMode="External"/><Relationship Id="rId5" Type="http://schemas.openxmlformats.org/officeDocument/2006/relationships/webSettings" Target="webSettings.xml"/><Relationship Id="rId15" Type="http://schemas.openxmlformats.org/officeDocument/2006/relationships/hyperlink" Target="https://link.springer.com/chapter/10.1007/978-3-031-24816-0_1" TargetMode="External"/><Relationship Id="rId23" Type="http://schemas.openxmlformats.org/officeDocument/2006/relationships/hyperlink" Target="https://www.researchgate.net/profile/Mohsen-Sadeghi-Yarandi/publication/348231817_The_Integrated_Methodology_of_Health_Safety_and_Environmental_HSE_Risk_Assessment_based_on_the_Project_Management_Body_of_Knowledge_PMBOK/links/5ff42e57a6fdccdcb82eed57/The-Integrated-Methodology-of-Health-Safety-and-Environmental-HSE-Risk-Assessment-based-on-the-Project-Management-Body-of-Knowledge-PMBOK.pdf" TargetMode="External"/><Relationship Id="rId10" Type="http://schemas.openxmlformats.org/officeDocument/2006/relationships/hyperlink" Target="https://journals.sagepub.com/doi/abs/10.1177/09721509221119014" TargetMode="External"/><Relationship Id="rId19" Type="http://schemas.openxmlformats.org/officeDocument/2006/relationships/hyperlink" Target="https://www.tumejico.com/www/wp-content/uploads/2021/06/How-to-Unlock-the-Potential-of-the-Advanced-Research-Projects-Agency-Model.pdf" TargetMode="External"/><Relationship Id="rId4" Type="http://schemas.openxmlformats.org/officeDocument/2006/relationships/settings" Target="settings.xml"/><Relationship Id="rId9" Type="http://schemas.openxmlformats.org/officeDocument/2006/relationships/hyperlink" Target="https://ijmsbe.journals.ekb.eg/article_182935.html" TargetMode="External"/><Relationship Id="rId14" Type="http://schemas.openxmlformats.org/officeDocument/2006/relationships/hyperlink" Target="https://figshare.cardiffmet.ac.uk/articles/conference_contribution/New_in-house_organizational_spaces_that_support_creativity_and_innovation_the_co-working_space/19317431" TargetMode="External"/><Relationship Id="rId22" Type="http://schemas.openxmlformats.org/officeDocument/2006/relationships/hyperlink" Target="https://www.ijmb.in/doi/IJMB/pdf/10.5005/jp-journals-10054-0131"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95" row="2">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DA55F89D-3A45-443B-89B9-6C1B791F3069}">
  <we:reference id="wa200000368" version="1.0.0.0" store="en-US" storeType="OMEX"/>
  <we:alternateReferences>
    <we:reference id="WA200000368" version="1.0.0.0" store=""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A3FBD15-C0CB-419D-A220-D87712355E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17</Pages>
  <Words>4597</Words>
  <Characters>26207</Characters>
  <Application>Microsoft Office Word</Application>
  <DocSecurity>0</DocSecurity>
  <Lines>218</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30743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Sandra Ghinescu</dc:creator>
  <cp:keywords/>
  <dc:description/>
  <cp:lastModifiedBy>Sandra Ghinescu</cp:lastModifiedBy>
  <cp:revision>12</cp:revision>
  <dcterms:created xsi:type="dcterms:W3CDTF">2023-11-29T15:59:00Z</dcterms:created>
  <dcterms:modified xsi:type="dcterms:W3CDTF">2023-11-29T16:06:00Z</dcterms:modified>
</cp:coreProperties>
</file>