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5EACDC" w14:textId="4CDA111F" w:rsidR="00DA4ECD" w:rsidRPr="00DA4ECD" w:rsidRDefault="00DA4ECD" w:rsidP="00DA4ECD">
      <w:pPr>
        <w:ind w:firstLine="720"/>
        <w:jc w:val="center"/>
        <w:rPr>
          <w:b/>
          <w:bCs/>
          <w:sz w:val="32"/>
          <w:szCs w:val="32"/>
          <w:u w:val="single"/>
        </w:rPr>
      </w:pPr>
      <w:r w:rsidRPr="00DA4ECD">
        <w:rPr>
          <w:b/>
          <w:bCs/>
          <w:sz w:val="32"/>
          <w:szCs w:val="32"/>
          <w:u w:val="single"/>
        </w:rPr>
        <w:t xml:space="preserve">Femme Lesbians and </w:t>
      </w:r>
      <w:r>
        <w:rPr>
          <w:b/>
          <w:bCs/>
          <w:sz w:val="32"/>
          <w:szCs w:val="32"/>
          <w:u w:val="single"/>
        </w:rPr>
        <w:t>T</w:t>
      </w:r>
      <w:r w:rsidRPr="00DA4ECD">
        <w:rPr>
          <w:b/>
          <w:bCs/>
          <w:sz w:val="32"/>
          <w:szCs w:val="32"/>
          <w:u w:val="single"/>
        </w:rPr>
        <w:t xml:space="preserve">heir </w:t>
      </w:r>
      <w:r>
        <w:rPr>
          <w:b/>
          <w:bCs/>
          <w:sz w:val="32"/>
          <w:szCs w:val="32"/>
          <w:u w:val="single"/>
        </w:rPr>
        <w:t>R</w:t>
      </w:r>
      <w:r w:rsidRPr="00DA4ECD">
        <w:rPr>
          <w:b/>
          <w:bCs/>
          <w:sz w:val="32"/>
          <w:szCs w:val="32"/>
          <w:u w:val="single"/>
        </w:rPr>
        <w:t>elation to ‘Hyper Femininity’</w:t>
      </w:r>
    </w:p>
    <w:p w14:paraId="46100650" w14:textId="142415A2" w:rsidR="00B07A12" w:rsidRPr="00DA4ECD" w:rsidRDefault="00902EE5" w:rsidP="00A41EE2">
      <w:pPr>
        <w:ind w:firstLine="720"/>
        <w:rPr>
          <w:sz w:val="24"/>
          <w:szCs w:val="24"/>
        </w:rPr>
      </w:pPr>
      <w:r w:rsidRPr="00DA4ECD">
        <w:rPr>
          <w:sz w:val="24"/>
          <w:szCs w:val="24"/>
        </w:rPr>
        <w:t>Hyper</w:t>
      </w:r>
      <w:r w:rsidR="00A866AC" w:rsidRPr="00DA4ECD">
        <w:rPr>
          <w:sz w:val="24"/>
          <w:szCs w:val="24"/>
        </w:rPr>
        <w:t xml:space="preserve"> </w:t>
      </w:r>
      <w:r w:rsidRPr="00DA4ECD">
        <w:rPr>
          <w:sz w:val="24"/>
          <w:szCs w:val="24"/>
        </w:rPr>
        <w:t>femininity is defined as being</w:t>
      </w:r>
      <w:r w:rsidR="00EB6719" w:rsidRPr="00DA4ECD">
        <w:rPr>
          <w:sz w:val="24"/>
          <w:szCs w:val="24"/>
        </w:rPr>
        <w:t xml:space="preserve"> “exaggerated adherence to the stereotypic feminine gender role,”</w:t>
      </w:r>
      <w:r w:rsidR="00EB6719" w:rsidRPr="0081707B">
        <w:rPr>
          <w:rStyle w:val="FootnoteReference"/>
        </w:rPr>
        <w:footnoteReference w:id="1"/>
      </w:r>
      <w:r w:rsidR="00EB6719" w:rsidRPr="00DA4ECD">
        <w:rPr>
          <w:sz w:val="24"/>
          <w:szCs w:val="24"/>
        </w:rPr>
        <w:t>. This implies that it</w:t>
      </w:r>
      <w:r w:rsidR="00100F28" w:rsidRPr="00DA4ECD">
        <w:rPr>
          <w:sz w:val="24"/>
          <w:szCs w:val="24"/>
        </w:rPr>
        <w:t xml:space="preserve"> has some relation to an attraction to men, as traditionally women (who were seen as being feminine entities) were told they must have a husband and serve him. However, </w:t>
      </w:r>
      <w:r w:rsidR="000B69DD" w:rsidRPr="00DA4ECD">
        <w:rPr>
          <w:sz w:val="24"/>
          <w:szCs w:val="24"/>
        </w:rPr>
        <w:t>it could also be said</w:t>
      </w:r>
      <w:r w:rsidR="00100F28" w:rsidRPr="00DA4ECD">
        <w:rPr>
          <w:sz w:val="24"/>
          <w:szCs w:val="24"/>
        </w:rPr>
        <w:t xml:space="preserve"> that femininity</w:t>
      </w:r>
      <w:r w:rsidR="000B69DD" w:rsidRPr="00DA4ECD">
        <w:rPr>
          <w:sz w:val="24"/>
          <w:szCs w:val="24"/>
        </w:rPr>
        <w:t xml:space="preserve"> can</w:t>
      </w:r>
      <w:r w:rsidR="00100F28" w:rsidRPr="00DA4ECD">
        <w:rPr>
          <w:sz w:val="24"/>
          <w:szCs w:val="24"/>
        </w:rPr>
        <w:t xml:space="preserve"> exist without an attraction to men, in a space completely unrelated to men.</w:t>
      </w:r>
      <w:r w:rsidR="00100F28" w:rsidRPr="00DA4ECD">
        <w:rPr>
          <w:sz w:val="24"/>
          <w:szCs w:val="24"/>
        </w:rPr>
        <w:br/>
      </w:r>
      <w:r w:rsidR="000B69DD" w:rsidRPr="00DA4ECD">
        <w:rPr>
          <w:sz w:val="24"/>
          <w:szCs w:val="24"/>
        </w:rPr>
        <w:t>F</w:t>
      </w:r>
      <w:r w:rsidR="00100F28" w:rsidRPr="00DA4ECD">
        <w:rPr>
          <w:sz w:val="24"/>
          <w:szCs w:val="24"/>
        </w:rPr>
        <w:t>or example</w:t>
      </w:r>
      <w:r w:rsidR="000B69DD" w:rsidRPr="00DA4ECD">
        <w:rPr>
          <w:sz w:val="24"/>
          <w:szCs w:val="24"/>
        </w:rPr>
        <w:t>, femme lesbians were s</w:t>
      </w:r>
      <w:r w:rsidR="00100F28" w:rsidRPr="00DA4ECD">
        <w:rPr>
          <w:sz w:val="24"/>
          <w:szCs w:val="24"/>
        </w:rPr>
        <w:t xml:space="preserve">een most prominently in working-class bars in Western countries </w:t>
      </w:r>
      <w:r w:rsidR="000B69DD" w:rsidRPr="00DA4ECD">
        <w:rPr>
          <w:sz w:val="24"/>
          <w:szCs w:val="24"/>
        </w:rPr>
        <w:t>during</w:t>
      </w:r>
      <w:r w:rsidR="00100F28" w:rsidRPr="00DA4ECD">
        <w:rPr>
          <w:sz w:val="24"/>
          <w:szCs w:val="24"/>
        </w:rPr>
        <w:t xml:space="preserve"> the 20</w:t>
      </w:r>
      <w:r w:rsidR="00100F28" w:rsidRPr="00DA4ECD">
        <w:rPr>
          <w:sz w:val="24"/>
          <w:szCs w:val="24"/>
          <w:vertAlign w:val="superscript"/>
        </w:rPr>
        <w:t>th</w:t>
      </w:r>
      <w:r w:rsidR="00100F28" w:rsidRPr="00DA4ECD">
        <w:rPr>
          <w:sz w:val="24"/>
          <w:szCs w:val="24"/>
        </w:rPr>
        <w:t xml:space="preserve"> Century</w:t>
      </w:r>
      <w:r w:rsidR="000B69DD" w:rsidRPr="00DA4ECD">
        <w:rPr>
          <w:sz w:val="24"/>
          <w:szCs w:val="24"/>
        </w:rPr>
        <w:t>.</w:t>
      </w:r>
      <w:r w:rsidR="00100F28" w:rsidRPr="00DA4ECD">
        <w:rPr>
          <w:sz w:val="24"/>
          <w:szCs w:val="24"/>
        </w:rPr>
        <w:t xml:space="preserve"> ‘</w:t>
      </w:r>
      <w:r w:rsidR="000B69DD" w:rsidRPr="00DA4ECD">
        <w:rPr>
          <w:sz w:val="24"/>
          <w:szCs w:val="24"/>
        </w:rPr>
        <w:t>F</w:t>
      </w:r>
      <w:r w:rsidR="00100F28" w:rsidRPr="00DA4ECD">
        <w:rPr>
          <w:sz w:val="24"/>
          <w:szCs w:val="24"/>
        </w:rPr>
        <w:t xml:space="preserve">emme’ is </w:t>
      </w:r>
      <w:r w:rsidR="006E069F" w:rsidRPr="00DA4ECD">
        <w:rPr>
          <w:sz w:val="24"/>
          <w:szCs w:val="24"/>
        </w:rPr>
        <w:t>an</w:t>
      </w:r>
      <w:r w:rsidR="00100F28" w:rsidRPr="00DA4ECD">
        <w:rPr>
          <w:sz w:val="24"/>
          <w:szCs w:val="24"/>
        </w:rPr>
        <w:t xml:space="preserve"> identity that personifies femininity</w:t>
      </w:r>
      <w:r w:rsidR="000B69DD" w:rsidRPr="00DA4ECD">
        <w:rPr>
          <w:sz w:val="24"/>
          <w:szCs w:val="24"/>
        </w:rPr>
        <w:t>, but a</w:t>
      </w:r>
      <w:r w:rsidR="00100F28" w:rsidRPr="00DA4ECD">
        <w:rPr>
          <w:sz w:val="24"/>
          <w:szCs w:val="24"/>
        </w:rPr>
        <w:t xml:space="preserve">s lesbians, femmes don’t experience attraction to men, but to other women. Most often, they would be seen engaging in romantic relationships with their butch </w:t>
      </w:r>
      <w:r w:rsidR="006E069F" w:rsidRPr="00DA4ECD">
        <w:rPr>
          <w:sz w:val="24"/>
          <w:szCs w:val="24"/>
        </w:rPr>
        <w:t>counterparts but could have romantic relationships with anyone within the sapphic community</w:t>
      </w:r>
      <w:r w:rsidR="00100F28" w:rsidRPr="00DA4ECD">
        <w:rPr>
          <w:sz w:val="24"/>
          <w:szCs w:val="24"/>
        </w:rPr>
        <w:t xml:space="preserve">. </w:t>
      </w:r>
      <w:r w:rsidR="000F42B2" w:rsidRPr="00DA4ECD">
        <w:rPr>
          <w:sz w:val="24"/>
          <w:szCs w:val="24"/>
        </w:rPr>
        <w:t>In butch/femme culture, butches would act as</w:t>
      </w:r>
      <w:r w:rsidR="006E069F" w:rsidRPr="00DA4ECD">
        <w:rPr>
          <w:sz w:val="24"/>
          <w:szCs w:val="24"/>
        </w:rPr>
        <w:t xml:space="preserve"> the</w:t>
      </w:r>
      <w:r w:rsidR="000F42B2" w:rsidRPr="00DA4ECD">
        <w:rPr>
          <w:sz w:val="24"/>
          <w:szCs w:val="24"/>
        </w:rPr>
        <w:t xml:space="preserve"> protectors, whereas femmes would be the </w:t>
      </w:r>
      <w:r w:rsidR="00455051" w:rsidRPr="00DA4ECD">
        <w:rPr>
          <w:sz w:val="24"/>
          <w:szCs w:val="24"/>
        </w:rPr>
        <w:t>caretakers, bandaging injuries and taking care of their friends and lovers</w:t>
      </w:r>
      <w:r w:rsidR="009C610E" w:rsidRPr="00DA4ECD">
        <w:rPr>
          <w:sz w:val="24"/>
          <w:szCs w:val="24"/>
        </w:rPr>
        <w:t>.</w:t>
      </w:r>
      <w:r w:rsidR="001A6CE3" w:rsidRPr="00DA4ECD">
        <w:rPr>
          <w:sz w:val="24"/>
          <w:szCs w:val="24"/>
        </w:rPr>
        <w:t xml:space="preserve"> It could be said that a</w:t>
      </w:r>
      <w:r w:rsidR="00A41EE2" w:rsidRPr="00DA4ECD">
        <w:rPr>
          <w:sz w:val="24"/>
          <w:szCs w:val="24"/>
        </w:rPr>
        <w:t>n</w:t>
      </w:r>
      <w:r w:rsidR="001A6CE3" w:rsidRPr="00DA4ECD">
        <w:rPr>
          <w:sz w:val="24"/>
          <w:szCs w:val="24"/>
        </w:rPr>
        <w:t xml:space="preserve"> integral part to the femme lesbian identity</w:t>
      </w:r>
      <w:r w:rsidR="006E069F" w:rsidRPr="00DA4ECD">
        <w:rPr>
          <w:sz w:val="24"/>
          <w:szCs w:val="24"/>
        </w:rPr>
        <w:t>, especially during the period where the identity was the most popular, for example the 1950s,</w:t>
      </w:r>
      <w:r w:rsidR="001A6CE3" w:rsidRPr="00DA4ECD">
        <w:rPr>
          <w:sz w:val="24"/>
          <w:szCs w:val="24"/>
        </w:rPr>
        <w:t xml:space="preserve"> would be their relationships with others within in the LGBTQ+ community – particularly butch lesbians</w:t>
      </w:r>
      <w:r w:rsidR="00A41EE2" w:rsidRPr="00DA4ECD">
        <w:rPr>
          <w:sz w:val="24"/>
          <w:szCs w:val="24"/>
        </w:rPr>
        <w:t xml:space="preserve"> – </w:t>
      </w:r>
      <w:r w:rsidR="006E069F" w:rsidRPr="00DA4ECD">
        <w:rPr>
          <w:sz w:val="24"/>
          <w:szCs w:val="24"/>
        </w:rPr>
        <w:t>in addition to</w:t>
      </w:r>
      <w:r w:rsidR="00A41EE2" w:rsidRPr="00DA4ECD">
        <w:rPr>
          <w:sz w:val="24"/>
          <w:szCs w:val="24"/>
        </w:rPr>
        <w:t xml:space="preserve"> their aesthetic portrayal of femininity.</w:t>
      </w:r>
      <w:r w:rsidR="00A41EE2" w:rsidRPr="00DA4ECD">
        <w:rPr>
          <w:sz w:val="24"/>
          <w:szCs w:val="24"/>
        </w:rPr>
        <w:br/>
        <w:t xml:space="preserve">It is also worth noting the difference between sapphic femininity as a whole and specifically lesbian femininity; while most women who experience attraction to women would experience their femininity in a way different to a heterosexual woman, their attraction to men allows them to have some semblance of a relationship to traditional </w:t>
      </w:r>
      <w:r w:rsidR="006E069F" w:rsidRPr="00DA4ECD">
        <w:rPr>
          <w:sz w:val="24"/>
          <w:szCs w:val="24"/>
        </w:rPr>
        <w:t>(</w:t>
      </w:r>
      <w:r w:rsidR="00A41EE2" w:rsidRPr="00DA4ECD">
        <w:rPr>
          <w:sz w:val="24"/>
          <w:szCs w:val="24"/>
        </w:rPr>
        <w:t>hyper</w:t>
      </w:r>
      <w:r w:rsidR="006E069F" w:rsidRPr="00DA4ECD">
        <w:rPr>
          <w:sz w:val="24"/>
          <w:szCs w:val="24"/>
        </w:rPr>
        <w:t>)</w:t>
      </w:r>
      <w:r w:rsidR="00A41EE2" w:rsidRPr="00DA4ECD">
        <w:rPr>
          <w:sz w:val="24"/>
          <w:szCs w:val="24"/>
        </w:rPr>
        <w:t xml:space="preserve"> femininity. Feminine lesbians, on the other hand, would not be able to </w:t>
      </w:r>
      <w:r w:rsidR="006E069F" w:rsidRPr="00DA4ECD">
        <w:rPr>
          <w:sz w:val="24"/>
          <w:szCs w:val="24"/>
        </w:rPr>
        <w:t>experience</w:t>
      </w:r>
      <w:r w:rsidR="00A41EE2" w:rsidRPr="00DA4ECD">
        <w:rPr>
          <w:sz w:val="24"/>
          <w:szCs w:val="24"/>
        </w:rPr>
        <w:t xml:space="preserve"> this due to their lack of attraction to men</w:t>
      </w:r>
      <w:r w:rsidR="006E069F" w:rsidRPr="00DA4ECD">
        <w:rPr>
          <w:sz w:val="24"/>
          <w:szCs w:val="24"/>
        </w:rPr>
        <w:t>, and therefore being alienated from traditional femininity in a way most other were not</w:t>
      </w:r>
      <w:r w:rsidR="00A41EE2" w:rsidRPr="00DA4ECD">
        <w:rPr>
          <w:sz w:val="24"/>
          <w:szCs w:val="24"/>
        </w:rPr>
        <w:t>.</w:t>
      </w:r>
      <w:r w:rsidR="009C610E" w:rsidRPr="00DA4ECD">
        <w:rPr>
          <w:sz w:val="24"/>
          <w:szCs w:val="24"/>
        </w:rPr>
        <w:br/>
        <w:t xml:space="preserve">During my essay, I will be </w:t>
      </w:r>
      <w:r w:rsidR="00E50474" w:rsidRPr="00DA4ECD">
        <w:rPr>
          <w:sz w:val="24"/>
          <w:szCs w:val="24"/>
        </w:rPr>
        <w:t>investigating</w:t>
      </w:r>
      <w:r w:rsidR="009C610E" w:rsidRPr="00DA4ECD">
        <w:rPr>
          <w:sz w:val="24"/>
          <w:szCs w:val="24"/>
        </w:rPr>
        <w:t xml:space="preserve"> </w:t>
      </w:r>
      <w:r w:rsidR="00041444" w:rsidRPr="00DA4ECD">
        <w:rPr>
          <w:sz w:val="24"/>
          <w:szCs w:val="24"/>
        </w:rPr>
        <w:t>the relationship between femme lesbians and their (hyper) femininity by looking at works by Judith</w:t>
      </w:r>
      <w:r w:rsidR="006E069F" w:rsidRPr="00DA4ECD">
        <w:rPr>
          <w:sz w:val="24"/>
          <w:szCs w:val="24"/>
        </w:rPr>
        <w:t>/Jack</w:t>
      </w:r>
      <w:r w:rsidR="00041444" w:rsidRPr="00DA4ECD">
        <w:rPr>
          <w:sz w:val="24"/>
          <w:szCs w:val="24"/>
        </w:rPr>
        <w:t xml:space="preserve"> Halberstam which focus predominantly on masculinity. By examining butch lesbians and their relationships to</w:t>
      </w:r>
      <w:r w:rsidR="001A6CE3" w:rsidRPr="00DA4ECD">
        <w:rPr>
          <w:sz w:val="24"/>
          <w:szCs w:val="24"/>
        </w:rPr>
        <w:t xml:space="preserve"> their</w:t>
      </w:r>
      <w:r w:rsidR="00041444" w:rsidRPr="00DA4ECD">
        <w:rPr>
          <w:sz w:val="24"/>
          <w:szCs w:val="24"/>
        </w:rPr>
        <w:t xml:space="preserve"> masculinity, I would be able to apply the same </w:t>
      </w:r>
      <w:r w:rsidR="001A6CE3" w:rsidRPr="00DA4ECD">
        <w:rPr>
          <w:sz w:val="24"/>
          <w:szCs w:val="24"/>
        </w:rPr>
        <w:t xml:space="preserve">(or at the very least, similar) </w:t>
      </w:r>
      <w:r w:rsidR="00041444" w:rsidRPr="00DA4ECD">
        <w:rPr>
          <w:sz w:val="24"/>
          <w:szCs w:val="24"/>
        </w:rPr>
        <w:t xml:space="preserve">rules to femme lesbians and their relationships to </w:t>
      </w:r>
      <w:r w:rsidR="001A6CE3" w:rsidRPr="00DA4ECD">
        <w:rPr>
          <w:sz w:val="24"/>
          <w:szCs w:val="24"/>
        </w:rPr>
        <w:t xml:space="preserve">their </w:t>
      </w:r>
      <w:r w:rsidR="00041444" w:rsidRPr="00DA4ECD">
        <w:rPr>
          <w:sz w:val="24"/>
          <w:szCs w:val="24"/>
        </w:rPr>
        <w:t>femininity</w:t>
      </w:r>
      <w:r w:rsidR="001A6CE3" w:rsidRPr="00DA4ECD">
        <w:rPr>
          <w:sz w:val="24"/>
          <w:szCs w:val="24"/>
        </w:rPr>
        <w:t>.</w:t>
      </w:r>
      <w:r w:rsidR="00A866AC" w:rsidRPr="00DA4ECD">
        <w:rPr>
          <w:sz w:val="24"/>
          <w:szCs w:val="24"/>
        </w:rPr>
        <w:t xml:space="preserve"> In an essay in a compilation of works about butch/femme culture, </w:t>
      </w:r>
      <w:r w:rsidR="006E069F" w:rsidRPr="00DA4ECD">
        <w:rPr>
          <w:sz w:val="24"/>
          <w:szCs w:val="24"/>
        </w:rPr>
        <w:t>Halberstam</w:t>
      </w:r>
      <w:r w:rsidR="00A866AC" w:rsidRPr="00DA4ECD">
        <w:rPr>
          <w:sz w:val="24"/>
          <w:szCs w:val="24"/>
        </w:rPr>
        <w:t xml:space="preserve"> argues that “we barely know enough about female masculinity to locate its specific relationship to lesbianism.”</w:t>
      </w:r>
      <w:r w:rsidR="00A866AC" w:rsidRPr="0081707B">
        <w:rPr>
          <w:rStyle w:val="FootnoteReference"/>
        </w:rPr>
        <w:footnoteReference w:id="2"/>
      </w:r>
      <w:r w:rsidR="00A866AC" w:rsidRPr="00DA4ECD">
        <w:rPr>
          <w:sz w:val="24"/>
          <w:szCs w:val="24"/>
        </w:rPr>
        <w:t xml:space="preserve">, </w:t>
      </w:r>
      <w:r w:rsidR="00700571" w:rsidRPr="00DA4ECD">
        <w:rPr>
          <w:sz w:val="24"/>
          <w:szCs w:val="24"/>
        </w:rPr>
        <w:t>and it seems that</w:t>
      </w:r>
      <w:r w:rsidR="00A866AC" w:rsidRPr="00DA4ECD">
        <w:rPr>
          <w:sz w:val="24"/>
          <w:szCs w:val="24"/>
        </w:rPr>
        <w:t xml:space="preserve"> something similar could be said about femme lesbians; femininity in women is so often tied to relationships with men that it is difficult to understand its “specific relationship to lesbianism”.</w:t>
      </w:r>
      <w:r w:rsidR="00FA5948" w:rsidRPr="00DA4ECD">
        <w:rPr>
          <w:sz w:val="24"/>
          <w:szCs w:val="24"/>
        </w:rPr>
        <w:t xml:space="preserve"> </w:t>
      </w:r>
      <w:r w:rsidR="00E50474" w:rsidRPr="00DA4ECD">
        <w:rPr>
          <w:sz w:val="24"/>
          <w:szCs w:val="24"/>
        </w:rPr>
        <w:t>While lesbian masculinity was, and still is, so often punished, lesbian femininity comes with its own struggles, which I will be examining during my essay.</w:t>
      </w:r>
    </w:p>
    <w:p w14:paraId="5A19553E" w14:textId="18E80F68" w:rsidR="00DA4ECD" w:rsidRPr="00DA4ECD" w:rsidRDefault="00DA4ECD" w:rsidP="00A41EE2">
      <w:pPr>
        <w:ind w:firstLine="720"/>
        <w:rPr>
          <w:sz w:val="24"/>
          <w:szCs w:val="24"/>
        </w:rPr>
      </w:pPr>
    </w:p>
    <w:p w14:paraId="19A3C121" w14:textId="20D9FE4B" w:rsidR="00DA4ECD" w:rsidRPr="00DA4ECD" w:rsidRDefault="00DA4ECD" w:rsidP="00A41EE2">
      <w:pPr>
        <w:ind w:firstLine="720"/>
        <w:rPr>
          <w:i/>
          <w:iCs/>
          <w:sz w:val="28"/>
          <w:szCs w:val="28"/>
          <w:u w:val="single"/>
        </w:rPr>
      </w:pPr>
      <w:r w:rsidRPr="00DA4ECD">
        <w:rPr>
          <w:i/>
          <w:iCs/>
          <w:sz w:val="28"/>
          <w:szCs w:val="28"/>
          <w:u w:val="single"/>
        </w:rPr>
        <w:t>Bibliography:</w:t>
      </w:r>
    </w:p>
    <w:p w14:paraId="3352F9D7" w14:textId="77777777" w:rsidR="00DA4ECD" w:rsidRPr="00DA4ECD" w:rsidRDefault="00DA4ECD" w:rsidP="00DA4ECD">
      <w:pPr>
        <w:pStyle w:val="Bibliography"/>
        <w:numPr>
          <w:ilvl w:val="0"/>
          <w:numId w:val="1"/>
        </w:numPr>
        <w:rPr>
          <w:rFonts w:ascii="Calibri" w:hAnsi="Calibri" w:cs="Calibri"/>
          <w:sz w:val="24"/>
          <w:szCs w:val="24"/>
        </w:rPr>
      </w:pPr>
      <w:r w:rsidRPr="00DA4ECD">
        <w:rPr>
          <w:sz w:val="24"/>
          <w:szCs w:val="24"/>
        </w:rPr>
        <w:fldChar w:fldCharType="begin"/>
      </w:r>
      <w:r w:rsidRPr="00DA4ECD">
        <w:rPr>
          <w:sz w:val="24"/>
          <w:szCs w:val="24"/>
        </w:rPr>
        <w:instrText xml:space="preserve"> ADDIN ZOTERO_BIBL {"uncited":[],"omitted":[],"custom":[]} CSL_BIBLIOGRAPHY </w:instrText>
      </w:r>
      <w:r w:rsidRPr="00DA4ECD">
        <w:rPr>
          <w:sz w:val="24"/>
          <w:szCs w:val="24"/>
        </w:rPr>
        <w:fldChar w:fldCharType="separate"/>
      </w:r>
      <w:r w:rsidRPr="00DA4ECD">
        <w:rPr>
          <w:rFonts w:ascii="Calibri" w:hAnsi="Calibri" w:cs="Calibri"/>
          <w:sz w:val="24"/>
          <w:szCs w:val="24"/>
        </w:rPr>
        <w:t>Forrest, Breanne R, and Suzanne L Osman, ‘Hyperfeminity and Body-Related Constructs’, 6</w:t>
      </w:r>
    </w:p>
    <w:p w14:paraId="11476BF9" w14:textId="77777777" w:rsidR="00DA4ECD" w:rsidRPr="00DA4ECD" w:rsidRDefault="00DA4ECD" w:rsidP="00DA4ECD">
      <w:pPr>
        <w:pStyle w:val="Bibliography"/>
        <w:numPr>
          <w:ilvl w:val="0"/>
          <w:numId w:val="1"/>
        </w:numPr>
        <w:rPr>
          <w:rFonts w:ascii="Calibri" w:hAnsi="Calibri" w:cs="Calibri"/>
          <w:sz w:val="24"/>
          <w:szCs w:val="24"/>
        </w:rPr>
      </w:pPr>
      <w:r w:rsidRPr="00DA4ECD">
        <w:rPr>
          <w:rFonts w:ascii="Calibri" w:hAnsi="Calibri" w:cs="Calibri"/>
          <w:sz w:val="24"/>
          <w:szCs w:val="24"/>
        </w:rPr>
        <w:t xml:space="preserve">Munt, Sally, and Cherry Smyth, </w:t>
      </w:r>
      <w:r w:rsidRPr="00DA4ECD">
        <w:rPr>
          <w:rFonts w:ascii="Calibri" w:hAnsi="Calibri" w:cs="Calibri"/>
          <w:i/>
          <w:iCs/>
          <w:sz w:val="24"/>
          <w:szCs w:val="24"/>
        </w:rPr>
        <w:t>Butch/Femme: Inside Lesbian Gender</w:t>
      </w:r>
      <w:r w:rsidRPr="00DA4ECD">
        <w:rPr>
          <w:rFonts w:ascii="Calibri" w:hAnsi="Calibri" w:cs="Calibri"/>
          <w:sz w:val="24"/>
          <w:szCs w:val="24"/>
        </w:rPr>
        <w:t xml:space="preserve"> (A&amp;C Black, 1998)</w:t>
      </w:r>
    </w:p>
    <w:p w14:paraId="65FD5763" w14:textId="7C252567" w:rsidR="00DA4ECD" w:rsidRPr="00DA4ECD" w:rsidRDefault="00DA4ECD" w:rsidP="00A41EE2">
      <w:pPr>
        <w:ind w:firstLine="720"/>
        <w:rPr>
          <w:sz w:val="24"/>
          <w:szCs w:val="24"/>
        </w:rPr>
      </w:pPr>
      <w:r w:rsidRPr="00DA4ECD">
        <w:rPr>
          <w:sz w:val="24"/>
          <w:szCs w:val="24"/>
        </w:rPr>
        <w:fldChar w:fldCharType="end"/>
      </w:r>
    </w:p>
    <w:sectPr w:rsidR="00DA4ECD" w:rsidRPr="00DA4ECD" w:rsidSect="00902EE5">
      <w:pgSz w:w="11906" w:h="16838"/>
      <w:pgMar w:top="1440" w:right="1080" w:bottom="1440" w:left="108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A9770E" w14:textId="77777777" w:rsidR="007901CA" w:rsidRDefault="007901CA" w:rsidP="00EB6719">
      <w:pPr>
        <w:spacing w:after="0" w:line="240" w:lineRule="auto"/>
      </w:pPr>
      <w:r>
        <w:separator/>
      </w:r>
    </w:p>
  </w:endnote>
  <w:endnote w:type="continuationSeparator" w:id="0">
    <w:p w14:paraId="77147C04" w14:textId="77777777" w:rsidR="007901CA" w:rsidRDefault="007901CA" w:rsidP="00EB67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7DB929" w14:textId="77777777" w:rsidR="007901CA" w:rsidRDefault="007901CA" w:rsidP="00EB6719">
      <w:pPr>
        <w:spacing w:after="0" w:line="240" w:lineRule="auto"/>
      </w:pPr>
      <w:r>
        <w:separator/>
      </w:r>
    </w:p>
  </w:footnote>
  <w:footnote w:type="continuationSeparator" w:id="0">
    <w:p w14:paraId="18DADE4D" w14:textId="77777777" w:rsidR="007901CA" w:rsidRDefault="007901CA" w:rsidP="00EB6719">
      <w:pPr>
        <w:spacing w:after="0" w:line="240" w:lineRule="auto"/>
      </w:pPr>
      <w:r>
        <w:continuationSeparator/>
      </w:r>
    </w:p>
  </w:footnote>
  <w:footnote w:id="1">
    <w:p w14:paraId="01CEDFF5" w14:textId="09C61A00" w:rsidR="00EB6719" w:rsidRDefault="00EB6719">
      <w:pPr>
        <w:pStyle w:val="FootnoteText"/>
      </w:pPr>
      <w:r w:rsidRPr="0081707B">
        <w:rPr>
          <w:rStyle w:val="FootnoteReference"/>
        </w:rPr>
        <w:footnoteRef/>
      </w:r>
      <w:r>
        <w:t xml:space="preserve"> </w:t>
      </w:r>
      <w:r>
        <w:fldChar w:fldCharType="begin"/>
      </w:r>
      <w:r>
        <w:instrText xml:space="preserve"> ADDIN ZOTERO_ITEM CSL_CITATION {"citationID":"VapUNfkK","properties":{"formattedCitation":"Breanne R Forrest and Suzanne L Osman, \\uc0\\u8216{}Hyperfeminity and Body-Related Constructs\\uc0\\u8217{}, 6.","plainCitation":"Breanne R Forrest and Suzanne L Osman, ‘Hyperfeminity and Body-Related Constructs’, 6.","noteIndex":1},"citationItems":[{"id":11,"uris":["http://zotero.org/users/local/XaWIFCkc/items/LJ4W22UV"],"uri":["http://zotero.org/users/local/XaWIFCkc/items/LJ4W22UV"],"itemData":{"id":11,"type":"article-journal","language":"en","page":"6","source":"Zotero","title":"Hyperfeminity and body-related constructs","author":[{"family":"Forrest","given":"Breanne R"},{"family":"Osman","given":"Suzanne L"}]}}],"schema":"https://github.com/citation-style-language/schema/raw/master/csl-citation.json"} </w:instrText>
      </w:r>
      <w:r>
        <w:fldChar w:fldCharType="separate"/>
      </w:r>
      <w:r w:rsidRPr="00EB6719">
        <w:rPr>
          <w:rFonts w:ascii="Calibri" w:hAnsi="Calibri" w:cs="Calibri"/>
          <w:szCs w:val="24"/>
        </w:rPr>
        <w:t>Breanne R Forrest and Suzanne L Osman, ‘Hyperfeminity and Body-Related Constructs’, 6.</w:t>
      </w:r>
      <w:r>
        <w:fldChar w:fldCharType="end"/>
      </w:r>
    </w:p>
  </w:footnote>
  <w:footnote w:id="2">
    <w:p w14:paraId="2655CAB2" w14:textId="3B0AE8FF" w:rsidR="00A866AC" w:rsidRDefault="00A866AC">
      <w:pPr>
        <w:pStyle w:val="FootnoteText"/>
      </w:pPr>
      <w:r w:rsidRPr="0081707B">
        <w:rPr>
          <w:rStyle w:val="FootnoteReference"/>
        </w:rPr>
        <w:footnoteRef/>
      </w:r>
      <w:r>
        <w:t xml:space="preserve"> </w:t>
      </w:r>
      <w:r>
        <w:fldChar w:fldCharType="begin"/>
      </w:r>
      <w:r>
        <w:instrText xml:space="preserve"> ADDIN ZOTERO_ITEM CSL_CITATION {"citationID":"0c2h7NOf","properties":{"formattedCitation":"Sally Munt and Cherry Smyth, {\\i{}Butch/Femme: Inside Lesbian Gender} (A&amp;C Black, 1998).","plainCitation":"Sally Munt and Cherry Smyth, Butch/Femme: Inside Lesbian Gender (A&amp;C Black, 1998).","noteIndex":2},"citationItems":[{"id":12,"uris":["http://zotero.org/users/local/XaWIFCkc/items/5DVFN5BQ"],"uri":["http://zotero.org/users/local/XaWIFCkc/items/5DVFN5BQ"],"itemData":{"id":12,"type":"book","abstract":"Despite its evident significance in lesbian communities, the designations of butch and femme have rarely been theorized or written about from a critical perspective. For many lesbians, butch and femme are expressive lived identities, yet prevalent intellectual trends encourage us in the view that these are somehow provisional, empty, and artificial. This book is an attempt to think creatively about hutch/femme in a way which honors the intimacy of these identities, hoping to articulate the closeness we hold to these evocative categories, respecting the power they hold in lesbian cultures, but also avoiding the cliched romanticization often endemic to their representation. Far from being sentimentally unreflective, the pieces in this collection also intend to offer up the mirror of estrangement, so we can think about these categories in new ways, combining the critical eye with affect. All the essays in this collection communicate the complexity of butch/femme without sacrificing the emotional integrity with which these identities are lived.-- Many of the chapters take the form of traditional academic analyses, but there are also contributions which choose the imaginative form, written by performance artists or poets","ISBN":"978-0-304-33959-4","language":"en","note":"Google-Books-ID: 1G5M13Xida0C","number-of-pages":"268","publisher":"A&amp;C Black","source":"Google Books","title":"Butch/femme: Inside Lesbian Gender","title-short":"Butch/femme","author":[{"family":"Munt","given":"Sally"},{"family":"Smyth","given":"Cherry"}],"issued":{"date-parts":[["1998",1,1]]}}}],"schema":"https://github.com/citation-style-language/schema/raw/master/csl-citation.json"} </w:instrText>
      </w:r>
      <w:r>
        <w:fldChar w:fldCharType="separate"/>
      </w:r>
      <w:r w:rsidRPr="00A866AC">
        <w:rPr>
          <w:rFonts w:ascii="Calibri" w:hAnsi="Calibri" w:cs="Calibri"/>
          <w:szCs w:val="24"/>
        </w:rPr>
        <w:t xml:space="preserve">Sally Munt and Cherry Smyth, </w:t>
      </w:r>
      <w:r w:rsidRPr="00A866AC">
        <w:rPr>
          <w:rFonts w:ascii="Calibri" w:hAnsi="Calibri" w:cs="Calibri"/>
          <w:i/>
          <w:iCs/>
          <w:szCs w:val="24"/>
        </w:rPr>
        <w:t>Butch/Femme: Inside Lesbian Gender</w:t>
      </w:r>
      <w:r w:rsidRPr="00A866AC">
        <w:rPr>
          <w:rFonts w:ascii="Calibri" w:hAnsi="Calibri" w:cs="Calibri"/>
          <w:szCs w:val="24"/>
        </w:rPr>
        <w:t xml:space="preserve"> (A&amp;C Black, 1998).</w:t>
      </w:r>
      <w:r>
        <w:fldChar w:fldCharType="end"/>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8C2A30"/>
    <w:multiLevelType w:val="hybridMultilevel"/>
    <w:tmpl w:val="5FB86A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2EE5"/>
    <w:rsid w:val="00041444"/>
    <w:rsid w:val="000B69DD"/>
    <w:rsid w:val="000F42B2"/>
    <w:rsid w:val="00100F28"/>
    <w:rsid w:val="001A6CE3"/>
    <w:rsid w:val="00454BFC"/>
    <w:rsid w:val="00455051"/>
    <w:rsid w:val="005B483C"/>
    <w:rsid w:val="006E069F"/>
    <w:rsid w:val="00700571"/>
    <w:rsid w:val="00725DD9"/>
    <w:rsid w:val="007901CA"/>
    <w:rsid w:val="0081707B"/>
    <w:rsid w:val="008B2B9B"/>
    <w:rsid w:val="00902EE5"/>
    <w:rsid w:val="009B78B0"/>
    <w:rsid w:val="009C610E"/>
    <w:rsid w:val="00A41EE2"/>
    <w:rsid w:val="00A61BAB"/>
    <w:rsid w:val="00A866AC"/>
    <w:rsid w:val="00B07A12"/>
    <w:rsid w:val="00DA4ECD"/>
    <w:rsid w:val="00E50474"/>
    <w:rsid w:val="00EB6719"/>
    <w:rsid w:val="00FA59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83800A"/>
  <w15:chartTrackingRefBased/>
  <w15:docId w15:val="{D6EB7533-2FC9-4C77-944F-CE808DA253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EB671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B6719"/>
    <w:rPr>
      <w:sz w:val="20"/>
      <w:szCs w:val="20"/>
    </w:rPr>
  </w:style>
  <w:style w:type="character" w:styleId="FootnoteReference">
    <w:name w:val="footnote reference"/>
    <w:basedOn w:val="DefaultParagraphFont"/>
    <w:uiPriority w:val="99"/>
    <w:semiHidden/>
    <w:unhideWhenUsed/>
    <w:rsid w:val="00EB6719"/>
    <w:rPr>
      <w:vertAlign w:val="superscript"/>
    </w:rPr>
  </w:style>
  <w:style w:type="paragraph" w:styleId="Bibliography">
    <w:name w:val="Bibliography"/>
    <w:basedOn w:val="Normal"/>
    <w:next w:val="Normal"/>
    <w:uiPriority w:val="37"/>
    <w:unhideWhenUsed/>
    <w:rsid w:val="00DA4ECD"/>
  </w:style>
  <w:style w:type="character" w:styleId="EndnoteReference">
    <w:name w:val="endnote reference"/>
    <w:basedOn w:val="DefaultParagraphFont"/>
    <w:uiPriority w:val="99"/>
    <w:semiHidden/>
    <w:unhideWhenUsed/>
    <w:rsid w:val="0081707B"/>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4005</TotalTime>
  <Pages>1</Pages>
  <Words>491</Words>
  <Characters>2687</Characters>
  <Application>Microsoft Office Word</Application>
  <DocSecurity>0</DocSecurity>
  <Lines>38</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Faith Howell-Morgan (2004161)</dc:creator>
  <cp:keywords/>
  <dc:description/>
  <cp:lastModifiedBy>Faith Howell-Morgan (2004161)</cp:lastModifiedBy>
  <cp:revision>7</cp:revision>
  <dcterms:created xsi:type="dcterms:W3CDTF">2022-02-27T16:14:00Z</dcterms:created>
  <dcterms:modified xsi:type="dcterms:W3CDTF">2022-03-21T09:07:00Z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zotero-version="5.0.96.3"&gt;&lt;session id="gINJ8T7R"/&gt;&lt;style id="http://www.zotero.org/styles/modern-humanities-research-association" hasBibliography="1" bibliographyStyleHasBeenSet="1"/&gt;&lt;prefs&gt;&lt;pref name="fieldType" value="Field"/&gt;&lt;pre</vt:lpwstr>
  </property>
  <property fmtid="{D5CDD505-2E9C-101B-9397-08002B2CF9AE}" pid="3" name="ZOTERO_PREF_2">
    <vt:lpwstr>f name="automaticJournalAbbreviations" value="true"/&gt;&lt;pref name="noteType" value="1"/&gt;&lt;/prefs&gt;&lt;/data&gt;</vt:lpwstr>
  </property>
</Properties>
</file>