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03F" w:rsidRDefault="00A1503F" w:rsidP="00A1503F">
      <w:pPr>
        <w:pStyle w:val="NormalWeb"/>
        <w:spacing w:before="0" w:beforeAutospacing="0" w:after="0" w:afterAutospacing="0"/>
        <w:ind w:left="-180" w:right="-334"/>
      </w:pPr>
      <w:r>
        <w:rPr>
          <w:noProof/>
          <w:lang w:eastAsia="en-GB"/>
        </w:rPr>
        <w:drawing>
          <wp:inline distT="0" distB="0" distL="0" distR="0">
            <wp:extent cx="1905000" cy="635000"/>
            <wp:effectExtent l="19050" t="19050" r="19050" b="1270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rsidR="00A1503F" w:rsidRDefault="00A1503F" w:rsidP="00A1503F">
      <w:pPr>
        <w:pStyle w:val="NormalWeb"/>
        <w:spacing w:before="0" w:beforeAutospacing="0" w:after="0" w:afterAutospacing="0"/>
        <w:ind w:left="-180" w:right="-334"/>
      </w:pPr>
    </w:p>
    <w:p w:rsidR="00A1503F" w:rsidRDefault="00A1503F" w:rsidP="00A1503F">
      <w:pPr>
        <w:pStyle w:val="NormalWeb"/>
        <w:spacing w:before="0" w:beforeAutospacing="0" w:after="0" w:afterAutospacing="0"/>
        <w:ind w:left="-180" w:right="-334"/>
      </w:pPr>
    </w:p>
    <w:p w:rsidR="00A1503F" w:rsidRDefault="00A1503F" w:rsidP="00A1503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A1503F" w:rsidRPr="00230F35" w:rsidRDefault="00A1503F" w:rsidP="00A1503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A1503F" w:rsidRPr="00230F35" w:rsidRDefault="00A1503F" w:rsidP="00A1503F">
      <w:pPr>
        <w:rPr>
          <w:rFonts w:ascii="Arial" w:hAnsi="Arial" w:cs="Arial"/>
          <w:sz w:val="28"/>
          <w:szCs w:val="28"/>
          <w:lang w:val="cy-GB"/>
        </w:rPr>
      </w:pPr>
    </w:p>
    <w:p w:rsidR="00A1503F" w:rsidRDefault="00A1503F" w:rsidP="00A1503F">
      <w:pPr>
        <w:pStyle w:val="Heading3"/>
        <w:jc w:val="center"/>
        <w:rPr>
          <w:lang w:val="cy-GB"/>
        </w:rPr>
      </w:pPr>
      <w:r>
        <w:rPr>
          <w:lang w:val="cy-GB"/>
        </w:rPr>
        <w:t>THIS SHEET MUST BE THE FIRST PAGE OF THE ASSIGNMENT YOU ARE SUBMITTING  (DO NOT SEND AS A SEPARATE FILE)</w:t>
      </w:r>
    </w:p>
    <w:p w:rsidR="00A1503F" w:rsidRDefault="00A1503F" w:rsidP="00A1503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1503F" w:rsidRPr="00230F35" w:rsidTr="00F25216">
        <w:trPr>
          <w:trHeight w:val="614"/>
        </w:trPr>
        <w:tc>
          <w:tcPr>
            <w:tcW w:w="8856" w:type="dxa"/>
            <w:gridSpan w:val="5"/>
          </w:tcPr>
          <w:p w:rsidR="00A1503F" w:rsidRPr="00230F35"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1503F" w:rsidRPr="00230F35" w:rsidTr="00F25216">
        <w:trPr>
          <w:trHeight w:val="718"/>
        </w:trPr>
        <w:tc>
          <w:tcPr>
            <w:tcW w:w="8856" w:type="dxa"/>
            <w:gridSpan w:val="5"/>
          </w:tcPr>
          <w:p w:rsidR="00A1503F"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0A13BB">
              <w:rPr>
                <w:rFonts w:ascii="Arial" w:hAnsi="Arial" w:cs="Arial"/>
                <w:b/>
                <w:sz w:val="22"/>
                <w:szCs w:val="22"/>
              </w:rPr>
              <w:t>Diane Stankaitis</w:t>
            </w:r>
          </w:p>
          <w:p w:rsidR="00A1503F" w:rsidRPr="00230F35" w:rsidRDefault="00A1503F" w:rsidP="00F25216">
            <w:pPr>
              <w:pStyle w:val="NormalWeb"/>
              <w:spacing w:before="0" w:beforeAutospacing="0" w:after="0" w:afterAutospacing="0"/>
              <w:ind w:right="34"/>
              <w:rPr>
                <w:rFonts w:ascii="Arial" w:hAnsi="Arial" w:cs="Arial"/>
                <w:sz w:val="22"/>
                <w:szCs w:val="22"/>
              </w:rPr>
            </w:pPr>
          </w:p>
          <w:p w:rsidR="00A1503F" w:rsidRPr="00230F35"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0A13BB">
              <w:rPr>
                <w:rFonts w:ascii="Arial" w:hAnsi="Arial" w:cs="Arial"/>
                <w:b/>
                <w:sz w:val="22"/>
                <w:szCs w:val="22"/>
              </w:rPr>
              <w:t>1402208@student.uwtsd.ac.uk</w:t>
            </w:r>
          </w:p>
        </w:tc>
      </w:tr>
      <w:tr w:rsidR="00A1503F" w:rsidRPr="00230F35" w:rsidTr="00F25216">
        <w:trPr>
          <w:trHeight w:val="849"/>
        </w:trPr>
        <w:tc>
          <w:tcPr>
            <w:tcW w:w="4788" w:type="dxa"/>
          </w:tcPr>
          <w:p w:rsidR="00A1503F"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A1503F" w:rsidRPr="00230F35" w:rsidRDefault="00A1503F" w:rsidP="00F25216">
            <w:pPr>
              <w:pStyle w:val="NormalWeb"/>
              <w:spacing w:before="0" w:beforeAutospacing="0" w:after="0" w:afterAutospacing="0"/>
              <w:ind w:right="34"/>
              <w:rPr>
                <w:rFonts w:ascii="Arial" w:hAnsi="Arial" w:cs="Arial"/>
                <w:sz w:val="22"/>
                <w:szCs w:val="22"/>
              </w:rPr>
            </w:pPr>
            <w:r>
              <w:rPr>
                <w:rFonts w:ascii="Arial" w:hAnsi="Arial" w:cs="Arial"/>
                <w:b/>
                <w:sz w:val="22"/>
                <w:szCs w:val="22"/>
              </w:rPr>
              <w:t>HPRS7015</w:t>
            </w:r>
            <w:r>
              <w:rPr>
                <w:rFonts w:ascii="Arial" w:hAnsi="Arial" w:cs="Arial"/>
                <w:sz w:val="22"/>
                <w:szCs w:val="22"/>
              </w:rPr>
              <w:t xml:space="preserve"> </w:t>
            </w:r>
          </w:p>
          <w:p w:rsidR="00A1503F"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rsidR="00A1503F" w:rsidRPr="000A13BB" w:rsidRDefault="00A1503F" w:rsidP="00F25216">
            <w:pPr>
              <w:pStyle w:val="NormalWeb"/>
              <w:spacing w:before="0" w:beforeAutospacing="0" w:after="0" w:afterAutospacing="0"/>
              <w:ind w:right="34"/>
              <w:rPr>
                <w:rFonts w:ascii="Arial" w:hAnsi="Arial" w:cs="Arial"/>
                <w:b/>
                <w:sz w:val="22"/>
                <w:szCs w:val="22"/>
              </w:rPr>
            </w:pPr>
            <w:r>
              <w:rPr>
                <w:rFonts w:ascii="Arial" w:hAnsi="Arial" w:cs="Arial"/>
                <w:b/>
                <w:sz w:val="22"/>
                <w:szCs w:val="22"/>
              </w:rPr>
              <w:t>From Patriarchs to Prophets: Reading and Reception</w:t>
            </w:r>
          </w:p>
          <w:p w:rsidR="00A1503F" w:rsidRPr="00230F35" w:rsidRDefault="00A1503F" w:rsidP="00F25216">
            <w:pPr>
              <w:pStyle w:val="NormalWeb"/>
              <w:spacing w:before="0" w:beforeAutospacing="0" w:after="0" w:afterAutospacing="0"/>
              <w:ind w:right="34"/>
              <w:rPr>
                <w:rFonts w:ascii="Arial" w:hAnsi="Arial" w:cs="Arial"/>
                <w:sz w:val="22"/>
                <w:szCs w:val="22"/>
              </w:rPr>
            </w:pPr>
          </w:p>
        </w:tc>
        <w:tc>
          <w:tcPr>
            <w:tcW w:w="2266" w:type="dxa"/>
            <w:gridSpan w:val="3"/>
          </w:tcPr>
          <w:p w:rsidR="00A1503F"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A1503F" w:rsidRPr="000A13BB" w:rsidRDefault="00A1503F" w:rsidP="00F25216">
            <w:pPr>
              <w:pStyle w:val="NormalWeb"/>
              <w:spacing w:before="0" w:beforeAutospacing="0" w:after="0" w:afterAutospacing="0"/>
              <w:ind w:right="34"/>
              <w:rPr>
                <w:rFonts w:ascii="Arial" w:hAnsi="Arial" w:cs="Arial"/>
                <w:b/>
                <w:sz w:val="22"/>
                <w:szCs w:val="22"/>
              </w:rPr>
            </w:pPr>
            <w:r w:rsidRPr="000A13BB">
              <w:rPr>
                <w:rFonts w:ascii="Arial" w:hAnsi="Arial" w:cs="Arial"/>
                <w:b/>
                <w:sz w:val="22"/>
                <w:szCs w:val="22"/>
              </w:rPr>
              <w:t>1402208</w:t>
            </w:r>
          </w:p>
        </w:tc>
        <w:tc>
          <w:tcPr>
            <w:tcW w:w="1802" w:type="dxa"/>
          </w:tcPr>
          <w:p w:rsidR="00A1503F" w:rsidRPr="00230F35"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A1503F" w:rsidRPr="000A13BB" w:rsidRDefault="00A1503F" w:rsidP="00F25216">
            <w:pPr>
              <w:pStyle w:val="NormalWeb"/>
              <w:spacing w:before="0" w:beforeAutospacing="0" w:after="0" w:afterAutospacing="0"/>
              <w:ind w:right="34"/>
              <w:rPr>
                <w:rFonts w:ascii="Arial" w:hAnsi="Arial" w:cs="Arial"/>
                <w:b/>
                <w:sz w:val="22"/>
                <w:szCs w:val="22"/>
              </w:rPr>
            </w:pPr>
            <w:r w:rsidRPr="000A13BB">
              <w:rPr>
                <w:rFonts w:ascii="Arial" w:hAnsi="Arial" w:cs="Arial"/>
                <w:b/>
                <w:sz w:val="22"/>
                <w:szCs w:val="22"/>
              </w:rPr>
              <w:t>NO</w:t>
            </w:r>
          </w:p>
        </w:tc>
      </w:tr>
      <w:tr w:rsidR="00A1503F" w:rsidRPr="00230F35" w:rsidTr="00F25216">
        <w:trPr>
          <w:trHeight w:val="1139"/>
        </w:trPr>
        <w:tc>
          <w:tcPr>
            <w:tcW w:w="8856" w:type="dxa"/>
            <w:gridSpan w:val="5"/>
          </w:tcPr>
          <w:p w:rsidR="00A1503F" w:rsidRPr="00230F35"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rsidR="00A1503F" w:rsidRPr="000A13BB" w:rsidRDefault="00A1503F" w:rsidP="00F25216">
            <w:pPr>
              <w:pStyle w:val="NormalWeb"/>
              <w:spacing w:before="0" w:beforeAutospacing="0" w:after="0" w:afterAutospacing="0"/>
              <w:ind w:right="34"/>
              <w:rPr>
                <w:rFonts w:ascii="Arial" w:hAnsi="Arial" w:cs="Arial"/>
                <w:b/>
                <w:sz w:val="22"/>
                <w:szCs w:val="22"/>
              </w:rPr>
            </w:pPr>
            <w:r>
              <w:rPr>
                <w:rFonts w:ascii="Arial" w:hAnsi="Arial" w:cs="Arial"/>
                <w:b/>
                <w:sz w:val="22"/>
                <w:szCs w:val="22"/>
              </w:rPr>
              <w:t>A Critical Analysis of the Characteristics and Reception of Abraham</w:t>
            </w:r>
          </w:p>
          <w:p w:rsidR="00A1503F" w:rsidRDefault="00A1503F" w:rsidP="00F25216">
            <w:pPr>
              <w:pStyle w:val="NormalWeb"/>
              <w:spacing w:before="0" w:beforeAutospacing="0" w:after="0" w:afterAutospacing="0"/>
              <w:ind w:right="34"/>
              <w:rPr>
                <w:rFonts w:ascii="Arial" w:hAnsi="Arial" w:cs="Arial"/>
                <w:sz w:val="22"/>
                <w:szCs w:val="22"/>
              </w:rPr>
            </w:pPr>
          </w:p>
          <w:p w:rsidR="00A1503F" w:rsidRPr="000A13BB" w:rsidRDefault="00A1503F" w:rsidP="00F25216">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b/>
                <w:sz w:val="22"/>
                <w:szCs w:val="22"/>
              </w:rPr>
              <w:t>28</w:t>
            </w:r>
            <w:r w:rsidRPr="000A13BB">
              <w:rPr>
                <w:rFonts w:ascii="Arial" w:hAnsi="Arial" w:cs="Arial"/>
                <w:b/>
                <w:sz w:val="22"/>
                <w:szCs w:val="22"/>
                <w:vertAlign w:val="superscript"/>
              </w:rPr>
              <w:t>th</w:t>
            </w:r>
            <w:r>
              <w:rPr>
                <w:rFonts w:ascii="Arial" w:hAnsi="Arial" w:cs="Arial"/>
                <w:b/>
                <w:sz w:val="22"/>
                <w:szCs w:val="22"/>
              </w:rPr>
              <w:t xml:space="preserve"> July 2021</w:t>
            </w:r>
          </w:p>
        </w:tc>
      </w:tr>
      <w:tr w:rsidR="00A1503F" w:rsidRPr="00230F35" w:rsidTr="00F25216">
        <w:trPr>
          <w:trHeight w:val="978"/>
        </w:trPr>
        <w:tc>
          <w:tcPr>
            <w:tcW w:w="8856" w:type="dxa"/>
            <w:gridSpan w:val="5"/>
            <w:tcBorders>
              <w:bottom w:val="single" w:sz="4" w:space="0" w:color="000000"/>
            </w:tcBorders>
          </w:tcPr>
          <w:p w:rsidR="00A1503F" w:rsidRPr="00230F35" w:rsidRDefault="00A1503F" w:rsidP="00F2521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w:t>
            </w:r>
            <w:r>
              <w:rPr>
                <w:rFonts w:ascii="Arial" w:hAnsi="Arial" w:cs="Arial"/>
              </w:rPr>
              <w:t>X</w:t>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A1503F" w:rsidRPr="00230F35" w:rsidTr="00F25216">
        <w:trPr>
          <w:trHeight w:val="978"/>
        </w:trPr>
        <w:tc>
          <w:tcPr>
            <w:tcW w:w="8856" w:type="dxa"/>
            <w:gridSpan w:val="5"/>
            <w:shd w:val="clear" w:color="auto" w:fill="D9D9D9"/>
          </w:tcPr>
          <w:p w:rsidR="00A1503F" w:rsidRPr="00230F35"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A1503F" w:rsidRDefault="00A1503F" w:rsidP="00F2521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Diane Stankaitis</w:t>
            </w:r>
            <w:r w:rsidRPr="00230F35">
              <w:rPr>
                <w:rFonts w:ascii="Arial" w:hAnsi="Arial" w:cs="Arial"/>
                <w:sz w:val="22"/>
                <w:szCs w:val="22"/>
              </w:rPr>
              <w:t>…………………………………………………</w:t>
            </w:r>
          </w:p>
          <w:p w:rsidR="00A1503F" w:rsidRDefault="00A1503F" w:rsidP="00F2521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A1503F" w:rsidRPr="00230F35" w:rsidRDefault="00A1503F" w:rsidP="00F25216">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A1503F" w:rsidRPr="00230F35" w:rsidTr="00F25216">
        <w:trPr>
          <w:trHeight w:val="3972"/>
        </w:trPr>
        <w:tc>
          <w:tcPr>
            <w:tcW w:w="8856" w:type="dxa"/>
            <w:gridSpan w:val="5"/>
          </w:tcPr>
          <w:p w:rsidR="00A1503F" w:rsidRDefault="00A1503F" w:rsidP="00F25216">
            <w:pPr>
              <w:rPr>
                <w:rFonts w:ascii="Arial" w:hAnsi="Arial"/>
                <w:b/>
              </w:rPr>
            </w:pPr>
          </w:p>
          <w:p w:rsidR="00A1503F" w:rsidRPr="00116CE6" w:rsidRDefault="00A1503F" w:rsidP="00F2521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1503F" w:rsidRPr="00116CE6" w:rsidTr="00F25216">
              <w:tc>
                <w:tcPr>
                  <w:tcW w:w="6970" w:type="dxa"/>
                </w:tcPr>
                <w:p w:rsidR="00A1503F" w:rsidRPr="00116CE6" w:rsidRDefault="00A1503F" w:rsidP="00F25216">
                  <w:pPr>
                    <w:rPr>
                      <w:rFonts w:ascii="Arial" w:hAnsi="Arial"/>
                      <w:sz w:val="20"/>
                      <w:szCs w:val="20"/>
                    </w:rPr>
                  </w:pPr>
                </w:p>
                <w:p w:rsidR="00A1503F" w:rsidRPr="00116CE6" w:rsidRDefault="00A1503F" w:rsidP="00F2521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1503F" w:rsidRPr="00116CE6" w:rsidRDefault="00A1503F" w:rsidP="00F25216">
                  <w:pPr>
                    <w:rPr>
                      <w:rFonts w:ascii="Arial" w:hAnsi="Arial"/>
                      <w:sz w:val="20"/>
                      <w:szCs w:val="20"/>
                    </w:rPr>
                  </w:pPr>
                </w:p>
              </w:tc>
            </w:tr>
            <w:tr w:rsidR="00A1503F" w:rsidRPr="00116CE6" w:rsidTr="00F25216">
              <w:tc>
                <w:tcPr>
                  <w:tcW w:w="6970" w:type="dxa"/>
                </w:tcPr>
                <w:p w:rsidR="00A1503F" w:rsidRPr="00116CE6" w:rsidRDefault="00A1503F" w:rsidP="00F25216">
                  <w:pPr>
                    <w:rPr>
                      <w:rFonts w:ascii="Arial" w:hAnsi="Arial"/>
                      <w:sz w:val="20"/>
                      <w:szCs w:val="20"/>
                    </w:rPr>
                  </w:pPr>
                </w:p>
                <w:p w:rsidR="00A1503F" w:rsidRPr="00116CE6" w:rsidRDefault="00A1503F" w:rsidP="00F2521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A1503F" w:rsidRPr="00116CE6" w:rsidRDefault="00A1503F" w:rsidP="00F25216">
                  <w:pPr>
                    <w:rPr>
                      <w:rFonts w:ascii="Arial" w:hAnsi="Arial"/>
                      <w:sz w:val="20"/>
                      <w:szCs w:val="20"/>
                    </w:rPr>
                  </w:pPr>
                </w:p>
              </w:tc>
            </w:tr>
            <w:tr w:rsidR="00A1503F" w:rsidRPr="00116CE6" w:rsidTr="00F25216">
              <w:tc>
                <w:tcPr>
                  <w:tcW w:w="6970" w:type="dxa"/>
                </w:tcPr>
                <w:p w:rsidR="00A1503F" w:rsidRPr="00116CE6" w:rsidRDefault="00A1503F" w:rsidP="00F25216">
                  <w:pPr>
                    <w:rPr>
                      <w:rFonts w:ascii="Arial" w:hAnsi="Arial"/>
                      <w:sz w:val="20"/>
                      <w:szCs w:val="20"/>
                    </w:rPr>
                  </w:pPr>
                </w:p>
                <w:p w:rsidR="00A1503F" w:rsidRPr="00116CE6" w:rsidRDefault="00A1503F" w:rsidP="00F2521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1503F" w:rsidRPr="00116CE6" w:rsidRDefault="00A1503F" w:rsidP="00F25216">
                  <w:pPr>
                    <w:rPr>
                      <w:rFonts w:ascii="Arial" w:hAnsi="Arial"/>
                      <w:sz w:val="20"/>
                      <w:szCs w:val="20"/>
                    </w:rPr>
                  </w:pPr>
                </w:p>
              </w:tc>
            </w:tr>
            <w:tr w:rsidR="00A1503F" w:rsidRPr="00116CE6" w:rsidTr="00F25216">
              <w:tc>
                <w:tcPr>
                  <w:tcW w:w="6970" w:type="dxa"/>
                </w:tcPr>
                <w:p w:rsidR="00A1503F" w:rsidRDefault="00A1503F" w:rsidP="00F25216">
                  <w:pPr>
                    <w:rPr>
                      <w:rFonts w:ascii="Arial" w:hAnsi="Arial"/>
                      <w:sz w:val="20"/>
                      <w:szCs w:val="20"/>
                    </w:rPr>
                  </w:pPr>
                </w:p>
                <w:p w:rsidR="00A1503F" w:rsidRPr="00022345" w:rsidRDefault="00A1503F" w:rsidP="00F25216">
                  <w:pPr>
                    <w:rPr>
                      <w:rFonts w:ascii="Arial" w:hAnsi="Arial"/>
                      <w:b/>
                      <w:sz w:val="20"/>
                      <w:szCs w:val="20"/>
                    </w:rPr>
                  </w:pPr>
                  <w:r w:rsidRPr="00022345">
                    <w:rPr>
                      <w:rFonts w:ascii="Arial" w:hAnsi="Arial"/>
                      <w:b/>
                      <w:sz w:val="20"/>
                      <w:szCs w:val="20"/>
                    </w:rPr>
                    <w:t>Final Mark</w:t>
                  </w:r>
                </w:p>
                <w:p w:rsidR="00A1503F" w:rsidRPr="00116CE6" w:rsidRDefault="00A1503F" w:rsidP="00F25216">
                  <w:pPr>
                    <w:rPr>
                      <w:rFonts w:ascii="Arial" w:hAnsi="Arial"/>
                      <w:sz w:val="20"/>
                      <w:szCs w:val="20"/>
                    </w:rPr>
                  </w:pPr>
                </w:p>
              </w:tc>
              <w:tc>
                <w:tcPr>
                  <w:tcW w:w="1660" w:type="dxa"/>
                </w:tcPr>
                <w:p w:rsidR="00A1503F" w:rsidRPr="00116CE6" w:rsidRDefault="00A1503F" w:rsidP="00F25216">
                  <w:pPr>
                    <w:rPr>
                      <w:rFonts w:ascii="Arial" w:hAnsi="Arial"/>
                      <w:sz w:val="20"/>
                      <w:szCs w:val="20"/>
                    </w:rPr>
                  </w:pPr>
                </w:p>
              </w:tc>
            </w:tr>
          </w:tbl>
          <w:p w:rsidR="00A1503F" w:rsidRDefault="00A1503F" w:rsidP="00F25216">
            <w:pPr>
              <w:pStyle w:val="NormalWeb"/>
              <w:spacing w:before="0" w:beforeAutospacing="0" w:after="0" w:afterAutospacing="0"/>
              <w:ind w:left="142" w:right="34"/>
              <w:rPr>
                <w:rFonts w:ascii="Arial" w:hAnsi="Arial" w:cs="Arial"/>
                <w:b/>
                <w:sz w:val="22"/>
                <w:szCs w:val="22"/>
              </w:rPr>
            </w:pPr>
          </w:p>
          <w:p w:rsidR="00A1503F" w:rsidRPr="00230F35" w:rsidRDefault="00A1503F" w:rsidP="00F2521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1503F" w:rsidRDefault="00A1503F" w:rsidP="00F25216">
            <w:pPr>
              <w:pStyle w:val="NormalWeb"/>
              <w:spacing w:before="0" w:beforeAutospacing="0" w:after="0" w:afterAutospacing="0"/>
              <w:rPr>
                <w:rFonts w:ascii="Arial" w:hAnsi="Arial" w:cs="Arial"/>
                <w:b/>
                <w:sz w:val="22"/>
                <w:szCs w:val="22"/>
              </w:rPr>
            </w:pPr>
          </w:p>
          <w:p w:rsidR="00A1503F" w:rsidRDefault="00A1503F" w:rsidP="00F25216">
            <w:pPr>
              <w:pStyle w:val="NormalWeb"/>
              <w:spacing w:before="0" w:beforeAutospacing="0" w:after="0" w:afterAutospacing="0"/>
              <w:rPr>
                <w:rFonts w:ascii="Arial" w:hAnsi="Arial" w:cs="Arial"/>
                <w:b/>
                <w:sz w:val="22"/>
                <w:szCs w:val="22"/>
              </w:rPr>
            </w:pPr>
          </w:p>
          <w:p w:rsidR="00A1503F" w:rsidRDefault="00A1503F" w:rsidP="00F25216">
            <w:pPr>
              <w:pStyle w:val="NormalWeb"/>
              <w:spacing w:before="0" w:beforeAutospacing="0" w:after="0" w:afterAutospacing="0"/>
              <w:rPr>
                <w:rFonts w:ascii="Arial" w:hAnsi="Arial" w:cs="Arial"/>
                <w:b/>
                <w:sz w:val="22"/>
                <w:szCs w:val="22"/>
              </w:rPr>
            </w:pPr>
          </w:p>
          <w:p w:rsidR="00A1503F" w:rsidRDefault="00A1503F" w:rsidP="00F25216">
            <w:pPr>
              <w:pStyle w:val="NormalWeb"/>
              <w:spacing w:before="0" w:beforeAutospacing="0" w:after="0" w:afterAutospacing="0"/>
              <w:rPr>
                <w:rFonts w:ascii="Arial" w:hAnsi="Arial" w:cs="Arial"/>
                <w:b/>
                <w:sz w:val="22"/>
                <w:szCs w:val="22"/>
              </w:rPr>
            </w:pPr>
          </w:p>
          <w:p w:rsidR="00A1503F" w:rsidRDefault="00A1503F" w:rsidP="00F25216">
            <w:pPr>
              <w:pStyle w:val="NormalWeb"/>
              <w:spacing w:before="0" w:beforeAutospacing="0" w:after="0" w:afterAutospacing="0"/>
              <w:rPr>
                <w:rFonts w:ascii="Arial" w:hAnsi="Arial" w:cs="Arial"/>
                <w:b/>
                <w:sz w:val="22"/>
                <w:szCs w:val="22"/>
              </w:rPr>
            </w:pPr>
          </w:p>
          <w:p w:rsidR="00A1503F" w:rsidRPr="00230F35" w:rsidRDefault="00A1503F" w:rsidP="00F2521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A1503F" w:rsidRDefault="00A1503F" w:rsidP="00F2521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A1503F" w:rsidRPr="00001C3B" w:rsidRDefault="00A1503F" w:rsidP="00F25216">
            <w:pPr>
              <w:pStyle w:val="NormalWeb"/>
              <w:rPr>
                <w:rFonts w:ascii="Arial" w:hAnsi="Arial" w:cs="Arial"/>
                <w:sz w:val="22"/>
                <w:szCs w:val="22"/>
              </w:rPr>
            </w:pPr>
          </w:p>
        </w:tc>
      </w:tr>
      <w:tr w:rsidR="00A1503F" w:rsidRPr="00230F35" w:rsidTr="00F25216">
        <w:trPr>
          <w:trHeight w:val="492"/>
        </w:trPr>
        <w:tc>
          <w:tcPr>
            <w:tcW w:w="6768" w:type="dxa"/>
            <w:gridSpan w:val="3"/>
          </w:tcPr>
          <w:p w:rsidR="00A1503F" w:rsidRPr="00230F35" w:rsidRDefault="00A1503F" w:rsidP="00F2521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A1503F" w:rsidRPr="00230F35" w:rsidRDefault="00A1503F" w:rsidP="00F25216">
            <w:pPr>
              <w:pStyle w:val="NormalWeb"/>
              <w:spacing w:after="0"/>
              <w:ind w:left="142" w:right="34"/>
              <w:rPr>
                <w:rFonts w:ascii="Arial" w:hAnsi="Arial" w:cs="Arial"/>
                <w:sz w:val="22"/>
                <w:szCs w:val="22"/>
              </w:rPr>
            </w:pPr>
            <w:r w:rsidRPr="00230F35">
              <w:rPr>
                <w:rFonts w:ascii="Arial" w:hAnsi="Arial" w:cs="Arial"/>
                <w:sz w:val="22"/>
                <w:szCs w:val="22"/>
              </w:rPr>
              <w:t>Date:</w:t>
            </w:r>
          </w:p>
        </w:tc>
      </w:tr>
      <w:tr w:rsidR="00A1503F" w:rsidRPr="002F467C" w:rsidTr="00F25216">
        <w:tc>
          <w:tcPr>
            <w:tcW w:w="8856" w:type="dxa"/>
            <w:gridSpan w:val="5"/>
          </w:tcPr>
          <w:p w:rsidR="00A1503F" w:rsidRPr="00230F35" w:rsidRDefault="00A1503F" w:rsidP="00F25216">
            <w:pPr>
              <w:pStyle w:val="NormalWeb"/>
              <w:spacing w:before="0" w:beforeAutospacing="0" w:after="0" w:afterAutospacing="0"/>
              <w:ind w:right="-334"/>
              <w:rPr>
                <w:rFonts w:ascii="Arial" w:hAnsi="Arial" w:cs="Arial"/>
                <w:bCs/>
                <w:i/>
                <w:sz w:val="22"/>
                <w:szCs w:val="22"/>
              </w:rPr>
            </w:pPr>
          </w:p>
          <w:p w:rsidR="00A1503F" w:rsidRPr="00230F35" w:rsidRDefault="00A1503F" w:rsidP="00F2521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A1503F" w:rsidRPr="00230F35" w:rsidRDefault="00A1503F" w:rsidP="00F25216">
            <w:pPr>
              <w:pStyle w:val="NormalWeb"/>
              <w:spacing w:before="0" w:beforeAutospacing="0" w:after="0" w:afterAutospacing="0"/>
              <w:ind w:right="-334"/>
              <w:rPr>
                <w:rFonts w:ascii="Arial" w:hAnsi="Arial" w:cs="Arial"/>
                <w:b/>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tc>
      </w:tr>
      <w:tr w:rsidR="00A1503F" w:rsidRPr="002F467C" w:rsidTr="00F25216">
        <w:trPr>
          <w:trHeight w:val="720"/>
        </w:trPr>
        <w:tc>
          <w:tcPr>
            <w:tcW w:w="5211" w:type="dxa"/>
            <w:gridSpan w:val="2"/>
          </w:tcPr>
          <w:p w:rsidR="00A1503F" w:rsidRPr="00230F35" w:rsidRDefault="00A1503F" w:rsidP="00F2521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A1503F" w:rsidRPr="00230F35" w:rsidRDefault="00A1503F" w:rsidP="00F2521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1503F" w:rsidRPr="002F467C" w:rsidTr="00F25216">
        <w:trPr>
          <w:trHeight w:val="720"/>
        </w:trPr>
        <w:tc>
          <w:tcPr>
            <w:tcW w:w="8856" w:type="dxa"/>
            <w:gridSpan w:val="5"/>
          </w:tcPr>
          <w:p w:rsidR="00A1503F" w:rsidRPr="00B34964" w:rsidRDefault="00A1503F" w:rsidP="00F25216">
            <w:pPr>
              <w:rPr>
                <w:rFonts w:ascii="Arial" w:hAnsi="Arial" w:cs="Arial"/>
                <w:b/>
              </w:rPr>
            </w:pPr>
            <w:r w:rsidRPr="00B34964">
              <w:rPr>
                <w:rFonts w:ascii="Arial" w:hAnsi="Arial" w:cs="Arial"/>
                <w:b/>
              </w:rPr>
              <w:lastRenderedPageBreak/>
              <w:t>External Examiner’s comments (if relevant)</w:t>
            </w: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p w:rsidR="00A1503F" w:rsidRPr="00230F35" w:rsidRDefault="00A1503F" w:rsidP="00F25216">
            <w:pPr>
              <w:pStyle w:val="NormalWeb"/>
              <w:spacing w:before="0" w:beforeAutospacing="0" w:after="0" w:afterAutospacing="0"/>
              <w:ind w:right="-334"/>
              <w:rPr>
                <w:rFonts w:ascii="Arial" w:hAnsi="Arial" w:cs="Arial"/>
                <w:bCs/>
                <w:sz w:val="22"/>
                <w:szCs w:val="22"/>
              </w:rPr>
            </w:pPr>
          </w:p>
        </w:tc>
      </w:tr>
      <w:tr w:rsidR="00A1503F" w:rsidRPr="002F467C" w:rsidTr="00F25216">
        <w:trPr>
          <w:trHeight w:val="720"/>
        </w:trPr>
        <w:tc>
          <w:tcPr>
            <w:tcW w:w="5211" w:type="dxa"/>
            <w:gridSpan w:val="2"/>
          </w:tcPr>
          <w:p w:rsidR="00A1503F" w:rsidRPr="00230F35" w:rsidRDefault="00A1503F" w:rsidP="00F25216">
            <w:pPr>
              <w:rPr>
                <w:rFonts w:ascii="Arial" w:hAnsi="Arial" w:cs="Arial"/>
              </w:rPr>
            </w:pPr>
            <w:r w:rsidRPr="00230F35">
              <w:rPr>
                <w:rFonts w:ascii="Arial" w:hAnsi="Arial" w:cs="Arial"/>
              </w:rPr>
              <w:t>External Examiner’s Signature:</w:t>
            </w:r>
          </w:p>
        </w:tc>
        <w:tc>
          <w:tcPr>
            <w:tcW w:w="3645" w:type="dxa"/>
            <w:gridSpan w:val="3"/>
          </w:tcPr>
          <w:p w:rsidR="00A1503F" w:rsidRPr="00230F35" w:rsidRDefault="00A1503F" w:rsidP="00F25216">
            <w:pPr>
              <w:rPr>
                <w:rFonts w:ascii="Arial" w:hAnsi="Arial" w:cs="Arial"/>
              </w:rPr>
            </w:pPr>
            <w:r w:rsidRPr="00230F35">
              <w:rPr>
                <w:rFonts w:ascii="Arial" w:hAnsi="Arial" w:cs="Arial"/>
              </w:rPr>
              <w:t>Date:</w:t>
            </w:r>
          </w:p>
        </w:tc>
      </w:tr>
    </w:tbl>
    <w:p w:rsidR="00A1503F" w:rsidRPr="00D67BF8" w:rsidRDefault="00A1503F" w:rsidP="00A1503F">
      <w:pPr>
        <w:pStyle w:val="NormalWeb"/>
        <w:spacing w:before="0" w:beforeAutospacing="0" w:after="0" w:afterAutospacing="0"/>
        <w:ind w:right="-334"/>
        <w:rPr>
          <w:rFonts w:ascii="Trebuchet MS" w:hAnsi="Trebuchet MS" w:cs="Tahoma"/>
          <w:bCs/>
          <w:sz w:val="24"/>
          <w:szCs w:val="24"/>
        </w:rPr>
      </w:pPr>
    </w:p>
    <w:p w:rsidR="00A1503F" w:rsidRPr="00D67BF8" w:rsidRDefault="00A1503F" w:rsidP="00A1503F">
      <w:pPr>
        <w:pStyle w:val="NormalWeb"/>
        <w:spacing w:before="0" w:beforeAutospacing="0" w:after="0" w:afterAutospacing="0"/>
        <w:ind w:right="-334"/>
        <w:rPr>
          <w:rFonts w:ascii="Trebuchet MS" w:hAnsi="Trebuchet MS" w:cs="Tahoma"/>
          <w:bCs/>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A1503F" w:rsidRDefault="00A1503F" w:rsidP="00B97C00">
      <w:pPr>
        <w:spacing w:line="240" w:lineRule="auto"/>
        <w:jc w:val="center"/>
        <w:rPr>
          <w:rFonts w:ascii="Arial" w:hAnsi="Arial" w:cs="Arial"/>
          <w:b/>
          <w:sz w:val="24"/>
          <w:szCs w:val="24"/>
        </w:rPr>
      </w:pPr>
    </w:p>
    <w:p w:rsidR="00861B9D" w:rsidRPr="00861B9D" w:rsidRDefault="00030FDF" w:rsidP="00B97C00">
      <w:pPr>
        <w:spacing w:line="240" w:lineRule="auto"/>
        <w:jc w:val="center"/>
        <w:rPr>
          <w:rFonts w:ascii="Arial" w:hAnsi="Arial" w:cs="Arial"/>
          <w:b/>
          <w:sz w:val="24"/>
          <w:szCs w:val="24"/>
        </w:rPr>
      </w:pPr>
      <w:r w:rsidRPr="00861B9D">
        <w:rPr>
          <w:rFonts w:ascii="Arial" w:hAnsi="Arial" w:cs="Arial"/>
          <w:b/>
          <w:sz w:val="24"/>
          <w:szCs w:val="24"/>
        </w:rPr>
        <w:lastRenderedPageBreak/>
        <w:t>Diane Stankaitis (1402208)</w:t>
      </w:r>
    </w:p>
    <w:p w:rsidR="00030FDF" w:rsidRPr="00861B9D" w:rsidRDefault="00030FDF" w:rsidP="00B97C00">
      <w:pPr>
        <w:spacing w:line="240" w:lineRule="auto"/>
        <w:jc w:val="center"/>
        <w:rPr>
          <w:rFonts w:ascii="Arial" w:hAnsi="Arial" w:cs="Arial"/>
          <w:b/>
          <w:sz w:val="24"/>
          <w:szCs w:val="24"/>
        </w:rPr>
      </w:pPr>
      <w:r w:rsidRPr="00861B9D">
        <w:rPr>
          <w:rFonts w:ascii="Arial" w:hAnsi="Arial" w:cs="Arial"/>
          <w:b/>
          <w:sz w:val="24"/>
          <w:szCs w:val="24"/>
        </w:rPr>
        <w:t>HPRS7015 – Assessment 2</w:t>
      </w:r>
    </w:p>
    <w:p w:rsidR="00030FDF" w:rsidRDefault="00030FDF" w:rsidP="00B97C00">
      <w:pPr>
        <w:spacing w:after="0" w:line="240" w:lineRule="auto"/>
        <w:jc w:val="center"/>
        <w:rPr>
          <w:rFonts w:ascii="Arial" w:hAnsi="Arial" w:cs="Arial"/>
          <w:b/>
          <w:sz w:val="24"/>
          <w:szCs w:val="24"/>
        </w:rPr>
      </w:pPr>
      <w:r w:rsidRPr="00861B9D">
        <w:rPr>
          <w:rFonts w:ascii="Arial" w:hAnsi="Arial" w:cs="Arial"/>
          <w:b/>
          <w:sz w:val="24"/>
          <w:szCs w:val="24"/>
        </w:rPr>
        <w:t>A Critical Analysis of the Characte</w:t>
      </w:r>
      <w:r w:rsidR="00B97C00" w:rsidRPr="00861B9D">
        <w:rPr>
          <w:rFonts w:ascii="Arial" w:hAnsi="Arial" w:cs="Arial"/>
          <w:b/>
          <w:sz w:val="24"/>
          <w:szCs w:val="24"/>
        </w:rPr>
        <w:t>ristics and Reception of Abraham</w:t>
      </w:r>
    </w:p>
    <w:p w:rsidR="00861B9D" w:rsidRPr="00861B9D" w:rsidRDefault="00861B9D" w:rsidP="00B97C00">
      <w:pPr>
        <w:spacing w:after="0" w:line="240" w:lineRule="auto"/>
        <w:jc w:val="center"/>
        <w:rPr>
          <w:rFonts w:ascii="Arial" w:hAnsi="Arial" w:cs="Arial"/>
          <w:b/>
          <w:sz w:val="24"/>
          <w:szCs w:val="24"/>
        </w:rPr>
      </w:pPr>
      <w:r>
        <w:rPr>
          <w:rFonts w:ascii="Arial" w:hAnsi="Arial" w:cs="Arial"/>
          <w:b/>
          <w:sz w:val="24"/>
          <w:szCs w:val="24"/>
        </w:rPr>
        <w:t>___________________________________________________________________</w:t>
      </w:r>
    </w:p>
    <w:p w:rsidR="00861B9D" w:rsidRPr="00B97C00" w:rsidRDefault="00861B9D" w:rsidP="00B97C00">
      <w:pPr>
        <w:spacing w:after="0" w:line="240" w:lineRule="auto"/>
        <w:jc w:val="center"/>
        <w:rPr>
          <w:rFonts w:ascii="Arial" w:hAnsi="Arial" w:cs="Arial"/>
          <w:b/>
          <w:sz w:val="24"/>
          <w:szCs w:val="24"/>
          <w:u w:val="single"/>
        </w:rPr>
      </w:pPr>
    </w:p>
    <w:p w:rsidR="00F45912" w:rsidRDefault="00F45912" w:rsidP="00030FDF">
      <w:pPr>
        <w:spacing w:after="0"/>
        <w:rPr>
          <w:rFonts w:ascii="Arial" w:hAnsi="Arial" w:cs="Arial"/>
          <w:sz w:val="24"/>
          <w:szCs w:val="24"/>
        </w:rPr>
      </w:pPr>
    </w:p>
    <w:p w:rsidR="00356F13" w:rsidRDefault="00265286" w:rsidP="00356F13">
      <w:pPr>
        <w:spacing w:after="0"/>
        <w:jc w:val="both"/>
        <w:rPr>
          <w:rFonts w:ascii="Arial" w:hAnsi="Arial" w:cs="Arial"/>
          <w:sz w:val="24"/>
          <w:szCs w:val="24"/>
        </w:rPr>
      </w:pPr>
      <w:r>
        <w:rPr>
          <w:rFonts w:ascii="Arial" w:hAnsi="Arial" w:cs="Arial"/>
          <w:sz w:val="24"/>
          <w:szCs w:val="24"/>
        </w:rPr>
        <w:tab/>
      </w:r>
      <w:r w:rsidR="00356F13">
        <w:rPr>
          <w:rFonts w:ascii="Arial" w:hAnsi="Arial" w:cs="Arial"/>
          <w:sz w:val="24"/>
          <w:szCs w:val="24"/>
        </w:rPr>
        <w:t xml:space="preserve">Sean Adams and </w:t>
      </w:r>
      <w:proofErr w:type="spellStart"/>
      <w:r w:rsidR="00356F13">
        <w:rPr>
          <w:rFonts w:ascii="Arial" w:hAnsi="Arial" w:cs="Arial"/>
          <w:sz w:val="24"/>
          <w:szCs w:val="24"/>
        </w:rPr>
        <w:t>Zanne</w:t>
      </w:r>
      <w:proofErr w:type="spellEnd"/>
      <w:r w:rsidR="00356F13">
        <w:rPr>
          <w:rFonts w:ascii="Arial" w:hAnsi="Arial" w:cs="Arial"/>
          <w:sz w:val="24"/>
          <w:szCs w:val="24"/>
        </w:rPr>
        <w:t xml:space="preserve"> </w:t>
      </w:r>
      <w:proofErr w:type="spellStart"/>
      <w:r w:rsidR="00356F13">
        <w:rPr>
          <w:rFonts w:ascii="Arial" w:hAnsi="Arial" w:cs="Arial"/>
          <w:sz w:val="24"/>
          <w:szCs w:val="24"/>
        </w:rPr>
        <w:t>Domoney-Lyttle</w:t>
      </w:r>
      <w:proofErr w:type="spellEnd"/>
      <w:r w:rsidR="00356F13">
        <w:rPr>
          <w:rFonts w:ascii="Arial" w:hAnsi="Arial" w:cs="Arial"/>
          <w:sz w:val="24"/>
          <w:szCs w:val="24"/>
        </w:rPr>
        <w:t>, argue that, from his reception in both ancient Jewish and early Christian writings, Abraham has been characterised as:</w:t>
      </w:r>
    </w:p>
    <w:p w:rsidR="00356F13" w:rsidRDefault="00356F13" w:rsidP="00356F13">
      <w:pPr>
        <w:spacing w:after="0"/>
        <w:jc w:val="both"/>
        <w:rPr>
          <w:rFonts w:ascii="Arial" w:hAnsi="Arial" w:cs="Arial"/>
          <w:sz w:val="24"/>
          <w:szCs w:val="24"/>
        </w:rPr>
      </w:pPr>
      <w:r>
        <w:rPr>
          <w:rFonts w:ascii="Arial" w:hAnsi="Arial" w:cs="Arial"/>
          <w:sz w:val="24"/>
          <w:szCs w:val="24"/>
        </w:rPr>
        <w:tab/>
      </w:r>
      <w:proofErr w:type="gramStart"/>
      <w:r>
        <w:rPr>
          <w:rFonts w:ascii="Arial" w:hAnsi="Arial" w:cs="Arial"/>
          <w:sz w:val="24"/>
          <w:szCs w:val="24"/>
        </w:rPr>
        <w:t>Abraham the father.</w:t>
      </w:r>
      <w:proofErr w:type="gramEnd"/>
      <w:r>
        <w:rPr>
          <w:rFonts w:ascii="Arial" w:hAnsi="Arial" w:cs="Arial"/>
          <w:sz w:val="24"/>
          <w:szCs w:val="24"/>
        </w:rPr>
        <w:t xml:space="preserve"> </w:t>
      </w:r>
      <w:proofErr w:type="gramStart"/>
      <w:r>
        <w:rPr>
          <w:rFonts w:ascii="Arial" w:hAnsi="Arial" w:cs="Arial"/>
          <w:sz w:val="24"/>
          <w:szCs w:val="24"/>
        </w:rPr>
        <w:t>Abraham the patriarch.</w:t>
      </w:r>
      <w:proofErr w:type="gramEnd"/>
      <w:r>
        <w:rPr>
          <w:rFonts w:ascii="Arial" w:hAnsi="Arial" w:cs="Arial"/>
          <w:sz w:val="24"/>
          <w:szCs w:val="24"/>
        </w:rPr>
        <w:t xml:space="preserve"> </w:t>
      </w:r>
      <w:proofErr w:type="gramStart"/>
      <w:r>
        <w:rPr>
          <w:rFonts w:ascii="Arial" w:hAnsi="Arial" w:cs="Arial"/>
          <w:sz w:val="24"/>
          <w:szCs w:val="24"/>
        </w:rPr>
        <w:t>Abraham, the founder</w:t>
      </w:r>
      <w:r>
        <w:rPr>
          <w:rFonts w:ascii="Arial" w:hAnsi="Arial" w:cs="Arial"/>
          <w:sz w:val="24"/>
          <w:szCs w:val="24"/>
        </w:rPr>
        <w:tab/>
      </w:r>
      <w:r>
        <w:rPr>
          <w:rFonts w:ascii="Arial" w:hAnsi="Arial" w:cs="Arial"/>
          <w:sz w:val="24"/>
          <w:szCs w:val="24"/>
        </w:rPr>
        <w:tab/>
      </w:r>
      <w:r>
        <w:rPr>
          <w:rFonts w:ascii="Arial" w:hAnsi="Arial" w:cs="Arial"/>
          <w:sz w:val="24"/>
          <w:szCs w:val="24"/>
        </w:rPr>
        <w:tab/>
        <w:t>of monotheistic faith traditions.</w:t>
      </w:r>
      <w:proofErr w:type="gramEnd"/>
      <w:r>
        <w:rPr>
          <w:rFonts w:ascii="Arial" w:hAnsi="Arial" w:cs="Arial"/>
          <w:sz w:val="24"/>
          <w:szCs w:val="24"/>
        </w:rPr>
        <w:t xml:space="preserve"> </w:t>
      </w:r>
      <w:proofErr w:type="gramStart"/>
      <w:r>
        <w:rPr>
          <w:rFonts w:ascii="Arial" w:hAnsi="Arial" w:cs="Arial"/>
          <w:sz w:val="24"/>
          <w:szCs w:val="24"/>
        </w:rPr>
        <w:t xml:space="preserve">Abraham, the recipient of God’s </w:t>
      </w:r>
      <w:r>
        <w:rPr>
          <w:rFonts w:ascii="Arial" w:hAnsi="Arial" w:cs="Arial"/>
          <w:sz w:val="24"/>
          <w:szCs w:val="24"/>
        </w:rPr>
        <w:tab/>
      </w:r>
      <w:r>
        <w:rPr>
          <w:rFonts w:ascii="Arial" w:hAnsi="Arial" w:cs="Arial"/>
          <w:sz w:val="24"/>
          <w:szCs w:val="24"/>
        </w:rPr>
        <w:tab/>
      </w:r>
      <w:r>
        <w:rPr>
          <w:rFonts w:ascii="Arial" w:hAnsi="Arial" w:cs="Arial"/>
          <w:sz w:val="24"/>
          <w:szCs w:val="24"/>
        </w:rPr>
        <w:tab/>
        <w:t>covenantal promises in Genesis.</w:t>
      </w:r>
      <w:proofErr w:type="gramEnd"/>
      <w:r>
        <w:rPr>
          <w:rFonts w:ascii="Arial" w:hAnsi="Arial" w:cs="Arial"/>
          <w:sz w:val="24"/>
          <w:szCs w:val="24"/>
        </w:rPr>
        <w:t xml:space="preserve"> </w:t>
      </w:r>
      <w:proofErr w:type="gramStart"/>
      <w:r>
        <w:rPr>
          <w:rFonts w:ascii="Arial" w:hAnsi="Arial" w:cs="Arial"/>
          <w:sz w:val="24"/>
          <w:szCs w:val="24"/>
        </w:rPr>
        <w:t xml:space="preserve">Abraham, the husband to Sarah,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Hagar, and </w:t>
      </w:r>
      <w:proofErr w:type="spellStart"/>
      <w:r>
        <w:rPr>
          <w:rFonts w:ascii="Arial" w:hAnsi="Arial" w:cs="Arial"/>
          <w:sz w:val="24"/>
          <w:szCs w:val="24"/>
        </w:rPr>
        <w:t>Keturah</w:t>
      </w:r>
      <w:proofErr w:type="spellEnd"/>
      <w:r>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Abraham, the father of nations.</w:t>
      </w:r>
      <w:proofErr w:type="gramEnd"/>
      <w:r>
        <w:rPr>
          <w:rFonts w:ascii="Arial" w:hAnsi="Arial" w:cs="Arial"/>
          <w:sz w:val="24"/>
          <w:szCs w:val="24"/>
        </w:rPr>
        <w:t xml:space="preserve"> </w:t>
      </w:r>
      <w:proofErr w:type="gramStart"/>
      <w:r>
        <w:rPr>
          <w:rFonts w:ascii="Arial" w:hAnsi="Arial" w:cs="Arial"/>
          <w:sz w:val="24"/>
          <w:szCs w:val="24"/>
        </w:rPr>
        <w:t xml:space="preserve">Abraham the </w:t>
      </w:r>
      <w:r>
        <w:rPr>
          <w:rFonts w:ascii="Arial" w:hAnsi="Arial" w:cs="Arial"/>
          <w:sz w:val="24"/>
          <w:szCs w:val="24"/>
        </w:rPr>
        <w:tab/>
      </w:r>
      <w:r>
        <w:rPr>
          <w:rFonts w:ascii="Arial" w:hAnsi="Arial" w:cs="Arial"/>
          <w:sz w:val="24"/>
          <w:szCs w:val="24"/>
        </w:rPr>
        <w:tab/>
      </w:r>
      <w:r>
        <w:rPr>
          <w:rFonts w:ascii="Arial" w:hAnsi="Arial" w:cs="Arial"/>
          <w:sz w:val="24"/>
          <w:szCs w:val="24"/>
        </w:rPr>
        <w:tab/>
        <w:t>exalted.</w:t>
      </w:r>
      <w:proofErr w:type="gramEnd"/>
      <w:r>
        <w:rPr>
          <w:rStyle w:val="FootnoteReference"/>
          <w:rFonts w:ascii="Arial" w:hAnsi="Arial" w:cs="Arial"/>
          <w:sz w:val="24"/>
          <w:szCs w:val="24"/>
        </w:rPr>
        <w:footnoteReference w:id="1"/>
      </w:r>
    </w:p>
    <w:p w:rsidR="00356F13" w:rsidRDefault="00356F13" w:rsidP="00356F13">
      <w:pPr>
        <w:spacing w:after="0"/>
        <w:jc w:val="both"/>
        <w:rPr>
          <w:rFonts w:ascii="Arial" w:hAnsi="Arial" w:cs="Arial"/>
          <w:sz w:val="24"/>
          <w:szCs w:val="24"/>
        </w:rPr>
      </w:pPr>
    </w:p>
    <w:p w:rsidR="00356F13" w:rsidRDefault="00356F13" w:rsidP="00356F13">
      <w:pPr>
        <w:spacing w:after="0"/>
        <w:jc w:val="both"/>
        <w:rPr>
          <w:rFonts w:ascii="Arial" w:hAnsi="Arial" w:cs="Arial"/>
          <w:sz w:val="24"/>
          <w:szCs w:val="24"/>
        </w:rPr>
      </w:pPr>
      <w:r>
        <w:rPr>
          <w:rFonts w:ascii="Arial" w:hAnsi="Arial" w:cs="Arial"/>
          <w:sz w:val="24"/>
          <w:szCs w:val="24"/>
        </w:rPr>
        <w:tab/>
        <w:t>They further argue persuasively that most representations of Abraham, particularly those by Jewish authors, are positive, as Abraham was the forefather of the Jews, and that most, but not all, negative representations stem from non-Jewish writers, who want to distance Christianity from Judaism.</w:t>
      </w:r>
      <w:r>
        <w:rPr>
          <w:rStyle w:val="FootnoteReference"/>
          <w:rFonts w:ascii="Arial" w:hAnsi="Arial" w:cs="Arial"/>
          <w:sz w:val="24"/>
          <w:szCs w:val="24"/>
        </w:rPr>
        <w:footnoteReference w:id="2"/>
      </w:r>
      <w:r>
        <w:rPr>
          <w:rFonts w:ascii="Arial" w:hAnsi="Arial" w:cs="Arial"/>
          <w:sz w:val="24"/>
          <w:szCs w:val="24"/>
        </w:rPr>
        <w:t xml:space="preserve"> This illustrates how authors’ personal beliefs influence both the characterisation and reception of a text.</w:t>
      </w:r>
    </w:p>
    <w:p w:rsidR="00265286" w:rsidRDefault="00356F13" w:rsidP="00356F13">
      <w:pPr>
        <w:spacing w:after="0"/>
        <w:jc w:val="both"/>
        <w:rPr>
          <w:rFonts w:ascii="Arial" w:hAnsi="Arial" w:cs="Arial"/>
          <w:sz w:val="24"/>
          <w:szCs w:val="24"/>
        </w:rPr>
      </w:pPr>
      <w:r>
        <w:rPr>
          <w:rFonts w:ascii="Arial" w:hAnsi="Arial" w:cs="Arial"/>
          <w:sz w:val="24"/>
          <w:szCs w:val="24"/>
        </w:rPr>
        <w:tab/>
      </w:r>
      <w:r w:rsidR="00DC0025">
        <w:rPr>
          <w:rFonts w:ascii="Arial" w:hAnsi="Arial" w:cs="Arial"/>
          <w:sz w:val="24"/>
          <w:szCs w:val="24"/>
        </w:rPr>
        <w:t>Abraham has probably received more attention in the book of Genesi</w:t>
      </w:r>
      <w:r w:rsidR="001B3C9A">
        <w:rPr>
          <w:rFonts w:ascii="Arial" w:hAnsi="Arial" w:cs="Arial"/>
          <w:sz w:val="24"/>
          <w:szCs w:val="24"/>
        </w:rPr>
        <w:t>s than any other character.</w:t>
      </w:r>
      <w:r w:rsidR="00496094">
        <w:rPr>
          <w:rStyle w:val="FootnoteReference"/>
          <w:rFonts w:ascii="Arial" w:hAnsi="Arial" w:cs="Arial"/>
          <w:sz w:val="24"/>
          <w:szCs w:val="24"/>
        </w:rPr>
        <w:footnoteReference w:id="3"/>
      </w:r>
      <w:r w:rsidR="00A564B1">
        <w:rPr>
          <w:rFonts w:ascii="Arial" w:hAnsi="Arial" w:cs="Arial"/>
          <w:sz w:val="24"/>
          <w:szCs w:val="24"/>
        </w:rPr>
        <w:t xml:space="preserve"> Furthermore, o</w:t>
      </w:r>
      <w:r w:rsidR="00DC0025">
        <w:rPr>
          <w:rFonts w:ascii="Arial" w:hAnsi="Arial" w:cs="Arial"/>
          <w:sz w:val="24"/>
          <w:szCs w:val="24"/>
        </w:rPr>
        <w:t>ne particular episode</w:t>
      </w:r>
      <w:r w:rsidR="002F101E">
        <w:rPr>
          <w:rFonts w:ascii="Arial" w:hAnsi="Arial" w:cs="Arial"/>
          <w:sz w:val="24"/>
          <w:szCs w:val="24"/>
        </w:rPr>
        <w:t xml:space="preserve"> in Genesis</w:t>
      </w:r>
      <w:r w:rsidR="001B3C9A">
        <w:rPr>
          <w:rFonts w:ascii="Arial" w:hAnsi="Arial" w:cs="Arial"/>
          <w:sz w:val="24"/>
          <w:szCs w:val="24"/>
        </w:rPr>
        <w:t xml:space="preserve"> 22,</w:t>
      </w:r>
      <w:r w:rsidR="00DC0025">
        <w:rPr>
          <w:rFonts w:ascii="Arial" w:hAnsi="Arial" w:cs="Arial"/>
          <w:sz w:val="24"/>
          <w:szCs w:val="24"/>
        </w:rPr>
        <w:t xml:space="preserve"> the </w:t>
      </w:r>
      <w:r w:rsidR="00085E1D">
        <w:rPr>
          <w:rFonts w:ascii="Arial" w:hAnsi="Arial" w:cs="Arial"/>
          <w:sz w:val="24"/>
          <w:szCs w:val="24"/>
        </w:rPr>
        <w:t xml:space="preserve">“Binding of Isaac” </w:t>
      </w:r>
      <w:r w:rsidR="008E437C">
        <w:rPr>
          <w:rFonts w:ascii="Arial" w:hAnsi="Arial" w:cs="Arial"/>
          <w:sz w:val="24"/>
          <w:szCs w:val="24"/>
        </w:rPr>
        <w:t>(</w:t>
      </w:r>
      <w:r w:rsidR="00085E1D">
        <w:rPr>
          <w:rFonts w:ascii="Arial" w:hAnsi="Arial" w:cs="Arial"/>
          <w:sz w:val="24"/>
          <w:szCs w:val="24"/>
        </w:rPr>
        <w:t xml:space="preserve">the </w:t>
      </w:r>
      <w:r w:rsidR="00B97C00">
        <w:rPr>
          <w:rFonts w:ascii="Arial" w:hAnsi="Arial" w:cs="Arial"/>
          <w:sz w:val="24"/>
          <w:szCs w:val="24"/>
        </w:rPr>
        <w:t>near-</w:t>
      </w:r>
      <w:r w:rsidR="00DC0025">
        <w:rPr>
          <w:rFonts w:ascii="Arial" w:hAnsi="Arial" w:cs="Arial"/>
          <w:sz w:val="24"/>
          <w:szCs w:val="24"/>
        </w:rPr>
        <w:t>sacrifice by Abraha</w:t>
      </w:r>
      <w:r w:rsidR="00085E1D">
        <w:rPr>
          <w:rFonts w:ascii="Arial" w:hAnsi="Arial" w:cs="Arial"/>
          <w:sz w:val="24"/>
          <w:szCs w:val="24"/>
        </w:rPr>
        <w:t xml:space="preserve">m of </w:t>
      </w:r>
      <w:r w:rsidR="008E437C">
        <w:rPr>
          <w:rFonts w:ascii="Arial" w:hAnsi="Arial" w:cs="Arial"/>
          <w:sz w:val="24"/>
          <w:szCs w:val="24"/>
        </w:rPr>
        <w:t>Isaac, his son)</w:t>
      </w:r>
      <w:r w:rsidR="00DC0025">
        <w:rPr>
          <w:rFonts w:ascii="Arial" w:hAnsi="Arial" w:cs="Arial"/>
          <w:sz w:val="24"/>
          <w:szCs w:val="24"/>
        </w:rPr>
        <w:t xml:space="preserve"> is perhaps one of the most well-known events in the Old Testament</w:t>
      </w:r>
      <w:r w:rsidR="008248FF">
        <w:rPr>
          <w:rFonts w:ascii="Arial" w:hAnsi="Arial" w:cs="Arial"/>
          <w:sz w:val="24"/>
          <w:szCs w:val="24"/>
        </w:rPr>
        <w:t>.</w:t>
      </w:r>
      <w:r w:rsidR="00A564B1">
        <w:rPr>
          <w:rStyle w:val="FootnoteReference"/>
          <w:rFonts w:ascii="Arial" w:hAnsi="Arial" w:cs="Arial"/>
          <w:sz w:val="24"/>
          <w:szCs w:val="24"/>
        </w:rPr>
        <w:footnoteReference w:id="4"/>
      </w:r>
      <w:r>
        <w:rPr>
          <w:rFonts w:ascii="Arial" w:hAnsi="Arial" w:cs="Arial"/>
          <w:sz w:val="24"/>
          <w:szCs w:val="24"/>
        </w:rPr>
        <w:t xml:space="preserve"> </w:t>
      </w:r>
    </w:p>
    <w:p w:rsidR="00030FDF" w:rsidRDefault="00265286" w:rsidP="000F6D98">
      <w:pPr>
        <w:spacing w:after="0"/>
        <w:jc w:val="both"/>
        <w:rPr>
          <w:rFonts w:ascii="Arial" w:hAnsi="Arial" w:cs="Arial"/>
          <w:sz w:val="24"/>
          <w:szCs w:val="24"/>
        </w:rPr>
      </w:pPr>
      <w:r>
        <w:rPr>
          <w:rFonts w:ascii="Arial" w:hAnsi="Arial" w:cs="Arial"/>
          <w:sz w:val="24"/>
          <w:szCs w:val="24"/>
        </w:rPr>
        <w:tab/>
      </w:r>
      <w:r w:rsidR="00D22C0C">
        <w:rPr>
          <w:rFonts w:ascii="Arial" w:hAnsi="Arial" w:cs="Arial"/>
          <w:sz w:val="24"/>
          <w:szCs w:val="24"/>
        </w:rPr>
        <w:t>In this essay</w:t>
      </w:r>
      <w:r w:rsidR="003E2A56">
        <w:rPr>
          <w:rFonts w:ascii="Arial" w:hAnsi="Arial" w:cs="Arial"/>
          <w:sz w:val="24"/>
          <w:szCs w:val="24"/>
        </w:rPr>
        <w:t xml:space="preserve"> I will </w:t>
      </w:r>
      <w:r w:rsidR="001017E4">
        <w:rPr>
          <w:rFonts w:ascii="Arial" w:hAnsi="Arial" w:cs="Arial"/>
          <w:sz w:val="24"/>
          <w:szCs w:val="24"/>
        </w:rPr>
        <w:t xml:space="preserve">firstly briefly </w:t>
      </w:r>
      <w:r w:rsidR="008248FF">
        <w:rPr>
          <w:rFonts w:ascii="Arial" w:hAnsi="Arial" w:cs="Arial"/>
          <w:sz w:val="24"/>
          <w:szCs w:val="24"/>
        </w:rPr>
        <w:t>analyse the characterisation a</w:t>
      </w:r>
      <w:r w:rsidR="00F61120">
        <w:rPr>
          <w:rFonts w:ascii="Arial" w:hAnsi="Arial" w:cs="Arial"/>
          <w:sz w:val="24"/>
          <w:szCs w:val="24"/>
        </w:rPr>
        <w:t xml:space="preserve">nd reception </w:t>
      </w:r>
      <w:r w:rsidR="005708D7">
        <w:rPr>
          <w:rFonts w:ascii="Arial" w:hAnsi="Arial" w:cs="Arial"/>
          <w:sz w:val="24"/>
          <w:szCs w:val="24"/>
        </w:rPr>
        <w:t>of Abraham</w:t>
      </w:r>
      <w:r w:rsidR="001017E4">
        <w:rPr>
          <w:rFonts w:ascii="Arial" w:hAnsi="Arial" w:cs="Arial"/>
          <w:sz w:val="24"/>
          <w:szCs w:val="24"/>
        </w:rPr>
        <w:t xml:space="preserve"> </w:t>
      </w:r>
      <w:r w:rsidR="003E2A56">
        <w:rPr>
          <w:rFonts w:ascii="Arial" w:hAnsi="Arial" w:cs="Arial"/>
          <w:sz w:val="24"/>
          <w:szCs w:val="24"/>
        </w:rPr>
        <w:t>in</w:t>
      </w:r>
      <w:r w:rsidR="00EB6B56">
        <w:rPr>
          <w:rFonts w:ascii="Arial" w:hAnsi="Arial" w:cs="Arial"/>
          <w:sz w:val="24"/>
          <w:szCs w:val="24"/>
        </w:rPr>
        <w:t xml:space="preserve"> </w:t>
      </w:r>
      <w:r w:rsidR="006F13F4">
        <w:rPr>
          <w:rFonts w:ascii="Arial" w:hAnsi="Arial" w:cs="Arial"/>
          <w:sz w:val="24"/>
          <w:szCs w:val="24"/>
        </w:rPr>
        <w:t>Gen</w:t>
      </w:r>
      <w:r w:rsidR="002F101E">
        <w:rPr>
          <w:rFonts w:ascii="Arial" w:hAnsi="Arial" w:cs="Arial"/>
          <w:sz w:val="24"/>
          <w:szCs w:val="24"/>
        </w:rPr>
        <w:t>esis</w:t>
      </w:r>
      <w:r w:rsidR="006F13F4">
        <w:rPr>
          <w:rFonts w:ascii="Arial" w:hAnsi="Arial" w:cs="Arial"/>
          <w:sz w:val="24"/>
          <w:szCs w:val="24"/>
        </w:rPr>
        <w:t xml:space="preserve"> 1</w:t>
      </w:r>
      <w:r>
        <w:rPr>
          <w:rFonts w:ascii="Arial" w:hAnsi="Arial" w:cs="Arial"/>
          <w:sz w:val="24"/>
          <w:szCs w:val="24"/>
        </w:rPr>
        <w:t>1</w:t>
      </w:r>
      <w:r w:rsidR="003E2A56">
        <w:rPr>
          <w:rFonts w:ascii="Arial" w:hAnsi="Arial" w:cs="Arial"/>
          <w:sz w:val="24"/>
          <w:szCs w:val="24"/>
        </w:rPr>
        <w:t xml:space="preserve">-25, </w:t>
      </w:r>
      <w:r w:rsidR="001017E4">
        <w:rPr>
          <w:rFonts w:ascii="Arial" w:hAnsi="Arial" w:cs="Arial"/>
          <w:sz w:val="24"/>
          <w:szCs w:val="24"/>
        </w:rPr>
        <w:t xml:space="preserve">secondly </w:t>
      </w:r>
      <w:r w:rsidR="001028A4">
        <w:rPr>
          <w:rFonts w:ascii="Arial" w:hAnsi="Arial" w:cs="Arial"/>
          <w:sz w:val="24"/>
          <w:szCs w:val="24"/>
        </w:rPr>
        <w:t>from a gendered perspective</w:t>
      </w:r>
      <w:r w:rsidR="001017E4">
        <w:rPr>
          <w:rFonts w:ascii="Arial" w:hAnsi="Arial" w:cs="Arial"/>
          <w:sz w:val="24"/>
          <w:szCs w:val="24"/>
        </w:rPr>
        <w:t>,</w:t>
      </w:r>
      <w:r w:rsidR="007658E7">
        <w:rPr>
          <w:rFonts w:ascii="Arial" w:hAnsi="Arial" w:cs="Arial"/>
          <w:sz w:val="24"/>
          <w:szCs w:val="24"/>
        </w:rPr>
        <w:t xml:space="preserve"> </w:t>
      </w:r>
      <w:r w:rsidR="001017E4">
        <w:rPr>
          <w:rFonts w:ascii="Arial" w:hAnsi="Arial" w:cs="Arial"/>
          <w:sz w:val="24"/>
          <w:szCs w:val="24"/>
        </w:rPr>
        <w:t xml:space="preserve">and thirdly </w:t>
      </w:r>
      <w:r w:rsidR="007658E7">
        <w:rPr>
          <w:rFonts w:ascii="Arial" w:hAnsi="Arial" w:cs="Arial"/>
          <w:sz w:val="24"/>
          <w:szCs w:val="24"/>
        </w:rPr>
        <w:t xml:space="preserve">in the </w:t>
      </w:r>
      <w:r w:rsidR="00211981">
        <w:rPr>
          <w:rFonts w:ascii="Arial" w:hAnsi="Arial" w:cs="Arial"/>
          <w:sz w:val="24"/>
          <w:szCs w:val="24"/>
        </w:rPr>
        <w:t xml:space="preserve">later </w:t>
      </w:r>
      <w:r w:rsidR="007658E7">
        <w:rPr>
          <w:rFonts w:ascii="Arial" w:hAnsi="Arial" w:cs="Arial"/>
          <w:sz w:val="24"/>
          <w:szCs w:val="24"/>
        </w:rPr>
        <w:t xml:space="preserve">context of the “Bosom of Abraham”, </w:t>
      </w:r>
      <w:r w:rsidR="001017E4">
        <w:rPr>
          <w:rFonts w:ascii="Arial" w:hAnsi="Arial" w:cs="Arial"/>
          <w:sz w:val="24"/>
          <w:szCs w:val="24"/>
        </w:rPr>
        <w:t>before focusing on the</w:t>
      </w:r>
      <w:r w:rsidR="00085E1D">
        <w:rPr>
          <w:rFonts w:ascii="Arial" w:hAnsi="Arial" w:cs="Arial"/>
          <w:sz w:val="24"/>
          <w:szCs w:val="24"/>
        </w:rPr>
        <w:t xml:space="preserve"> “Binding of Isaac” narrative</w:t>
      </w:r>
      <w:r w:rsidR="008248FF">
        <w:rPr>
          <w:rFonts w:ascii="Arial" w:hAnsi="Arial" w:cs="Arial"/>
          <w:sz w:val="24"/>
          <w:szCs w:val="24"/>
        </w:rPr>
        <w:t>. An interdisciplinary approa</w:t>
      </w:r>
      <w:r w:rsidR="003E2A56">
        <w:rPr>
          <w:rFonts w:ascii="Arial" w:hAnsi="Arial" w:cs="Arial"/>
          <w:sz w:val="24"/>
          <w:szCs w:val="24"/>
        </w:rPr>
        <w:t>ch will be adopted, and</w:t>
      </w:r>
      <w:r w:rsidR="00085E1D">
        <w:rPr>
          <w:rFonts w:ascii="Arial" w:hAnsi="Arial" w:cs="Arial"/>
          <w:sz w:val="24"/>
          <w:szCs w:val="24"/>
        </w:rPr>
        <w:t xml:space="preserve"> I will</w:t>
      </w:r>
      <w:r w:rsidR="00B97C00">
        <w:rPr>
          <w:rFonts w:ascii="Arial" w:hAnsi="Arial" w:cs="Arial"/>
          <w:sz w:val="24"/>
          <w:szCs w:val="24"/>
        </w:rPr>
        <w:t xml:space="preserve"> incorporate </w:t>
      </w:r>
      <w:r w:rsidR="00085E1D">
        <w:rPr>
          <w:rFonts w:ascii="Arial" w:hAnsi="Arial" w:cs="Arial"/>
          <w:sz w:val="24"/>
          <w:szCs w:val="24"/>
        </w:rPr>
        <w:t xml:space="preserve">examples </w:t>
      </w:r>
      <w:r w:rsidR="005708D7">
        <w:rPr>
          <w:rFonts w:ascii="Arial" w:hAnsi="Arial" w:cs="Arial"/>
          <w:sz w:val="24"/>
          <w:szCs w:val="24"/>
        </w:rPr>
        <w:t>from</w:t>
      </w:r>
      <w:r w:rsidR="00085E1D">
        <w:rPr>
          <w:rFonts w:ascii="Arial" w:hAnsi="Arial" w:cs="Arial"/>
          <w:sz w:val="24"/>
          <w:szCs w:val="24"/>
        </w:rPr>
        <w:t xml:space="preserve"> </w:t>
      </w:r>
      <w:r w:rsidR="00C250E2">
        <w:rPr>
          <w:rFonts w:ascii="Arial" w:hAnsi="Arial" w:cs="Arial"/>
          <w:sz w:val="24"/>
          <w:szCs w:val="24"/>
        </w:rPr>
        <w:t xml:space="preserve">visual </w:t>
      </w:r>
      <w:r w:rsidR="005708D7">
        <w:rPr>
          <w:rFonts w:ascii="Arial" w:hAnsi="Arial" w:cs="Arial"/>
          <w:sz w:val="24"/>
          <w:szCs w:val="24"/>
        </w:rPr>
        <w:t>art</w:t>
      </w:r>
      <w:r w:rsidR="00085E1D">
        <w:rPr>
          <w:rFonts w:ascii="Arial" w:hAnsi="Arial" w:cs="Arial"/>
          <w:sz w:val="24"/>
          <w:szCs w:val="24"/>
        </w:rPr>
        <w:t xml:space="preserve"> and </w:t>
      </w:r>
      <w:r w:rsidR="00C250E2">
        <w:rPr>
          <w:rFonts w:ascii="Arial" w:hAnsi="Arial" w:cs="Arial"/>
          <w:sz w:val="24"/>
          <w:szCs w:val="24"/>
        </w:rPr>
        <w:t>popular</w:t>
      </w:r>
      <w:r w:rsidR="00085E1D">
        <w:rPr>
          <w:rFonts w:ascii="Arial" w:hAnsi="Arial" w:cs="Arial"/>
          <w:sz w:val="24"/>
          <w:szCs w:val="24"/>
        </w:rPr>
        <w:t xml:space="preserve"> culture</w:t>
      </w:r>
      <w:r w:rsidR="00A564B1">
        <w:rPr>
          <w:rFonts w:ascii="Arial" w:hAnsi="Arial" w:cs="Arial"/>
          <w:sz w:val="24"/>
          <w:szCs w:val="24"/>
        </w:rPr>
        <w:t>.</w:t>
      </w:r>
    </w:p>
    <w:p w:rsidR="00A564B1" w:rsidRDefault="00A564B1" w:rsidP="000F6D98">
      <w:pPr>
        <w:spacing w:after="0"/>
        <w:jc w:val="both"/>
        <w:rPr>
          <w:rFonts w:ascii="Arial" w:hAnsi="Arial" w:cs="Arial"/>
          <w:sz w:val="24"/>
          <w:szCs w:val="24"/>
        </w:rPr>
      </w:pPr>
    </w:p>
    <w:p w:rsidR="000444E2" w:rsidRDefault="00356F13" w:rsidP="000F6D98">
      <w:pPr>
        <w:spacing w:after="0"/>
        <w:jc w:val="both"/>
        <w:rPr>
          <w:rFonts w:ascii="Arial" w:hAnsi="Arial" w:cs="Arial"/>
          <w:b/>
          <w:sz w:val="24"/>
          <w:szCs w:val="24"/>
          <w:u w:val="single"/>
        </w:rPr>
      </w:pPr>
      <w:r>
        <w:rPr>
          <w:rFonts w:ascii="Arial" w:hAnsi="Arial" w:cs="Arial"/>
          <w:b/>
          <w:sz w:val="24"/>
          <w:szCs w:val="24"/>
          <w:u w:val="single"/>
        </w:rPr>
        <w:t>Abraham in Genesis</w:t>
      </w:r>
    </w:p>
    <w:p w:rsidR="00356F13" w:rsidRDefault="00356F13" w:rsidP="000F6D98">
      <w:pPr>
        <w:spacing w:after="0"/>
        <w:jc w:val="both"/>
        <w:rPr>
          <w:rFonts w:ascii="Arial" w:hAnsi="Arial" w:cs="Arial"/>
          <w:b/>
          <w:sz w:val="24"/>
          <w:szCs w:val="24"/>
          <w:u w:val="single"/>
        </w:rPr>
      </w:pPr>
    </w:p>
    <w:p w:rsidR="00B97C00" w:rsidRPr="004224E2" w:rsidRDefault="004224E2" w:rsidP="00356F13">
      <w:pPr>
        <w:spacing w:after="0"/>
        <w:jc w:val="both"/>
        <w:rPr>
          <w:rFonts w:ascii="Arial" w:hAnsi="Arial" w:cs="Arial"/>
          <w:sz w:val="24"/>
          <w:szCs w:val="24"/>
        </w:rPr>
      </w:pPr>
      <w:r>
        <w:rPr>
          <w:rFonts w:ascii="Arial" w:hAnsi="Arial" w:cs="Arial"/>
          <w:sz w:val="24"/>
          <w:szCs w:val="24"/>
        </w:rPr>
        <w:tab/>
      </w:r>
      <w:r w:rsidR="005708D7">
        <w:rPr>
          <w:rFonts w:ascii="Arial" w:hAnsi="Arial" w:cs="Arial"/>
          <w:sz w:val="24"/>
          <w:szCs w:val="24"/>
        </w:rPr>
        <w:t xml:space="preserve">Abraham has been characterised and received in many different ways. </w:t>
      </w:r>
      <w:r>
        <w:rPr>
          <w:rFonts w:ascii="Arial" w:hAnsi="Arial" w:cs="Arial"/>
          <w:sz w:val="24"/>
          <w:szCs w:val="24"/>
        </w:rPr>
        <w:t>Joseph</w:t>
      </w:r>
      <w:r w:rsidR="005708D7">
        <w:rPr>
          <w:rFonts w:ascii="Arial" w:hAnsi="Arial" w:cs="Arial"/>
          <w:sz w:val="24"/>
          <w:szCs w:val="24"/>
        </w:rPr>
        <w:t xml:space="preserve"> Blenkinsopp, for example, argues</w:t>
      </w:r>
      <w:r w:rsidR="00DC7795">
        <w:rPr>
          <w:rFonts w:ascii="Arial" w:hAnsi="Arial" w:cs="Arial"/>
          <w:sz w:val="24"/>
          <w:szCs w:val="24"/>
        </w:rPr>
        <w:t xml:space="preserve"> </w:t>
      </w:r>
      <w:r w:rsidR="005708D7">
        <w:rPr>
          <w:rFonts w:ascii="Arial" w:hAnsi="Arial" w:cs="Arial"/>
          <w:sz w:val="24"/>
          <w:szCs w:val="24"/>
        </w:rPr>
        <w:t xml:space="preserve">convincingly, </w:t>
      </w:r>
      <w:r w:rsidR="00DC7795">
        <w:rPr>
          <w:rFonts w:ascii="Arial" w:hAnsi="Arial" w:cs="Arial"/>
          <w:sz w:val="24"/>
          <w:szCs w:val="24"/>
        </w:rPr>
        <w:t>from a historical-critical perspective,</w:t>
      </w:r>
      <w:r>
        <w:rPr>
          <w:rFonts w:ascii="Arial" w:hAnsi="Arial" w:cs="Arial"/>
          <w:sz w:val="24"/>
          <w:szCs w:val="24"/>
        </w:rPr>
        <w:t xml:space="preserve"> that Abraham’s narrative</w:t>
      </w:r>
      <w:r w:rsidR="00211981">
        <w:rPr>
          <w:rFonts w:ascii="Arial" w:hAnsi="Arial" w:cs="Arial"/>
          <w:sz w:val="24"/>
          <w:szCs w:val="24"/>
        </w:rPr>
        <w:t xml:space="preserve"> in Genesis</w:t>
      </w:r>
      <w:r>
        <w:rPr>
          <w:rFonts w:ascii="Arial" w:hAnsi="Arial" w:cs="Arial"/>
          <w:sz w:val="24"/>
          <w:szCs w:val="24"/>
        </w:rPr>
        <w:t xml:space="preserve"> was composed in order to provide a response to the Babylonian conquest of Jerusalem in 586 BCE, by providing survivors with hope, in a religious context, of rebuilding their lives and retu</w:t>
      </w:r>
      <w:r w:rsidR="00356F13">
        <w:rPr>
          <w:rFonts w:ascii="Arial" w:hAnsi="Arial" w:cs="Arial"/>
          <w:sz w:val="24"/>
          <w:szCs w:val="24"/>
        </w:rPr>
        <w:t xml:space="preserve">rning to </w:t>
      </w:r>
      <w:r w:rsidR="00356F13">
        <w:rPr>
          <w:rFonts w:ascii="Arial" w:hAnsi="Arial" w:cs="Arial"/>
          <w:sz w:val="24"/>
          <w:szCs w:val="24"/>
        </w:rPr>
        <w:lastRenderedPageBreak/>
        <w:t>Judah after the defeat in 539 BCE</w:t>
      </w:r>
      <w:r>
        <w:rPr>
          <w:rFonts w:ascii="Arial" w:hAnsi="Arial" w:cs="Arial"/>
          <w:sz w:val="24"/>
          <w:szCs w:val="24"/>
        </w:rPr>
        <w:t xml:space="preserve"> of the Babylonian empire.</w:t>
      </w:r>
      <w:r>
        <w:rPr>
          <w:rStyle w:val="FootnoteReference"/>
          <w:rFonts w:ascii="Arial" w:hAnsi="Arial" w:cs="Arial"/>
          <w:sz w:val="24"/>
          <w:szCs w:val="24"/>
        </w:rPr>
        <w:footnoteReference w:id="5"/>
      </w:r>
      <w:r>
        <w:rPr>
          <w:rFonts w:ascii="Arial" w:hAnsi="Arial" w:cs="Arial"/>
          <w:sz w:val="24"/>
          <w:szCs w:val="24"/>
        </w:rPr>
        <w:t xml:space="preserve"> </w:t>
      </w:r>
      <w:r w:rsidR="00FE4E44">
        <w:rPr>
          <w:rFonts w:ascii="Arial" w:hAnsi="Arial" w:cs="Arial"/>
          <w:sz w:val="24"/>
          <w:szCs w:val="24"/>
        </w:rPr>
        <w:t xml:space="preserve">In a different context, </w:t>
      </w:r>
      <w:r w:rsidR="00BC1A80">
        <w:rPr>
          <w:rFonts w:ascii="Arial" w:hAnsi="Arial" w:cs="Arial"/>
          <w:sz w:val="24"/>
          <w:szCs w:val="24"/>
        </w:rPr>
        <w:t>Abraham’s depiction in Genesis has been considered important in contributing</w:t>
      </w:r>
      <w:r w:rsidR="00FE4E44">
        <w:rPr>
          <w:rFonts w:ascii="Arial" w:hAnsi="Arial" w:cs="Arial"/>
          <w:sz w:val="24"/>
          <w:szCs w:val="24"/>
        </w:rPr>
        <w:t xml:space="preserve"> to the reception of the Abraham</w:t>
      </w:r>
      <w:r w:rsidR="00BC1A80">
        <w:rPr>
          <w:rFonts w:ascii="Arial" w:hAnsi="Arial" w:cs="Arial"/>
          <w:sz w:val="24"/>
          <w:szCs w:val="24"/>
        </w:rPr>
        <w:t xml:space="preserve"> narrative</w:t>
      </w:r>
      <w:r w:rsidR="00FE4E44">
        <w:rPr>
          <w:rFonts w:ascii="Arial" w:hAnsi="Arial" w:cs="Arial"/>
          <w:sz w:val="24"/>
          <w:szCs w:val="24"/>
        </w:rPr>
        <w:t xml:space="preserve"> </w:t>
      </w:r>
      <w:r w:rsidR="00BC1A80">
        <w:rPr>
          <w:rFonts w:ascii="Arial" w:hAnsi="Arial" w:cs="Arial"/>
          <w:sz w:val="24"/>
          <w:szCs w:val="24"/>
        </w:rPr>
        <w:t>in</w:t>
      </w:r>
      <w:r w:rsidR="00FE4E44">
        <w:rPr>
          <w:rFonts w:ascii="Arial" w:hAnsi="Arial" w:cs="Arial"/>
          <w:sz w:val="24"/>
          <w:szCs w:val="24"/>
        </w:rPr>
        <w:t xml:space="preserve"> later Jewish, Christian and Muslim </w:t>
      </w:r>
      <w:r w:rsidR="00BC1A80">
        <w:rPr>
          <w:rFonts w:ascii="Arial" w:hAnsi="Arial" w:cs="Arial"/>
          <w:sz w:val="24"/>
          <w:szCs w:val="24"/>
        </w:rPr>
        <w:t>texts;</w:t>
      </w:r>
      <w:r w:rsidR="00FE4E44">
        <w:rPr>
          <w:rFonts w:ascii="Arial" w:hAnsi="Arial" w:cs="Arial"/>
          <w:sz w:val="24"/>
          <w:szCs w:val="24"/>
        </w:rPr>
        <w:t xml:space="preserve"> </w:t>
      </w:r>
      <w:proofErr w:type="spellStart"/>
      <w:r w:rsidR="00FE4E44">
        <w:rPr>
          <w:rFonts w:ascii="Arial" w:hAnsi="Arial" w:cs="Arial"/>
          <w:sz w:val="24"/>
          <w:szCs w:val="24"/>
        </w:rPr>
        <w:t>Levenson</w:t>
      </w:r>
      <w:proofErr w:type="spellEnd"/>
      <w:r w:rsidR="00BC1A80">
        <w:rPr>
          <w:rFonts w:ascii="Arial" w:hAnsi="Arial" w:cs="Arial"/>
          <w:sz w:val="24"/>
          <w:szCs w:val="24"/>
        </w:rPr>
        <w:t>, however,</w:t>
      </w:r>
      <w:r w:rsidR="00FE4E44">
        <w:rPr>
          <w:rFonts w:ascii="Arial" w:hAnsi="Arial" w:cs="Arial"/>
          <w:sz w:val="24"/>
          <w:szCs w:val="24"/>
        </w:rPr>
        <w:t xml:space="preserve"> is right to </w:t>
      </w:r>
      <w:r w:rsidR="004C73B0">
        <w:rPr>
          <w:rFonts w:ascii="Arial" w:hAnsi="Arial" w:cs="Arial"/>
          <w:sz w:val="24"/>
          <w:szCs w:val="24"/>
        </w:rPr>
        <w:t>question</w:t>
      </w:r>
      <w:r w:rsidR="00FE4E44">
        <w:rPr>
          <w:rFonts w:ascii="Arial" w:hAnsi="Arial" w:cs="Arial"/>
          <w:sz w:val="24"/>
          <w:szCs w:val="24"/>
        </w:rPr>
        <w:t xml:space="preserve"> the view that Abraham is often represented as having a similar role in these religions, warning that this topic should be approached cautiously.</w:t>
      </w:r>
      <w:r w:rsidR="00FE4E44">
        <w:rPr>
          <w:rStyle w:val="FootnoteReference"/>
          <w:rFonts w:ascii="Arial" w:hAnsi="Arial" w:cs="Arial"/>
          <w:sz w:val="24"/>
          <w:szCs w:val="24"/>
        </w:rPr>
        <w:footnoteReference w:id="6"/>
      </w:r>
    </w:p>
    <w:p w:rsidR="00547A39" w:rsidRDefault="00C604B4" w:rsidP="00B97C00">
      <w:pPr>
        <w:spacing w:after="0"/>
        <w:jc w:val="both"/>
        <w:rPr>
          <w:rFonts w:ascii="Arial" w:hAnsi="Arial" w:cs="Arial"/>
          <w:sz w:val="24"/>
          <w:szCs w:val="24"/>
        </w:rPr>
      </w:pPr>
      <w:r>
        <w:rPr>
          <w:rFonts w:ascii="Arial" w:hAnsi="Arial" w:cs="Arial"/>
          <w:sz w:val="24"/>
          <w:szCs w:val="24"/>
        </w:rPr>
        <w:tab/>
        <w:t>Abraham is first introduced in Gen</w:t>
      </w:r>
      <w:r w:rsidR="002F101E">
        <w:rPr>
          <w:rFonts w:ascii="Arial" w:hAnsi="Arial" w:cs="Arial"/>
          <w:sz w:val="24"/>
          <w:szCs w:val="24"/>
        </w:rPr>
        <w:t>esis</w:t>
      </w:r>
      <w:r>
        <w:rPr>
          <w:rFonts w:ascii="Arial" w:hAnsi="Arial" w:cs="Arial"/>
          <w:sz w:val="24"/>
          <w:szCs w:val="24"/>
        </w:rPr>
        <w:t xml:space="preserve"> 11:26-32, </w:t>
      </w:r>
      <w:r w:rsidR="001028A4">
        <w:rPr>
          <w:rFonts w:ascii="Arial" w:hAnsi="Arial" w:cs="Arial"/>
          <w:sz w:val="24"/>
          <w:szCs w:val="24"/>
        </w:rPr>
        <w:t>w</w:t>
      </w:r>
      <w:r w:rsidR="00861B9D">
        <w:rPr>
          <w:rFonts w:ascii="Arial" w:hAnsi="Arial" w:cs="Arial"/>
          <w:sz w:val="24"/>
          <w:szCs w:val="24"/>
        </w:rPr>
        <w:t>ith no explanation</w:t>
      </w:r>
      <w:r>
        <w:rPr>
          <w:rFonts w:ascii="Arial" w:hAnsi="Arial" w:cs="Arial"/>
          <w:sz w:val="24"/>
          <w:szCs w:val="24"/>
        </w:rPr>
        <w:t xml:space="preserve"> given as to why he was chosen by God</w:t>
      </w:r>
      <w:r w:rsidR="001028A4">
        <w:rPr>
          <w:rFonts w:ascii="Arial" w:hAnsi="Arial" w:cs="Arial"/>
          <w:sz w:val="24"/>
          <w:szCs w:val="24"/>
        </w:rPr>
        <w:t xml:space="preserve">, </w:t>
      </w:r>
      <w:r w:rsidR="00861B9D">
        <w:rPr>
          <w:rFonts w:ascii="Arial" w:hAnsi="Arial" w:cs="Arial"/>
          <w:sz w:val="24"/>
          <w:szCs w:val="24"/>
        </w:rPr>
        <w:t xml:space="preserve">and </w:t>
      </w:r>
      <w:r w:rsidR="00BC1A80">
        <w:rPr>
          <w:rFonts w:ascii="Arial" w:hAnsi="Arial" w:cs="Arial"/>
          <w:sz w:val="24"/>
          <w:szCs w:val="24"/>
        </w:rPr>
        <w:t>with</w:t>
      </w:r>
      <w:r w:rsidR="001028A4">
        <w:rPr>
          <w:rFonts w:ascii="Arial" w:hAnsi="Arial" w:cs="Arial"/>
          <w:sz w:val="24"/>
          <w:szCs w:val="24"/>
        </w:rPr>
        <w:t xml:space="preserve"> no particular talents </w:t>
      </w:r>
      <w:r>
        <w:rPr>
          <w:rFonts w:ascii="Arial" w:hAnsi="Arial" w:cs="Arial"/>
          <w:sz w:val="24"/>
          <w:szCs w:val="24"/>
        </w:rPr>
        <w:t>or achievements</w:t>
      </w:r>
      <w:r w:rsidR="00BC1A80">
        <w:rPr>
          <w:rFonts w:ascii="Arial" w:hAnsi="Arial" w:cs="Arial"/>
          <w:sz w:val="24"/>
          <w:szCs w:val="24"/>
        </w:rPr>
        <w:t xml:space="preserve"> </w:t>
      </w:r>
      <w:r>
        <w:rPr>
          <w:rFonts w:ascii="Arial" w:hAnsi="Arial" w:cs="Arial"/>
          <w:sz w:val="24"/>
          <w:szCs w:val="24"/>
        </w:rPr>
        <w:t>ascribed to him.</w:t>
      </w:r>
      <w:r>
        <w:rPr>
          <w:rStyle w:val="FootnoteReference"/>
          <w:rFonts w:ascii="Arial" w:hAnsi="Arial" w:cs="Arial"/>
          <w:sz w:val="24"/>
          <w:szCs w:val="24"/>
        </w:rPr>
        <w:footnoteReference w:id="7"/>
      </w:r>
      <w:r>
        <w:rPr>
          <w:rFonts w:ascii="Arial" w:hAnsi="Arial" w:cs="Arial"/>
          <w:sz w:val="24"/>
          <w:szCs w:val="24"/>
        </w:rPr>
        <w:t xml:space="preserve"> However, in the course of Gen</w:t>
      </w:r>
      <w:r w:rsidR="002F101E">
        <w:rPr>
          <w:rFonts w:ascii="Arial" w:hAnsi="Arial" w:cs="Arial"/>
          <w:sz w:val="24"/>
          <w:szCs w:val="24"/>
        </w:rPr>
        <w:t>esis</w:t>
      </w:r>
      <w:r>
        <w:rPr>
          <w:rFonts w:ascii="Arial" w:hAnsi="Arial" w:cs="Arial"/>
          <w:sz w:val="24"/>
          <w:szCs w:val="24"/>
        </w:rPr>
        <w:t xml:space="preserve"> 12-25,</w:t>
      </w:r>
      <w:r w:rsidR="00641A7D">
        <w:rPr>
          <w:rFonts w:ascii="Arial" w:hAnsi="Arial" w:cs="Arial"/>
          <w:sz w:val="24"/>
          <w:szCs w:val="24"/>
        </w:rPr>
        <w:t xml:space="preserve"> Abraham </w:t>
      </w:r>
      <w:r>
        <w:rPr>
          <w:rFonts w:ascii="Arial" w:hAnsi="Arial" w:cs="Arial"/>
          <w:sz w:val="24"/>
          <w:szCs w:val="24"/>
        </w:rPr>
        <w:t xml:space="preserve">becomes characterised </w:t>
      </w:r>
      <w:r w:rsidR="00641A7D">
        <w:rPr>
          <w:rFonts w:ascii="Arial" w:hAnsi="Arial" w:cs="Arial"/>
          <w:sz w:val="24"/>
          <w:szCs w:val="24"/>
        </w:rPr>
        <w:t>as a “figure of national, historical, and theological importance”.</w:t>
      </w:r>
      <w:r w:rsidR="00641A7D">
        <w:rPr>
          <w:rStyle w:val="FootnoteReference"/>
          <w:rFonts w:ascii="Arial" w:hAnsi="Arial" w:cs="Arial"/>
          <w:sz w:val="24"/>
          <w:szCs w:val="24"/>
        </w:rPr>
        <w:footnoteReference w:id="8"/>
      </w:r>
      <w:r w:rsidR="008E437C">
        <w:rPr>
          <w:rFonts w:ascii="Arial" w:hAnsi="Arial" w:cs="Arial"/>
          <w:sz w:val="24"/>
          <w:szCs w:val="24"/>
        </w:rPr>
        <w:t xml:space="preserve"> </w:t>
      </w:r>
      <w:r w:rsidR="00211981">
        <w:rPr>
          <w:rFonts w:ascii="Arial" w:hAnsi="Arial" w:cs="Arial"/>
          <w:sz w:val="24"/>
          <w:szCs w:val="24"/>
        </w:rPr>
        <w:t xml:space="preserve">This </w:t>
      </w:r>
      <w:r w:rsidR="00861B9D">
        <w:rPr>
          <w:rFonts w:ascii="Arial" w:hAnsi="Arial" w:cs="Arial"/>
          <w:sz w:val="24"/>
          <w:szCs w:val="24"/>
        </w:rPr>
        <w:t>suggests</w:t>
      </w:r>
      <w:r w:rsidR="00211981">
        <w:rPr>
          <w:rFonts w:ascii="Arial" w:hAnsi="Arial" w:cs="Arial"/>
          <w:sz w:val="24"/>
          <w:szCs w:val="24"/>
        </w:rPr>
        <w:t xml:space="preserve"> to me that </w:t>
      </w:r>
      <w:r w:rsidR="00861B9D">
        <w:rPr>
          <w:rFonts w:ascii="Arial" w:hAnsi="Arial" w:cs="Arial"/>
          <w:sz w:val="24"/>
          <w:szCs w:val="24"/>
        </w:rPr>
        <w:t xml:space="preserve">the narrator is implying that </w:t>
      </w:r>
      <w:r w:rsidR="00211981">
        <w:rPr>
          <w:rFonts w:ascii="Arial" w:hAnsi="Arial" w:cs="Arial"/>
          <w:sz w:val="24"/>
          <w:szCs w:val="24"/>
        </w:rPr>
        <w:t>it is possible for “ordinary” people to achieve greatness, as long as they follow the word of God</w:t>
      </w:r>
      <w:r w:rsidR="00827637">
        <w:rPr>
          <w:rFonts w:ascii="Arial" w:hAnsi="Arial" w:cs="Arial"/>
          <w:sz w:val="24"/>
          <w:szCs w:val="24"/>
        </w:rPr>
        <w:t>.</w:t>
      </w:r>
      <w:r w:rsidR="00211981">
        <w:rPr>
          <w:rFonts w:ascii="Arial" w:hAnsi="Arial" w:cs="Arial"/>
          <w:sz w:val="24"/>
          <w:szCs w:val="24"/>
        </w:rPr>
        <w:t xml:space="preserve"> </w:t>
      </w:r>
    </w:p>
    <w:p w:rsidR="00211981" w:rsidRPr="00356F13" w:rsidRDefault="000444E2" w:rsidP="00616E6A">
      <w:pPr>
        <w:spacing w:after="0"/>
        <w:jc w:val="both"/>
        <w:rPr>
          <w:rFonts w:ascii="Arial" w:hAnsi="Arial" w:cs="Arial"/>
          <w:sz w:val="24"/>
          <w:szCs w:val="24"/>
        </w:rPr>
      </w:pPr>
      <w:r>
        <w:rPr>
          <w:rFonts w:ascii="Arial" w:hAnsi="Arial" w:cs="Arial"/>
          <w:sz w:val="24"/>
          <w:szCs w:val="24"/>
        </w:rPr>
        <w:tab/>
      </w:r>
      <w:r w:rsidR="00356F13">
        <w:rPr>
          <w:rFonts w:ascii="Arial" w:hAnsi="Arial" w:cs="Arial"/>
          <w:sz w:val="24"/>
          <w:szCs w:val="24"/>
        </w:rPr>
        <w:t xml:space="preserve">In this context, </w:t>
      </w:r>
      <w:proofErr w:type="spellStart"/>
      <w:r w:rsidR="00616E6A">
        <w:rPr>
          <w:rFonts w:ascii="Arial" w:hAnsi="Arial" w:cs="Arial"/>
          <w:sz w:val="24"/>
          <w:szCs w:val="24"/>
        </w:rPr>
        <w:t>Orrey</w:t>
      </w:r>
      <w:proofErr w:type="spellEnd"/>
      <w:r w:rsidR="00616E6A">
        <w:rPr>
          <w:rFonts w:ascii="Arial" w:hAnsi="Arial" w:cs="Arial"/>
          <w:sz w:val="24"/>
          <w:szCs w:val="24"/>
        </w:rPr>
        <w:t xml:space="preserve"> McFarland presents an interesting discussion on the reception of Abraham by two ancient sources, writing at about the same time; Ph</w:t>
      </w:r>
      <w:r w:rsidR="00211981">
        <w:rPr>
          <w:rFonts w:ascii="Arial" w:hAnsi="Arial" w:cs="Arial"/>
          <w:sz w:val="24"/>
          <w:szCs w:val="24"/>
        </w:rPr>
        <w:t>ilo, a Jewish philosopher (c.20BCE-</w:t>
      </w:r>
      <w:r w:rsidR="00616E6A">
        <w:rPr>
          <w:rFonts w:ascii="Arial" w:hAnsi="Arial" w:cs="Arial"/>
          <w:sz w:val="24"/>
          <w:szCs w:val="24"/>
        </w:rPr>
        <w:t>50CE) and Paul the Apostle (</w:t>
      </w:r>
      <w:r w:rsidR="00211981">
        <w:rPr>
          <w:rFonts w:ascii="Arial" w:hAnsi="Arial" w:cs="Arial"/>
          <w:sz w:val="24"/>
          <w:szCs w:val="24"/>
        </w:rPr>
        <w:t>c.4BCE–62</w:t>
      </w:r>
      <w:r w:rsidR="002F101E">
        <w:rPr>
          <w:rFonts w:ascii="Arial" w:hAnsi="Arial" w:cs="Arial"/>
          <w:sz w:val="24"/>
          <w:szCs w:val="24"/>
        </w:rPr>
        <w:t>CE).</w:t>
      </w:r>
      <w:r w:rsidR="00616E6A">
        <w:rPr>
          <w:rStyle w:val="FootnoteReference"/>
          <w:rFonts w:ascii="Arial" w:hAnsi="Arial" w:cs="Arial"/>
          <w:sz w:val="24"/>
          <w:szCs w:val="24"/>
        </w:rPr>
        <w:footnoteReference w:id="9"/>
      </w:r>
      <w:r w:rsidR="004C73B0">
        <w:rPr>
          <w:rFonts w:ascii="Arial" w:hAnsi="Arial" w:cs="Arial"/>
          <w:sz w:val="24"/>
          <w:szCs w:val="24"/>
        </w:rPr>
        <w:t xml:space="preserve"> He notes</w:t>
      </w:r>
      <w:r w:rsidR="002F101E">
        <w:rPr>
          <w:rFonts w:ascii="Arial" w:hAnsi="Arial" w:cs="Arial"/>
          <w:sz w:val="24"/>
          <w:szCs w:val="24"/>
        </w:rPr>
        <w:t xml:space="preserve"> that</w:t>
      </w:r>
      <w:r w:rsidR="00873C58">
        <w:rPr>
          <w:rFonts w:ascii="Arial" w:hAnsi="Arial" w:cs="Arial"/>
          <w:sz w:val="24"/>
          <w:szCs w:val="24"/>
        </w:rPr>
        <w:t>, whilst</w:t>
      </w:r>
      <w:r w:rsidR="002F101E">
        <w:rPr>
          <w:rFonts w:ascii="Arial" w:hAnsi="Arial" w:cs="Arial"/>
          <w:sz w:val="24"/>
          <w:szCs w:val="24"/>
        </w:rPr>
        <w:t xml:space="preserve"> both authors view Abraham’s faith as identifying him as an important f</w:t>
      </w:r>
      <w:r w:rsidR="00873C58">
        <w:rPr>
          <w:rFonts w:ascii="Arial" w:hAnsi="Arial" w:cs="Arial"/>
          <w:sz w:val="24"/>
          <w:szCs w:val="24"/>
        </w:rPr>
        <w:t>igure to his followers,</w:t>
      </w:r>
      <w:r w:rsidR="002F101E">
        <w:rPr>
          <w:rFonts w:ascii="Arial" w:hAnsi="Arial" w:cs="Arial"/>
          <w:sz w:val="24"/>
          <w:szCs w:val="24"/>
        </w:rPr>
        <w:t xml:space="preserve"> their interpretations are very different.</w:t>
      </w:r>
      <w:r w:rsidR="002F101E">
        <w:rPr>
          <w:rStyle w:val="FootnoteReference"/>
          <w:rFonts w:ascii="Arial" w:hAnsi="Arial" w:cs="Arial"/>
          <w:sz w:val="24"/>
          <w:szCs w:val="24"/>
        </w:rPr>
        <w:footnoteReference w:id="10"/>
      </w:r>
      <w:r w:rsidR="002F101E">
        <w:rPr>
          <w:rFonts w:ascii="Arial" w:hAnsi="Arial" w:cs="Arial"/>
          <w:sz w:val="24"/>
          <w:szCs w:val="24"/>
        </w:rPr>
        <w:t xml:space="preserve"> Ph</w:t>
      </w:r>
      <w:r w:rsidR="00873C58">
        <w:rPr>
          <w:rFonts w:ascii="Arial" w:hAnsi="Arial" w:cs="Arial"/>
          <w:sz w:val="24"/>
          <w:szCs w:val="24"/>
        </w:rPr>
        <w:t>ilo interprets Abraham’s faith in the context of nobility</w:t>
      </w:r>
      <w:r w:rsidR="002F101E">
        <w:rPr>
          <w:rFonts w:ascii="Arial" w:hAnsi="Arial" w:cs="Arial"/>
          <w:sz w:val="24"/>
          <w:szCs w:val="24"/>
        </w:rPr>
        <w:t>, arguing that nobility is a consequence of how one lives one’s life concer</w:t>
      </w:r>
      <w:r w:rsidR="000B1DFE">
        <w:rPr>
          <w:rFonts w:ascii="Arial" w:hAnsi="Arial" w:cs="Arial"/>
          <w:sz w:val="24"/>
          <w:szCs w:val="24"/>
        </w:rPr>
        <w:t>ning God,</w:t>
      </w:r>
      <w:r w:rsidR="002F101E">
        <w:rPr>
          <w:rFonts w:ascii="Arial" w:hAnsi="Arial" w:cs="Arial"/>
          <w:sz w:val="24"/>
          <w:szCs w:val="24"/>
        </w:rPr>
        <w:t xml:space="preserve"> not on the merits or </w:t>
      </w:r>
      <w:r w:rsidR="00873C58">
        <w:rPr>
          <w:rFonts w:ascii="Arial" w:hAnsi="Arial" w:cs="Arial"/>
          <w:sz w:val="24"/>
          <w:szCs w:val="24"/>
        </w:rPr>
        <w:t>misdemeanours of one’s ancestors</w:t>
      </w:r>
      <w:r w:rsidR="009565C0">
        <w:rPr>
          <w:rFonts w:ascii="Arial" w:hAnsi="Arial" w:cs="Arial"/>
          <w:sz w:val="24"/>
          <w:szCs w:val="24"/>
        </w:rPr>
        <w:t>.</w:t>
      </w:r>
      <w:r w:rsidR="002F101E">
        <w:rPr>
          <w:rStyle w:val="FootnoteReference"/>
          <w:rFonts w:ascii="Arial" w:hAnsi="Arial" w:cs="Arial"/>
          <w:sz w:val="24"/>
          <w:szCs w:val="24"/>
        </w:rPr>
        <w:footnoteReference w:id="11"/>
      </w:r>
      <w:r w:rsidR="00827637">
        <w:rPr>
          <w:rFonts w:ascii="Arial" w:hAnsi="Arial" w:cs="Arial"/>
          <w:sz w:val="24"/>
          <w:szCs w:val="24"/>
        </w:rPr>
        <w:t xml:space="preserve"> </w:t>
      </w:r>
      <w:r w:rsidR="009565C0">
        <w:rPr>
          <w:rFonts w:ascii="Arial" w:hAnsi="Arial" w:cs="Arial"/>
          <w:sz w:val="24"/>
          <w:szCs w:val="24"/>
        </w:rPr>
        <w:t>Like Philo, Abraham in Romans 4 exists within a “context of godlessness”.</w:t>
      </w:r>
      <w:r w:rsidR="009565C0">
        <w:rPr>
          <w:rStyle w:val="FootnoteReference"/>
          <w:rFonts w:ascii="Arial" w:hAnsi="Arial" w:cs="Arial"/>
          <w:sz w:val="24"/>
          <w:szCs w:val="24"/>
        </w:rPr>
        <w:footnoteReference w:id="12"/>
      </w:r>
      <w:r w:rsidR="00140DA6">
        <w:rPr>
          <w:rFonts w:ascii="Arial" w:hAnsi="Arial" w:cs="Arial"/>
          <w:sz w:val="24"/>
          <w:szCs w:val="24"/>
        </w:rPr>
        <w:t xml:space="preserve"> However, </w:t>
      </w:r>
      <w:r w:rsidR="009565C0">
        <w:rPr>
          <w:rFonts w:ascii="Arial" w:hAnsi="Arial" w:cs="Arial"/>
          <w:sz w:val="24"/>
          <w:szCs w:val="24"/>
        </w:rPr>
        <w:t>in Romans 3.9, Paul asserts that “all, both Jews and Greeks, are under the power of sin”, thereby identifying both Jews and Gentiles as</w:t>
      </w:r>
      <w:r w:rsidR="00140DA6">
        <w:rPr>
          <w:rFonts w:ascii="Arial" w:hAnsi="Arial" w:cs="Arial"/>
          <w:sz w:val="24"/>
          <w:szCs w:val="24"/>
        </w:rPr>
        <w:t xml:space="preserve"> sinners.</w:t>
      </w:r>
      <w:r w:rsidR="009565C0">
        <w:rPr>
          <w:rFonts w:ascii="Arial" w:hAnsi="Arial" w:cs="Arial"/>
          <w:sz w:val="24"/>
          <w:szCs w:val="24"/>
        </w:rPr>
        <w:t xml:space="preserve"> For Paul, therefore, Abraham cannot be classed as righteous until designated as such by God.</w:t>
      </w:r>
      <w:r w:rsidR="009565C0">
        <w:rPr>
          <w:rStyle w:val="FootnoteReference"/>
          <w:rFonts w:ascii="Arial" w:hAnsi="Arial" w:cs="Arial"/>
          <w:sz w:val="24"/>
          <w:szCs w:val="24"/>
        </w:rPr>
        <w:footnoteReference w:id="13"/>
      </w:r>
      <w:r w:rsidR="009565C0">
        <w:rPr>
          <w:rFonts w:ascii="Arial" w:hAnsi="Arial" w:cs="Arial"/>
          <w:sz w:val="24"/>
          <w:szCs w:val="24"/>
        </w:rPr>
        <w:t xml:space="preserve"> </w:t>
      </w:r>
      <w:r w:rsidR="00211981">
        <w:rPr>
          <w:rFonts w:ascii="Arial" w:hAnsi="Arial" w:cs="Arial"/>
          <w:sz w:val="24"/>
          <w:szCs w:val="24"/>
        </w:rPr>
        <w:t>T</w:t>
      </w:r>
      <w:r w:rsidR="000B1DFE">
        <w:rPr>
          <w:rFonts w:ascii="Arial" w:hAnsi="Arial" w:cs="Arial"/>
          <w:sz w:val="24"/>
          <w:szCs w:val="24"/>
        </w:rPr>
        <w:t xml:space="preserve">hese </w:t>
      </w:r>
      <w:r w:rsidR="00873C58">
        <w:rPr>
          <w:rFonts w:ascii="Arial" w:hAnsi="Arial" w:cs="Arial"/>
          <w:sz w:val="24"/>
          <w:szCs w:val="24"/>
        </w:rPr>
        <w:t>points</w:t>
      </w:r>
      <w:r w:rsidR="000B1DFE">
        <w:rPr>
          <w:rFonts w:ascii="Arial" w:hAnsi="Arial" w:cs="Arial"/>
          <w:sz w:val="24"/>
          <w:szCs w:val="24"/>
        </w:rPr>
        <w:t xml:space="preserve"> represent differences in Jewish and early Christian beliefs.</w:t>
      </w:r>
    </w:p>
    <w:p w:rsidR="00211981" w:rsidRDefault="00211981" w:rsidP="00616E6A">
      <w:pPr>
        <w:spacing w:after="0"/>
        <w:jc w:val="both"/>
        <w:rPr>
          <w:rFonts w:ascii="Arial" w:hAnsi="Arial" w:cs="Arial"/>
          <w:b/>
          <w:sz w:val="24"/>
          <w:szCs w:val="24"/>
          <w:u w:val="single"/>
        </w:rPr>
      </w:pPr>
    </w:p>
    <w:p w:rsidR="001017E4" w:rsidRDefault="001017E4" w:rsidP="00616E6A">
      <w:pPr>
        <w:spacing w:after="0"/>
        <w:jc w:val="both"/>
        <w:rPr>
          <w:rFonts w:ascii="Arial" w:hAnsi="Arial" w:cs="Arial"/>
          <w:b/>
          <w:sz w:val="24"/>
          <w:szCs w:val="24"/>
          <w:u w:val="single"/>
        </w:rPr>
      </w:pPr>
    </w:p>
    <w:p w:rsidR="001017E4" w:rsidRDefault="001017E4" w:rsidP="00616E6A">
      <w:pPr>
        <w:spacing w:after="0"/>
        <w:jc w:val="both"/>
        <w:rPr>
          <w:rFonts w:ascii="Arial" w:hAnsi="Arial" w:cs="Arial"/>
          <w:b/>
          <w:sz w:val="24"/>
          <w:szCs w:val="24"/>
          <w:u w:val="single"/>
        </w:rPr>
      </w:pPr>
    </w:p>
    <w:p w:rsidR="001017E4" w:rsidRDefault="001017E4" w:rsidP="00616E6A">
      <w:pPr>
        <w:spacing w:after="0"/>
        <w:jc w:val="both"/>
        <w:rPr>
          <w:rFonts w:ascii="Arial" w:hAnsi="Arial" w:cs="Arial"/>
          <w:b/>
          <w:sz w:val="24"/>
          <w:szCs w:val="24"/>
          <w:u w:val="single"/>
        </w:rPr>
      </w:pPr>
    </w:p>
    <w:p w:rsidR="001017E4" w:rsidRDefault="001017E4" w:rsidP="00616E6A">
      <w:pPr>
        <w:spacing w:after="0"/>
        <w:jc w:val="both"/>
        <w:rPr>
          <w:rFonts w:ascii="Arial" w:hAnsi="Arial" w:cs="Arial"/>
          <w:b/>
          <w:sz w:val="24"/>
          <w:szCs w:val="24"/>
          <w:u w:val="single"/>
        </w:rPr>
      </w:pPr>
    </w:p>
    <w:p w:rsidR="001017E4" w:rsidRDefault="001017E4" w:rsidP="00616E6A">
      <w:pPr>
        <w:spacing w:after="0"/>
        <w:jc w:val="both"/>
        <w:rPr>
          <w:rFonts w:ascii="Arial" w:hAnsi="Arial" w:cs="Arial"/>
          <w:b/>
          <w:sz w:val="24"/>
          <w:szCs w:val="24"/>
          <w:u w:val="single"/>
        </w:rPr>
      </w:pPr>
    </w:p>
    <w:p w:rsidR="00465549" w:rsidRDefault="00E61342" w:rsidP="00616E6A">
      <w:pPr>
        <w:spacing w:after="0"/>
        <w:jc w:val="both"/>
        <w:rPr>
          <w:rFonts w:ascii="Arial" w:hAnsi="Arial" w:cs="Arial"/>
          <w:b/>
          <w:sz w:val="24"/>
          <w:szCs w:val="24"/>
          <w:u w:val="single"/>
        </w:rPr>
      </w:pPr>
      <w:r>
        <w:rPr>
          <w:rFonts w:ascii="Arial" w:hAnsi="Arial" w:cs="Arial"/>
          <w:b/>
          <w:sz w:val="24"/>
          <w:szCs w:val="24"/>
          <w:u w:val="single"/>
        </w:rPr>
        <w:lastRenderedPageBreak/>
        <w:t>A Gendered Perspective</w:t>
      </w:r>
    </w:p>
    <w:p w:rsidR="001017E4" w:rsidRDefault="001017E4" w:rsidP="0067433B">
      <w:pPr>
        <w:spacing w:after="0"/>
        <w:jc w:val="both"/>
        <w:rPr>
          <w:rFonts w:ascii="Arial" w:hAnsi="Arial" w:cs="Arial"/>
          <w:b/>
          <w:sz w:val="24"/>
          <w:szCs w:val="24"/>
          <w:u w:val="single"/>
        </w:rPr>
      </w:pPr>
    </w:p>
    <w:p w:rsidR="00E10268" w:rsidRDefault="0067433B" w:rsidP="0067433B">
      <w:pPr>
        <w:spacing w:after="0"/>
        <w:jc w:val="both"/>
        <w:rPr>
          <w:rFonts w:ascii="Arial" w:hAnsi="Arial" w:cs="Arial"/>
          <w:sz w:val="24"/>
          <w:szCs w:val="24"/>
        </w:rPr>
      </w:pPr>
      <w:r>
        <w:rPr>
          <w:rFonts w:ascii="Arial" w:hAnsi="Arial" w:cs="Arial"/>
          <w:sz w:val="24"/>
          <w:szCs w:val="24"/>
        </w:rPr>
        <w:t xml:space="preserve">Susan </w:t>
      </w:r>
      <w:proofErr w:type="spellStart"/>
      <w:r>
        <w:rPr>
          <w:rFonts w:ascii="Arial" w:hAnsi="Arial" w:cs="Arial"/>
          <w:sz w:val="24"/>
          <w:szCs w:val="24"/>
        </w:rPr>
        <w:t>Haddox</w:t>
      </w:r>
      <w:proofErr w:type="spellEnd"/>
      <w:r>
        <w:rPr>
          <w:rFonts w:ascii="Arial" w:hAnsi="Arial" w:cs="Arial"/>
          <w:sz w:val="24"/>
          <w:szCs w:val="24"/>
        </w:rPr>
        <w:t xml:space="preserve"> and </w:t>
      </w:r>
      <w:proofErr w:type="spellStart"/>
      <w:r>
        <w:rPr>
          <w:rFonts w:ascii="Arial" w:hAnsi="Arial" w:cs="Arial"/>
          <w:sz w:val="24"/>
          <w:szCs w:val="24"/>
        </w:rPr>
        <w:t>Zanne</w:t>
      </w:r>
      <w:proofErr w:type="spellEnd"/>
      <w:r>
        <w:rPr>
          <w:rFonts w:ascii="Arial" w:hAnsi="Arial" w:cs="Arial"/>
          <w:sz w:val="24"/>
          <w:szCs w:val="24"/>
        </w:rPr>
        <w:t xml:space="preserve"> </w:t>
      </w:r>
      <w:proofErr w:type="spellStart"/>
      <w:r>
        <w:rPr>
          <w:rFonts w:ascii="Arial" w:hAnsi="Arial" w:cs="Arial"/>
          <w:sz w:val="24"/>
          <w:szCs w:val="24"/>
        </w:rPr>
        <w:t>Domoney-Lyttle</w:t>
      </w:r>
      <w:proofErr w:type="spellEnd"/>
      <w:r>
        <w:rPr>
          <w:rFonts w:ascii="Arial" w:hAnsi="Arial" w:cs="Arial"/>
          <w:sz w:val="24"/>
          <w:szCs w:val="24"/>
        </w:rPr>
        <w:t xml:space="preserve"> </w:t>
      </w:r>
      <w:r w:rsidR="00465549">
        <w:rPr>
          <w:rFonts w:ascii="Arial" w:hAnsi="Arial" w:cs="Arial"/>
          <w:sz w:val="24"/>
          <w:szCs w:val="24"/>
        </w:rPr>
        <w:t xml:space="preserve">both </w:t>
      </w:r>
      <w:r w:rsidR="00140DA6">
        <w:rPr>
          <w:rFonts w:ascii="Arial" w:hAnsi="Arial" w:cs="Arial"/>
          <w:sz w:val="24"/>
          <w:szCs w:val="24"/>
        </w:rPr>
        <w:t xml:space="preserve">present ancient Israeli society </w:t>
      </w:r>
      <w:r>
        <w:rPr>
          <w:rFonts w:ascii="Arial" w:hAnsi="Arial" w:cs="Arial"/>
          <w:sz w:val="24"/>
          <w:szCs w:val="24"/>
        </w:rPr>
        <w:t xml:space="preserve">as patriarchal, and </w:t>
      </w:r>
      <w:r w:rsidR="00827637">
        <w:rPr>
          <w:rFonts w:ascii="Arial" w:hAnsi="Arial" w:cs="Arial"/>
          <w:sz w:val="24"/>
          <w:szCs w:val="24"/>
        </w:rPr>
        <w:t xml:space="preserve">argue </w:t>
      </w:r>
      <w:r>
        <w:rPr>
          <w:rFonts w:ascii="Arial" w:hAnsi="Arial" w:cs="Arial"/>
          <w:sz w:val="24"/>
          <w:szCs w:val="24"/>
        </w:rPr>
        <w:t>that Abraham</w:t>
      </w:r>
      <w:r w:rsidR="00211981">
        <w:rPr>
          <w:rFonts w:ascii="Arial" w:hAnsi="Arial" w:cs="Arial"/>
          <w:sz w:val="24"/>
          <w:szCs w:val="24"/>
        </w:rPr>
        <w:t>’s narrative</w:t>
      </w:r>
      <w:r>
        <w:rPr>
          <w:rFonts w:ascii="Arial" w:hAnsi="Arial" w:cs="Arial"/>
          <w:sz w:val="24"/>
          <w:szCs w:val="24"/>
        </w:rPr>
        <w:t xml:space="preserve"> is ingrained in this structure.</w:t>
      </w:r>
      <w:r>
        <w:rPr>
          <w:rStyle w:val="FootnoteReference"/>
          <w:rFonts w:ascii="Arial" w:hAnsi="Arial" w:cs="Arial"/>
          <w:sz w:val="24"/>
          <w:szCs w:val="24"/>
        </w:rPr>
        <w:footnoteReference w:id="14"/>
      </w:r>
      <w:r w:rsidR="00E10268">
        <w:rPr>
          <w:rFonts w:ascii="Arial" w:hAnsi="Arial" w:cs="Arial"/>
          <w:sz w:val="24"/>
          <w:szCs w:val="24"/>
        </w:rPr>
        <w:t xml:space="preserve"> Abraham’s name </w:t>
      </w:r>
      <w:r w:rsidR="00DC7795">
        <w:rPr>
          <w:rFonts w:ascii="Arial" w:hAnsi="Arial" w:cs="Arial"/>
          <w:sz w:val="24"/>
          <w:szCs w:val="24"/>
        </w:rPr>
        <w:t xml:space="preserve">is </w:t>
      </w:r>
      <w:r w:rsidR="00E10268">
        <w:rPr>
          <w:rFonts w:ascii="Arial" w:hAnsi="Arial" w:cs="Arial"/>
          <w:sz w:val="24"/>
          <w:szCs w:val="24"/>
        </w:rPr>
        <w:t>in itself entwined in the concept, as his original name, Abram, means “exalted father”, and his post-covenantal na</w:t>
      </w:r>
      <w:r w:rsidR="00140DA6">
        <w:rPr>
          <w:rFonts w:ascii="Arial" w:hAnsi="Arial" w:cs="Arial"/>
          <w:sz w:val="24"/>
          <w:szCs w:val="24"/>
        </w:rPr>
        <w:t xml:space="preserve">me, </w:t>
      </w:r>
      <w:r w:rsidR="00E10268">
        <w:rPr>
          <w:rFonts w:ascii="Arial" w:hAnsi="Arial" w:cs="Arial"/>
          <w:sz w:val="24"/>
          <w:szCs w:val="24"/>
        </w:rPr>
        <w:t>Abraham (Gen. 17:1-9), means “father of a multitude”.</w:t>
      </w:r>
      <w:r w:rsidR="00E10268">
        <w:rPr>
          <w:rStyle w:val="FootnoteReference"/>
          <w:rFonts w:ascii="Arial" w:hAnsi="Arial" w:cs="Arial"/>
          <w:sz w:val="24"/>
          <w:szCs w:val="24"/>
        </w:rPr>
        <w:footnoteReference w:id="15"/>
      </w:r>
      <w:r w:rsidR="00E10268">
        <w:rPr>
          <w:rFonts w:ascii="Arial" w:hAnsi="Arial" w:cs="Arial"/>
          <w:sz w:val="24"/>
          <w:szCs w:val="24"/>
        </w:rPr>
        <w:t xml:space="preserve"> </w:t>
      </w:r>
    </w:p>
    <w:p w:rsidR="00DC7795" w:rsidRDefault="00E10268" w:rsidP="0067433B">
      <w:pPr>
        <w:spacing w:after="0"/>
        <w:jc w:val="both"/>
        <w:rPr>
          <w:rFonts w:ascii="Arial" w:hAnsi="Arial" w:cs="Arial"/>
          <w:sz w:val="24"/>
          <w:szCs w:val="24"/>
        </w:rPr>
      </w:pPr>
      <w:r>
        <w:rPr>
          <w:rFonts w:ascii="Arial" w:hAnsi="Arial" w:cs="Arial"/>
          <w:sz w:val="24"/>
          <w:szCs w:val="24"/>
        </w:rPr>
        <w:tab/>
        <w:t>Throughout the book of Genesis, Abrah</w:t>
      </w:r>
      <w:r w:rsidR="00DC7795">
        <w:rPr>
          <w:rFonts w:ascii="Arial" w:hAnsi="Arial" w:cs="Arial"/>
          <w:sz w:val="24"/>
          <w:szCs w:val="24"/>
        </w:rPr>
        <w:t>am is characterised</w:t>
      </w:r>
      <w:r>
        <w:rPr>
          <w:rFonts w:ascii="Arial" w:hAnsi="Arial" w:cs="Arial"/>
          <w:sz w:val="24"/>
          <w:szCs w:val="24"/>
        </w:rPr>
        <w:t xml:space="preserve"> as a father figure.</w:t>
      </w:r>
      <w:r>
        <w:rPr>
          <w:rStyle w:val="FootnoteReference"/>
          <w:rFonts w:ascii="Arial" w:hAnsi="Arial" w:cs="Arial"/>
          <w:sz w:val="24"/>
          <w:szCs w:val="24"/>
        </w:rPr>
        <w:footnoteReference w:id="16"/>
      </w:r>
      <w:r w:rsidR="008C03D9">
        <w:rPr>
          <w:rFonts w:ascii="Arial" w:hAnsi="Arial" w:cs="Arial"/>
          <w:sz w:val="24"/>
          <w:szCs w:val="24"/>
        </w:rPr>
        <w:t xml:space="preserve"> However, </w:t>
      </w:r>
      <w:proofErr w:type="spellStart"/>
      <w:r w:rsidR="008C03D9">
        <w:rPr>
          <w:rFonts w:ascii="Arial" w:hAnsi="Arial" w:cs="Arial"/>
          <w:sz w:val="24"/>
          <w:szCs w:val="24"/>
        </w:rPr>
        <w:t>Haddox</w:t>
      </w:r>
      <w:proofErr w:type="spellEnd"/>
      <w:r w:rsidR="008C03D9">
        <w:rPr>
          <w:rFonts w:ascii="Arial" w:hAnsi="Arial" w:cs="Arial"/>
          <w:sz w:val="24"/>
          <w:szCs w:val="24"/>
        </w:rPr>
        <w:t xml:space="preserve"> notes that Abraham does not always conform to the stereotype of a good father; for example, he casts out his</w:t>
      </w:r>
      <w:r w:rsidR="00DC7795">
        <w:rPr>
          <w:rFonts w:ascii="Arial" w:hAnsi="Arial" w:cs="Arial"/>
          <w:sz w:val="24"/>
          <w:szCs w:val="24"/>
        </w:rPr>
        <w:t xml:space="preserve"> first son, Ishmael, by his wife’s maid, Hagar,</w:t>
      </w:r>
      <w:r w:rsidR="008C03D9">
        <w:rPr>
          <w:rFonts w:ascii="Arial" w:hAnsi="Arial" w:cs="Arial"/>
          <w:sz w:val="24"/>
          <w:szCs w:val="24"/>
        </w:rPr>
        <w:t xml:space="preserve"> </w:t>
      </w:r>
      <w:r w:rsidR="00DC7795">
        <w:rPr>
          <w:rFonts w:ascii="Arial" w:hAnsi="Arial" w:cs="Arial"/>
          <w:sz w:val="24"/>
          <w:szCs w:val="24"/>
        </w:rPr>
        <w:t>into the desert (Gen. 21:10-14), and</w:t>
      </w:r>
      <w:r w:rsidR="008C03D9">
        <w:rPr>
          <w:rFonts w:ascii="Arial" w:hAnsi="Arial" w:cs="Arial"/>
          <w:sz w:val="24"/>
          <w:szCs w:val="24"/>
        </w:rPr>
        <w:t xml:space="preserve"> almost sacrifices his </w:t>
      </w:r>
      <w:r w:rsidR="00DC7795">
        <w:rPr>
          <w:rFonts w:ascii="Arial" w:hAnsi="Arial" w:cs="Arial"/>
          <w:sz w:val="24"/>
          <w:szCs w:val="24"/>
        </w:rPr>
        <w:t xml:space="preserve">second </w:t>
      </w:r>
      <w:r w:rsidR="008C03D9">
        <w:rPr>
          <w:rFonts w:ascii="Arial" w:hAnsi="Arial" w:cs="Arial"/>
          <w:sz w:val="24"/>
          <w:szCs w:val="24"/>
        </w:rPr>
        <w:t>son Isaac</w:t>
      </w:r>
      <w:r w:rsidR="00DC7795">
        <w:rPr>
          <w:rFonts w:ascii="Arial" w:hAnsi="Arial" w:cs="Arial"/>
          <w:sz w:val="24"/>
          <w:szCs w:val="24"/>
        </w:rPr>
        <w:t>, by his wife</w:t>
      </w:r>
      <w:r w:rsidR="008C03D9">
        <w:rPr>
          <w:rFonts w:ascii="Arial" w:hAnsi="Arial" w:cs="Arial"/>
          <w:sz w:val="24"/>
          <w:szCs w:val="24"/>
        </w:rPr>
        <w:t xml:space="preserve"> (Gen. 22).</w:t>
      </w:r>
      <w:r w:rsidR="008C03D9">
        <w:rPr>
          <w:rStyle w:val="FootnoteReference"/>
          <w:rFonts w:ascii="Arial" w:hAnsi="Arial" w:cs="Arial"/>
          <w:sz w:val="24"/>
          <w:szCs w:val="24"/>
        </w:rPr>
        <w:footnoteReference w:id="17"/>
      </w:r>
      <w:r w:rsidR="008C03D9">
        <w:rPr>
          <w:rFonts w:ascii="Arial" w:hAnsi="Arial" w:cs="Arial"/>
          <w:sz w:val="24"/>
          <w:szCs w:val="24"/>
        </w:rPr>
        <w:t xml:space="preserve"> </w:t>
      </w:r>
      <w:r w:rsidR="00DC7795">
        <w:rPr>
          <w:rFonts w:ascii="Arial" w:hAnsi="Arial" w:cs="Arial"/>
          <w:sz w:val="24"/>
          <w:szCs w:val="24"/>
        </w:rPr>
        <w:t>Moreover, in Genesis 12:12 Abraham persuades Sarah to say she is his sister, not his wife, in order to save his</w:t>
      </w:r>
      <w:r w:rsidR="00995774">
        <w:rPr>
          <w:rFonts w:ascii="Arial" w:hAnsi="Arial" w:cs="Arial"/>
          <w:sz w:val="24"/>
          <w:szCs w:val="24"/>
        </w:rPr>
        <w:t xml:space="preserve"> own</w:t>
      </w:r>
      <w:r w:rsidR="00DC7795">
        <w:rPr>
          <w:rFonts w:ascii="Arial" w:hAnsi="Arial" w:cs="Arial"/>
          <w:sz w:val="24"/>
          <w:szCs w:val="24"/>
        </w:rPr>
        <w:t xml:space="preserve"> life. His characterisation as a father in Genesis is not</w:t>
      </w:r>
      <w:r w:rsidR="00995774">
        <w:rPr>
          <w:rFonts w:ascii="Arial" w:hAnsi="Arial" w:cs="Arial"/>
          <w:sz w:val="24"/>
          <w:szCs w:val="24"/>
        </w:rPr>
        <w:t>, therefore,</w:t>
      </w:r>
      <w:r w:rsidR="00DC7795">
        <w:rPr>
          <w:rFonts w:ascii="Arial" w:hAnsi="Arial" w:cs="Arial"/>
          <w:sz w:val="24"/>
          <w:szCs w:val="24"/>
        </w:rPr>
        <w:t xml:space="preserve"> that of a good father</w:t>
      </w:r>
      <w:r w:rsidR="00873C58">
        <w:rPr>
          <w:rFonts w:ascii="Arial" w:hAnsi="Arial" w:cs="Arial"/>
          <w:sz w:val="24"/>
          <w:szCs w:val="24"/>
        </w:rPr>
        <w:t xml:space="preserve"> and husband</w:t>
      </w:r>
      <w:r w:rsidR="00DC7795">
        <w:rPr>
          <w:rFonts w:ascii="Arial" w:hAnsi="Arial" w:cs="Arial"/>
          <w:sz w:val="24"/>
          <w:szCs w:val="24"/>
        </w:rPr>
        <w:t>, although later characterisations portray him as the ideal father figure (see below).</w:t>
      </w:r>
      <w:r w:rsidR="00DC7795">
        <w:rPr>
          <w:rStyle w:val="FootnoteReference"/>
          <w:rFonts w:ascii="Arial" w:hAnsi="Arial" w:cs="Arial"/>
          <w:sz w:val="24"/>
          <w:szCs w:val="24"/>
        </w:rPr>
        <w:footnoteReference w:id="18"/>
      </w:r>
    </w:p>
    <w:p w:rsidR="00995774" w:rsidRDefault="00995774" w:rsidP="0067433B">
      <w:pPr>
        <w:spacing w:after="0"/>
        <w:jc w:val="both"/>
        <w:rPr>
          <w:rFonts w:ascii="Arial" w:hAnsi="Arial" w:cs="Arial"/>
          <w:sz w:val="24"/>
          <w:szCs w:val="24"/>
        </w:rPr>
      </w:pPr>
      <w:r>
        <w:rPr>
          <w:rFonts w:ascii="Arial" w:hAnsi="Arial" w:cs="Arial"/>
          <w:sz w:val="24"/>
          <w:szCs w:val="24"/>
        </w:rPr>
        <w:tab/>
      </w:r>
      <w:r w:rsidR="00DC7795">
        <w:rPr>
          <w:rFonts w:ascii="Arial" w:hAnsi="Arial" w:cs="Arial"/>
          <w:sz w:val="24"/>
          <w:szCs w:val="24"/>
        </w:rPr>
        <w:t xml:space="preserve">Deborah Sawyer characterises </w:t>
      </w:r>
      <w:r w:rsidR="00873C58">
        <w:rPr>
          <w:rFonts w:ascii="Arial" w:hAnsi="Arial" w:cs="Arial"/>
          <w:sz w:val="24"/>
          <w:szCs w:val="24"/>
        </w:rPr>
        <w:t>Abraham</w:t>
      </w:r>
      <w:r w:rsidR="00DC7795">
        <w:rPr>
          <w:rFonts w:ascii="Arial" w:hAnsi="Arial" w:cs="Arial"/>
          <w:sz w:val="24"/>
          <w:szCs w:val="24"/>
        </w:rPr>
        <w:t xml:space="preserve"> as acting passively and childlike, heavily influenced by his wife and God.</w:t>
      </w:r>
      <w:r w:rsidR="00DC7795">
        <w:rPr>
          <w:rStyle w:val="FootnoteReference"/>
          <w:rFonts w:ascii="Arial" w:hAnsi="Arial" w:cs="Arial"/>
          <w:sz w:val="24"/>
          <w:szCs w:val="24"/>
        </w:rPr>
        <w:footnoteReference w:id="19"/>
      </w:r>
      <w:r>
        <w:rPr>
          <w:rFonts w:ascii="Arial" w:hAnsi="Arial" w:cs="Arial"/>
          <w:sz w:val="24"/>
          <w:szCs w:val="24"/>
        </w:rPr>
        <w:t xml:space="preserve"> In this context, </w:t>
      </w:r>
      <w:r w:rsidR="007658E7">
        <w:rPr>
          <w:rFonts w:ascii="Arial" w:hAnsi="Arial" w:cs="Arial"/>
          <w:sz w:val="24"/>
          <w:szCs w:val="24"/>
        </w:rPr>
        <w:t xml:space="preserve">I strongly support </w:t>
      </w:r>
      <w:proofErr w:type="spellStart"/>
      <w:r w:rsidR="007658E7">
        <w:rPr>
          <w:rFonts w:ascii="Arial" w:hAnsi="Arial" w:cs="Arial"/>
          <w:sz w:val="24"/>
          <w:szCs w:val="24"/>
        </w:rPr>
        <w:t>Haddox</w:t>
      </w:r>
      <w:proofErr w:type="spellEnd"/>
      <w:r w:rsidR="007658E7">
        <w:rPr>
          <w:rFonts w:ascii="Arial" w:hAnsi="Arial" w:cs="Arial"/>
          <w:sz w:val="24"/>
          <w:szCs w:val="24"/>
        </w:rPr>
        <w:t>, who</w:t>
      </w:r>
      <w:r>
        <w:rPr>
          <w:rFonts w:ascii="Arial" w:hAnsi="Arial" w:cs="Arial"/>
          <w:sz w:val="24"/>
          <w:szCs w:val="24"/>
        </w:rPr>
        <w:t xml:space="preserve"> pro</w:t>
      </w:r>
      <w:r w:rsidR="007658E7">
        <w:rPr>
          <w:rFonts w:ascii="Arial" w:hAnsi="Arial" w:cs="Arial"/>
          <w:sz w:val="24"/>
          <w:szCs w:val="24"/>
        </w:rPr>
        <w:t>poses</w:t>
      </w:r>
      <w:r>
        <w:rPr>
          <w:rFonts w:ascii="Arial" w:hAnsi="Arial" w:cs="Arial"/>
          <w:sz w:val="24"/>
          <w:szCs w:val="24"/>
        </w:rPr>
        <w:t xml:space="preserve"> a convincing case for a non-conventional characterisation of masculinity in Abraham’s narrative in Genesis, arguing that it not only represents, according to the narrator, a fitting relationship with God and a preparedness to defer to God, </w:t>
      </w:r>
      <w:r w:rsidR="00873C58">
        <w:rPr>
          <w:rFonts w:ascii="Arial" w:hAnsi="Arial" w:cs="Arial"/>
          <w:sz w:val="24"/>
          <w:szCs w:val="24"/>
        </w:rPr>
        <w:t>but also</w:t>
      </w:r>
      <w:r>
        <w:rPr>
          <w:rFonts w:ascii="Arial" w:hAnsi="Arial" w:cs="Arial"/>
          <w:sz w:val="24"/>
          <w:szCs w:val="24"/>
        </w:rPr>
        <w:t xml:space="preserve"> Israel’s status as a “vassal nation in the ancient Near East”.</w:t>
      </w:r>
      <w:r>
        <w:rPr>
          <w:rStyle w:val="FootnoteReference"/>
          <w:rFonts w:ascii="Arial" w:hAnsi="Arial" w:cs="Arial"/>
          <w:sz w:val="24"/>
          <w:szCs w:val="24"/>
        </w:rPr>
        <w:footnoteReference w:id="20"/>
      </w:r>
    </w:p>
    <w:p w:rsidR="007658E7" w:rsidRDefault="007658E7" w:rsidP="0067433B">
      <w:pPr>
        <w:spacing w:after="0"/>
        <w:jc w:val="both"/>
        <w:rPr>
          <w:rFonts w:ascii="Arial" w:hAnsi="Arial" w:cs="Arial"/>
          <w:sz w:val="24"/>
          <w:szCs w:val="24"/>
        </w:rPr>
      </w:pPr>
    </w:p>
    <w:p w:rsidR="007658E7" w:rsidRDefault="007658E7" w:rsidP="0067433B">
      <w:pPr>
        <w:spacing w:after="0"/>
        <w:jc w:val="both"/>
        <w:rPr>
          <w:rFonts w:ascii="Arial" w:hAnsi="Arial" w:cs="Arial"/>
          <w:b/>
          <w:sz w:val="24"/>
          <w:szCs w:val="24"/>
          <w:u w:val="single"/>
        </w:rPr>
      </w:pPr>
      <w:r>
        <w:rPr>
          <w:rFonts w:ascii="Arial" w:hAnsi="Arial" w:cs="Arial"/>
          <w:b/>
          <w:sz w:val="24"/>
          <w:szCs w:val="24"/>
          <w:u w:val="single"/>
        </w:rPr>
        <w:t>The Bosom of Abraham</w:t>
      </w:r>
    </w:p>
    <w:p w:rsidR="007658E7" w:rsidRPr="007658E7" w:rsidRDefault="007658E7" w:rsidP="0067433B">
      <w:pPr>
        <w:spacing w:after="0"/>
        <w:jc w:val="both"/>
        <w:rPr>
          <w:rFonts w:ascii="Arial" w:hAnsi="Arial" w:cs="Arial"/>
          <w:b/>
          <w:sz w:val="24"/>
          <w:szCs w:val="24"/>
          <w:u w:val="single"/>
        </w:rPr>
      </w:pPr>
    </w:p>
    <w:p w:rsidR="0067433B" w:rsidRPr="0067433B" w:rsidRDefault="00995774" w:rsidP="0067433B">
      <w:pPr>
        <w:spacing w:after="0"/>
        <w:jc w:val="both"/>
        <w:rPr>
          <w:rFonts w:ascii="Arial" w:hAnsi="Arial" w:cs="Arial"/>
          <w:sz w:val="24"/>
          <w:szCs w:val="24"/>
        </w:rPr>
      </w:pPr>
      <w:r>
        <w:rPr>
          <w:rFonts w:ascii="Arial" w:hAnsi="Arial" w:cs="Arial"/>
          <w:sz w:val="24"/>
          <w:szCs w:val="24"/>
        </w:rPr>
        <w:tab/>
        <w:t>I will now explore a more positive</w:t>
      </w:r>
      <w:r w:rsidR="007658E7">
        <w:rPr>
          <w:rFonts w:ascii="Arial" w:hAnsi="Arial" w:cs="Arial"/>
          <w:sz w:val="24"/>
          <w:szCs w:val="24"/>
        </w:rPr>
        <w:t>, later,</w:t>
      </w:r>
      <w:r>
        <w:rPr>
          <w:rFonts w:ascii="Arial" w:hAnsi="Arial" w:cs="Arial"/>
          <w:sz w:val="24"/>
          <w:szCs w:val="24"/>
        </w:rPr>
        <w:t xml:space="preserve"> </w:t>
      </w:r>
      <w:r w:rsidR="00661ECA">
        <w:rPr>
          <w:rFonts w:ascii="Arial" w:hAnsi="Arial" w:cs="Arial"/>
          <w:sz w:val="24"/>
          <w:szCs w:val="24"/>
        </w:rPr>
        <w:t xml:space="preserve">characterisation </w:t>
      </w:r>
      <w:r>
        <w:rPr>
          <w:rFonts w:ascii="Arial" w:hAnsi="Arial" w:cs="Arial"/>
          <w:sz w:val="24"/>
          <w:szCs w:val="24"/>
        </w:rPr>
        <w:t xml:space="preserve">of Abraham as </w:t>
      </w:r>
      <w:r w:rsidR="00661ECA">
        <w:rPr>
          <w:rFonts w:ascii="Arial" w:hAnsi="Arial" w:cs="Arial"/>
          <w:sz w:val="24"/>
          <w:szCs w:val="24"/>
        </w:rPr>
        <w:t xml:space="preserve">a </w:t>
      </w:r>
      <w:r w:rsidR="00827637">
        <w:rPr>
          <w:rFonts w:ascii="Arial" w:hAnsi="Arial" w:cs="Arial"/>
          <w:sz w:val="24"/>
          <w:szCs w:val="24"/>
        </w:rPr>
        <w:t>father-</w:t>
      </w:r>
      <w:r>
        <w:rPr>
          <w:rFonts w:ascii="Arial" w:hAnsi="Arial" w:cs="Arial"/>
          <w:sz w:val="24"/>
          <w:szCs w:val="24"/>
        </w:rPr>
        <w:t xml:space="preserve">figure in the New Testament, specifically in a reception history context. </w:t>
      </w:r>
      <w:r w:rsidR="00DC7795">
        <w:rPr>
          <w:rFonts w:ascii="Arial" w:hAnsi="Arial" w:cs="Arial"/>
          <w:sz w:val="24"/>
          <w:szCs w:val="24"/>
        </w:rPr>
        <w:t xml:space="preserve">  </w:t>
      </w:r>
    </w:p>
    <w:p w:rsidR="008B1BD3" w:rsidRDefault="00995774" w:rsidP="00A84310">
      <w:pPr>
        <w:spacing w:after="0"/>
        <w:jc w:val="both"/>
        <w:rPr>
          <w:rFonts w:ascii="Arial" w:hAnsi="Arial" w:cs="Arial"/>
          <w:sz w:val="24"/>
          <w:szCs w:val="24"/>
        </w:rPr>
      </w:pPr>
      <w:r>
        <w:rPr>
          <w:rFonts w:ascii="Arial" w:hAnsi="Arial" w:cs="Arial"/>
          <w:sz w:val="24"/>
          <w:szCs w:val="24"/>
        </w:rPr>
        <w:tab/>
      </w:r>
      <w:r w:rsidR="008B1BD3">
        <w:rPr>
          <w:rFonts w:ascii="Arial" w:hAnsi="Arial" w:cs="Arial"/>
          <w:sz w:val="24"/>
          <w:szCs w:val="24"/>
        </w:rPr>
        <w:t>In Luke 16:22-23</w:t>
      </w:r>
      <w:r w:rsidR="000B1DFE">
        <w:rPr>
          <w:rFonts w:ascii="Arial" w:hAnsi="Arial" w:cs="Arial"/>
          <w:sz w:val="24"/>
          <w:szCs w:val="24"/>
        </w:rPr>
        <w:t xml:space="preserve">, </w:t>
      </w:r>
      <w:r>
        <w:rPr>
          <w:rFonts w:ascii="Arial" w:hAnsi="Arial" w:cs="Arial"/>
          <w:sz w:val="24"/>
          <w:szCs w:val="24"/>
        </w:rPr>
        <w:t xml:space="preserve">I would support </w:t>
      </w:r>
      <w:r w:rsidR="000B1DFE">
        <w:rPr>
          <w:rFonts w:ascii="Arial" w:hAnsi="Arial" w:cs="Arial"/>
          <w:sz w:val="24"/>
          <w:szCs w:val="24"/>
        </w:rPr>
        <w:t xml:space="preserve">Martin </w:t>
      </w:r>
      <w:proofErr w:type="spellStart"/>
      <w:r w:rsidR="000B1DFE">
        <w:rPr>
          <w:rFonts w:ascii="Arial" w:hAnsi="Arial" w:cs="Arial"/>
          <w:sz w:val="24"/>
          <w:szCs w:val="24"/>
        </w:rPr>
        <w:t>O’Kane</w:t>
      </w:r>
      <w:r>
        <w:rPr>
          <w:rFonts w:ascii="Arial" w:hAnsi="Arial" w:cs="Arial"/>
          <w:sz w:val="24"/>
          <w:szCs w:val="24"/>
        </w:rPr>
        <w:t>’s</w:t>
      </w:r>
      <w:proofErr w:type="spellEnd"/>
      <w:r w:rsidR="000B1DFE">
        <w:rPr>
          <w:rFonts w:ascii="Arial" w:hAnsi="Arial" w:cs="Arial"/>
          <w:sz w:val="24"/>
          <w:szCs w:val="24"/>
        </w:rPr>
        <w:t xml:space="preserve"> </w:t>
      </w:r>
      <w:r>
        <w:rPr>
          <w:rFonts w:ascii="Arial" w:hAnsi="Arial" w:cs="Arial"/>
          <w:sz w:val="24"/>
          <w:szCs w:val="24"/>
        </w:rPr>
        <w:t>view</w:t>
      </w:r>
      <w:r w:rsidR="000B1DFE">
        <w:rPr>
          <w:rFonts w:ascii="Arial" w:hAnsi="Arial" w:cs="Arial"/>
          <w:sz w:val="24"/>
          <w:szCs w:val="24"/>
        </w:rPr>
        <w:t xml:space="preserve"> that Abraham is characterised as a “haven of protection and security”, and </w:t>
      </w:r>
      <w:r w:rsidR="00A47DEA">
        <w:rPr>
          <w:rFonts w:ascii="Arial" w:hAnsi="Arial" w:cs="Arial"/>
          <w:sz w:val="24"/>
          <w:szCs w:val="24"/>
        </w:rPr>
        <w:t>that</w:t>
      </w:r>
      <w:r w:rsidR="000B1DFE">
        <w:rPr>
          <w:rFonts w:ascii="Arial" w:hAnsi="Arial" w:cs="Arial"/>
          <w:sz w:val="24"/>
          <w:szCs w:val="24"/>
        </w:rPr>
        <w:t xml:space="preserve"> the phrase “in the bosom of Abraham”</w:t>
      </w:r>
      <w:r w:rsidR="00A47DEA">
        <w:rPr>
          <w:rFonts w:ascii="Arial" w:hAnsi="Arial" w:cs="Arial"/>
          <w:sz w:val="24"/>
          <w:szCs w:val="24"/>
        </w:rPr>
        <w:t xml:space="preserve"> in this context has emerged as a powerful visual metaphor in Christian iconography.</w:t>
      </w:r>
      <w:r w:rsidR="00A47DEA">
        <w:rPr>
          <w:rStyle w:val="FootnoteReference"/>
          <w:rFonts w:ascii="Arial" w:hAnsi="Arial" w:cs="Arial"/>
          <w:sz w:val="24"/>
          <w:szCs w:val="24"/>
        </w:rPr>
        <w:footnoteReference w:id="21"/>
      </w:r>
      <w:r w:rsidR="00A47DEA">
        <w:rPr>
          <w:rFonts w:ascii="Arial" w:hAnsi="Arial" w:cs="Arial"/>
          <w:sz w:val="24"/>
          <w:szCs w:val="24"/>
        </w:rPr>
        <w:t xml:space="preserve"> </w:t>
      </w:r>
      <w:proofErr w:type="spellStart"/>
      <w:r w:rsidR="009C1929">
        <w:rPr>
          <w:rFonts w:ascii="Arial" w:hAnsi="Arial" w:cs="Arial"/>
          <w:sz w:val="24"/>
          <w:szCs w:val="24"/>
        </w:rPr>
        <w:t>Jérôme</w:t>
      </w:r>
      <w:proofErr w:type="spellEnd"/>
      <w:r w:rsidR="009C1929">
        <w:rPr>
          <w:rFonts w:ascii="Arial" w:hAnsi="Arial" w:cs="Arial"/>
          <w:sz w:val="24"/>
          <w:szCs w:val="24"/>
        </w:rPr>
        <w:t xml:space="preserve"> </w:t>
      </w:r>
      <w:proofErr w:type="spellStart"/>
      <w:r w:rsidR="009C1929">
        <w:rPr>
          <w:rFonts w:ascii="Arial" w:hAnsi="Arial" w:cs="Arial"/>
          <w:sz w:val="24"/>
          <w:szCs w:val="24"/>
        </w:rPr>
        <w:t>Baschet</w:t>
      </w:r>
      <w:proofErr w:type="spellEnd"/>
      <w:r w:rsidR="009C1929">
        <w:rPr>
          <w:rFonts w:ascii="Arial" w:hAnsi="Arial" w:cs="Arial"/>
          <w:sz w:val="24"/>
          <w:szCs w:val="24"/>
        </w:rPr>
        <w:t xml:space="preserve"> provides an insightful, Freudian, </w:t>
      </w:r>
      <w:r w:rsidR="009C1929">
        <w:rPr>
          <w:rFonts w:ascii="Arial" w:hAnsi="Arial" w:cs="Arial"/>
          <w:sz w:val="24"/>
          <w:szCs w:val="24"/>
        </w:rPr>
        <w:lastRenderedPageBreak/>
        <w:t>explanation for this, proposing that this metaphor confirms that “at the very core of all religious sentiment is a need for paternal protection and reassurance”.</w:t>
      </w:r>
      <w:r w:rsidR="009C1929">
        <w:rPr>
          <w:rStyle w:val="FootnoteReference"/>
          <w:rFonts w:ascii="Arial" w:hAnsi="Arial" w:cs="Arial"/>
          <w:sz w:val="24"/>
          <w:szCs w:val="24"/>
        </w:rPr>
        <w:footnoteReference w:id="22"/>
      </w:r>
      <w:r w:rsidR="009C1929">
        <w:rPr>
          <w:rFonts w:ascii="Arial" w:hAnsi="Arial" w:cs="Arial"/>
          <w:sz w:val="24"/>
          <w:szCs w:val="24"/>
        </w:rPr>
        <w:t xml:space="preserve"> </w:t>
      </w:r>
    </w:p>
    <w:p w:rsidR="00A53288" w:rsidRDefault="00174424" w:rsidP="00A84310">
      <w:pPr>
        <w:spacing w:after="0"/>
        <w:jc w:val="both"/>
        <w:rPr>
          <w:rFonts w:ascii="Arial" w:hAnsi="Arial" w:cs="Arial"/>
          <w:sz w:val="24"/>
          <w:szCs w:val="24"/>
        </w:rPr>
      </w:pPr>
      <w:r>
        <w:rPr>
          <w:rFonts w:ascii="Arial" w:hAnsi="Arial" w:cs="Arial"/>
          <w:sz w:val="24"/>
          <w:szCs w:val="24"/>
        </w:rPr>
        <w:tab/>
      </w:r>
      <w:r w:rsidR="00A42D17">
        <w:rPr>
          <w:rFonts w:ascii="Arial" w:hAnsi="Arial" w:cs="Arial"/>
          <w:sz w:val="24"/>
          <w:szCs w:val="24"/>
        </w:rPr>
        <w:t>Images of the</w:t>
      </w:r>
      <w:r w:rsidR="00A47DEA">
        <w:rPr>
          <w:rFonts w:ascii="Arial" w:hAnsi="Arial" w:cs="Arial"/>
          <w:sz w:val="24"/>
          <w:szCs w:val="24"/>
        </w:rPr>
        <w:t xml:space="preserve"> patr</w:t>
      </w:r>
      <w:r w:rsidR="00A42D17">
        <w:rPr>
          <w:rFonts w:ascii="Arial" w:hAnsi="Arial" w:cs="Arial"/>
          <w:sz w:val="24"/>
          <w:szCs w:val="24"/>
        </w:rPr>
        <w:t>iarchs</w:t>
      </w:r>
      <w:r w:rsidR="00A47DEA">
        <w:rPr>
          <w:rFonts w:ascii="Arial" w:hAnsi="Arial" w:cs="Arial"/>
          <w:sz w:val="24"/>
          <w:szCs w:val="24"/>
        </w:rPr>
        <w:t xml:space="preserve"> in a fatherly and</w:t>
      </w:r>
      <w:r>
        <w:rPr>
          <w:rFonts w:ascii="Arial" w:hAnsi="Arial" w:cs="Arial"/>
          <w:sz w:val="24"/>
          <w:szCs w:val="24"/>
        </w:rPr>
        <w:t xml:space="preserve"> protective context</w:t>
      </w:r>
      <w:r w:rsidR="00A47DEA">
        <w:rPr>
          <w:rFonts w:ascii="Arial" w:hAnsi="Arial" w:cs="Arial"/>
          <w:sz w:val="24"/>
          <w:szCs w:val="24"/>
        </w:rPr>
        <w:t xml:space="preserve"> </w:t>
      </w:r>
      <w:r w:rsidR="00995774">
        <w:rPr>
          <w:rFonts w:ascii="Arial" w:hAnsi="Arial" w:cs="Arial"/>
          <w:sz w:val="24"/>
          <w:szCs w:val="24"/>
        </w:rPr>
        <w:t>continue to be</w:t>
      </w:r>
      <w:r w:rsidR="00A47DEA">
        <w:rPr>
          <w:rFonts w:ascii="Arial" w:hAnsi="Arial" w:cs="Arial"/>
          <w:sz w:val="24"/>
          <w:szCs w:val="24"/>
        </w:rPr>
        <w:t xml:space="preserve"> </w:t>
      </w:r>
      <w:r w:rsidR="00995774">
        <w:rPr>
          <w:rFonts w:ascii="Arial" w:hAnsi="Arial" w:cs="Arial"/>
          <w:sz w:val="24"/>
          <w:szCs w:val="24"/>
        </w:rPr>
        <w:t>presented</w:t>
      </w:r>
      <w:r w:rsidR="00A47DEA">
        <w:rPr>
          <w:rFonts w:ascii="Arial" w:hAnsi="Arial" w:cs="Arial"/>
          <w:sz w:val="24"/>
          <w:szCs w:val="24"/>
        </w:rPr>
        <w:t xml:space="preserve"> in modern </w:t>
      </w:r>
      <w:r w:rsidR="009C1929">
        <w:rPr>
          <w:rFonts w:ascii="Arial" w:hAnsi="Arial" w:cs="Arial"/>
          <w:sz w:val="24"/>
          <w:szCs w:val="24"/>
        </w:rPr>
        <w:t>settings.</w:t>
      </w:r>
      <w:r w:rsidR="008B1BD3">
        <w:rPr>
          <w:rFonts w:ascii="Arial" w:hAnsi="Arial" w:cs="Arial"/>
          <w:sz w:val="24"/>
          <w:szCs w:val="24"/>
        </w:rPr>
        <w:t xml:space="preserve"> For example, in an </w:t>
      </w:r>
      <w:r w:rsidR="00822F0E">
        <w:rPr>
          <w:rFonts w:ascii="Arial" w:hAnsi="Arial" w:cs="Arial"/>
          <w:sz w:val="24"/>
          <w:szCs w:val="24"/>
        </w:rPr>
        <w:t xml:space="preserve">editorial </w:t>
      </w:r>
      <w:r w:rsidR="008B1BD3">
        <w:rPr>
          <w:rFonts w:ascii="Arial" w:hAnsi="Arial" w:cs="Arial"/>
          <w:sz w:val="24"/>
          <w:szCs w:val="24"/>
        </w:rPr>
        <w:t xml:space="preserve">article in </w:t>
      </w:r>
      <w:r w:rsidR="008B1BD3">
        <w:rPr>
          <w:rFonts w:ascii="Arial" w:hAnsi="Arial" w:cs="Arial"/>
          <w:i/>
          <w:sz w:val="24"/>
          <w:szCs w:val="24"/>
        </w:rPr>
        <w:t xml:space="preserve">Le Monde </w:t>
      </w:r>
      <w:proofErr w:type="spellStart"/>
      <w:r w:rsidR="008B1BD3">
        <w:rPr>
          <w:rFonts w:ascii="Arial" w:hAnsi="Arial" w:cs="Arial"/>
          <w:i/>
          <w:sz w:val="24"/>
          <w:szCs w:val="24"/>
        </w:rPr>
        <w:t>Diplomatique</w:t>
      </w:r>
      <w:proofErr w:type="spellEnd"/>
      <w:r w:rsidR="00822F0E">
        <w:rPr>
          <w:rFonts w:ascii="Arial" w:hAnsi="Arial" w:cs="Arial"/>
          <w:sz w:val="24"/>
          <w:szCs w:val="24"/>
        </w:rPr>
        <w:t>,</w:t>
      </w:r>
      <w:r w:rsidR="008B1BD3">
        <w:rPr>
          <w:rFonts w:ascii="Arial" w:hAnsi="Arial" w:cs="Arial"/>
          <w:sz w:val="24"/>
          <w:szCs w:val="24"/>
        </w:rPr>
        <w:t xml:space="preserve"> on the future of </w:t>
      </w:r>
      <w:r w:rsidR="00A42D17">
        <w:rPr>
          <w:rFonts w:ascii="Arial" w:hAnsi="Arial" w:cs="Arial"/>
          <w:sz w:val="24"/>
          <w:szCs w:val="24"/>
        </w:rPr>
        <w:t xml:space="preserve">Palestine, Ignacio </w:t>
      </w:r>
      <w:proofErr w:type="spellStart"/>
      <w:r w:rsidR="00A42D17">
        <w:rPr>
          <w:rFonts w:ascii="Arial" w:hAnsi="Arial" w:cs="Arial"/>
          <w:sz w:val="24"/>
          <w:szCs w:val="24"/>
        </w:rPr>
        <w:t>Ramonet</w:t>
      </w:r>
      <w:proofErr w:type="spellEnd"/>
      <w:r w:rsidR="00A42D17">
        <w:rPr>
          <w:rFonts w:ascii="Arial" w:hAnsi="Arial" w:cs="Arial"/>
          <w:sz w:val="24"/>
          <w:szCs w:val="24"/>
        </w:rPr>
        <w:t xml:space="preserve"> incorporates </w:t>
      </w:r>
      <w:r w:rsidR="00822F0E">
        <w:rPr>
          <w:rFonts w:ascii="Arial" w:hAnsi="Arial" w:cs="Arial"/>
          <w:sz w:val="24"/>
          <w:szCs w:val="24"/>
        </w:rPr>
        <w:t>a painting of</w:t>
      </w:r>
      <w:r w:rsidR="008B1BD3">
        <w:rPr>
          <w:rFonts w:ascii="Arial" w:hAnsi="Arial" w:cs="Arial"/>
          <w:sz w:val="24"/>
          <w:szCs w:val="24"/>
        </w:rPr>
        <w:t xml:space="preserve"> </w:t>
      </w:r>
      <w:r w:rsidR="00822F0E">
        <w:rPr>
          <w:rFonts w:ascii="Arial" w:hAnsi="Arial" w:cs="Arial"/>
          <w:sz w:val="24"/>
          <w:szCs w:val="24"/>
        </w:rPr>
        <w:t>Abraham</w:t>
      </w:r>
      <w:r w:rsidR="00A42D17">
        <w:rPr>
          <w:rFonts w:ascii="Arial" w:hAnsi="Arial" w:cs="Arial"/>
          <w:sz w:val="24"/>
          <w:szCs w:val="24"/>
        </w:rPr>
        <w:t xml:space="preserve"> (Fig. 1) </w:t>
      </w:r>
      <w:r w:rsidR="00873C58">
        <w:rPr>
          <w:rFonts w:ascii="Arial" w:hAnsi="Arial" w:cs="Arial"/>
          <w:sz w:val="24"/>
          <w:szCs w:val="24"/>
        </w:rPr>
        <w:t>from</w:t>
      </w:r>
      <w:r w:rsidR="00A53288">
        <w:rPr>
          <w:rFonts w:ascii="Arial" w:hAnsi="Arial" w:cs="Arial"/>
          <w:sz w:val="24"/>
          <w:szCs w:val="24"/>
        </w:rPr>
        <w:t xml:space="preserve"> Book V of Genesis in the </w:t>
      </w:r>
      <w:r w:rsidR="00A42D17">
        <w:rPr>
          <w:rFonts w:ascii="Arial" w:hAnsi="Arial" w:cs="Arial"/>
          <w:sz w:val="24"/>
          <w:szCs w:val="24"/>
        </w:rPr>
        <w:t>12</w:t>
      </w:r>
      <w:r w:rsidR="00A42D17" w:rsidRPr="00A42D17">
        <w:rPr>
          <w:rFonts w:ascii="Arial" w:hAnsi="Arial" w:cs="Arial"/>
          <w:sz w:val="24"/>
          <w:szCs w:val="24"/>
          <w:vertAlign w:val="superscript"/>
        </w:rPr>
        <w:t>th</w:t>
      </w:r>
      <w:r w:rsidR="00A42D17">
        <w:rPr>
          <w:rFonts w:ascii="Arial" w:hAnsi="Arial" w:cs="Arial"/>
          <w:sz w:val="24"/>
          <w:szCs w:val="24"/>
        </w:rPr>
        <w:t xml:space="preserve">-century </w:t>
      </w:r>
      <w:proofErr w:type="spellStart"/>
      <w:r w:rsidR="00A42D17">
        <w:rPr>
          <w:rFonts w:ascii="Arial" w:hAnsi="Arial" w:cs="Arial"/>
          <w:sz w:val="24"/>
          <w:szCs w:val="24"/>
        </w:rPr>
        <w:t>Souvigny</w:t>
      </w:r>
      <w:proofErr w:type="spellEnd"/>
      <w:r w:rsidR="00A42D17">
        <w:rPr>
          <w:rFonts w:ascii="Arial" w:hAnsi="Arial" w:cs="Arial"/>
          <w:sz w:val="24"/>
          <w:szCs w:val="24"/>
        </w:rPr>
        <w:t xml:space="preserve"> Bible</w:t>
      </w:r>
      <w:r>
        <w:rPr>
          <w:rFonts w:ascii="Arial" w:hAnsi="Arial" w:cs="Arial"/>
          <w:sz w:val="24"/>
          <w:szCs w:val="24"/>
        </w:rPr>
        <w:t>,</w:t>
      </w:r>
      <w:r w:rsidR="00A42D17">
        <w:rPr>
          <w:rFonts w:ascii="Arial" w:hAnsi="Arial" w:cs="Arial"/>
          <w:sz w:val="24"/>
          <w:szCs w:val="24"/>
        </w:rPr>
        <w:t xml:space="preserve"> representing God’s promise to Abraham that he will be the father of nations.</w:t>
      </w:r>
      <w:r w:rsidR="00A53288">
        <w:rPr>
          <w:rStyle w:val="FootnoteReference"/>
          <w:rFonts w:ascii="Arial" w:hAnsi="Arial" w:cs="Arial"/>
          <w:sz w:val="24"/>
          <w:szCs w:val="24"/>
        </w:rPr>
        <w:footnoteReference w:id="23"/>
      </w:r>
      <w:r w:rsidR="00A42D17">
        <w:rPr>
          <w:rFonts w:ascii="Arial" w:hAnsi="Arial" w:cs="Arial"/>
          <w:sz w:val="24"/>
          <w:szCs w:val="24"/>
        </w:rPr>
        <w:t xml:space="preserve"> </w:t>
      </w:r>
      <w:proofErr w:type="spellStart"/>
      <w:r w:rsidR="008B1BD3">
        <w:rPr>
          <w:rFonts w:ascii="Arial" w:hAnsi="Arial" w:cs="Arial"/>
          <w:sz w:val="24"/>
          <w:szCs w:val="24"/>
        </w:rPr>
        <w:t>Baschet</w:t>
      </w:r>
      <w:proofErr w:type="spellEnd"/>
      <w:r w:rsidR="008B1BD3">
        <w:rPr>
          <w:rFonts w:ascii="Arial" w:hAnsi="Arial" w:cs="Arial"/>
          <w:sz w:val="24"/>
          <w:szCs w:val="24"/>
        </w:rPr>
        <w:t xml:space="preserve"> and </w:t>
      </w:r>
      <w:proofErr w:type="spellStart"/>
      <w:r w:rsidR="008B1BD3">
        <w:rPr>
          <w:rFonts w:ascii="Arial" w:hAnsi="Arial" w:cs="Arial"/>
          <w:sz w:val="24"/>
          <w:szCs w:val="24"/>
        </w:rPr>
        <w:t>O’Kane</w:t>
      </w:r>
      <w:proofErr w:type="spellEnd"/>
      <w:r w:rsidR="008B1BD3">
        <w:rPr>
          <w:rFonts w:ascii="Arial" w:hAnsi="Arial" w:cs="Arial"/>
          <w:sz w:val="24"/>
          <w:szCs w:val="24"/>
        </w:rPr>
        <w:t xml:space="preserve"> </w:t>
      </w:r>
      <w:r w:rsidR="00995774">
        <w:rPr>
          <w:rFonts w:ascii="Arial" w:hAnsi="Arial" w:cs="Arial"/>
          <w:sz w:val="24"/>
          <w:szCs w:val="24"/>
        </w:rPr>
        <w:t>propose</w:t>
      </w:r>
      <w:r w:rsidR="00822F0E">
        <w:rPr>
          <w:rFonts w:ascii="Arial" w:hAnsi="Arial" w:cs="Arial"/>
          <w:sz w:val="24"/>
          <w:szCs w:val="24"/>
        </w:rPr>
        <w:t xml:space="preserve"> </w:t>
      </w:r>
      <w:r w:rsidR="00A53288">
        <w:rPr>
          <w:rFonts w:ascii="Arial" w:hAnsi="Arial" w:cs="Arial"/>
          <w:sz w:val="24"/>
          <w:szCs w:val="24"/>
        </w:rPr>
        <w:t xml:space="preserve">that this </w:t>
      </w:r>
      <w:r w:rsidR="008B1BD3">
        <w:rPr>
          <w:rFonts w:ascii="Arial" w:hAnsi="Arial" w:cs="Arial"/>
          <w:sz w:val="24"/>
          <w:szCs w:val="24"/>
        </w:rPr>
        <w:t>indicates</w:t>
      </w:r>
      <w:r w:rsidR="00822F0E">
        <w:rPr>
          <w:rFonts w:ascii="Arial" w:hAnsi="Arial" w:cs="Arial"/>
          <w:sz w:val="24"/>
          <w:szCs w:val="24"/>
        </w:rPr>
        <w:t xml:space="preserve"> a hope that Abraham, </w:t>
      </w:r>
      <w:r w:rsidR="00661ECA">
        <w:rPr>
          <w:rFonts w:ascii="Arial" w:hAnsi="Arial" w:cs="Arial"/>
          <w:sz w:val="24"/>
          <w:szCs w:val="24"/>
        </w:rPr>
        <w:t>a significant figure</w:t>
      </w:r>
      <w:r w:rsidR="00822F0E">
        <w:rPr>
          <w:rFonts w:ascii="Arial" w:hAnsi="Arial" w:cs="Arial"/>
          <w:sz w:val="24"/>
          <w:szCs w:val="24"/>
        </w:rPr>
        <w:t xml:space="preserve"> in Judaism, Christianity and Islam, might unite those </w:t>
      </w:r>
      <w:r w:rsidR="00820A24">
        <w:rPr>
          <w:rFonts w:ascii="Arial" w:hAnsi="Arial" w:cs="Arial"/>
          <w:sz w:val="24"/>
          <w:szCs w:val="24"/>
        </w:rPr>
        <w:t xml:space="preserve">currently </w:t>
      </w:r>
      <w:r w:rsidR="00822F0E">
        <w:rPr>
          <w:rFonts w:ascii="Arial" w:hAnsi="Arial" w:cs="Arial"/>
          <w:sz w:val="24"/>
          <w:szCs w:val="24"/>
        </w:rPr>
        <w:t>l</w:t>
      </w:r>
      <w:r w:rsidR="00A53288">
        <w:rPr>
          <w:rFonts w:ascii="Arial" w:hAnsi="Arial" w:cs="Arial"/>
          <w:sz w:val="24"/>
          <w:szCs w:val="24"/>
        </w:rPr>
        <w:t>iving in the region</w:t>
      </w:r>
      <w:r w:rsidR="00822F0E">
        <w:rPr>
          <w:rFonts w:ascii="Arial" w:hAnsi="Arial" w:cs="Arial"/>
          <w:sz w:val="24"/>
          <w:szCs w:val="24"/>
        </w:rPr>
        <w:t>.</w:t>
      </w:r>
      <w:r w:rsidR="00822F0E">
        <w:rPr>
          <w:rStyle w:val="FootnoteReference"/>
          <w:rFonts w:ascii="Arial" w:hAnsi="Arial" w:cs="Arial"/>
          <w:sz w:val="24"/>
          <w:szCs w:val="24"/>
        </w:rPr>
        <w:footnoteReference w:id="24"/>
      </w:r>
    </w:p>
    <w:p w:rsidR="00A53288" w:rsidRDefault="00A53288" w:rsidP="00A84310">
      <w:pPr>
        <w:spacing w:after="0"/>
        <w:jc w:val="center"/>
        <w:rPr>
          <w:rFonts w:ascii="Arial" w:hAnsi="Arial" w:cs="Arial"/>
          <w:sz w:val="24"/>
          <w:szCs w:val="24"/>
        </w:rPr>
      </w:pPr>
    </w:p>
    <w:p w:rsidR="00465549" w:rsidRDefault="00A53288" w:rsidP="00A84310">
      <w:pPr>
        <w:spacing w:after="0"/>
        <w:jc w:val="center"/>
        <w:rPr>
          <w:rFonts w:ascii="Arial" w:hAnsi="Arial" w:cs="Arial"/>
          <w:sz w:val="24"/>
          <w:szCs w:val="24"/>
        </w:rPr>
      </w:pPr>
      <w:r>
        <w:rPr>
          <w:rFonts w:ascii="Arial" w:hAnsi="Arial" w:cs="Arial"/>
          <w:noProof/>
          <w:sz w:val="24"/>
          <w:szCs w:val="24"/>
          <w:lang w:eastAsia="en-GB"/>
        </w:rPr>
        <w:drawing>
          <wp:inline distT="0" distB="0" distL="0" distR="0" wp14:anchorId="11E61E7C" wp14:editId="442C271B">
            <wp:extent cx="1790700" cy="2693830"/>
            <wp:effectExtent l="0" t="0" r="0" b="0"/>
            <wp:docPr id="3" name="Picture 3" descr="C:\Users\Diane\Desktop\Ancient Religions\HPRS7015\Assessment 2\Abraham Souvigny Bi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e\Desktop\Ancient Religions\HPRS7015\Assessment 2\Abraham Souvigny Bibl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4080" cy="2698915"/>
                    </a:xfrm>
                    <a:prstGeom prst="rect">
                      <a:avLst/>
                    </a:prstGeom>
                    <a:noFill/>
                    <a:ln>
                      <a:noFill/>
                    </a:ln>
                  </pic:spPr>
                </pic:pic>
              </a:graphicData>
            </a:graphic>
          </wp:inline>
        </w:drawing>
      </w:r>
    </w:p>
    <w:p w:rsidR="008E217A" w:rsidRDefault="008E217A" w:rsidP="00A84310">
      <w:pPr>
        <w:spacing w:after="0"/>
        <w:jc w:val="center"/>
        <w:rPr>
          <w:rFonts w:ascii="Arial" w:hAnsi="Arial" w:cs="Arial"/>
          <w:sz w:val="24"/>
          <w:szCs w:val="24"/>
        </w:rPr>
      </w:pPr>
    </w:p>
    <w:p w:rsidR="00A84310" w:rsidRPr="00A84310" w:rsidRDefault="00A84310" w:rsidP="00A84310">
      <w:pPr>
        <w:spacing w:after="0"/>
        <w:jc w:val="center"/>
        <w:rPr>
          <w:rFonts w:ascii="Arial" w:hAnsi="Arial" w:cs="Arial"/>
          <w:sz w:val="20"/>
          <w:szCs w:val="20"/>
        </w:rPr>
      </w:pPr>
      <w:r w:rsidRPr="000B5477">
        <w:rPr>
          <w:rFonts w:ascii="Arial" w:hAnsi="Arial" w:cs="Arial"/>
          <w:b/>
          <w:sz w:val="20"/>
          <w:szCs w:val="20"/>
        </w:rPr>
        <w:t>Fig. 1</w:t>
      </w:r>
      <w:r>
        <w:rPr>
          <w:rFonts w:ascii="Arial" w:hAnsi="Arial" w:cs="Arial"/>
          <w:sz w:val="20"/>
          <w:szCs w:val="20"/>
        </w:rPr>
        <w:t xml:space="preserve">: Souls in the Bosom of Abraham. </w:t>
      </w:r>
      <w:proofErr w:type="gramStart"/>
      <w:r>
        <w:rPr>
          <w:rFonts w:ascii="Arial" w:hAnsi="Arial" w:cs="Arial"/>
          <w:sz w:val="20"/>
          <w:szCs w:val="20"/>
        </w:rPr>
        <w:t>[Online].</w:t>
      </w:r>
      <w:proofErr w:type="gramEnd"/>
    </w:p>
    <w:p w:rsidR="00A53288" w:rsidRDefault="00A84310" w:rsidP="00A84310">
      <w:pPr>
        <w:spacing w:after="0"/>
        <w:jc w:val="center"/>
        <w:rPr>
          <w:rFonts w:ascii="Arial" w:hAnsi="Arial" w:cs="Arial"/>
          <w:sz w:val="20"/>
          <w:szCs w:val="20"/>
        </w:rPr>
      </w:pPr>
      <w:r>
        <w:rPr>
          <w:rFonts w:ascii="Arial" w:hAnsi="Arial" w:cs="Arial"/>
          <w:sz w:val="20"/>
          <w:szCs w:val="20"/>
        </w:rPr>
        <w:t>29</w:t>
      </w:r>
      <w:r w:rsidRPr="00A84310">
        <w:rPr>
          <w:rFonts w:ascii="Arial" w:hAnsi="Arial" w:cs="Arial"/>
          <w:sz w:val="20"/>
          <w:szCs w:val="20"/>
          <w:vertAlign w:val="superscript"/>
        </w:rPr>
        <w:t>th</w:t>
      </w:r>
      <w:r>
        <w:rPr>
          <w:rFonts w:ascii="Arial" w:hAnsi="Arial" w:cs="Arial"/>
          <w:sz w:val="20"/>
          <w:szCs w:val="20"/>
        </w:rPr>
        <w:t xml:space="preserve"> June 2021. Available from:</w:t>
      </w:r>
    </w:p>
    <w:p w:rsidR="00C250E2" w:rsidRDefault="00803DB4" w:rsidP="00A84310">
      <w:pPr>
        <w:spacing w:after="0"/>
        <w:jc w:val="center"/>
        <w:rPr>
          <w:rFonts w:ascii="Arial" w:hAnsi="Arial" w:cs="Arial"/>
          <w:color w:val="1F497D" w:themeColor="text2"/>
          <w:sz w:val="20"/>
          <w:szCs w:val="20"/>
        </w:rPr>
      </w:pPr>
      <w:hyperlink r:id="rId11" w:history="1">
        <w:r w:rsidR="00F3569C" w:rsidRPr="00332865">
          <w:rPr>
            <w:rStyle w:val="Hyperlink"/>
            <w:rFonts w:ascii="Arial" w:hAnsi="Arial" w:cs="Arial"/>
            <w:sz w:val="20"/>
            <w:szCs w:val="20"/>
          </w:rPr>
          <w:t>https://scpeanutgallery.com/2015/07/18/morning-prayer-18-july-romans-413-17a-on-receiving-the-promise-by-faith/</w:t>
        </w:r>
      </w:hyperlink>
    </w:p>
    <w:p w:rsidR="00A84310" w:rsidRPr="001028A4" w:rsidRDefault="00A84310" w:rsidP="00A84310">
      <w:pPr>
        <w:spacing w:after="0"/>
        <w:jc w:val="center"/>
        <w:rPr>
          <w:rFonts w:ascii="Arial" w:hAnsi="Arial" w:cs="Arial"/>
          <w:color w:val="0070C0"/>
          <w:sz w:val="20"/>
          <w:szCs w:val="20"/>
        </w:rPr>
      </w:pPr>
    </w:p>
    <w:p w:rsidR="00EB6B56" w:rsidRDefault="0067433B" w:rsidP="00616E6A">
      <w:pPr>
        <w:spacing w:after="0"/>
        <w:jc w:val="both"/>
        <w:rPr>
          <w:rFonts w:ascii="Arial" w:hAnsi="Arial" w:cs="Arial"/>
          <w:sz w:val="24"/>
          <w:szCs w:val="24"/>
        </w:rPr>
      </w:pPr>
      <w:r>
        <w:rPr>
          <w:rFonts w:ascii="Arial" w:hAnsi="Arial" w:cs="Arial"/>
          <w:sz w:val="24"/>
          <w:szCs w:val="24"/>
        </w:rPr>
        <w:tab/>
      </w:r>
      <w:r w:rsidR="00A42D17">
        <w:rPr>
          <w:rFonts w:ascii="Arial" w:hAnsi="Arial" w:cs="Arial"/>
          <w:sz w:val="24"/>
          <w:szCs w:val="24"/>
        </w:rPr>
        <w:t>Another example, a wall-painting</w:t>
      </w:r>
      <w:r w:rsidR="00822F0E">
        <w:rPr>
          <w:rFonts w:ascii="Arial" w:hAnsi="Arial" w:cs="Arial"/>
          <w:sz w:val="24"/>
          <w:szCs w:val="24"/>
        </w:rPr>
        <w:t xml:space="preserve"> painting (c.1762)</w:t>
      </w:r>
      <w:r w:rsidR="00A42D17">
        <w:rPr>
          <w:rFonts w:ascii="Arial" w:hAnsi="Arial" w:cs="Arial"/>
          <w:sz w:val="24"/>
          <w:szCs w:val="24"/>
        </w:rPr>
        <w:t xml:space="preserve"> </w:t>
      </w:r>
      <w:r w:rsidR="000C5C8A">
        <w:rPr>
          <w:rFonts w:ascii="Arial" w:hAnsi="Arial" w:cs="Arial"/>
          <w:sz w:val="24"/>
          <w:szCs w:val="24"/>
        </w:rPr>
        <w:t xml:space="preserve">in the </w:t>
      </w:r>
      <w:proofErr w:type="spellStart"/>
      <w:r w:rsidR="000C5C8A">
        <w:rPr>
          <w:rFonts w:ascii="Arial" w:hAnsi="Arial" w:cs="Arial"/>
          <w:sz w:val="24"/>
          <w:szCs w:val="24"/>
        </w:rPr>
        <w:t>Ieud</w:t>
      </w:r>
      <w:proofErr w:type="spellEnd"/>
      <w:r w:rsidR="000C5C8A">
        <w:rPr>
          <w:rFonts w:ascii="Arial" w:hAnsi="Arial" w:cs="Arial"/>
          <w:sz w:val="24"/>
          <w:szCs w:val="24"/>
        </w:rPr>
        <w:t xml:space="preserve">-Deal church in Romania, depicts </w:t>
      </w:r>
      <w:r w:rsidR="00827637">
        <w:rPr>
          <w:rFonts w:ascii="Arial" w:hAnsi="Arial" w:cs="Arial"/>
          <w:sz w:val="24"/>
          <w:szCs w:val="24"/>
        </w:rPr>
        <w:t>the</w:t>
      </w:r>
      <w:r w:rsidR="000C5C8A">
        <w:rPr>
          <w:rFonts w:ascii="Arial" w:hAnsi="Arial" w:cs="Arial"/>
          <w:sz w:val="24"/>
          <w:szCs w:val="24"/>
        </w:rPr>
        <w:t xml:space="preserve"> patriarchs</w:t>
      </w:r>
      <w:r w:rsidR="00661ECA">
        <w:rPr>
          <w:rFonts w:ascii="Arial" w:hAnsi="Arial" w:cs="Arial"/>
          <w:sz w:val="24"/>
          <w:szCs w:val="24"/>
        </w:rPr>
        <w:t xml:space="preserve"> </w:t>
      </w:r>
      <w:r w:rsidR="00827637">
        <w:rPr>
          <w:rFonts w:ascii="Arial" w:hAnsi="Arial" w:cs="Arial"/>
          <w:sz w:val="24"/>
          <w:szCs w:val="24"/>
        </w:rPr>
        <w:t>(</w:t>
      </w:r>
      <w:r w:rsidR="00661ECA">
        <w:rPr>
          <w:rFonts w:ascii="Arial" w:hAnsi="Arial" w:cs="Arial"/>
          <w:sz w:val="24"/>
          <w:szCs w:val="24"/>
        </w:rPr>
        <w:t>Fig. 2)</w:t>
      </w:r>
      <w:r w:rsidR="00827637">
        <w:rPr>
          <w:rFonts w:ascii="Arial" w:hAnsi="Arial" w:cs="Arial"/>
          <w:sz w:val="24"/>
          <w:szCs w:val="24"/>
        </w:rPr>
        <w:t xml:space="preserve">, and </w:t>
      </w:r>
      <w:r w:rsidR="000C5C8A">
        <w:rPr>
          <w:rFonts w:ascii="Arial" w:hAnsi="Arial" w:cs="Arial"/>
          <w:sz w:val="24"/>
          <w:szCs w:val="24"/>
        </w:rPr>
        <w:t>was used on a Romanian coin</w:t>
      </w:r>
      <w:r w:rsidR="004C3C25">
        <w:rPr>
          <w:rFonts w:ascii="Arial" w:hAnsi="Arial" w:cs="Arial"/>
          <w:sz w:val="24"/>
          <w:szCs w:val="24"/>
        </w:rPr>
        <w:t xml:space="preserve"> in 2006</w:t>
      </w:r>
      <w:r w:rsidR="00661ECA">
        <w:rPr>
          <w:rFonts w:ascii="Arial" w:hAnsi="Arial" w:cs="Arial"/>
          <w:sz w:val="24"/>
          <w:szCs w:val="24"/>
        </w:rPr>
        <w:t xml:space="preserve"> (Fig. 3)</w:t>
      </w:r>
      <w:r w:rsidR="004C3C25">
        <w:rPr>
          <w:rFonts w:ascii="Arial" w:hAnsi="Arial" w:cs="Arial"/>
          <w:sz w:val="24"/>
          <w:szCs w:val="24"/>
        </w:rPr>
        <w:t>, ahead of Romania joining the European Union in January 2007.</w:t>
      </w:r>
      <w:r w:rsidR="000C5C8A">
        <w:rPr>
          <w:rStyle w:val="FootnoteReference"/>
          <w:rFonts w:ascii="Arial" w:hAnsi="Arial" w:cs="Arial"/>
          <w:sz w:val="24"/>
          <w:szCs w:val="24"/>
        </w:rPr>
        <w:footnoteReference w:id="25"/>
      </w:r>
      <w:r w:rsidR="00822F0E">
        <w:rPr>
          <w:rFonts w:ascii="Arial" w:hAnsi="Arial" w:cs="Arial"/>
          <w:sz w:val="24"/>
          <w:szCs w:val="24"/>
        </w:rPr>
        <w:t xml:space="preserve"> </w:t>
      </w:r>
      <w:r w:rsidR="008E217A">
        <w:rPr>
          <w:rFonts w:ascii="Arial" w:hAnsi="Arial" w:cs="Arial"/>
          <w:sz w:val="24"/>
          <w:szCs w:val="24"/>
        </w:rPr>
        <w:t xml:space="preserve">This again indicates to me </w:t>
      </w:r>
      <w:r w:rsidR="004C3C25">
        <w:rPr>
          <w:rFonts w:ascii="Arial" w:hAnsi="Arial" w:cs="Arial"/>
          <w:sz w:val="24"/>
          <w:szCs w:val="24"/>
        </w:rPr>
        <w:t xml:space="preserve">the reception of Abraham as a </w:t>
      </w:r>
      <w:r w:rsidR="00820A24">
        <w:rPr>
          <w:rFonts w:ascii="Arial" w:hAnsi="Arial" w:cs="Arial"/>
          <w:sz w:val="24"/>
          <w:szCs w:val="24"/>
        </w:rPr>
        <w:t>father-</w:t>
      </w:r>
      <w:r w:rsidR="004C3C25">
        <w:rPr>
          <w:rFonts w:ascii="Arial" w:hAnsi="Arial" w:cs="Arial"/>
          <w:sz w:val="24"/>
          <w:szCs w:val="24"/>
        </w:rPr>
        <w:t xml:space="preserve">figure who can unite nations. </w:t>
      </w:r>
    </w:p>
    <w:p w:rsidR="004C3C25" w:rsidRDefault="004C3C25" w:rsidP="00616E6A">
      <w:pPr>
        <w:spacing w:after="0"/>
        <w:jc w:val="both"/>
        <w:rPr>
          <w:rFonts w:ascii="Arial" w:hAnsi="Arial" w:cs="Arial"/>
          <w:sz w:val="24"/>
          <w:szCs w:val="24"/>
        </w:rPr>
      </w:pPr>
    </w:p>
    <w:p w:rsidR="004C3C25" w:rsidRDefault="004C3C25" w:rsidP="000B5477">
      <w:pPr>
        <w:spacing w:after="0"/>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58240" behindDoc="0" locked="0" layoutInCell="1" allowOverlap="1" wp14:anchorId="30FF453D" wp14:editId="4C0FF79F">
            <wp:simplePos x="0" y="0"/>
            <wp:positionH relativeFrom="column">
              <wp:align>left</wp:align>
            </wp:positionH>
            <wp:positionV relativeFrom="paragraph">
              <wp:align>top</wp:align>
            </wp:positionV>
            <wp:extent cx="2400300" cy="1589405"/>
            <wp:effectExtent l="0" t="0" r="0" b="0"/>
            <wp:wrapSquare wrapText="bothSides"/>
            <wp:docPr id="1" name="Picture 1" descr="C:\Users\Diane\Desktop\Ancient Religions\HPRS7015\Assessment 2\Abraham Ieud-Deal Chu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e\Desktop\Ancient Religions\HPRS7015\Assessment 2\Abraham Ieud-Deal Church.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300" cy="1589405"/>
                    </a:xfrm>
                    <a:prstGeom prst="rect">
                      <a:avLst/>
                    </a:prstGeom>
                    <a:noFill/>
                    <a:ln>
                      <a:noFill/>
                    </a:ln>
                  </pic:spPr>
                </pic:pic>
              </a:graphicData>
            </a:graphic>
            <wp14:sizeRelV relativeFrom="margin">
              <wp14:pctHeight>0</wp14:pctHeight>
            </wp14:sizeRelV>
          </wp:anchor>
        </w:drawing>
      </w:r>
      <w:r w:rsidR="000B5477">
        <w:rPr>
          <w:rFonts w:ascii="Arial" w:hAnsi="Arial" w:cs="Arial"/>
          <w:sz w:val="24"/>
          <w:szCs w:val="24"/>
        </w:rPr>
        <w:tab/>
      </w:r>
      <w:r w:rsidR="000B5477">
        <w:rPr>
          <w:rFonts w:ascii="Arial" w:hAnsi="Arial" w:cs="Arial"/>
          <w:sz w:val="24"/>
          <w:szCs w:val="24"/>
        </w:rPr>
        <w:tab/>
      </w:r>
      <w:r w:rsidR="000B5477">
        <w:rPr>
          <w:rFonts w:ascii="Arial" w:hAnsi="Arial" w:cs="Arial"/>
          <w:noProof/>
          <w:sz w:val="24"/>
          <w:szCs w:val="24"/>
          <w:lang w:eastAsia="en-GB"/>
        </w:rPr>
        <w:drawing>
          <wp:inline distT="0" distB="0" distL="0" distR="0" wp14:anchorId="245F0292" wp14:editId="6BF252DC">
            <wp:extent cx="1542007" cy="1535373"/>
            <wp:effectExtent l="0" t="0" r="1270" b="8255"/>
            <wp:docPr id="2" name="Picture 2" descr="C:\Users\Diane\Desktop\Ancient Religions\HPRS7015\Assessment 2\Abraham Romanian co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ane\Desktop\Ancient Religions\HPRS7015\Assessment 2\Abraham Romanian coi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2007" cy="1535373"/>
                    </a:xfrm>
                    <a:prstGeom prst="rect">
                      <a:avLst/>
                    </a:prstGeom>
                    <a:noFill/>
                    <a:ln>
                      <a:noFill/>
                    </a:ln>
                  </pic:spPr>
                </pic:pic>
              </a:graphicData>
            </a:graphic>
          </wp:inline>
        </w:drawing>
      </w:r>
      <w:r w:rsidR="000B5477">
        <w:rPr>
          <w:rFonts w:ascii="Arial" w:hAnsi="Arial" w:cs="Arial"/>
          <w:sz w:val="24"/>
          <w:szCs w:val="24"/>
        </w:rPr>
        <w:br w:type="textWrapping" w:clear="all"/>
      </w:r>
    </w:p>
    <w:p w:rsidR="00CF472C" w:rsidRPr="00A84310" w:rsidRDefault="00CF472C" w:rsidP="000B5477">
      <w:pPr>
        <w:spacing w:after="0"/>
        <w:rPr>
          <w:rFonts w:ascii="Arial" w:hAnsi="Arial" w:cs="Arial"/>
          <w:sz w:val="20"/>
          <w:szCs w:val="20"/>
        </w:rPr>
      </w:pPr>
      <w:r w:rsidRPr="000B5477">
        <w:rPr>
          <w:rFonts w:ascii="Arial" w:hAnsi="Arial" w:cs="Arial"/>
          <w:b/>
          <w:sz w:val="20"/>
          <w:szCs w:val="20"/>
        </w:rPr>
        <w:t xml:space="preserve">Fig. </w:t>
      </w:r>
      <w:r w:rsidR="00A42D17" w:rsidRPr="000B5477">
        <w:rPr>
          <w:rFonts w:ascii="Arial" w:hAnsi="Arial" w:cs="Arial"/>
          <w:b/>
          <w:sz w:val="20"/>
          <w:szCs w:val="20"/>
        </w:rPr>
        <w:t>2</w:t>
      </w:r>
      <w:r w:rsidR="00A42D17" w:rsidRPr="00A84310">
        <w:rPr>
          <w:rFonts w:ascii="Arial" w:hAnsi="Arial" w:cs="Arial"/>
          <w:sz w:val="20"/>
          <w:szCs w:val="20"/>
        </w:rPr>
        <w:t>:</w:t>
      </w:r>
      <w:r w:rsidRPr="00A84310">
        <w:rPr>
          <w:rFonts w:ascii="Arial" w:hAnsi="Arial" w:cs="Arial"/>
          <w:sz w:val="20"/>
          <w:szCs w:val="20"/>
        </w:rPr>
        <w:t xml:space="preserve"> Wall Painting of Abraham, Isaac</w:t>
      </w:r>
      <w:r w:rsidR="000B5477">
        <w:rPr>
          <w:rFonts w:ascii="Arial" w:hAnsi="Arial" w:cs="Arial"/>
          <w:sz w:val="20"/>
          <w:szCs w:val="20"/>
        </w:rPr>
        <w:tab/>
      </w:r>
      <w:r w:rsidR="000B5477">
        <w:rPr>
          <w:rFonts w:ascii="Arial" w:hAnsi="Arial" w:cs="Arial"/>
          <w:sz w:val="20"/>
          <w:szCs w:val="20"/>
        </w:rPr>
        <w:tab/>
      </w:r>
      <w:r w:rsidR="000B5477">
        <w:rPr>
          <w:rFonts w:ascii="Arial" w:hAnsi="Arial" w:cs="Arial"/>
          <w:sz w:val="20"/>
          <w:szCs w:val="20"/>
        </w:rPr>
        <w:tab/>
      </w:r>
      <w:r w:rsidR="000B5477" w:rsidRPr="000B5477">
        <w:rPr>
          <w:rFonts w:ascii="Arial" w:hAnsi="Arial" w:cs="Arial"/>
          <w:b/>
          <w:sz w:val="20"/>
          <w:szCs w:val="20"/>
        </w:rPr>
        <w:t xml:space="preserve">Fig. </w:t>
      </w:r>
      <w:r w:rsidR="000B5477" w:rsidRPr="000421A6">
        <w:rPr>
          <w:rFonts w:ascii="Arial" w:hAnsi="Arial" w:cs="Arial"/>
          <w:b/>
          <w:sz w:val="20"/>
          <w:szCs w:val="20"/>
        </w:rPr>
        <w:t>3</w:t>
      </w:r>
      <w:r w:rsidR="000B5477">
        <w:rPr>
          <w:rFonts w:ascii="Arial" w:hAnsi="Arial" w:cs="Arial"/>
          <w:sz w:val="20"/>
          <w:szCs w:val="20"/>
        </w:rPr>
        <w:t xml:space="preserve">: 5 lei coin. </w:t>
      </w:r>
      <w:proofErr w:type="gramStart"/>
      <w:r w:rsidR="000B5477">
        <w:rPr>
          <w:rFonts w:ascii="Arial" w:hAnsi="Arial" w:cs="Arial"/>
          <w:sz w:val="20"/>
          <w:szCs w:val="20"/>
        </w:rPr>
        <w:t>[Online].</w:t>
      </w:r>
      <w:proofErr w:type="gramEnd"/>
      <w:r w:rsidR="00F92DD4">
        <w:rPr>
          <w:rFonts w:ascii="Arial" w:hAnsi="Arial" w:cs="Arial"/>
          <w:sz w:val="20"/>
          <w:szCs w:val="20"/>
        </w:rPr>
        <w:t xml:space="preserve"> 1</w:t>
      </w:r>
      <w:r w:rsidR="00F92DD4" w:rsidRPr="00F92DD4">
        <w:rPr>
          <w:rFonts w:ascii="Arial" w:hAnsi="Arial" w:cs="Arial"/>
          <w:sz w:val="20"/>
          <w:szCs w:val="20"/>
          <w:vertAlign w:val="superscript"/>
        </w:rPr>
        <w:t>st</w:t>
      </w:r>
      <w:r w:rsidR="00F92DD4">
        <w:rPr>
          <w:rFonts w:ascii="Arial" w:hAnsi="Arial" w:cs="Arial"/>
          <w:sz w:val="20"/>
          <w:szCs w:val="20"/>
        </w:rPr>
        <w:t xml:space="preserve"> July, 2021.</w:t>
      </w:r>
      <w:r w:rsidR="000B5477">
        <w:rPr>
          <w:rFonts w:ascii="Arial" w:hAnsi="Arial" w:cs="Arial"/>
          <w:sz w:val="20"/>
          <w:szCs w:val="20"/>
        </w:rPr>
        <w:tab/>
      </w:r>
    </w:p>
    <w:p w:rsidR="004D161A" w:rsidRPr="00A84310" w:rsidRDefault="00CF472C" w:rsidP="000B5477">
      <w:pPr>
        <w:spacing w:after="0"/>
        <w:rPr>
          <w:rFonts w:ascii="Arial" w:hAnsi="Arial" w:cs="Arial"/>
          <w:sz w:val="20"/>
          <w:szCs w:val="20"/>
        </w:rPr>
      </w:pPr>
      <w:proofErr w:type="gramStart"/>
      <w:r w:rsidRPr="00A84310">
        <w:rPr>
          <w:rFonts w:ascii="Arial" w:hAnsi="Arial" w:cs="Arial"/>
          <w:sz w:val="20"/>
          <w:szCs w:val="20"/>
        </w:rPr>
        <w:t>and</w:t>
      </w:r>
      <w:proofErr w:type="gramEnd"/>
      <w:r w:rsidRPr="00A84310">
        <w:rPr>
          <w:rFonts w:ascii="Arial" w:hAnsi="Arial" w:cs="Arial"/>
          <w:sz w:val="20"/>
          <w:szCs w:val="20"/>
        </w:rPr>
        <w:t xml:space="preserve"> Jacob at </w:t>
      </w:r>
      <w:proofErr w:type="spellStart"/>
      <w:r w:rsidRPr="00A84310">
        <w:rPr>
          <w:rFonts w:ascii="Arial" w:hAnsi="Arial" w:cs="Arial"/>
          <w:sz w:val="20"/>
          <w:szCs w:val="20"/>
        </w:rPr>
        <w:t>Ieud</w:t>
      </w:r>
      <w:proofErr w:type="spellEnd"/>
      <w:r w:rsidRPr="00A84310">
        <w:rPr>
          <w:rFonts w:ascii="Arial" w:hAnsi="Arial" w:cs="Arial"/>
          <w:sz w:val="20"/>
          <w:szCs w:val="20"/>
        </w:rPr>
        <w:t>-Deal Church</w:t>
      </w:r>
      <w:r w:rsidR="002B371A" w:rsidRPr="00A84310">
        <w:rPr>
          <w:rFonts w:ascii="Arial" w:hAnsi="Arial" w:cs="Arial"/>
          <w:sz w:val="20"/>
          <w:szCs w:val="20"/>
        </w:rPr>
        <w:t>.</w:t>
      </w:r>
      <w:r w:rsidR="00F92DD4">
        <w:rPr>
          <w:rFonts w:ascii="Arial" w:hAnsi="Arial" w:cs="Arial"/>
          <w:sz w:val="20"/>
          <w:szCs w:val="20"/>
        </w:rPr>
        <w:tab/>
      </w:r>
      <w:r w:rsidR="00F92DD4">
        <w:rPr>
          <w:rFonts w:ascii="Arial" w:hAnsi="Arial" w:cs="Arial"/>
          <w:sz w:val="20"/>
          <w:szCs w:val="20"/>
        </w:rPr>
        <w:tab/>
      </w:r>
      <w:r w:rsidR="00F92DD4">
        <w:rPr>
          <w:rFonts w:ascii="Arial" w:hAnsi="Arial" w:cs="Arial"/>
          <w:sz w:val="20"/>
          <w:szCs w:val="20"/>
        </w:rPr>
        <w:tab/>
      </w:r>
      <w:r w:rsidR="00F92DD4">
        <w:rPr>
          <w:rFonts w:ascii="Arial" w:hAnsi="Arial" w:cs="Arial"/>
          <w:sz w:val="20"/>
          <w:szCs w:val="20"/>
        </w:rPr>
        <w:tab/>
      </w:r>
      <w:r w:rsidR="000B5477">
        <w:rPr>
          <w:rFonts w:ascii="Arial" w:hAnsi="Arial" w:cs="Arial"/>
          <w:sz w:val="20"/>
          <w:szCs w:val="20"/>
        </w:rPr>
        <w:t>Available from:</w:t>
      </w:r>
    </w:p>
    <w:p w:rsidR="00C250E2" w:rsidRPr="008E217A" w:rsidRDefault="00CF472C" w:rsidP="001028A4">
      <w:pPr>
        <w:spacing w:after="0"/>
        <w:rPr>
          <w:rStyle w:val="Hyperlink"/>
          <w:rFonts w:ascii="Arial" w:hAnsi="Arial" w:cs="Arial"/>
          <w:sz w:val="20"/>
          <w:szCs w:val="20"/>
        </w:rPr>
      </w:pPr>
      <w:proofErr w:type="gramStart"/>
      <w:r w:rsidRPr="00A84310">
        <w:rPr>
          <w:rFonts w:ascii="Arial" w:hAnsi="Arial" w:cs="Arial"/>
          <w:sz w:val="20"/>
          <w:szCs w:val="20"/>
        </w:rPr>
        <w:t>[Online].</w:t>
      </w:r>
      <w:proofErr w:type="gramEnd"/>
      <w:r w:rsidRPr="00A84310">
        <w:rPr>
          <w:rFonts w:ascii="Arial" w:hAnsi="Arial" w:cs="Arial"/>
          <w:sz w:val="20"/>
          <w:szCs w:val="20"/>
        </w:rPr>
        <w:t xml:space="preserve"> 1</w:t>
      </w:r>
      <w:r w:rsidRPr="00A84310">
        <w:rPr>
          <w:rFonts w:ascii="Arial" w:hAnsi="Arial" w:cs="Arial"/>
          <w:sz w:val="20"/>
          <w:szCs w:val="20"/>
          <w:vertAlign w:val="superscript"/>
        </w:rPr>
        <w:t>st</w:t>
      </w:r>
      <w:r w:rsidRPr="00A84310">
        <w:rPr>
          <w:rFonts w:ascii="Arial" w:hAnsi="Arial" w:cs="Arial"/>
          <w:sz w:val="20"/>
          <w:szCs w:val="20"/>
        </w:rPr>
        <w:t xml:space="preserve"> July 2021. Available from</w:t>
      </w:r>
      <w:r w:rsidR="002B371A" w:rsidRPr="00A84310">
        <w:rPr>
          <w:rFonts w:ascii="Arial" w:hAnsi="Arial" w:cs="Arial"/>
          <w:sz w:val="20"/>
          <w:szCs w:val="20"/>
        </w:rPr>
        <w:t>:</w:t>
      </w:r>
      <w:r w:rsidR="000B5477">
        <w:rPr>
          <w:rFonts w:ascii="Arial" w:hAnsi="Arial" w:cs="Arial"/>
          <w:sz w:val="20"/>
          <w:szCs w:val="20"/>
        </w:rPr>
        <w:tab/>
      </w:r>
      <w:r w:rsidR="000B5477">
        <w:rPr>
          <w:rFonts w:ascii="Arial" w:hAnsi="Arial" w:cs="Arial"/>
          <w:sz w:val="20"/>
          <w:szCs w:val="20"/>
        </w:rPr>
        <w:tab/>
      </w:r>
      <w:r w:rsidR="000B5477">
        <w:rPr>
          <w:rFonts w:ascii="Arial" w:hAnsi="Arial" w:cs="Arial"/>
          <w:sz w:val="20"/>
          <w:szCs w:val="20"/>
        </w:rPr>
        <w:tab/>
      </w:r>
      <w:hyperlink r:id="rId14" w:history="1">
        <w:r w:rsidR="00465549" w:rsidRPr="00337B72">
          <w:rPr>
            <w:rStyle w:val="Hyperlink"/>
            <w:rFonts w:ascii="Arial" w:hAnsi="Arial" w:cs="Arial"/>
            <w:sz w:val="20"/>
            <w:szCs w:val="20"/>
          </w:rPr>
          <w:t>www.romaniancoins.org/5lei06ieud.html</w:t>
        </w:r>
      </w:hyperlink>
      <w:r w:rsidR="000B5477">
        <w:rPr>
          <w:rStyle w:val="Hyperlink"/>
          <w:rFonts w:ascii="Arial" w:hAnsi="Arial" w:cs="Arial"/>
          <w:sz w:val="20"/>
          <w:szCs w:val="20"/>
        </w:rPr>
        <w:t xml:space="preserve"> </w:t>
      </w:r>
      <w:hyperlink r:id="rId15" w:history="1">
        <w:r w:rsidR="002B371A" w:rsidRPr="001028A4">
          <w:rPr>
            <w:rStyle w:val="Hyperlink"/>
            <w:rFonts w:ascii="Arial" w:hAnsi="Arial" w:cs="Arial"/>
            <w:sz w:val="20"/>
            <w:szCs w:val="20"/>
          </w:rPr>
          <w:t>www.romaniancoins.org/5lei06ieud.html</w:t>
        </w:r>
      </w:hyperlink>
    </w:p>
    <w:p w:rsidR="00C250E2" w:rsidRDefault="00C250E2" w:rsidP="001028A4">
      <w:pPr>
        <w:spacing w:after="0"/>
        <w:rPr>
          <w:rStyle w:val="Hyperlink"/>
          <w:rFonts w:ascii="Arial" w:hAnsi="Arial" w:cs="Arial"/>
          <w:b/>
          <w:color w:val="auto"/>
          <w:sz w:val="20"/>
          <w:szCs w:val="20"/>
        </w:rPr>
      </w:pPr>
    </w:p>
    <w:p w:rsidR="00820A24" w:rsidRDefault="001028A4" w:rsidP="001028A4">
      <w:pPr>
        <w:spacing w:after="0"/>
        <w:rPr>
          <w:rStyle w:val="Hyperlink"/>
          <w:rFonts w:ascii="Arial" w:hAnsi="Arial" w:cs="Arial"/>
          <w:b/>
          <w:color w:val="auto"/>
          <w:sz w:val="24"/>
          <w:szCs w:val="24"/>
        </w:rPr>
      </w:pPr>
      <w:r w:rsidRPr="00C250E2">
        <w:rPr>
          <w:rStyle w:val="Hyperlink"/>
          <w:rFonts w:ascii="Arial" w:hAnsi="Arial" w:cs="Arial"/>
          <w:b/>
          <w:color w:val="auto"/>
          <w:sz w:val="24"/>
          <w:szCs w:val="24"/>
        </w:rPr>
        <w:t>The Binding of Isaac</w:t>
      </w:r>
      <w:r w:rsidR="001A7F18" w:rsidRPr="00C250E2">
        <w:rPr>
          <w:rStyle w:val="Hyperlink"/>
          <w:rFonts w:ascii="Arial" w:hAnsi="Arial" w:cs="Arial"/>
          <w:b/>
          <w:color w:val="auto"/>
          <w:sz w:val="24"/>
          <w:szCs w:val="24"/>
        </w:rPr>
        <w:t xml:space="preserve"> in Genesis 22</w:t>
      </w:r>
    </w:p>
    <w:p w:rsidR="00C250E2" w:rsidRPr="00C250E2" w:rsidRDefault="00C250E2" w:rsidP="001028A4">
      <w:pPr>
        <w:spacing w:after="0"/>
        <w:rPr>
          <w:rStyle w:val="Hyperlink"/>
          <w:rFonts w:ascii="Arial" w:hAnsi="Arial" w:cs="Arial"/>
          <w:b/>
          <w:color w:val="auto"/>
          <w:sz w:val="24"/>
          <w:szCs w:val="24"/>
        </w:rPr>
      </w:pPr>
    </w:p>
    <w:p w:rsidR="00A63169" w:rsidRDefault="00820A24" w:rsidP="00403B69">
      <w:pPr>
        <w:spacing w:after="0"/>
        <w:jc w:val="both"/>
        <w:rPr>
          <w:rStyle w:val="Hyperlink"/>
          <w:rFonts w:ascii="Arial" w:hAnsi="Arial" w:cs="Arial"/>
          <w:color w:val="auto"/>
          <w:sz w:val="24"/>
          <w:szCs w:val="24"/>
          <w:u w:val="none"/>
        </w:rPr>
      </w:pPr>
      <w:r>
        <w:rPr>
          <w:rStyle w:val="Hyperlink"/>
          <w:rFonts w:ascii="Arial" w:hAnsi="Arial" w:cs="Arial"/>
          <w:color w:val="auto"/>
          <w:sz w:val="20"/>
          <w:szCs w:val="20"/>
          <w:u w:val="none"/>
        </w:rPr>
        <w:tab/>
      </w:r>
      <w:r w:rsidR="00A63169" w:rsidRPr="00A63169">
        <w:rPr>
          <w:rStyle w:val="Hyperlink"/>
          <w:rFonts w:ascii="Arial" w:hAnsi="Arial" w:cs="Arial"/>
          <w:color w:val="auto"/>
          <w:sz w:val="24"/>
          <w:szCs w:val="24"/>
          <w:u w:val="none"/>
        </w:rPr>
        <w:t xml:space="preserve">In Genesis 22:2, God orders </w:t>
      </w:r>
      <w:r w:rsidR="00A63169">
        <w:rPr>
          <w:rStyle w:val="Hyperlink"/>
          <w:rFonts w:ascii="Arial" w:hAnsi="Arial" w:cs="Arial"/>
          <w:color w:val="auto"/>
          <w:sz w:val="24"/>
          <w:szCs w:val="24"/>
          <w:u w:val="none"/>
        </w:rPr>
        <w:t>Abraham</w:t>
      </w:r>
      <w:r w:rsidR="00A63169" w:rsidRPr="00A63169">
        <w:rPr>
          <w:rStyle w:val="Hyperlink"/>
          <w:rFonts w:ascii="Arial" w:hAnsi="Arial" w:cs="Arial"/>
          <w:color w:val="auto"/>
          <w:sz w:val="24"/>
          <w:szCs w:val="24"/>
          <w:u w:val="none"/>
        </w:rPr>
        <w:t xml:space="preserve"> to “Take</w:t>
      </w:r>
      <w:r w:rsidR="00A63169">
        <w:rPr>
          <w:rStyle w:val="Hyperlink"/>
          <w:rFonts w:ascii="Arial" w:hAnsi="Arial" w:cs="Arial"/>
          <w:color w:val="auto"/>
          <w:sz w:val="24"/>
          <w:szCs w:val="24"/>
          <w:u w:val="none"/>
        </w:rPr>
        <w:t xml:space="preserve"> your son, your only son Isaac, whom you </w:t>
      </w:r>
      <w:proofErr w:type="gramStart"/>
      <w:r w:rsidR="00A63169">
        <w:rPr>
          <w:rStyle w:val="Hyperlink"/>
          <w:rFonts w:ascii="Arial" w:hAnsi="Arial" w:cs="Arial"/>
          <w:color w:val="auto"/>
          <w:sz w:val="24"/>
          <w:szCs w:val="24"/>
          <w:u w:val="none"/>
        </w:rPr>
        <w:t>love, …</w:t>
      </w:r>
      <w:proofErr w:type="gramEnd"/>
      <w:r w:rsidR="00A63169">
        <w:rPr>
          <w:rStyle w:val="Hyperlink"/>
          <w:rFonts w:ascii="Arial" w:hAnsi="Arial" w:cs="Arial"/>
          <w:color w:val="auto"/>
          <w:sz w:val="24"/>
          <w:szCs w:val="24"/>
          <w:u w:val="none"/>
        </w:rPr>
        <w:t xml:space="preserve"> and offer him as a burnt offering”. </w:t>
      </w:r>
    </w:p>
    <w:p w:rsidR="004E0CD4" w:rsidRDefault="00A63169" w:rsidP="00403B69">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r>
      <w:r w:rsidR="00403B69">
        <w:rPr>
          <w:rStyle w:val="Hyperlink"/>
          <w:rFonts w:ascii="Arial" w:hAnsi="Arial" w:cs="Arial"/>
          <w:color w:val="auto"/>
          <w:sz w:val="24"/>
          <w:szCs w:val="24"/>
          <w:u w:val="none"/>
        </w:rPr>
        <w:t>Whilst to the modern reader</w:t>
      </w:r>
      <w:r>
        <w:rPr>
          <w:rStyle w:val="Hyperlink"/>
          <w:rFonts w:ascii="Arial" w:hAnsi="Arial" w:cs="Arial"/>
          <w:color w:val="auto"/>
          <w:sz w:val="24"/>
          <w:szCs w:val="24"/>
          <w:u w:val="none"/>
        </w:rPr>
        <w:t xml:space="preserve"> Abraham’s willingness to sacrifice his son appears as totally abhorrent, </w:t>
      </w:r>
      <w:proofErr w:type="spellStart"/>
      <w:r>
        <w:rPr>
          <w:rStyle w:val="Hyperlink"/>
          <w:rFonts w:ascii="Arial" w:hAnsi="Arial" w:cs="Arial"/>
          <w:color w:val="auto"/>
          <w:sz w:val="24"/>
          <w:szCs w:val="24"/>
          <w:u w:val="none"/>
        </w:rPr>
        <w:t>Deni</w:t>
      </w:r>
      <w:proofErr w:type="spellEnd"/>
      <w:r>
        <w:rPr>
          <w:rStyle w:val="Hyperlink"/>
          <w:rFonts w:ascii="Arial" w:hAnsi="Arial" w:cs="Arial"/>
          <w:color w:val="auto"/>
          <w:sz w:val="24"/>
          <w:szCs w:val="24"/>
          <w:u w:val="none"/>
        </w:rPr>
        <w:t xml:space="preserve"> </w:t>
      </w:r>
      <w:proofErr w:type="spellStart"/>
      <w:r>
        <w:rPr>
          <w:rStyle w:val="Hyperlink"/>
          <w:rFonts w:ascii="Arial" w:hAnsi="Arial" w:cs="Arial"/>
          <w:color w:val="auto"/>
          <w:sz w:val="24"/>
          <w:szCs w:val="24"/>
          <w:u w:val="none"/>
        </w:rPr>
        <w:t>Kasa</w:t>
      </w:r>
      <w:proofErr w:type="spellEnd"/>
      <w:r>
        <w:rPr>
          <w:rStyle w:val="Hyperlink"/>
          <w:rFonts w:ascii="Arial" w:hAnsi="Arial" w:cs="Arial"/>
          <w:color w:val="auto"/>
          <w:sz w:val="24"/>
          <w:szCs w:val="24"/>
          <w:u w:val="none"/>
        </w:rPr>
        <w:t xml:space="preserve"> considers that sacrificing children may have been allowable in a religious context in ancient Israel, with </w:t>
      </w:r>
      <w:proofErr w:type="spellStart"/>
      <w:r>
        <w:rPr>
          <w:rStyle w:val="Hyperlink"/>
          <w:rFonts w:ascii="Arial" w:hAnsi="Arial" w:cs="Arial"/>
          <w:color w:val="auto"/>
          <w:sz w:val="24"/>
          <w:szCs w:val="24"/>
          <w:u w:val="none"/>
        </w:rPr>
        <w:t>Levenson</w:t>
      </w:r>
      <w:proofErr w:type="spellEnd"/>
      <w:r>
        <w:rPr>
          <w:rStyle w:val="Hyperlink"/>
          <w:rFonts w:ascii="Arial" w:hAnsi="Arial" w:cs="Arial"/>
          <w:color w:val="auto"/>
          <w:sz w:val="24"/>
          <w:szCs w:val="24"/>
          <w:u w:val="none"/>
        </w:rPr>
        <w:t xml:space="preserve"> arguing that Genesis 22 was intended to glorify Abraham’s readiness to sacrifice Isaac, citing Exodus 22.29 as permission for such an act.</w:t>
      </w:r>
      <w:r>
        <w:rPr>
          <w:rStyle w:val="FootnoteReference"/>
          <w:rFonts w:ascii="Arial" w:hAnsi="Arial" w:cs="Arial"/>
          <w:sz w:val="24"/>
          <w:szCs w:val="24"/>
        </w:rPr>
        <w:footnoteReference w:id="26"/>
      </w:r>
      <w:r w:rsidR="00403B69">
        <w:rPr>
          <w:rStyle w:val="Hyperlink"/>
          <w:rFonts w:ascii="Arial" w:hAnsi="Arial" w:cs="Arial"/>
          <w:color w:val="auto"/>
          <w:sz w:val="24"/>
          <w:szCs w:val="24"/>
          <w:u w:val="none"/>
        </w:rPr>
        <w:t xml:space="preserve"> In the Old Testament, a child is totally dependent o</w:t>
      </w:r>
      <w:r w:rsidR="004E0CD4">
        <w:rPr>
          <w:rStyle w:val="Hyperlink"/>
          <w:rFonts w:ascii="Arial" w:hAnsi="Arial" w:cs="Arial"/>
          <w:color w:val="auto"/>
          <w:sz w:val="24"/>
          <w:szCs w:val="24"/>
          <w:u w:val="none"/>
        </w:rPr>
        <w:t>n the father, even to the extent of the father having the right to decide whether a child lives or dies.</w:t>
      </w:r>
      <w:r w:rsidR="004E0CD4">
        <w:rPr>
          <w:rStyle w:val="FootnoteReference"/>
          <w:rFonts w:ascii="Arial" w:hAnsi="Arial" w:cs="Arial"/>
          <w:sz w:val="24"/>
          <w:szCs w:val="24"/>
        </w:rPr>
        <w:footnoteReference w:id="27"/>
      </w:r>
      <w:r w:rsidR="004E0CD4">
        <w:rPr>
          <w:rStyle w:val="Hyperlink"/>
          <w:rFonts w:ascii="Arial" w:hAnsi="Arial" w:cs="Arial"/>
          <w:color w:val="auto"/>
          <w:sz w:val="24"/>
          <w:szCs w:val="24"/>
          <w:u w:val="none"/>
        </w:rPr>
        <w:t xml:space="preserve"> The question of Isaac’s sacrifice in Genesis 22, therefore, is not a question of immorality, but a test of obedience to ascertain whether Abraham will sacrifice his most precious possession, one that was promised by God to Abraham in Genesis 17:19.</w:t>
      </w:r>
      <w:r w:rsidR="004E0CD4">
        <w:rPr>
          <w:rStyle w:val="FootnoteReference"/>
          <w:rFonts w:ascii="Arial" w:hAnsi="Arial" w:cs="Arial"/>
          <w:sz w:val="24"/>
          <w:szCs w:val="24"/>
        </w:rPr>
        <w:footnoteReference w:id="28"/>
      </w:r>
      <w:r w:rsidR="004E0CD4">
        <w:rPr>
          <w:rStyle w:val="Hyperlink"/>
          <w:rFonts w:ascii="Arial" w:hAnsi="Arial" w:cs="Arial"/>
          <w:color w:val="auto"/>
          <w:sz w:val="24"/>
          <w:szCs w:val="24"/>
          <w:u w:val="none"/>
        </w:rPr>
        <w:t xml:space="preserve"> It is by demonstrating his willingness to obey God that he finds out, in Genesis 22:16-18, via an angel, that he does not have to sacrifice his son.</w:t>
      </w:r>
      <w:r w:rsidR="004E0CD4">
        <w:rPr>
          <w:rStyle w:val="FootnoteReference"/>
          <w:rFonts w:ascii="Arial" w:hAnsi="Arial" w:cs="Arial"/>
          <w:sz w:val="24"/>
          <w:szCs w:val="24"/>
        </w:rPr>
        <w:footnoteReference w:id="29"/>
      </w:r>
      <w:r w:rsidR="004E0CD4">
        <w:rPr>
          <w:rStyle w:val="Hyperlink"/>
          <w:rFonts w:ascii="Arial" w:hAnsi="Arial" w:cs="Arial"/>
          <w:color w:val="auto"/>
          <w:sz w:val="24"/>
          <w:szCs w:val="24"/>
          <w:u w:val="none"/>
        </w:rPr>
        <w:t xml:space="preserve"> </w:t>
      </w:r>
      <w:r w:rsidR="00403B69">
        <w:rPr>
          <w:rStyle w:val="Hyperlink"/>
          <w:rFonts w:ascii="Arial" w:hAnsi="Arial" w:cs="Arial"/>
          <w:color w:val="auto"/>
          <w:sz w:val="24"/>
          <w:szCs w:val="24"/>
          <w:u w:val="none"/>
        </w:rPr>
        <w:t xml:space="preserve">Moreover, </w:t>
      </w:r>
      <w:r w:rsidR="00B70D0F">
        <w:rPr>
          <w:rStyle w:val="Hyperlink"/>
          <w:rFonts w:ascii="Arial" w:hAnsi="Arial" w:cs="Arial"/>
          <w:color w:val="auto"/>
          <w:sz w:val="24"/>
          <w:szCs w:val="24"/>
          <w:u w:val="none"/>
        </w:rPr>
        <w:t>both Scott Crider and Walter Moberly argue</w:t>
      </w:r>
      <w:r w:rsidR="00403B69">
        <w:rPr>
          <w:rStyle w:val="Hyperlink"/>
          <w:rFonts w:ascii="Arial" w:hAnsi="Arial" w:cs="Arial"/>
          <w:color w:val="auto"/>
          <w:sz w:val="24"/>
          <w:szCs w:val="24"/>
          <w:u w:val="none"/>
        </w:rPr>
        <w:t xml:space="preserve"> that to make a moral judgement about an ancient text is anachronistic, and that it is important to consider </w:t>
      </w:r>
      <w:r w:rsidR="00B70D0F">
        <w:rPr>
          <w:rStyle w:val="Hyperlink"/>
          <w:rFonts w:ascii="Arial" w:hAnsi="Arial" w:cs="Arial"/>
          <w:color w:val="auto"/>
          <w:sz w:val="24"/>
          <w:szCs w:val="24"/>
          <w:u w:val="none"/>
        </w:rPr>
        <w:t>historical and</w:t>
      </w:r>
      <w:r w:rsidR="00403B69">
        <w:rPr>
          <w:rStyle w:val="Hyperlink"/>
          <w:rFonts w:ascii="Arial" w:hAnsi="Arial" w:cs="Arial"/>
          <w:color w:val="auto"/>
          <w:sz w:val="24"/>
          <w:szCs w:val="24"/>
          <w:u w:val="none"/>
        </w:rPr>
        <w:t xml:space="preserve"> cultural factors existing at the time of writing.</w:t>
      </w:r>
      <w:r w:rsidR="00403B69">
        <w:rPr>
          <w:rStyle w:val="FootnoteReference"/>
          <w:rFonts w:ascii="Arial" w:hAnsi="Arial" w:cs="Arial"/>
          <w:sz w:val="24"/>
          <w:szCs w:val="24"/>
        </w:rPr>
        <w:footnoteReference w:id="30"/>
      </w:r>
      <w:r>
        <w:rPr>
          <w:rStyle w:val="Hyperlink"/>
          <w:rFonts w:ascii="Arial" w:hAnsi="Arial" w:cs="Arial"/>
          <w:color w:val="auto"/>
          <w:sz w:val="24"/>
          <w:szCs w:val="24"/>
          <w:u w:val="none"/>
        </w:rPr>
        <w:t xml:space="preserve"> </w:t>
      </w:r>
    </w:p>
    <w:p w:rsidR="00403B69" w:rsidRDefault="00A63169" w:rsidP="00403B69">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 xml:space="preserve">  </w:t>
      </w:r>
      <w:r w:rsidR="00403B69">
        <w:rPr>
          <w:rStyle w:val="Hyperlink"/>
          <w:rFonts w:ascii="Arial" w:hAnsi="Arial" w:cs="Arial"/>
          <w:color w:val="auto"/>
          <w:sz w:val="24"/>
          <w:szCs w:val="24"/>
          <w:u w:val="none"/>
        </w:rPr>
        <w:tab/>
      </w:r>
      <w:proofErr w:type="spellStart"/>
      <w:r w:rsidR="00403B69">
        <w:rPr>
          <w:rStyle w:val="Hyperlink"/>
          <w:rFonts w:ascii="Arial" w:hAnsi="Arial" w:cs="Arial"/>
          <w:color w:val="auto"/>
          <w:sz w:val="24"/>
          <w:szCs w:val="24"/>
          <w:u w:val="none"/>
        </w:rPr>
        <w:t>Moberley</w:t>
      </w:r>
      <w:proofErr w:type="spellEnd"/>
      <w:r w:rsidR="00403B69">
        <w:rPr>
          <w:rStyle w:val="Hyperlink"/>
          <w:rFonts w:ascii="Arial" w:hAnsi="Arial" w:cs="Arial"/>
          <w:color w:val="auto"/>
          <w:sz w:val="24"/>
          <w:szCs w:val="24"/>
          <w:u w:val="none"/>
        </w:rPr>
        <w:t xml:space="preserve"> makes an important point that the terms “test” (Gen. 22:1) and “fear” (Gen. 22:12) should be considered together; “test” should be interpreted in terms of </w:t>
      </w:r>
      <w:r w:rsidR="00403B69">
        <w:rPr>
          <w:rStyle w:val="Hyperlink"/>
          <w:rFonts w:ascii="Arial" w:hAnsi="Arial" w:cs="Arial"/>
          <w:color w:val="auto"/>
          <w:sz w:val="24"/>
          <w:szCs w:val="24"/>
          <w:u w:val="none"/>
        </w:rPr>
        <w:lastRenderedPageBreak/>
        <w:t>encouraging greater obedience to God, whilst “fear” does not imply terror or fright, but obedience in a moral context.</w:t>
      </w:r>
      <w:r w:rsidR="00403B69">
        <w:rPr>
          <w:rStyle w:val="FootnoteReference"/>
          <w:rFonts w:ascii="Arial" w:hAnsi="Arial" w:cs="Arial"/>
          <w:sz w:val="24"/>
          <w:szCs w:val="24"/>
        </w:rPr>
        <w:footnoteReference w:id="31"/>
      </w:r>
    </w:p>
    <w:p w:rsidR="004E0CD4" w:rsidRDefault="004E0CD4" w:rsidP="00403B69">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 xml:space="preserve">I strongly support Scott </w:t>
      </w:r>
      <w:proofErr w:type="spellStart"/>
      <w:r>
        <w:rPr>
          <w:rStyle w:val="Hyperlink"/>
          <w:rFonts w:ascii="Arial" w:hAnsi="Arial" w:cs="Arial"/>
          <w:color w:val="auto"/>
          <w:sz w:val="24"/>
          <w:szCs w:val="24"/>
          <w:u w:val="none"/>
        </w:rPr>
        <w:t>Morschauser’s</w:t>
      </w:r>
      <w:proofErr w:type="spellEnd"/>
      <w:r>
        <w:rPr>
          <w:rStyle w:val="Hyperlink"/>
          <w:rFonts w:ascii="Arial" w:hAnsi="Arial" w:cs="Arial"/>
          <w:color w:val="auto"/>
          <w:sz w:val="24"/>
          <w:szCs w:val="24"/>
          <w:u w:val="none"/>
        </w:rPr>
        <w:t xml:space="preserve"> view that the “Binding of Isaac” narrative in Genesis 22 was to characterise and promote Abraham as the ultimate faithful servant and to honour him, and to present God as trustworthy and reliable.</w:t>
      </w:r>
      <w:r>
        <w:rPr>
          <w:rStyle w:val="FootnoteReference"/>
          <w:rFonts w:ascii="Arial" w:hAnsi="Arial" w:cs="Arial"/>
          <w:sz w:val="24"/>
          <w:szCs w:val="24"/>
        </w:rPr>
        <w:footnoteReference w:id="32"/>
      </w:r>
      <w:r w:rsidR="00263D56">
        <w:rPr>
          <w:rStyle w:val="Hyperlink"/>
          <w:rFonts w:ascii="Arial" w:hAnsi="Arial" w:cs="Arial"/>
          <w:color w:val="auto"/>
          <w:sz w:val="24"/>
          <w:szCs w:val="24"/>
          <w:u w:val="none"/>
        </w:rPr>
        <w:t xml:space="preserve"> This view is supported by both </w:t>
      </w:r>
      <w:proofErr w:type="spellStart"/>
      <w:r w:rsidR="00263D56">
        <w:rPr>
          <w:rStyle w:val="Hyperlink"/>
          <w:rFonts w:ascii="Arial" w:hAnsi="Arial" w:cs="Arial"/>
          <w:color w:val="auto"/>
          <w:sz w:val="24"/>
          <w:szCs w:val="24"/>
          <w:u w:val="none"/>
        </w:rPr>
        <w:t>Deni</w:t>
      </w:r>
      <w:proofErr w:type="spellEnd"/>
      <w:r w:rsidR="00263D56">
        <w:rPr>
          <w:rStyle w:val="Hyperlink"/>
          <w:rFonts w:ascii="Arial" w:hAnsi="Arial" w:cs="Arial"/>
          <w:color w:val="auto"/>
          <w:sz w:val="24"/>
          <w:szCs w:val="24"/>
          <w:u w:val="none"/>
        </w:rPr>
        <w:t xml:space="preserve"> </w:t>
      </w:r>
      <w:proofErr w:type="spellStart"/>
      <w:r w:rsidR="00263D56">
        <w:rPr>
          <w:rStyle w:val="Hyperlink"/>
          <w:rFonts w:ascii="Arial" w:hAnsi="Arial" w:cs="Arial"/>
          <w:color w:val="auto"/>
          <w:sz w:val="24"/>
          <w:szCs w:val="24"/>
          <w:u w:val="none"/>
        </w:rPr>
        <w:t>Kasa</w:t>
      </w:r>
      <w:proofErr w:type="spellEnd"/>
      <w:r w:rsidR="00263D56">
        <w:rPr>
          <w:rStyle w:val="Hyperlink"/>
          <w:rFonts w:ascii="Arial" w:hAnsi="Arial" w:cs="Arial"/>
          <w:color w:val="auto"/>
          <w:sz w:val="24"/>
          <w:szCs w:val="24"/>
          <w:u w:val="none"/>
        </w:rPr>
        <w:t xml:space="preserve"> and Erich </w:t>
      </w:r>
      <w:proofErr w:type="spellStart"/>
      <w:r w:rsidR="00263D56">
        <w:rPr>
          <w:rStyle w:val="Hyperlink"/>
          <w:rFonts w:ascii="Arial" w:hAnsi="Arial" w:cs="Arial"/>
          <w:color w:val="auto"/>
          <w:sz w:val="24"/>
          <w:szCs w:val="24"/>
          <w:u w:val="none"/>
        </w:rPr>
        <w:t>Auerbach</w:t>
      </w:r>
      <w:proofErr w:type="spellEnd"/>
      <w:r w:rsidR="00263D56">
        <w:rPr>
          <w:rStyle w:val="Hyperlink"/>
          <w:rFonts w:ascii="Arial" w:hAnsi="Arial" w:cs="Arial"/>
          <w:color w:val="auto"/>
          <w:sz w:val="24"/>
          <w:szCs w:val="24"/>
          <w:u w:val="none"/>
        </w:rPr>
        <w:t>.</w:t>
      </w:r>
      <w:r w:rsidR="00263D56">
        <w:rPr>
          <w:rStyle w:val="FootnoteReference"/>
          <w:rFonts w:ascii="Arial" w:hAnsi="Arial" w:cs="Arial"/>
          <w:sz w:val="24"/>
          <w:szCs w:val="24"/>
        </w:rPr>
        <w:footnoteReference w:id="33"/>
      </w:r>
      <w:r w:rsidR="00263D56">
        <w:rPr>
          <w:rStyle w:val="Hyperlink"/>
          <w:rFonts w:ascii="Arial" w:hAnsi="Arial" w:cs="Arial"/>
          <w:color w:val="auto"/>
          <w:sz w:val="24"/>
          <w:szCs w:val="24"/>
          <w:u w:val="none"/>
        </w:rPr>
        <w:t xml:space="preserve"> Edwin Curley proposes convincingly that, in the end, Abraham wou</w:t>
      </w:r>
      <w:r w:rsidR="008E217A">
        <w:rPr>
          <w:rStyle w:val="Hyperlink"/>
          <w:rFonts w:ascii="Arial" w:hAnsi="Arial" w:cs="Arial"/>
          <w:color w:val="auto"/>
          <w:sz w:val="24"/>
          <w:szCs w:val="24"/>
          <w:u w:val="none"/>
        </w:rPr>
        <w:t>ld not have to sacrifice Isaac;</w:t>
      </w:r>
      <w:r w:rsidR="00263D56">
        <w:rPr>
          <w:rStyle w:val="Hyperlink"/>
          <w:rFonts w:ascii="Arial" w:hAnsi="Arial" w:cs="Arial"/>
          <w:color w:val="auto"/>
          <w:sz w:val="24"/>
          <w:szCs w:val="24"/>
          <w:u w:val="none"/>
        </w:rPr>
        <w:t xml:space="preserve"> he trusted God’s previous promise, and he was right</w:t>
      </w:r>
      <w:r w:rsidR="008E217A">
        <w:rPr>
          <w:rStyle w:val="Hyperlink"/>
          <w:rFonts w:ascii="Arial" w:hAnsi="Arial" w:cs="Arial"/>
          <w:color w:val="auto"/>
          <w:sz w:val="24"/>
          <w:szCs w:val="24"/>
          <w:u w:val="none"/>
        </w:rPr>
        <w:t xml:space="preserve"> to do so</w:t>
      </w:r>
      <w:r w:rsidR="00263D56">
        <w:rPr>
          <w:rStyle w:val="Hyperlink"/>
          <w:rFonts w:ascii="Arial" w:hAnsi="Arial" w:cs="Arial"/>
          <w:color w:val="auto"/>
          <w:sz w:val="24"/>
          <w:szCs w:val="24"/>
          <w:u w:val="none"/>
        </w:rPr>
        <w:t>, believing that God would not actually demand that Abraham sacrifice his son.</w:t>
      </w:r>
      <w:r w:rsidR="00263D56">
        <w:rPr>
          <w:rStyle w:val="FootnoteReference"/>
          <w:rFonts w:ascii="Arial" w:hAnsi="Arial" w:cs="Arial"/>
          <w:sz w:val="24"/>
          <w:szCs w:val="24"/>
        </w:rPr>
        <w:footnoteReference w:id="34"/>
      </w:r>
      <w:r w:rsidR="00B70D0F">
        <w:rPr>
          <w:rStyle w:val="Hyperlink"/>
          <w:rFonts w:ascii="Arial" w:hAnsi="Arial" w:cs="Arial"/>
          <w:color w:val="auto"/>
          <w:sz w:val="24"/>
          <w:szCs w:val="24"/>
          <w:u w:val="none"/>
        </w:rPr>
        <w:t xml:space="preserve"> However, it should be borne in mind that the Binding of Isaac narrative has been told reticently, requiring interpretation. The narrator presents neither an invariably good god, nor a straightforward, devoted Abraham.</w:t>
      </w:r>
      <w:r w:rsidR="00B70D0F">
        <w:rPr>
          <w:rStyle w:val="FootnoteReference"/>
          <w:rFonts w:ascii="Arial" w:hAnsi="Arial" w:cs="Arial"/>
          <w:sz w:val="24"/>
          <w:szCs w:val="24"/>
        </w:rPr>
        <w:footnoteReference w:id="35"/>
      </w:r>
      <w:r w:rsidR="00B70D0F">
        <w:rPr>
          <w:rStyle w:val="Hyperlink"/>
          <w:rFonts w:ascii="Arial" w:hAnsi="Arial" w:cs="Arial"/>
          <w:color w:val="auto"/>
          <w:sz w:val="24"/>
          <w:szCs w:val="24"/>
          <w:u w:val="none"/>
        </w:rPr>
        <w:t xml:space="preserve"> I suggest that this was a deliberate ploy to allow the reader to reach his/her own conclusions.</w:t>
      </w:r>
    </w:p>
    <w:p w:rsidR="001A7F18" w:rsidRDefault="001A7F18" w:rsidP="00403B69">
      <w:pPr>
        <w:spacing w:after="0"/>
        <w:jc w:val="both"/>
        <w:rPr>
          <w:rStyle w:val="Hyperlink"/>
          <w:rFonts w:ascii="Arial" w:hAnsi="Arial" w:cs="Arial"/>
          <w:color w:val="auto"/>
          <w:sz w:val="24"/>
          <w:szCs w:val="24"/>
          <w:u w:val="none"/>
        </w:rPr>
      </w:pPr>
    </w:p>
    <w:p w:rsidR="00B70D0F" w:rsidRDefault="00B70D0F" w:rsidP="00403B69">
      <w:pPr>
        <w:spacing w:after="0"/>
        <w:jc w:val="both"/>
        <w:rPr>
          <w:rStyle w:val="Hyperlink"/>
          <w:rFonts w:ascii="Arial" w:hAnsi="Arial" w:cs="Arial"/>
          <w:b/>
          <w:color w:val="auto"/>
          <w:sz w:val="24"/>
          <w:szCs w:val="24"/>
        </w:rPr>
      </w:pPr>
      <w:r>
        <w:rPr>
          <w:rStyle w:val="Hyperlink"/>
          <w:rFonts w:ascii="Arial" w:hAnsi="Arial" w:cs="Arial"/>
          <w:b/>
          <w:color w:val="auto"/>
          <w:sz w:val="24"/>
          <w:szCs w:val="24"/>
        </w:rPr>
        <w:t xml:space="preserve">The Binding of Isaac in </w:t>
      </w:r>
      <w:r w:rsidR="000421A6">
        <w:rPr>
          <w:rStyle w:val="Hyperlink"/>
          <w:rFonts w:ascii="Arial" w:hAnsi="Arial" w:cs="Arial"/>
          <w:b/>
          <w:color w:val="auto"/>
          <w:sz w:val="24"/>
          <w:szCs w:val="24"/>
        </w:rPr>
        <w:t>Visual Art</w:t>
      </w:r>
    </w:p>
    <w:p w:rsidR="00C250E2" w:rsidRDefault="00C250E2" w:rsidP="00403B69">
      <w:pPr>
        <w:spacing w:after="0"/>
        <w:jc w:val="both"/>
        <w:rPr>
          <w:rStyle w:val="Hyperlink"/>
          <w:rFonts w:ascii="Arial" w:hAnsi="Arial" w:cs="Arial"/>
          <w:b/>
          <w:color w:val="auto"/>
          <w:sz w:val="24"/>
          <w:szCs w:val="24"/>
        </w:rPr>
      </w:pPr>
    </w:p>
    <w:p w:rsidR="007C3C57" w:rsidRDefault="00E61342" w:rsidP="00403B69">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r>
      <w:r w:rsidR="007C3C57">
        <w:rPr>
          <w:rStyle w:val="Hyperlink"/>
          <w:rFonts w:ascii="Arial" w:hAnsi="Arial" w:cs="Arial"/>
          <w:color w:val="auto"/>
          <w:sz w:val="24"/>
          <w:szCs w:val="24"/>
          <w:u w:val="none"/>
        </w:rPr>
        <w:t xml:space="preserve">I will now </w:t>
      </w:r>
      <w:r w:rsidR="00EC48AD">
        <w:rPr>
          <w:rStyle w:val="Hyperlink"/>
          <w:rFonts w:ascii="Arial" w:hAnsi="Arial" w:cs="Arial"/>
          <w:color w:val="auto"/>
          <w:sz w:val="24"/>
          <w:szCs w:val="24"/>
          <w:u w:val="none"/>
        </w:rPr>
        <w:t xml:space="preserve">discuss </w:t>
      </w:r>
      <w:r w:rsidR="007C3C57">
        <w:rPr>
          <w:rStyle w:val="Hyperlink"/>
          <w:rFonts w:ascii="Arial" w:hAnsi="Arial" w:cs="Arial"/>
          <w:color w:val="auto"/>
          <w:sz w:val="24"/>
          <w:szCs w:val="24"/>
          <w:u w:val="none"/>
        </w:rPr>
        <w:t xml:space="preserve">two </w:t>
      </w:r>
      <w:r>
        <w:rPr>
          <w:rStyle w:val="Hyperlink"/>
          <w:rFonts w:ascii="Arial" w:hAnsi="Arial" w:cs="Arial"/>
          <w:color w:val="auto"/>
          <w:sz w:val="24"/>
          <w:szCs w:val="24"/>
          <w:u w:val="none"/>
        </w:rPr>
        <w:t>paintings</w:t>
      </w:r>
      <w:r w:rsidR="00465549">
        <w:rPr>
          <w:rStyle w:val="Hyperlink"/>
          <w:rFonts w:ascii="Arial" w:hAnsi="Arial" w:cs="Arial"/>
          <w:color w:val="auto"/>
          <w:sz w:val="24"/>
          <w:szCs w:val="24"/>
          <w:u w:val="none"/>
        </w:rPr>
        <w:t xml:space="preserve"> depicting the binding of Isaac</w:t>
      </w:r>
      <w:r>
        <w:rPr>
          <w:rStyle w:val="Hyperlink"/>
          <w:rFonts w:ascii="Arial" w:hAnsi="Arial" w:cs="Arial"/>
          <w:color w:val="auto"/>
          <w:sz w:val="24"/>
          <w:szCs w:val="24"/>
          <w:u w:val="none"/>
        </w:rPr>
        <w:t>,</w:t>
      </w:r>
      <w:r w:rsidR="007C3C57">
        <w:rPr>
          <w:rStyle w:val="Hyperlink"/>
          <w:rFonts w:ascii="Arial" w:hAnsi="Arial" w:cs="Arial"/>
          <w:color w:val="auto"/>
          <w:sz w:val="24"/>
          <w:szCs w:val="24"/>
          <w:u w:val="none"/>
        </w:rPr>
        <w:t xml:space="preserve"> one by Rembrandt (c.1635)</w:t>
      </w:r>
      <w:r w:rsidR="00AA59C3">
        <w:rPr>
          <w:rStyle w:val="Hyperlink"/>
          <w:rFonts w:ascii="Arial" w:hAnsi="Arial" w:cs="Arial"/>
          <w:color w:val="auto"/>
          <w:sz w:val="24"/>
          <w:szCs w:val="24"/>
          <w:u w:val="none"/>
        </w:rPr>
        <w:t>, in the Hermitage Museum, St. Petersburg</w:t>
      </w:r>
      <w:r w:rsidR="007C3C57">
        <w:rPr>
          <w:rStyle w:val="Hyperlink"/>
          <w:rFonts w:ascii="Arial" w:hAnsi="Arial" w:cs="Arial"/>
          <w:color w:val="auto"/>
          <w:sz w:val="24"/>
          <w:szCs w:val="24"/>
          <w:u w:val="none"/>
        </w:rPr>
        <w:t xml:space="preserve">, and the other by </w:t>
      </w:r>
      <w:r w:rsidR="00465549">
        <w:rPr>
          <w:rStyle w:val="Hyperlink"/>
          <w:rFonts w:ascii="Arial" w:hAnsi="Arial" w:cs="Arial"/>
          <w:color w:val="auto"/>
          <w:sz w:val="24"/>
          <w:szCs w:val="24"/>
          <w:u w:val="none"/>
        </w:rPr>
        <w:t>Chagall (1966</w:t>
      </w:r>
      <w:r w:rsidR="00AA59C3">
        <w:rPr>
          <w:rStyle w:val="Hyperlink"/>
          <w:rFonts w:ascii="Arial" w:hAnsi="Arial" w:cs="Arial"/>
          <w:color w:val="auto"/>
          <w:sz w:val="24"/>
          <w:szCs w:val="24"/>
          <w:u w:val="none"/>
        </w:rPr>
        <w:t>), in the Marc Chagall Museum, Nice.</w:t>
      </w:r>
    </w:p>
    <w:p w:rsidR="007C3C57" w:rsidRDefault="007C3C57" w:rsidP="007C3C57">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r>
      <w:r>
        <w:rPr>
          <w:rStyle w:val="Hyperlink"/>
          <w:rFonts w:ascii="Arial" w:hAnsi="Arial" w:cs="Arial"/>
          <w:color w:val="auto"/>
          <w:sz w:val="24"/>
          <w:szCs w:val="24"/>
          <w:u w:val="none"/>
        </w:rPr>
        <w:tab/>
      </w:r>
      <w:r>
        <w:rPr>
          <w:rStyle w:val="Hyperlink"/>
          <w:rFonts w:ascii="Arial" w:hAnsi="Arial" w:cs="Arial"/>
          <w:color w:val="auto"/>
          <w:sz w:val="24"/>
          <w:szCs w:val="24"/>
          <w:u w:val="none"/>
        </w:rPr>
        <w:tab/>
      </w:r>
      <w:r w:rsidR="00E61342">
        <w:rPr>
          <w:rStyle w:val="Hyperlink"/>
          <w:rFonts w:ascii="Arial" w:hAnsi="Arial" w:cs="Arial"/>
          <w:color w:val="auto"/>
          <w:sz w:val="24"/>
          <w:szCs w:val="24"/>
          <w:u w:val="none"/>
        </w:rPr>
        <w:tab/>
      </w:r>
    </w:p>
    <w:p w:rsidR="00B70D0F" w:rsidRDefault="000421A6" w:rsidP="000421A6">
      <w:pPr>
        <w:spacing w:after="0"/>
        <w:jc w:val="center"/>
        <w:rPr>
          <w:rStyle w:val="Hyperlink"/>
          <w:rFonts w:ascii="Arial" w:hAnsi="Arial" w:cs="Arial"/>
          <w:color w:val="auto"/>
          <w:sz w:val="20"/>
          <w:szCs w:val="20"/>
          <w:u w:val="none"/>
        </w:rPr>
      </w:pPr>
      <w:r>
        <w:rPr>
          <w:rFonts w:ascii="Arial" w:hAnsi="Arial" w:cs="Arial"/>
          <w:noProof/>
          <w:sz w:val="20"/>
          <w:szCs w:val="20"/>
          <w:lang w:eastAsia="en-GB"/>
        </w:rPr>
        <w:drawing>
          <wp:inline distT="0" distB="0" distL="0" distR="0" wp14:anchorId="444D6799" wp14:editId="688C3C76">
            <wp:extent cx="1803400" cy="2651176"/>
            <wp:effectExtent l="0" t="0" r="6350" b="0"/>
            <wp:docPr id="4" name="Picture 4" descr="C:\Users\Diane\Desktop\Ancient Religions\HPRS7015\Assessment 2\Rembrandt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e\Desktop\Ancient Religions\HPRS7015\Assessment 2\Rembrandt Imag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8649" cy="2658893"/>
                    </a:xfrm>
                    <a:prstGeom prst="rect">
                      <a:avLst/>
                    </a:prstGeom>
                    <a:noFill/>
                    <a:ln>
                      <a:noFill/>
                    </a:ln>
                  </pic:spPr>
                </pic:pic>
              </a:graphicData>
            </a:graphic>
          </wp:inline>
        </w:drawing>
      </w:r>
    </w:p>
    <w:p w:rsidR="00E61342" w:rsidRDefault="00E61342" w:rsidP="00403B69">
      <w:pPr>
        <w:spacing w:after="0"/>
        <w:jc w:val="both"/>
        <w:rPr>
          <w:rStyle w:val="Hyperlink"/>
          <w:rFonts w:ascii="Arial" w:hAnsi="Arial" w:cs="Arial"/>
          <w:color w:val="auto"/>
          <w:sz w:val="20"/>
          <w:szCs w:val="20"/>
          <w:u w:val="none"/>
        </w:rPr>
      </w:pPr>
    </w:p>
    <w:p w:rsidR="00E61342" w:rsidRDefault="001C7973" w:rsidP="001C7973">
      <w:pPr>
        <w:spacing w:after="0"/>
        <w:jc w:val="center"/>
        <w:rPr>
          <w:rStyle w:val="Hyperlink"/>
          <w:rFonts w:ascii="Arial" w:hAnsi="Arial" w:cs="Arial"/>
          <w:color w:val="auto"/>
          <w:sz w:val="20"/>
          <w:szCs w:val="20"/>
          <w:u w:val="none"/>
        </w:rPr>
      </w:pPr>
      <w:r>
        <w:rPr>
          <w:rStyle w:val="Hyperlink"/>
          <w:rFonts w:ascii="Arial" w:hAnsi="Arial" w:cs="Arial"/>
          <w:b/>
          <w:color w:val="auto"/>
          <w:sz w:val="20"/>
          <w:szCs w:val="20"/>
          <w:u w:val="none"/>
        </w:rPr>
        <w:t>Fig.</w:t>
      </w:r>
      <w:r w:rsidR="00AA59C3">
        <w:rPr>
          <w:rStyle w:val="Hyperlink"/>
          <w:rFonts w:ascii="Arial" w:hAnsi="Arial" w:cs="Arial"/>
          <w:b/>
          <w:color w:val="auto"/>
          <w:sz w:val="20"/>
          <w:szCs w:val="20"/>
          <w:u w:val="none"/>
        </w:rPr>
        <w:t xml:space="preserve"> </w:t>
      </w:r>
      <w:r>
        <w:rPr>
          <w:rStyle w:val="Hyperlink"/>
          <w:rFonts w:ascii="Arial" w:hAnsi="Arial" w:cs="Arial"/>
          <w:b/>
          <w:color w:val="auto"/>
          <w:sz w:val="20"/>
          <w:szCs w:val="20"/>
          <w:u w:val="none"/>
        </w:rPr>
        <w:t>4</w:t>
      </w:r>
      <w:r>
        <w:rPr>
          <w:rStyle w:val="Hyperlink"/>
          <w:rFonts w:ascii="Arial" w:hAnsi="Arial" w:cs="Arial"/>
          <w:color w:val="auto"/>
          <w:sz w:val="20"/>
          <w:szCs w:val="20"/>
          <w:u w:val="none"/>
        </w:rPr>
        <w:t xml:space="preserve">: Rembrandt’s Sacrifice of Isaac. </w:t>
      </w:r>
      <w:proofErr w:type="gramStart"/>
      <w:r>
        <w:rPr>
          <w:rStyle w:val="Hyperlink"/>
          <w:rFonts w:ascii="Arial" w:hAnsi="Arial" w:cs="Arial"/>
          <w:color w:val="auto"/>
          <w:sz w:val="20"/>
          <w:szCs w:val="20"/>
          <w:u w:val="none"/>
        </w:rPr>
        <w:t>[Online].</w:t>
      </w:r>
      <w:proofErr w:type="gramEnd"/>
      <w:r>
        <w:rPr>
          <w:rStyle w:val="Hyperlink"/>
          <w:rFonts w:ascii="Arial" w:hAnsi="Arial" w:cs="Arial"/>
          <w:color w:val="auto"/>
          <w:sz w:val="20"/>
          <w:szCs w:val="20"/>
          <w:u w:val="none"/>
        </w:rPr>
        <w:t xml:space="preserve"> 29</w:t>
      </w:r>
      <w:r w:rsidRPr="001C7973">
        <w:rPr>
          <w:rStyle w:val="Hyperlink"/>
          <w:rFonts w:ascii="Arial" w:hAnsi="Arial" w:cs="Arial"/>
          <w:color w:val="auto"/>
          <w:sz w:val="20"/>
          <w:szCs w:val="20"/>
          <w:u w:val="none"/>
          <w:vertAlign w:val="superscript"/>
        </w:rPr>
        <w:t>th</w:t>
      </w:r>
      <w:r>
        <w:rPr>
          <w:rStyle w:val="Hyperlink"/>
          <w:rFonts w:ascii="Arial" w:hAnsi="Arial" w:cs="Arial"/>
          <w:color w:val="auto"/>
          <w:sz w:val="20"/>
          <w:szCs w:val="20"/>
          <w:u w:val="none"/>
        </w:rPr>
        <w:t xml:space="preserve"> June 2021.</w:t>
      </w:r>
    </w:p>
    <w:p w:rsidR="000444E2" w:rsidRDefault="001C7973" w:rsidP="001C7973">
      <w:pPr>
        <w:spacing w:after="0"/>
        <w:jc w:val="center"/>
        <w:rPr>
          <w:rStyle w:val="Hyperlink"/>
          <w:rFonts w:ascii="Arial" w:hAnsi="Arial" w:cs="Arial"/>
          <w:sz w:val="20"/>
          <w:szCs w:val="20"/>
        </w:rPr>
      </w:pPr>
      <w:r>
        <w:rPr>
          <w:rStyle w:val="Hyperlink"/>
          <w:rFonts w:ascii="Arial" w:hAnsi="Arial" w:cs="Arial"/>
          <w:color w:val="auto"/>
          <w:sz w:val="20"/>
          <w:szCs w:val="20"/>
          <w:u w:val="none"/>
        </w:rPr>
        <w:t xml:space="preserve">Available from: </w:t>
      </w:r>
      <w:hyperlink r:id="rId17" w:history="1">
        <w:r w:rsidR="000A350C" w:rsidRPr="00337B72">
          <w:rPr>
            <w:rStyle w:val="Hyperlink"/>
            <w:rFonts w:ascii="Arial" w:hAnsi="Arial" w:cs="Arial"/>
            <w:sz w:val="20"/>
            <w:szCs w:val="20"/>
          </w:rPr>
          <w:t>https://www.hermitagemuseum.org/wps/portal/hermitage/digital-collection/01.+Paintings/43367/</w:t>
        </w:r>
      </w:hyperlink>
    </w:p>
    <w:p w:rsidR="000444E2" w:rsidRPr="003426DD" w:rsidRDefault="000444E2" w:rsidP="003426DD">
      <w:pPr>
        <w:spacing w:after="0"/>
        <w:jc w:val="both"/>
        <w:rPr>
          <w:rStyle w:val="Hyperlink"/>
          <w:rFonts w:ascii="Arial" w:hAnsi="Arial" w:cs="Arial"/>
          <w:color w:val="auto"/>
          <w:sz w:val="24"/>
          <w:szCs w:val="24"/>
          <w:u w:val="none"/>
        </w:rPr>
      </w:pPr>
      <w:r>
        <w:rPr>
          <w:rStyle w:val="Hyperlink"/>
          <w:rFonts w:ascii="Arial" w:hAnsi="Arial" w:cs="Arial"/>
          <w:sz w:val="20"/>
          <w:szCs w:val="20"/>
          <w:u w:val="none"/>
        </w:rPr>
        <w:lastRenderedPageBreak/>
        <w:tab/>
      </w:r>
      <w:r w:rsidRPr="003426DD">
        <w:rPr>
          <w:rStyle w:val="Hyperlink"/>
          <w:rFonts w:ascii="Arial" w:hAnsi="Arial" w:cs="Arial"/>
          <w:color w:val="auto"/>
          <w:sz w:val="24"/>
          <w:szCs w:val="24"/>
          <w:u w:val="none"/>
        </w:rPr>
        <w:t>Rembrandt’s painting is full of emotion and tension. The use of light and shad</w:t>
      </w:r>
      <w:r w:rsidR="009259EA" w:rsidRPr="003426DD">
        <w:rPr>
          <w:rStyle w:val="Hyperlink"/>
          <w:rFonts w:ascii="Arial" w:hAnsi="Arial" w:cs="Arial"/>
          <w:color w:val="auto"/>
          <w:sz w:val="24"/>
          <w:szCs w:val="24"/>
          <w:u w:val="none"/>
        </w:rPr>
        <w:t>e contribute to the drama, with the most important parts of the painting</w:t>
      </w:r>
      <w:r w:rsidR="003864B6">
        <w:rPr>
          <w:rStyle w:val="Hyperlink"/>
          <w:rFonts w:ascii="Arial" w:hAnsi="Arial" w:cs="Arial"/>
          <w:color w:val="auto"/>
          <w:sz w:val="24"/>
          <w:szCs w:val="24"/>
          <w:u w:val="none"/>
        </w:rPr>
        <w:t xml:space="preserve"> in my view</w:t>
      </w:r>
      <w:r w:rsidR="009259EA" w:rsidRPr="003426DD">
        <w:rPr>
          <w:rStyle w:val="Hyperlink"/>
          <w:rFonts w:ascii="Arial" w:hAnsi="Arial" w:cs="Arial"/>
          <w:color w:val="auto"/>
          <w:sz w:val="24"/>
          <w:szCs w:val="24"/>
          <w:u w:val="none"/>
        </w:rPr>
        <w:t>, the hands and faces of Abraham</w:t>
      </w:r>
      <w:r w:rsidR="003864B6">
        <w:rPr>
          <w:rStyle w:val="Hyperlink"/>
          <w:rFonts w:ascii="Arial" w:hAnsi="Arial" w:cs="Arial"/>
          <w:color w:val="auto"/>
          <w:sz w:val="24"/>
          <w:szCs w:val="24"/>
          <w:u w:val="none"/>
        </w:rPr>
        <w:t xml:space="preserve"> and the angel, and</w:t>
      </w:r>
      <w:r w:rsidR="009259EA" w:rsidRPr="003426DD">
        <w:rPr>
          <w:rStyle w:val="Hyperlink"/>
          <w:rFonts w:ascii="Arial" w:hAnsi="Arial" w:cs="Arial"/>
          <w:color w:val="auto"/>
          <w:sz w:val="24"/>
          <w:szCs w:val="24"/>
          <w:u w:val="none"/>
        </w:rPr>
        <w:t xml:space="preserve"> Isaac’s body, being in full light. Abraham’s face is very expressive, and indicates to me both horror and acceptance of the imminent sacrifice of his son, and disbelief</w:t>
      </w:r>
      <w:r w:rsidR="003864B6">
        <w:rPr>
          <w:rStyle w:val="Hyperlink"/>
          <w:rFonts w:ascii="Arial" w:hAnsi="Arial" w:cs="Arial"/>
          <w:color w:val="auto"/>
          <w:sz w:val="24"/>
          <w:szCs w:val="24"/>
          <w:u w:val="none"/>
        </w:rPr>
        <w:t xml:space="preserve"> and relief</w:t>
      </w:r>
      <w:r w:rsidR="009259EA" w:rsidRPr="003426DD">
        <w:rPr>
          <w:rStyle w:val="Hyperlink"/>
          <w:rFonts w:ascii="Arial" w:hAnsi="Arial" w:cs="Arial"/>
          <w:color w:val="auto"/>
          <w:sz w:val="24"/>
          <w:szCs w:val="24"/>
          <w:u w:val="none"/>
        </w:rPr>
        <w:t xml:space="preserve"> that the angel has come to stop him carrying out the act which God has requested. Rembrandt has chosen to cover Isaac’s face with his hand, perhaps so that he cannot see exactly when his father is going to strike, or, alternatively, so that Abraham cannot see any emotions on his son’s face. Isaac is not represented as being bound in this painting, unless his hands are bound behind his back, indicating that he is passively accepting his fate.</w:t>
      </w:r>
    </w:p>
    <w:p w:rsidR="00AA59C3" w:rsidRDefault="00AA59C3" w:rsidP="001C7973">
      <w:pPr>
        <w:spacing w:after="0"/>
        <w:jc w:val="center"/>
        <w:rPr>
          <w:rStyle w:val="Hyperlink"/>
          <w:rFonts w:ascii="Arial" w:hAnsi="Arial" w:cs="Arial"/>
          <w:color w:val="auto"/>
          <w:sz w:val="20"/>
          <w:szCs w:val="20"/>
          <w:u w:val="none"/>
        </w:rPr>
      </w:pPr>
    </w:p>
    <w:p w:rsidR="00AA59C3" w:rsidRDefault="00AA59C3" w:rsidP="001C7973">
      <w:pPr>
        <w:spacing w:after="0"/>
        <w:jc w:val="center"/>
        <w:rPr>
          <w:rStyle w:val="Hyperlink"/>
          <w:rFonts w:ascii="Arial" w:hAnsi="Arial" w:cs="Arial"/>
          <w:color w:val="auto"/>
          <w:sz w:val="20"/>
          <w:szCs w:val="20"/>
          <w:u w:val="none"/>
        </w:rPr>
      </w:pPr>
    </w:p>
    <w:p w:rsidR="00AA59C3" w:rsidRDefault="00AA59C3" w:rsidP="001C7973">
      <w:pPr>
        <w:spacing w:after="0"/>
        <w:jc w:val="center"/>
        <w:rPr>
          <w:rStyle w:val="Hyperlink"/>
          <w:rFonts w:ascii="Arial" w:hAnsi="Arial" w:cs="Arial"/>
          <w:color w:val="auto"/>
          <w:sz w:val="20"/>
          <w:szCs w:val="20"/>
          <w:u w:val="none"/>
        </w:rPr>
      </w:pPr>
      <w:r>
        <w:rPr>
          <w:rFonts w:ascii="Arial" w:hAnsi="Arial" w:cs="Arial"/>
          <w:noProof/>
          <w:sz w:val="20"/>
          <w:szCs w:val="20"/>
          <w:lang w:eastAsia="en-GB"/>
        </w:rPr>
        <w:drawing>
          <wp:inline distT="0" distB="0" distL="0" distR="0">
            <wp:extent cx="2825086" cy="2868644"/>
            <wp:effectExtent l="0" t="0" r="0" b="8255"/>
            <wp:docPr id="7" name="Picture 7" descr="C:\Users\Diane\Desktop\Ancient Religions\HPRS7015\Assessment 2\Chagall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ane\Desktop\Ancient Religions\HPRS7015\Assessment 2\Chagall Im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26919" cy="2870505"/>
                    </a:xfrm>
                    <a:prstGeom prst="rect">
                      <a:avLst/>
                    </a:prstGeom>
                    <a:noFill/>
                    <a:ln>
                      <a:noFill/>
                    </a:ln>
                  </pic:spPr>
                </pic:pic>
              </a:graphicData>
            </a:graphic>
          </wp:inline>
        </w:drawing>
      </w:r>
    </w:p>
    <w:p w:rsidR="00AA59C3" w:rsidRDefault="00AA59C3" w:rsidP="001C7973">
      <w:pPr>
        <w:spacing w:after="0"/>
        <w:jc w:val="center"/>
        <w:rPr>
          <w:rStyle w:val="Hyperlink"/>
          <w:rFonts w:ascii="Arial" w:hAnsi="Arial" w:cs="Arial"/>
          <w:color w:val="auto"/>
          <w:sz w:val="20"/>
          <w:szCs w:val="20"/>
          <w:u w:val="none"/>
        </w:rPr>
      </w:pPr>
    </w:p>
    <w:p w:rsidR="00AA59C3" w:rsidRDefault="000A350C" w:rsidP="001C7973">
      <w:pPr>
        <w:spacing w:after="0"/>
        <w:jc w:val="center"/>
        <w:rPr>
          <w:rStyle w:val="Hyperlink"/>
          <w:rFonts w:ascii="Arial" w:hAnsi="Arial" w:cs="Arial"/>
          <w:color w:val="auto"/>
          <w:sz w:val="20"/>
          <w:szCs w:val="20"/>
          <w:u w:val="none"/>
        </w:rPr>
      </w:pPr>
      <w:r>
        <w:rPr>
          <w:rStyle w:val="Hyperlink"/>
          <w:rFonts w:ascii="Arial" w:hAnsi="Arial" w:cs="Arial"/>
          <w:color w:val="auto"/>
          <w:sz w:val="20"/>
          <w:szCs w:val="20"/>
          <w:u w:val="none"/>
        </w:rPr>
        <w:t xml:space="preserve"> </w:t>
      </w:r>
    </w:p>
    <w:p w:rsidR="00AA59C3" w:rsidRDefault="00AA59C3" w:rsidP="001C7973">
      <w:pPr>
        <w:spacing w:after="0"/>
        <w:jc w:val="center"/>
        <w:rPr>
          <w:rStyle w:val="Hyperlink"/>
          <w:rFonts w:ascii="Arial" w:hAnsi="Arial" w:cs="Arial"/>
          <w:color w:val="auto"/>
          <w:sz w:val="20"/>
          <w:szCs w:val="20"/>
          <w:u w:val="none"/>
        </w:rPr>
      </w:pPr>
      <w:r>
        <w:rPr>
          <w:rStyle w:val="Hyperlink"/>
          <w:rFonts w:ascii="Arial" w:hAnsi="Arial" w:cs="Arial"/>
          <w:b/>
          <w:color w:val="auto"/>
          <w:sz w:val="20"/>
          <w:szCs w:val="20"/>
          <w:u w:val="none"/>
        </w:rPr>
        <w:t>Fig. 5</w:t>
      </w:r>
      <w:r>
        <w:rPr>
          <w:rStyle w:val="Hyperlink"/>
          <w:rFonts w:ascii="Arial" w:hAnsi="Arial" w:cs="Arial"/>
          <w:color w:val="auto"/>
          <w:sz w:val="20"/>
          <w:szCs w:val="20"/>
          <w:u w:val="none"/>
        </w:rPr>
        <w:t xml:space="preserve">: Chagall’s Sacrifice of Isaac. </w:t>
      </w:r>
      <w:proofErr w:type="gramStart"/>
      <w:r>
        <w:rPr>
          <w:rStyle w:val="Hyperlink"/>
          <w:rFonts w:ascii="Arial" w:hAnsi="Arial" w:cs="Arial"/>
          <w:color w:val="auto"/>
          <w:sz w:val="20"/>
          <w:szCs w:val="20"/>
          <w:u w:val="none"/>
        </w:rPr>
        <w:t>[Online].</w:t>
      </w:r>
      <w:proofErr w:type="gramEnd"/>
      <w:r>
        <w:rPr>
          <w:rStyle w:val="Hyperlink"/>
          <w:rFonts w:ascii="Arial" w:hAnsi="Arial" w:cs="Arial"/>
          <w:color w:val="auto"/>
          <w:sz w:val="20"/>
          <w:szCs w:val="20"/>
          <w:u w:val="none"/>
        </w:rPr>
        <w:t xml:space="preserve"> 30</w:t>
      </w:r>
      <w:r w:rsidRPr="00AA59C3">
        <w:rPr>
          <w:rStyle w:val="Hyperlink"/>
          <w:rFonts w:ascii="Arial" w:hAnsi="Arial" w:cs="Arial"/>
          <w:color w:val="auto"/>
          <w:sz w:val="20"/>
          <w:szCs w:val="20"/>
          <w:u w:val="none"/>
          <w:vertAlign w:val="superscript"/>
        </w:rPr>
        <w:t>th</w:t>
      </w:r>
      <w:r>
        <w:rPr>
          <w:rStyle w:val="Hyperlink"/>
          <w:rFonts w:ascii="Arial" w:hAnsi="Arial" w:cs="Arial"/>
          <w:color w:val="auto"/>
          <w:sz w:val="20"/>
          <w:szCs w:val="20"/>
          <w:u w:val="none"/>
        </w:rPr>
        <w:t xml:space="preserve"> June 2021.</w:t>
      </w:r>
    </w:p>
    <w:p w:rsidR="009259EA" w:rsidRDefault="00AA59C3" w:rsidP="001C7973">
      <w:pPr>
        <w:spacing w:after="0"/>
        <w:jc w:val="center"/>
        <w:rPr>
          <w:rStyle w:val="Hyperlink"/>
          <w:rFonts w:ascii="Arial" w:hAnsi="Arial" w:cs="Arial"/>
          <w:color w:val="auto"/>
          <w:sz w:val="20"/>
          <w:szCs w:val="20"/>
          <w:u w:val="none"/>
        </w:rPr>
      </w:pPr>
      <w:r>
        <w:rPr>
          <w:rStyle w:val="Hyperlink"/>
          <w:rFonts w:ascii="Arial" w:hAnsi="Arial" w:cs="Arial"/>
          <w:color w:val="auto"/>
          <w:sz w:val="20"/>
          <w:szCs w:val="20"/>
          <w:u w:val="none"/>
        </w:rPr>
        <w:t xml:space="preserve">Available from: </w:t>
      </w:r>
      <w:hyperlink r:id="rId19" w:history="1">
        <w:r w:rsidRPr="00337B72">
          <w:rPr>
            <w:rStyle w:val="Hyperlink"/>
            <w:rFonts w:ascii="Arial" w:hAnsi="Arial" w:cs="Arial"/>
            <w:sz w:val="20"/>
            <w:szCs w:val="20"/>
          </w:rPr>
          <w:t>https://wanford.com/the-sacrifice-of-isaac-1966-by-marc-chagall/</w:t>
        </w:r>
      </w:hyperlink>
      <w:r>
        <w:rPr>
          <w:rStyle w:val="Hyperlink"/>
          <w:rFonts w:ascii="Arial" w:hAnsi="Arial" w:cs="Arial"/>
          <w:color w:val="auto"/>
          <w:sz w:val="20"/>
          <w:szCs w:val="20"/>
          <w:u w:val="none"/>
        </w:rPr>
        <w:t xml:space="preserve"> </w:t>
      </w:r>
    </w:p>
    <w:p w:rsidR="009259EA" w:rsidRDefault="009259EA" w:rsidP="001C7973">
      <w:pPr>
        <w:spacing w:after="0"/>
        <w:jc w:val="center"/>
        <w:rPr>
          <w:rStyle w:val="Hyperlink"/>
          <w:rFonts w:ascii="Arial" w:hAnsi="Arial" w:cs="Arial"/>
          <w:color w:val="auto"/>
          <w:sz w:val="20"/>
          <w:szCs w:val="20"/>
          <w:u w:val="none"/>
        </w:rPr>
      </w:pPr>
    </w:p>
    <w:p w:rsidR="001C7973" w:rsidRPr="003426DD" w:rsidRDefault="009259EA" w:rsidP="003426DD">
      <w:pPr>
        <w:spacing w:after="0"/>
        <w:jc w:val="both"/>
        <w:rPr>
          <w:rStyle w:val="Hyperlink"/>
          <w:rFonts w:ascii="Arial" w:hAnsi="Arial" w:cs="Arial"/>
          <w:color w:val="auto"/>
          <w:sz w:val="24"/>
          <w:szCs w:val="24"/>
          <w:u w:val="none"/>
        </w:rPr>
      </w:pPr>
      <w:r>
        <w:rPr>
          <w:rStyle w:val="Hyperlink"/>
          <w:rFonts w:ascii="Arial" w:hAnsi="Arial" w:cs="Arial"/>
          <w:color w:val="auto"/>
          <w:sz w:val="20"/>
          <w:szCs w:val="20"/>
          <w:u w:val="none"/>
        </w:rPr>
        <w:tab/>
      </w:r>
      <w:r w:rsidR="001C7973">
        <w:rPr>
          <w:rStyle w:val="Hyperlink"/>
          <w:rFonts w:ascii="Arial" w:hAnsi="Arial" w:cs="Arial"/>
          <w:color w:val="auto"/>
          <w:sz w:val="20"/>
          <w:szCs w:val="20"/>
          <w:u w:val="none"/>
        </w:rPr>
        <w:t xml:space="preserve"> </w:t>
      </w:r>
      <w:r w:rsidR="00BC0DAD" w:rsidRPr="003426DD">
        <w:rPr>
          <w:rStyle w:val="Hyperlink"/>
          <w:rFonts w:ascii="Arial" w:hAnsi="Arial" w:cs="Arial"/>
          <w:color w:val="auto"/>
          <w:sz w:val="24"/>
          <w:szCs w:val="24"/>
          <w:u w:val="none"/>
        </w:rPr>
        <w:t xml:space="preserve">Chagall’s painting </w:t>
      </w:r>
      <w:r w:rsidR="005F2D01" w:rsidRPr="003426DD">
        <w:rPr>
          <w:rStyle w:val="Hyperlink"/>
          <w:rFonts w:ascii="Arial" w:hAnsi="Arial" w:cs="Arial"/>
          <w:color w:val="auto"/>
          <w:sz w:val="24"/>
          <w:szCs w:val="24"/>
          <w:u w:val="none"/>
        </w:rPr>
        <w:t>appears</w:t>
      </w:r>
      <w:r w:rsidR="00BC0DAD" w:rsidRPr="003426DD">
        <w:rPr>
          <w:rStyle w:val="Hyperlink"/>
          <w:rFonts w:ascii="Arial" w:hAnsi="Arial" w:cs="Arial"/>
          <w:color w:val="auto"/>
          <w:sz w:val="24"/>
          <w:szCs w:val="24"/>
          <w:u w:val="none"/>
        </w:rPr>
        <w:t xml:space="preserve"> very different to that of Rembrandt. </w:t>
      </w:r>
      <w:r w:rsidR="003426DD" w:rsidRPr="003426DD">
        <w:rPr>
          <w:rStyle w:val="Hyperlink"/>
          <w:rFonts w:ascii="Arial" w:hAnsi="Arial" w:cs="Arial"/>
          <w:color w:val="auto"/>
          <w:sz w:val="24"/>
          <w:szCs w:val="24"/>
          <w:u w:val="none"/>
        </w:rPr>
        <w:t>The first point is that i</w:t>
      </w:r>
      <w:r w:rsidR="00BC0DAD" w:rsidRPr="003426DD">
        <w:rPr>
          <w:rStyle w:val="Hyperlink"/>
          <w:rFonts w:ascii="Arial" w:hAnsi="Arial" w:cs="Arial"/>
          <w:color w:val="auto"/>
          <w:sz w:val="24"/>
          <w:szCs w:val="24"/>
          <w:u w:val="none"/>
        </w:rPr>
        <w:t>t is full of colour. Interestin</w:t>
      </w:r>
      <w:r w:rsidR="005F2D01" w:rsidRPr="003426DD">
        <w:rPr>
          <w:rStyle w:val="Hyperlink"/>
          <w:rFonts w:ascii="Arial" w:hAnsi="Arial" w:cs="Arial"/>
          <w:color w:val="auto"/>
          <w:sz w:val="24"/>
          <w:szCs w:val="24"/>
          <w:u w:val="none"/>
        </w:rPr>
        <w:t xml:space="preserve">gly, Abraham </w:t>
      </w:r>
      <w:r w:rsidR="00BC0DAD" w:rsidRPr="003426DD">
        <w:rPr>
          <w:rStyle w:val="Hyperlink"/>
          <w:rFonts w:ascii="Arial" w:hAnsi="Arial" w:cs="Arial"/>
          <w:color w:val="auto"/>
          <w:sz w:val="24"/>
          <w:szCs w:val="24"/>
          <w:u w:val="none"/>
        </w:rPr>
        <w:t xml:space="preserve">and Isaac </w:t>
      </w:r>
      <w:r w:rsidR="005F2D01" w:rsidRPr="003426DD">
        <w:rPr>
          <w:rStyle w:val="Hyperlink"/>
          <w:rFonts w:ascii="Arial" w:hAnsi="Arial" w:cs="Arial"/>
          <w:color w:val="auto"/>
          <w:sz w:val="24"/>
          <w:szCs w:val="24"/>
          <w:u w:val="none"/>
        </w:rPr>
        <w:t>are painted in red and yellow</w:t>
      </w:r>
      <w:r w:rsidR="003426DD" w:rsidRPr="003426DD">
        <w:rPr>
          <w:rStyle w:val="Hyperlink"/>
          <w:rFonts w:ascii="Arial" w:hAnsi="Arial" w:cs="Arial"/>
          <w:color w:val="auto"/>
          <w:sz w:val="24"/>
          <w:szCs w:val="24"/>
          <w:u w:val="none"/>
        </w:rPr>
        <w:t>, possibly</w:t>
      </w:r>
      <w:r w:rsidR="005F2D01" w:rsidRPr="003426DD">
        <w:rPr>
          <w:rStyle w:val="Hyperlink"/>
          <w:rFonts w:ascii="Arial" w:hAnsi="Arial" w:cs="Arial"/>
          <w:color w:val="auto"/>
          <w:sz w:val="24"/>
          <w:szCs w:val="24"/>
          <w:u w:val="none"/>
        </w:rPr>
        <w:t xml:space="preserve"> re</w:t>
      </w:r>
      <w:r w:rsidR="00BC0DAD" w:rsidRPr="003426DD">
        <w:rPr>
          <w:rStyle w:val="Hyperlink"/>
          <w:rFonts w:ascii="Arial" w:hAnsi="Arial" w:cs="Arial"/>
          <w:color w:val="auto"/>
          <w:sz w:val="24"/>
          <w:szCs w:val="24"/>
          <w:u w:val="none"/>
        </w:rPr>
        <w:t>present</w:t>
      </w:r>
      <w:r w:rsidR="003426DD" w:rsidRPr="003426DD">
        <w:rPr>
          <w:rStyle w:val="Hyperlink"/>
          <w:rFonts w:ascii="Arial" w:hAnsi="Arial" w:cs="Arial"/>
          <w:color w:val="auto"/>
          <w:sz w:val="24"/>
          <w:szCs w:val="24"/>
          <w:u w:val="none"/>
        </w:rPr>
        <w:t>ing</w:t>
      </w:r>
      <w:r w:rsidR="00BC0DAD" w:rsidRPr="003426DD">
        <w:rPr>
          <w:rStyle w:val="Hyperlink"/>
          <w:rFonts w:ascii="Arial" w:hAnsi="Arial" w:cs="Arial"/>
          <w:color w:val="auto"/>
          <w:sz w:val="24"/>
          <w:szCs w:val="24"/>
          <w:u w:val="none"/>
        </w:rPr>
        <w:t xml:space="preserve"> the “burnt offering” aspect of the st</w:t>
      </w:r>
      <w:r w:rsidR="005F2D01" w:rsidRPr="003426DD">
        <w:rPr>
          <w:rStyle w:val="Hyperlink"/>
          <w:rFonts w:ascii="Arial" w:hAnsi="Arial" w:cs="Arial"/>
          <w:color w:val="auto"/>
          <w:sz w:val="24"/>
          <w:szCs w:val="24"/>
          <w:u w:val="none"/>
        </w:rPr>
        <w:t>ory in Genesis 22:2. This is</w:t>
      </w:r>
      <w:r w:rsidR="00BC0DAD" w:rsidRPr="003426DD">
        <w:rPr>
          <w:rStyle w:val="Hyperlink"/>
          <w:rFonts w:ascii="Arial" w:hAnsi="Arial" w:cs="Arial"/>
          <w:color w:val="auto"/>
          <w:sz w:val="24"/>
          <w:szCs w:val="24"/>
          <w:u w:val="none"/>
        </w:rPr>
        <w:t xml:space="preserve"> particularly </w:t>
      </w:r>
      <w:r w:rsidR="005F2D01" w:rsidRPr="003426DD">
        <w:rPr>
          <w:rStyle w:val="Hyperlink"/>
          <w:rFonts w:ascii="Arial" w:hAnsi="Arial" w:cs="Arial"/>
          <w:color w:val="auto"/>
          <w:sz w:val="24"/>
          <w:szCs w:val="24"/>
          <w:u w:val="none"/>
        </w:rPr>
        <w:t xml:space="preserve">relevant </w:t>
      </w:r>
      <w:r w:rsidR="00BC0DAD" w:rsidRPr="003426DD">
        <w:rPr>
          <w:rStyle w:val="Hyperlink"/>
          <w:rFonts w:ascii="Arial" w:hAnsi="Arial" w:cs="Arial"/>
          <w:color w:val="auto"/>
          <w:sz w:val="24"/>
          <w:szCs w:val="24"/>
          <w:u w:val="none"/>
        </w:rPr>
        <w:t>as the angel painted in blue is not physically restraining Abraham, suggesting</w:t>
      </w:r>
      <w:r w:rsidR="003864B6">
        <w:rPr>
          <w:rStyle w:val="Hyperlink"/>
          <w:rFonts w:ascii="Arial" w:hAnsi="Arial" w:cs="Arial"/>
          <w:color w:val="auto"/>
          <w:sz w:val="24"/>
          <w:szCs w:val="24"/>
          <w:u w:val="none"/>
        </w:rPr>
        <w:t xml:space="preserve"> to me</w:t>
      </w:r>
      <w:r w:rsidR="00BC0DAD" w:rsidRPr="003426DD">
        <w:rPr>
          <w:rStyle w:val="Hyperlink"/>
          <w:rFonts w:ascii="Arial" w:hAnsi="Arial" w:cs="Arial"/>
          <w:color w:val="auto"/>
          <w:sz w:val="24"/>
          <w:szCs w:val="24"/>
          <w:u w:val="none"/>
        </w:rPr>
        <w:t xml:space="preserve"> </w:t>
      </w:r>
      <w:r w:rsidR="003864B6">
        <w:rPr>
          <w:rStyle w:val="Hyperlink"/>
          <w:rFonts w:ascii="Arial" w:hAnsi="Arial" w:cs="Arial"/>
          <w:color w:val="auto"/>
          <w:sz w:val="24"/>
          <w:szCs w:val="24"/>
          <w:u w:val="none"/>
        </w:rPr>
        <w:t xml:space="preserve">the possibility </w:t>
      </w:r>
      <w:r w:rsidR="00BC0DAD" w:rsidRPr="003426DD">
        <w:rPr>
          <w:rStyle w:val="Hyperlink"/>
          <w:rFonts w:ascii="Arial" w:hAnsi="Arial" w:cs="Arial"/>
          <w:color w:val="auto"/>
          <w:sz w:val="24"/>
          <w:szCs w:val="24"/>
          <w:u w:val="none"/>
        </w:rPr>
        <w:t xml:space="preserve">that </w:t>
      </w:r>
      <w:r w:rsidR="003864B6">
        <w:rPr>
          <w:rStyle w:val="Hyperlink"/>
          <w:rFonts w:ascii="Arial" w:hAnsi="Arial" w:cs="Arial"/>
          <w:color w:val="auto"/>
          <w:sz w:val="24"/>
          <w:szCs w:val="24"/>
          <w:u w:val="none"/>
        </w:rPr>
        <w:t>both Abraham Isaac</w:t>
      </w:r>
      <w:r w:rsidR="005F2D01" w:rsidRPr="003426DD">
        <w:rPr>
          <w:rStyle w:val="Hyperlink"/>
          <w:rFonts w:ascii="Arial" w:hAnsi="Arial" w:cs="Arial"/>
          <w:color w:val="auto"/>
          <w:sz w:val="24"/>
          <w:szCs w:val="24"/>
          <w:u w:val="none"/>
        </w:rPr>
        <w:t xml:space="preserve"> </w:t>
      </w:r>
      <w:r w:rsidR="003426DD" w:rsidRPr="003426DD">
        <w:rPr>
          <w:rStyle w:val="Hyperlink"/>
          <w:rFonts w:ascii="Arial" w:hAnsi="Arial" w:cs="Arial"/>
          <w:color w:val="auto"/>
          <w:sz w:val="24"/>
          <w:szCs w:val="24"/>
          <w:u w:val="none"/>
        </w:rPr>
        <w:t>c</w:t>
      </w:r>
      <w:r w:rsidR="005F2D01" w:rsidRPr="003426DD">
        <w:rPr>
          <w:rStyle w:val="Hyperlink"/>
          <w:rFonts w:ascii="Arial" w:hAnsi="Arial" w:cs="Arial"/>
          <w:color w:val="auto"/>
          <w:sz w:val="24"/>
          <w:szCs w:val="24"/>
          <w:u w:val="none"/>
        </w:rPr>
        <w:t>ould die engulfed in flames.</w:t>
      </w:r>
      <w:r w:rsidR="00BC0DAD" w:rsidRPr="003426DD">
        <w:rPr>
          <w:rStyle w:val="Hyperlink"/>
          <w:rFonts w:ascii="Arial" w:hAnsi="Arial" w:cs="Arial"/>
          <w:color w:val="auto"/>
          <w:sz w:val="24"/>
          <w:szCs w:val="24"/>
          <w:u w:val="none"/>
        </w:rPr>
        <w:t xml:space="preserve"> Moreover, several other characters appear in this painting. The woman painted in blue to the left of Abraham and Isaac could be Sarah, praying that her son be saved. </w:t>
      </w:r>
      <w:r w:rsidR="003426DD" w:rsidRPr="003426DD">
        <w:rPr>
          <w:rStyle w:val="Hyperlink"/>
          <w:rFonts w:ascii="Arial" w:hAnsi="Arial" w:cs="Arial"/>
          <w:color w:val="auto"/>
          <w:sz w:val="24"/>
          <w:szCs w:val="24"/>
          <w:u w:val="none"/>
        </w:rPr>
        <w:t>The top part of the work</w:t>
      </w:r>
      <w:r w:rsidR="00BC0DAD" w:rsidRPr="003426DD">
        <w:rPr>
          <w:rStyle w:val="Hyperlink"/>
          <w:rFonts w:ascii="Arial" w:hAnsi="Arial" w:cs="Arial"/>
          <w:color w:val="auto"/>
          <w:sz w:val="24"/>
          <w:szCs w:val="24"/>
          <w:u w:val="none"/>
        </w:rPr>
        <w:t xml:space="preserve"> depict</w:t>
      </w:r>
      <w:r w:rsidR="003426DD" w:rsidRPr="003426DD">
        <w:rPr>
          <w:rStyle w:val="Hyperlink"/>
          <w:rFonts w:ascii="Arial" w:hAnsi="Arial" w:cs="Arial"/>
          <w:color w:val="auto"/>
          <w:sz w:val="24"/>
          <w:szCs w:val="24"/>
          <w:u w:val="none"/>
        </w:rPr>
        <w:t>s</w:t>
      </w:r>
      <w:r w:rsidR="00BC0DAD" w:rsidRPr="003426DD">
        <w:rPr>
          <w:rStyle w:val="Hyperlink"/>
          <w:rFonts w:ascii="Arial" w:hAnsi="Arial" w:cs="Arial"/>
          <w:color w:val="auto"/>
          <w:sz w:val="24"/>
          <w:szCs w:val="24"/>
          <w:u w:val="none"/>
        </w:rPr>
        <w:t xml:space="preserve"> Jesus’ crucifixion, </w:t>
      </w:r>
      <w:r w:rsidR="003426DD" w:rsidRPr="003426DD">
        <w:rPr>
          <w:rStyle w:val="Hyperlink"/>
          <w:rFonts w:ascii="Arial" w:hAnsi="Arial" w:cs="Arial"/>
          <w:color w:val="auto"/>
          <w:sz w:val="24"/>
          <w:szCs w:val="24"/>
          <w:u w:val="none"/>
        </w:rPr>
        <w:t>and again inc</w:t>
      </w:r>
      <w:r w:rsidR="008E217A">
        <w:rPr>
          <w:rStyle w:val="Hyperlink"/>
          <w:rFonts w:ascii="Arial" w:hAnsi="Arial" w:cs="Arial"/>
          <w:color w:val="auto"/>
          <w:sz w:val="24"/>
          <w:szCs w:val="24"/>
          <w:u w:val="none"/>
        </w:rPr>
        <w:t>ludes</w:t>
      </w:r>
      <w:r w:rsidR="00BC0DAD" w:rsidRPr="003426DD">
        <w:rPr>
          <w:rStyle w:val="Hyperlink"/>
          <w:rFonts w:ascii="Arial" w:hAnsi="Arial" w:cs="Arial"/>
          <w:color w:val="auto"/>
          <w:sz w:val="24"/>
          <w:szCs w:val="24"/>
          <w:u w:val="none"/>
        </w:rPr>
        <w:t xml:space="preserve"> a woman, </w:t>
      </w:r>
      <w:r w:rsidR="003426DD" w:rsidRPr="003426DD">
        <w:rPr>
          <w:rStyle w:val="Hyperlink"/>
          <w:rFonts w:ascii="Arial" w:hAnsi="Arial" w:cs="Arial"/>
          <w:color w:val="auto"/>
          <w:sz w:val="24"/>
          <w:szCs w:val="24"/>
          <w:u w:val="none"/>
        </w:rPr>
        <w:t>possibly</w:t>
      </w:r>
      <w:r w:rsidR="00BC0DAD" w:rsidRPr="003426DD">
        <w:rPr>
          <w:rStyle w:val="Hyperlink"/>
          <w:rFonts w:ascii="Arial" w:hAnsi="Arial" w:cs="Arial"/>
          <w:color w:val="auto"/>
          <w:sz w:val="24"/>
          <w:szCs w:val="24"/>
          <w:u w:val="none"/>
        </w:rPr>
        <w:t xml:space="preserve"> Mary. A white angel is also </w:t>
      </w:r>
      <w:r w:rsidR="003426DD" w:rsidRPr="003426DD">
        <w:rPr>
          <w:rStyle w:val="Hyperlink"/>
          <w:rFonts w:ascii="Arial" w:hAnsi="Arial" w:cs="Arial"/>
          <w:color w:val="auto"/>
          <w:sz w:val="24"/>
          <w:szCs w:val="24"/>
          <w:u w:val="none"/>
        </w:rPr>
        <w:t>present</w:t>
      </w:r>
      <w:r w:rsidR="005F2D01" w:rsidRPr="003426DD">
        <w:rPr>
          <w:rStyle w:val="Hyperlink"/>
          <w:rFonts w:ascii="Arial" w:hAnsi="Arial" w:cs="Arial"/>
          <w:color w:val="auto"/>
          <w:sz w:val="24"/>
          <w:szCs w:val="24"/>
          <w:u w:val="none"/>
        </w:rPr>
        <w:t xml:space="preserve"> in</w:t>
      </w:r>
      <w:r w:rsidR="00BC0DAD" w:rsidRPr="003426DD">
        <w:rPr>
          <w:rStyle w:val="Hyperlink"/>
          <w:rFonts w:ascii="Arial" w:hAnsi="Arial" w:cs="Arial"/>
          <w:color w:val="auto"/>
          <w:sz w:val="24"/>
          <w:szCs w:val="24"/>
          <w:u w:val="none"/>
        </w:rPr>
        <w:t xml:space="preserve"> the top left of the painting, and could depict the second appearance of an angel to Abraham in Genesis 22:17, who promised Abraham God’s blessing and many descendants. Like </w:t>
      </w:r>
      <w:r w:rsidR="00BC0DAD" w:rsidRPr="003426DD">
        <w:rPr>
          <w:rStyle w:val="Hyperlink"/>
          <w:rFonts w:ascii="Arial" w:hAnsi="Arial" w:cs="Arial"/>
          <w:color w:val="auto"/>
          <w:sz w:val="24"/>
          <w:szCs w:val="24"/>
          <w:u w:val="none"/>
        </w:rPr>
        <w:lastRenderedPageBreak/>
        <w:t>i</w:t>
      </w:r>
      <w:r w:rsidR="008E217A">
        <w:rPr>
          <w:rStyle w:val="Hyperlink"/>
          <w:rFonts w:ascii="Arial" w:hAnsi="Arial" w:cs="Arial"/>
          <w:color w:val="auto"/>
          <w:sz w:val="24"/>
          <w:szCs w:val="24"/>
          <w:u w:val="none"/>
        </w:rPr>
        <w:t>n Rembrandt’s painting,</w:t>
      </w:r>
      <w:r w:rsidR="00BC0DAD" w:rsidRPr="003426DD">
        <w:rPr>
          <w:rStyle w:val="Hyperlink"/>
          <w:rFonts w:ascii="Arial" w:hAnsi="Arial" w:cs="Arial"/>
          <w:color w:val="auto"/>
          <w:sz w:val="24"/>
          <w:szCs w:val="24"/>
          <w:u w:val="none"/>
        </w:rPr>
        <w:t xml:space="preserve"> Isaac is unbound, a</w:t>
      </w:r>
      <w:r w:rsidR="008E217A">
        <w:rPr>
          <w:rStyle w:val="Hyperlink"/>
          <w:rFonts w:ascii="Arial" w:hAnsi="Arial" w:cs="Arial"/>
          <w:color w:val="auto"/>
          <w:sz w:val="24"/>
          <w:szCs w:val="24"/>
          <w:u w:val="none"/>
        </w:rPr>
        <w:t>gain</w:t>
      </w:r>
      <w:r w:rsidR="00BC0DAD" w:rsidRPr="003426DD">
        <w:rPr>
          <w:rStyle w:val="Hyperlink"/>
          <w:rFonts w:ascii="Arial" w:hAnsi="Arial" w:cs="Arial"/>
          <w:color w:val="auto"/>
          <w:sz w:val="24"/>
          <w:szCs w:val="24"/>
          <w:u w:val="none"/>
        </w:rPr>
        <w:t xml:space="preserve"> depicted as a passive participant in the event.</w:t>
      </w:r>
    </w:p>
    <w:p w:rsidR="004F5DCC" w:rsidRDefault="00BC0DAD" w:rsidP="003426DD">
      <w:pPr>
        <w:spacing w:after="0"/>
        <w:jc w:val="both"/>
        <w:rPr>
          <w:rStyle w:val="Hyperlink"/>
          <w:rFonts w:ascii="Arial" w:hAnsi="Arial" w:cs="Arial"/>
          <w:color w:val="auto"/>
          <w:sz w:val="24"/>
          <w:szCs w:val="24"/>
          <w:u w:val="none"/>
        </w:rPr>
      </w:pPr>
      <w:r w:rsidRPr="003426DD">
        <w:rPr>
          <w:rStyle w:val="Hyperlink"/>
          <w:rFonts w:ascii="Arial" w:hAnsi="Arial" w:cs="Arial"/>
          <w:color w:val="auto"/>
          <w:sz w:val="24"/>
          <w:szCs w:val="24"/>
          <w:u w:val="none"/>
        </w:rPr>
        <w:tab/>
      </w:r>
      <w:r w:rsidR="005F2D01" w:rsidRPr="003426DD">
        <w:rPr>
          <w:rStyle w:val="Hyperlink"/>
          <w:rFonts w:ascii="Arial" w:hAnsi="Arial" w:cs="Arial"/>
          <w:color w:val="auto"/>
          <w:sz w:val="24"/>
          <w:szCs w:val="24"/>
          <w:u w:val="none"/>
        </w:rPr>
        <w:t xml:space="preserve">It is unsurprising that </w:t>
      </w:r>
      <w:r w:rsidRPr="003426DD">
        <w:rPr>
          <w:rStyle w:val="Hyperlink"/>
          <w:rFonts w:ascii="Arial" w:hAnsi="Arial" w:cs="Arial"/>
          <w:color w:val="auto"/>
          <w:sz w:val="24"/>
          <w:szCs w:val="24"/>
          <w:u w:val="none"/>
        </w:rPr>
        <w:t>Rembrandt (a Christian)</w:t>
      </w:r>
      <w:r w:rsidR="005F2D01" w:rsidRPr="003426DD">
        <w:rPr>
          <w:rStyle w:val="Hyperlink"/>
          <w:rFonts w:ascii="Arial" w:hAnsi="Arial" w:cs="Arial"/>
          <w:color w:val="auto"/>
          <w:sz w:val="24"/>
          <w:szCs w:val="24"/>
          <w:u w:val="none"/>
        </w:rPr>
        <w:t>,</w:t>
      </w:r>
      <w:r w:rsidRPr="003426DD">
        <w:rPr>
          <w:rStyle w:val="Hyperlink"/>
          <w:rFonts w:ascii="Arial" w:hAnsi="Arial" w:cs="Arial"/>
          <w:color w:val="auto"/>
          <w:sz w:val="24"/>
          <w:szCs w:val="24"/>
          <w:u w:val="none"/>
        </w:rPr>
        <w:t xml:space="preserve"> </w:t>
      </w:r>
      <w:r w:rsidR="008E217A">
        <w:rPr>
          <w:rStyle w:val="Hyperlink"/>
          <w:rFonts w:ascii="Arial" w:hAnsi="Arial" w:cs="Arial"/>
          <w:color w:val="auto"/>
          <w:sz w:val="24"/>
          <w:szCs w:val="24"/>
          <w:u w:val="none"/>
        </w:rPr>
        <w:t>and Chagall (a Russian Jew),</w:t>
      </w:r>
      <w:r w:rsidRPr="003426DD">
        <w:rPr>
          <w:rStyle w:val="Hyperlink"/>
          <w:rFonts w:ascii="Arial" w:hAnsi="Arial" w:cs="Arial"/>
          <w:color w:val="auto"/>
          <w:sz w:val="24"/>
          <w:szCs w:val="24"/>
          <w:u w:val="none"/>
        </w:rPr>
        <w:t xml:space="preserve"> from the 17</w:t>
      </w:r>
      <w:r w:rsidRPr="003426DD">
        <w:rPr>
          <w:rStyle w:val="Hyperlink"/>
          <w:rFonts w:ascii="Arial" w:hAnsi="Arial" w:cs="Arial"/>
          <w:color w:val="auto"/>
          <w:sz w:val="24"/>
          <w:szCs w:val="24"/>
          <w:u w:val="none"/>
          <w:vertAlign w:val="superscript"/>
        </w:rPr>
        <w:t>th</w:t>
      </w:r>
      <w:r w:rsidR="008E217A">
        <w:rPr>
          <w:rStyle w:val="Hyperlink"/>
          <w:rFonts w:ascii="Arial" w:hAnsi="Arial" w:cs="Arial"/>
          <w:color w:val="auto"/>
          <w:sz w:val="24"/>
          <w:szCs w:val="24"/>
          <w:u w:val="none"/>
        </w:rPr>
        <w:t xml:space="preserve"> </w:t>
      </w:r>
      <w:proofErr w:type="gramStart"/>
      <w:r w:rsidR="008E217A">
        <w:rPr>
          <w:rStyle w:val="Hyperlink"/>
          <w:rFonts w:ascii="Arial" w:hAnsi="Arial" w:cs="Arial"/>
          <w:color w:val="auto"/>
          <w:sz w:val="24"/>
          <w:szCs w:val="24"/>
          <w:u w:val="none"/>
        </w:rPr>
        <w:t xml:space="preserve">and </w:t>
      </w:r>
      <w:r w:rsidRPr="003426DD">
        <w:rPr>
          <w:rStyle w:val="Hyperlink"/>
          <w:rFonts w:ascii="Arial" w:hAnsi="Arial" w:cs="Arial"/>
          <w:color w:val="auto"/>
          <w:sz w:val="24"/>
          <w:szCs w:val="24"/>
          <w:u w:val="none"/>
        </w:rPr>
        <w:t xml:space="preserve"> 20</w:t>
      </w:r>
      <w:r w:rsidRPr="003426DD">
        <w:rPr>
          <w:rStyle w:val="Hyperlink"/>
          <w:rFonts w:ascii="Arial" w:hAnsi="Arial" w:cs="Arial"/>
          <w:color w:val="auto"/>
          <w:sz w:val="24"/>
          <w:szCs w:val="24"/>
          <w:u w:val="none"/>
          <w:vertAlign w:val="superscript"/>
        </w:rPr>
        <w:t>th</w:t>
      </w:r>
      <w:proofErr w:type="gramEnd"/>
      <w:r w:rsidR="008E217A">
        <w:rPr>
          <w:rStyle w:val="Hyperlink"/>
          <w:rFonts w:ascii="Arial" w:hAnsi="Arial" w:cs="Arial"/>
          <w:color w:val="auto"/>
          <w:sz w:val="24"/>
          <w:szCs w:val="24"/>
          <w:u w:val="none"/>
        </w:rPr>
        <w:t xml:space="preserve"> centuries respectively</w:t>
      </w:r>
      <w:r w:rsidRPr="003426DD">
        <w:rPr>
          <w:rStyle w:val="Hyperlink"/>
          <w:rFonts w:ascii="Arial" w:hAnsi="Arial" w:cs="Arial"/>
          <w:color w:val="auto"/>
          <w:sz w:val="24"/>
          <w:szCs w:val="24"/>
          <w:u w:val="none"/>
        </w:rPr>
        <w:t xml:space="preserve">, painted in some respects very different </w:t>
      </w:r>
      <w:r w:rsidR="003426DD" w:rsidRPr="003426DD">
        <w:rPr>
          <w:rStyle w:val="Hyperlink"/>
          <w:rFonts w:ascii="Arial" w:hAnsi="Arial" w:cs="Arial"/>
          <w:color w:val="auto"/>
          <w:sz w:val="24"/>
          <w:szCs w:val="24"/>
          <w:u w:val="none"/>
        </w:rPr>
        <w:t>receptions</w:t>
      </w:r>
      <w:r w:rsidRPr="003426DD">
        <w:rPr>
          <w:rStyle w:val="Hyperlink"/>
          <w:rFonts w:ascii="Arial" w:hAnsi="Arial" w:cs="Arial"/>
          <w:color w:val="auto"/>
          <w:sz w:val="24"/>
          <w:szCs w:val="24"/>
          <w:u w:val="none"/>
        </w:rPr>
        <w:t xml:space="preserve"> of the “Binding of Isaac”. </w:t>
      </w:r>
      <w:r w:rsidR="005F2D01" w:rsidRPr="003426DD">
        <w:rPr>
          <w:rStyle w:val="Hyperlink"/>
          <w:rFonts w:ascii="Arial" w:hAnsi="Arial" w:cs="Arial"/>
          <w:color w:val="auto"/>
          <w:sz w:val="24"/>
          <w:szCs w:val="24"/>
          <w:u w:val="none"/>
        </w:rPr>
        <w:t>Perhaps the most notable point is that Chagall, a Jew, chose to depict the crucif</w:t>
      </w:r>
      <w:r w:rsidR="003864B6">
        <w:rPr>
          <w:rStyle w:val="Hyperlink"/>
          <w:rFonts w:ascii="Arial" w:hAnsi="Arial" w:cs="Arial"/>
          <w:color w:val="auto"/>
          <w:sz w:val="24"/>
          <w:szCs w:val="24"/>
          <w:u w:val="none"/>
        </w:rPr>
        <w:t>ixion of Jesus. P</w:t>
      </w:r>
      <w:r w:rsidR="00AA4946">
        <w:rPr>
          <w:rStyle w:val="Hyperlink"/>
          <w:rFonts w:ascii="Arial" w:hAnsi="Arial" w:cs="Arial"/>
          <w:color w:val="auto"/>
          <w:sz w:val="24"/>
          <w:szCs w:val="24"/>
          <w:u w:val="none"/>
        </w:rPr>
        <w:t>ossibly</w:t>
      </w:r>
      <w:r w:rsidR="005F2D01" w:rsidRPr="003426DD">
        <w:rPr>
          <w:rStyle w:val="Hyperlink"/>
          <w:rFonts w:ascii="Arial" w:hAnsi="Arial" w:cs="Arial"/>
          <w:color w:val="auto"/>
          <w:sz w:val="24"/>
          <w:szCs w:val="24"/>
          <w:u w:val="none"/>
        </w:rPr>
        <w:t xml:space="preserve"> h</w:t>
      </w:r>
      <w:r w:rsidR="00AA4946">
        <w:rPr>
          <w:rStyle w:val="Hyperlink"/>
          <w:rFonts w:ascii="Arial" w:hAnsi="Arial" w:cs="Arial"/>
          <w:color w:val="auto"/>
          <w:sz w:val="24"/>
          <w:szCs w:val="24"/>
          <w:u w:val="none"/>
        </w:rPr>
        <w:t xml:space="preserve">e was comparing </w:t>
      </w:r>
      <w:proofErr w:type="gramStart"/>
      <w:r w:rsidR="00AA4946">
        <w:rPr>
          <w:rStyle w:val="Hyperlink"/>
          <w:rFonts w:ascii="Arial" w:hAnsi="Arial" w:cs="Arial"/>
          <w:color w:val="auto"/>
          <w:sz w:val="24"/>
          <w:szCs w:val="24"/>
          <w:u w:val="none"/>
        </w:rPr>
        <w:t xml:space="preserve">Isaac’s </w:t>
      </w:r>
      <w:r w:rsidR="005F2D01" w:rsidRPr="003426DD">
        <w:rPr>
          <w:rStyle w:val="Hyperlink"/>
          <w:rFonts w:ascii="Arial" w:hAnsi="Arial" w:cs="Arial"/>
          <w:color w:val="auto"/>
          <w:sz w:val="24"/>
          <w:szCs w:val="24"/>
          <w:u w:val="none"/>
        </w:rPr>
        <w:t xml:space="preserve"> </w:t>
      </w:r>
      <w:r w:rsidR="00AA4946">
        <w:rPr>
          <w:rStyle w:val="Hyperlink"/>
          <w:rFonts w:ascii="Arial" w:hAnsi="Arial" w:cs="Arial"/>
          <w:color w:val="auto"/>
          <w:sz w:val="24"/>
          <w:szCs w:val="24"/>
          <w:u w:val="none"/>
        </w:rPr>
        <w:t>near</w:t>
      </w:r>
      <w:proofErr w:type="gramEnd"/>
      <w:r w:rsidR="00AA4946">
        <w:rPr>
          <w:rStyle w:val="Hyperlink"/>
          <w:rFonts w:ascii="Arial" w:hAnsi="Arial" w:cs="Arial"/>
          <w:color w:val="auto"/>
          <w:sz w:val="24"/>
          <w:szCs w:val="24"/>
          <w:u w:val="none"/>
        </w:rPr>
        <w:t>-</w:t>
      </w:r>
      <w:r w:rsidR="005F2D01" w:rsidRPr="003426DD">
        <w:rPr>
          <w:rStyle w:val="Hyperlink"/>
          <w:rFonts w:ascii="Arial" w:hAnsi="Arial" w:cs="Arial"/>
          <w:color w:val="auto"/>
          <w:sz w:val="24"/>
          <w:szCs w:val="24"/>
          <w:u w:val="none"/>
        </w:rPr>
        <w:t>death at the hands of</w:t>
      </w:r>
      <w:r w:rsidR="003426DD" w:rsidRPr="003426DD">
        <w:rPr>
          <w:rStyle w:val="Hyperlink"/>
          <w:rFonts w:ascii="Arial" w:hAnsi="Arial" w:cs="Arial"/>
          <w:color w:val="auto"/>
          <w:sz w:val="24"/>
          <w:szCs w:val="24"/>
          <w:u w:val="none"/>
        </w:rPr>
        <w:t xml:space="preserve"> his father</w:t>
      </w:r>
      <w:r w:rsidR="005F2D01" w:rsidRPr="003426DD">
        <w:rPr>
          <w:rStyle w:val="Hyperlink"/>
          <w:rFonts w:ascii="Arial" w:hAnsi="Arial" w:cs="Arial"/>
          <w:color w:val="auto"/>
          <w:sz w:val="24"/>
          <w:szCs w:val="24"/>
          <w:u w:val="none"/>
        </w:rPr>
        <w:t xml:space="preserve"> to God</w:t>
      </w:r>
      <w:r w:rsidR="001017E4">
        <w:rPr>
          <w:rStyle w:val="Hyperlink"/>
          <w:rFonts w:ascii="Arial" w:hAnsi="Arial" w:cs="Arial"/>
          <w:color w:val="auto"/>
          <w:sz w:val="24"/>
          <w:szCs w:val="24"/>
          <w:u w:val="none"/>
        </w:rPr>
        <w:t>, who was</w:t>
      </w:r>
      <w:r w:rsidR="005F2D01" w:rsidRPr="003426DD">
        <w:rPr>
          <w:rStyle w:val="Hyperlink"/>
          <w:rFonts w:ascii="Arial" w:hAnsi="Arial" w:cs="Arial"/>
          <w:color w:val="auto"/>
          <w:sz w:val="24"/>
          <w:szCs w:val="24"/>
          <w:u w:val="none"/>
        </w:rPr>
        <w:t xml:space="preserve"> </w:t>
      </w:r>
      <w:r w:rsidR="003426DD" w:rsidRPr="003426DD">
        <w:rPr>
          <w:rStyle w:val="Hyperlink"/>
          <w:rFonts w:ascii="Arial" w:hAnsi="Arial" w:cs="Arial"/>
          <w:color w:val="auto"/>
          <w:sz w:val="24"/>
          <w:szCs w:val="24"/>
          <w:u w:val="none"/>
        </w:rPr>
        <w:t xml:space="preserve">also </w:t>
      </w:r>
      <w:r w:rsidR="00AA4946">
        <w:rPr>
          <w:rStyle w:val="Hyperlink"/>
          <w:rFonts w:ascii="Arial" w:hAnsi="Arial" w:cs="Arial"/>
          <w:color w:val="auto"/>
          <w:sz w:val="24"/>
          <w:szCs w:val="24"/>
          <w:u w:val="none"/>
        </w:rPr>
        <w:t>willing to sacrifice</w:t>
      </w:r>
      <w:r w:rsidR="003426DD" w:rsidRPr="003426DD">
        <w:rPr>
          <w:rStyle w:val="Hyperlink"/>
          <w:rFonts w:ascii="Arial" w:hAnsi="Arial" w:cs="Arial"/>
          <w:color w:val="auto"/>
          <w:sz w:val="24"/>
          <w:szCs w:val="24"/>
          <w:u w:val="none"/>
        </w:rPr>
        <w:t xml:space="preserve"> </w:t>
      </w:r>
      <w:r w:rsidR="003426DD" w:rsidRPr="004F5DCC">
        <w:rPr>
          <w:rStyle w:val="Hyperlink"/>
          <w:rFonts w:ascii="Arial" w:hAnsi="Arial" w:cs="Arial"/>
          <w:color w:val="auto"/>
          <w:sz w:val="24"/>
          <w:szCs w:val="24"/>
          <w:u w:val="none"/>
        </w:rPr>
        <w:t>his son</w:t>
      </w:r>
      <w:r w:rsidR="005F2D01" w:rsidRPr="004F5DCC">
        <w:rPr>
          <w:rStyle w:val="Hyperlink"/>
          <w:rFonts w:ascii="Arial" w:hAnsi="Arial" w:cs="Arial"/>
          <w:color w:val="auto"/>
          <w:sz w:val="24"/>
          <w:szCs w:val="24"/>
          <w:u w:val="none"/>
        </w:rPr>
        <w:t>.</w:t>
      </w:r>
      <w:r w:rsidR="003426DD" w:rsidRPr="004F5DCC">
        <w:rPr>
          <w:rStyle w:val="Hyperlink"/>
          <w:rFonts w:ascii="Arial" w:hAnsi="Arial" w:cs="Arial"/>
          <w:color w:val="auto"/>
          <w:sz w:val="24"/>
          <w:szCs w:val="24"/>
          <w:u w:val="none"/>
        </w:rPr>
        <w:t xml:space="preserve"> Alternatively, Chagall may have been attempting to appeal to a wider</w:t>
      </w:r>
      <w:r w:rsidR="003426DD" w:rsidRPr="003426DD">
        <w:rPr>
          <w:rStyle w:val="Hyperlink"/>
          <w:rFonts w:ascii="Arial" w:hAnsi="Arial" w:cs="Arial"/>
          <w:color w:val="auto"/>
          <w:sz w:val="24"/>
          <w:szCs w:val="24"/>
          <w:u w:val="none"/>
        </w:rPr>
        <w:t xml:space="preserve"> audience, </w:t>
      </w:r>
      <w:r w:rsidR="00F3569C">
        <w:rPr>
          <w:rStyle w:val="Hyperlink"/>
          <w:rFonts w:ascii="Arial" w:hAnsi="Arial" w:cs="Arial"/>
          <w:color w:val="auto"/>
          <w:sz w:val="24"/>
          <w:szCs w:val="24"/>
          <w:u w:val="none"/>
        </w:rPr>
        <w:t>and</w:t>
      </w:r>
      <w:r w:rsidR="003864B6">
        <w:rPr>
          <w:rStyle w:val="Hyperlink"/>
          <w:rFonts w:ascii="Arial" w:hAnsi="Arial" w:cs="Arial"/>
          <w:color w:val="auto"/>
          <w:sz w:val="24"/>
          <w:szCs w:val="24"/>
          <w:u w:val="none"/>
        </w:rPr>
        <w:t>/or</w:t>
      </w:r>
      <w:r w:rsidR="00F3569C">
        <w:rPr>
          <w:rStyle w:val="Hyperlink"/>
          <w:rFonts w:ascii="Arial" w:hAnsi="Arial" w:cs="Arial"/>
          <w:color w:val="auto"/>
          <w:sz w:val="24"/>
          <w:szCs w:val="24"/>
          <w:u w:val="none"/>
        </w:rPr>
        <w:t xml:space="preserve"> </w:t>
      </w:r>
      <w:r w:rsidR="003864B6">
        <w:rPr>
          <w:rStyle w:val="Hyperlink"/>
          <w:rFonts w:ascii="Arial" w:hAnsi="Arial" w:cs="Arial"/>
          <w:color w:val="auto"/>
          <w:sz w:val="24"/>
          <w:szCs w:val="24"/>
          <w:u w:val="none"/>
        </w:rPr>
        <w:t xml:space="preserve">to </w:t>
      </w:r>
      <w:r w:rsidR="00F3569C">
        <w:rPr>
          <w:rStyle w:val="Hyperlink"/>
          <w:rFonts w:ascii="Arial" w:hAnsi="Arial" w:cs="Arial"/>
          <w:color w:val="auto"/>
          <w:sz w:val="24"/>
          <w:szCs w:val="24"/>
          <w:u w:val="none"/>
        </w:rPr>
        <w:t>unit</w:t>
      </w:r>
      <w:r w:rsidR="003864B6">
        <w:rPr>
          <w:rStyle w:val="Hyperlink"/>
          <w:rFonts w:ascii="Arial" w:hAnsi="Arial" w:cs="Arial"/>
          <w:color w:val="auto"/>
          <w:sz w:val="24"/>
          <w:szCs w:val="24"/>
          <w:u w:val="none"/>
        </w:rPr>
        <w:t>e</w:t>
      </w:r>
      <w:r w:rsidR="00F3569C">
        <w:rPr>
          <w:rStyle w:val="Hyperlink"/>
          <w:rFonts w:ascii="Arial" w:hAnsi="Arial" w:cs="Arial"/>
          <w:color w:val="auto"/>
          <w:sz w:val="24"/>
          <w:szCs w:val="24"/>
          <w:u w:val="none"/>
        </w:rPr>
        <w:t xml:space="preserve"> Jews</w:t>
      </w:r>
      <w:r w:rsidR="003426DD" w:rsidRPr="003426DD">
        <w:rPr>
          <w:rStyle w:val="Hyperlink"/>
          <w:rFonts w:ascii="Arial" w:hAnsi="Arial" w:cs="Arial"/>
          <w:color w:val="auto"/>
          <w:sz w:val="24"/>
          <w:szCs w:val="24"/>
          <w:u w:val="none"/>
        </w:rPr>
        <w:t xml:space="preserve"> and Christian</w:t>
      </w:r>
      <w:r w:rsidR="00F3569C">
        <w:rPr>
          <w:rStyle w:val="Hyperlink"/>
          <w:rFonts w:ascii="Arial" w:hAnsi="Arial" w:cs="Arial"/>
          <w:color w:val="auto"/>
          <w:sz w:val="24"/>
          <w:szCs w:val="24"/>
          <w:u w:val="none"/>
        </w:rPr>
        <w:t>s</w:t>
      </w:r>
      <w:r w:rsidR="00C250E2">
        <w:rPr>
          <w:rStyle w:val="Hyperlink"/>
          <w:rFonts w:ascii="Arial" w:hAnsi="Arial" w:cs="Arial"/>
          <w:color w:val="auto"/>
          <w:sz w:val="24"/>
          <w:szCs w:val="24"/>
          <w:u w:val="none"/>
        </w:rPr>
        <w:t xml:space="preserve"> following the holocaust, and his own experiences</w:t>
      </w:r>
      <w:r w:rsidR="003864B6">
        <w:rPr>
          <w:rStyle w:val="Hyperlink"/>
          <w:rFonts w:ascii="Arial" w:hAnsi="Arial" w:cs="Arial"/>
          <w:color w:val="auto"/>
          <w:sz w:val="24"/>
          <w:szCs w:val="24"/>
          <w:u w:val="none"/>
        </w:rPr>
        <w:t xml:space="preserve"> of persecution in World War II.</w:t>
      </w:r>
    </w:p>
    <w:p w:rsidR="00AA4946" w:rsidRDefault="00AA4946" w:rsidP="003426DD">
      <w:pPr>
        <w:spacing w:after="0"/>
        <w:jc w:val="both"/>
        <w:rPr>
          <w:rStyle w:val="Hyperlink"/>
          <w:rFonts w:ascii="Arial" w:hAnsi="Arial" w:cs="Arial"/>
          <w:color w:val="auto"/>
          <w:sz w:val="24"/>
          <w:szCs w:val="24"/>
          <w:u w:val="none"/>
        </w:rPr>
      </w:pPr>
    </w:p>
    <w:p w:rsidR="004F5DCC" w:rsidRDefault="004F5DCC" w:rsidP="003426DD">
      <w:pPr>
        <w:spacing w:after="0"/>
        <w:jc w:val="both"/>
        <w:rPr>
          <w:rStyle w:val="Hyperlink"/>
          <w:rFonts w:ascii="Arial" w:hAnsi="Arial" w:cs="Arial"/>
          <w:b/>
          <w:color w:val="auto"/>
          <w:sz w:val="24"/>
          <w:szCs w:val="24"/>
        </w:rPr>
      </w:pPr>
      <w:r>
        <w:rPr>
          <w:rStyle w:val="Hyperlink"/>
          <w:rFonts w:ascii="Arial" w:hAnsi="Arial" w:cs="Arial"/>
          <w:b/>
          <w:color w:val="auto"/>
          <w:sz w:val="24"/>
          <w:szCs w:val="24"/>
        </w:rPr>
        <w:t>The Binding of Isaac in Popular Culture</w:t>
      </w:r>
    </w:p>
    <w:p w:rsidR="004F5DCC" w:rsidRDefault="004F5DCC" w:rsidP="003426DD">
      <w:pPr>
        <w:spacing w:after="0"/>
        <w:jc w:val="both"/>
        <w:rPr>
          <w:rStyle w:val="Hyperlink"/>
          <w:rFonts w:ascii="Arial" w:hAnsi="Arial" w:cs="Arial"/>
          <w:b/>
          <w:color w:val="auto"/>
          <w:sz w:val="24"/>
          <w:szCs w:val="24"/>
        </w:rPr>
      </w:pPr>
    </w:p>
    <w:p w:rsidR="005C2340" w:rsidRDefault="004F5DCC"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My final context in which to critique the characterisation and recepti</w:t>
      </w:r>
      <w:r w:rsidR="005C2340">
        <w:rPr>
          <w:rStyle w:val="Hyperlink"/>
          <w:rFonts w:ascii="Arial" w:hAnsi="Arial" w:cs="Arial"/>
          <w:color w:val="auto"/>
          <w:sz w:val="24"/>
          <w:szCs w:val="24"/>
          <w:u w:val="none"/>
        </w:rPr>
        <w:t>on of Abraham</w:t>
      </w:r>
      <w:r>
        <w:rPr>
          <w:rStyle w:val="Hyperlink"/>
          <w:rFonts w:ascii="Arial" w:hAnsi="Arial" w:cs="Arial"/>
          <w:color w:val="auto"/>
          <w:sz w:val="24"/>
          <w:szCs w:val="24"/>
          <w:u w:val="none"/>
        </w:rPr>
        <w:t xml:space="preserve"> </w:t>
      </w:r>
      <w:r w:rsidR="003864B6">
        <w:rPr>
          <w:rStyle w:val="Hyperlink"/>
          <w:rFonts w:ascii="Arial" w:hAnsi="Arial" w:cs="Arial"/>
          <w:color w:val="auto"/>
          <w:sz w:val="24"/>
          <w:szCs w:val="24"/>
          <w:u w:val="none"/>
        </w:rPr>
        <w:t xml:space="preserve">is </w:t>
      </w:r>
      <w:r>
        <w:rPr>
          <w:rStyle w:val="Hyperlink"/>
          <w:rFonts w:ascii="Arial" w:hAnsi="Arial" w:cs="Arial"/>
          <w:color w:val="auto"/>
          <w:sz w:val="24"/>
          <w:szCs w:val="24"/>
          <w:u w:val="none"/>
        </w:rPr>
        <w:t xml:space="preserve">in the context of an interactive video game, Edmund </w:t>
      </w:r>
      <w:proofErr w:type="spellStart"/>
      <w:r>
        <w:rPr>
          <w:rStyle w:val="Hyperlink"/>
          <w:rFonts w:ascii="Arial" w:hAnsi="Arial" w:cs="Arial"/>
          <w:color w:val="auto"/>
          <w:sz w:val="24"/>
          <w:szCs w:val="24"/>
          <w:u w:val="none"/>
        </w:rPr>
        <w:t>McMillen’s</w:t>
      </w:r>
      <w:proofErr w:type="spellEnd"/>
      <w:r>
        <w:rPr>
          <w:rStyle w:val="Hyperlink"/>
          <w:rFonts w:ascii="Arial" w:hAnsi="Arial" w:cs="Arial"/>
          <w:color w:val="auto"/>
          <w:sz w:val="24"/>
          <w:szCs w:val="24"/>
          <w:u w:val="none"/>
        </w:rPr>
        <w:t xml:space="preserve"> </w:t>
      </w:r>
      <w:r>
        <w:rPr>
          <w:rStyle w:val="Hyperlink"/>
          <w:rFonts w:ascii="Arial" w:hAnsi="Arial" w:cs="Arial"/>
          <w:i/>
          <w:color w:val="auto"/>
          <w:sz w:val="24"/>
          <w:szCs w:val="24"/>
          <w:u w:val="none"/>
        </w:rPr>
        <w:t>Binding of Isaac</w:t>
      </w:r>
      <w:r>
        <w:rPr>
          <w:rStyle w:val="Hyperlink"/>
          <w:rFonts w:ascii="Arial" w:hAnsi="Arial" w:cs="Arial"/>
          <w:color w:val="auto"/>
          <w:sz w:val="24"/>
          <w:szCs w:val="24"/>
          <w:u w:val="none"/>
        </w:rPr>
        <w:t xml:space="preserve">, now in its fourth </w:t>
      </w:r>
      <w:r w:rsidR="005C2340">
        <w:rPr>
          <w:rStyle w:val="Hyperlink"/>
          <w:rFonts w:ascii="Arial" w:hAnsi="Arial" w:cs="Arial"/>
          <w:color w:val="auto"/>
          <w:sz w:val="24"/>
          <w:szCs w:val="24"/>
          <w:u w:val="none"/>
        </w:rPr>
        <w:t>incarnation</w:t>
      </w:r>
      <w:r>
        <w:rPr>
          <w:rStyle w:val="Hyperlink"/>
          <w:rFonts w:ascii="Arial" w:hAnsi="Arial" w:cs="Arial"/>
          <w:color w:val="auto"/>
          <w:sz w:val="24"/>
          <w:szCs w:val="24"/>
          <w:u w:val="none"/>
        </w:rPr>
        <w:t xml:space="preserve">, </w:t>
      </w:r>
      <w:r>
        <w:rPr>
          <w:rStyle w:val="Hyperlink"/>
          <w:rFonts w:ascii="Arial" w:hAnsi="Arial" w:cs="Arial"/>
          <w:i/>
          <w:color w:val="auto"/>
          <w:sz w:val="24"/>
          <w:szCs w:val="24"/>
          <w:u w:val="none"/>
        </w:rPr>
        <w:t>Afterlife</w:t>
      </w:r>
      <w:r>
        <w:rPr>
          <w:rStyle w:val="Hyperlink"/>
          <w:rFonts w:ascii="Arial" w:hAnsi="Arial" w:cs="Arial"/>
          <w:color w:val="auto"/>
          <w:sz w:val="24"/>
          <w:szCs w:val="24"/>
          <w:u w:val="none"/>
        </w:rPr>
        <w:t>+.</w:t>
      </w:r>
      <w:r>
        <w:rPr>
          <w:rStyle w:val="FootnoteReference"/>
          <w:rFonts w:ascii="Arial" w:hAnsi="Arial" w:cs="Arial"/>
          <w:sz w:val="24"/>
          <w:szCs w:val="24"/>
        </w:rPr>
        <w:footnoteReference w:id="36"/>
      </w:r>
    </w:p>
    <w:p w:rsidR="00867AEE" w:rsidRDefault="005C2340"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This content of this game is dramatically modified from the biblical narrative, the main differences being that Isaa</w:t>
      </w:r>
      <w:r w:rsidR="00AA4946">
        <w:rPr>
          <w:rStyle w:val="Hyperlink"/>
          <w:rFonts w:ascii="Arial" w:hAnsi="Arial" w:cs="Arial"/>
          <w:color w:val="auto"/>
          <w:sz w:val="24"/>
          <w:szCs w:val="24"/>
          <w:u w:val="none"/>
        </w:rPr>
        <w:t>c’s mother, Sarah, not his father, Abraham, is</w:t>
      </w:r>
      <w:r>
        <w:rPr>
          <w:rStyle w:val="Hyperlink"/>
          <w:rFonts w:ascii="Arial" w:hAnsi="Arial" w:cs="Arial"/>
          <w:color w:val="auto"/>
          <w:sz w:val="24"/>
          <w:szCs w:val="24"/>
          <w:u w:val="none"/>
        </w:rPr>
        <w:t xml:space="preserve"> the perpetrator of the near-sacrifice of their son, and</w:t>
      </w:r>
      <w:r w:rsidR="00AA4946">
        <w:rPr>
          <w:rStyle w:val="Hyperlink"/>
          <w:rFonts w:ascii="Arial" w:hAnsi="Arial" w:cs="Arial"/>
          <w:color w:val="auto"/>
          <w:sz w:val="24"/>
          <w:szCs w:val="24"/>
          <w:u w:val="none"/>
        </w:rPr>
        <w:t xml:space="preserve"> that</w:t>
      </w:r>
      <w:r>
        <w:rPr>
          <w:rStyle w:val="Hyperlink"/>
          <w:rFonts w:ascii="Arial" w:hAnsi="Arial" w:cs="Arial"/>
          <w:color w:val="auto"/>
          <w:sz w:val="24"/>
          <w:szCs w:val="24"/>
          <w:u w:val="none"/>
        </w:rPr>
        <w:t xml:space="preserve"> the action takes place in contemporary America, not in ancient Israel.</w:t>
      </w:r>
      <w:r>
        <w:rPr>
          <w:rStyle w:val="FootnoteReference"/>
          <w:rFonts w:ascii="Arial" w:hAnsi="Arial" w:cs="Arial"/>
          <w:sz w:val="24"/>
          <w:szCs w:val="24"/>
        </w:rPr>
        <w:footnoteReference w:id="37"/>
      </w:r>
      <w:r>
        <w:rPr>
          <w:rStyle w:val="Hyperlink"/>
          <w:rFonts w:ascii="Arial" w:hAnsi="Arial" w:cs="Arial"/>
          <w:color w:val="auto"/>
          <w:sz w:val="24"/>
          <w:szCs w:val="24"/>
          <w:u w:val="none"/>
        </w:rPr>
        <w:t xml:space="preserve"> </w:t>
      </w:r>
      <w:proofErr w:type="spellStart"/>
      <w:r>
        <w:rPr>
          <w:rStyle w:val="Hyperlink"/>
          <w:rFonts w:ascii="Arial" w:hAnsi="Arial" w:cs="Arial"/>
          <w:color w:val="auto"/>
          <w:sz w:val="24"/>
          <w:szCs w:val="24"/>
          <w:u w:val="none"/>
        </w:rPr>
        <w:t>Welton</w:t>
      </w:r>
      <w:proofErr w:type="spellEnd"/>
      <w:r>
        <w:rPr>
          <w:rStyle w:val="Hyperlink"/>
          <w:rFonts w:ascii="Arial" w:hAnsi="Arial" w:cs="Arial"/>
          <w:color w:val="auto"/>
          <w:sz w:val="24"/>
          <w:szCs w:val="24"/>
          <w:u w:val="none"/>
        </w:rPr>
        <w:t xml:space="preserve"> proposes that these changes have been made in order to provoke reaction</w:t>
      </w:r>
      <w:r w:rsidR="00867AEE">
        <w:rPr>
          <w:rStyle w:val="Hyperlink"/>
          <w:rFonts w:ascii="Arial" w:hAnsi="Arial" w:cs="Arial"/>
          <w:color w:val="auto"/>
          <w:sz w:val="24"/>
          <w:szCs w:val="24"/>
          <w:u w:val="none"/>
        </w:rPr>
        <w:t xml:space="preserve"> and debate</w:t>
      </w:r>
      <w:r>
        <w:rPr>
          <w:rStyle w:val="Hyperlink"/>
          <w:rFonts w:ascii="Arial" w:hAnsi="Arial" w:cs="Arial"/>
          <w:color w:val="auto"/>
          <w:sz w:val="24"/>
          <w:szCs w:val="24"/>
          <w:u w:val="none"/>
        </w:rPr>
        <w:t>, arguing that, by presenting events from a child perspective (the gamer plays the game as Isaac)</w:t>
      </w:r>
      <w:proofErr w:type="gramStart"/>
      <w:r w:rsidR="00867AEE">
        <w:rPr>
          <w:rStyle w:val="Hyperlink"/>
          <w:rFonts w:ascii="Arial" w:hAnsi="Arial" w:cs="Arial"/>
          <w:color w:val="auto"/>
          <w:sz w:val="24"/>
          <w:szCs w:val="24"/>
          <w:u w:val="none"/>
        </w:rPr>
        <w:t>,</w:t>
      </w:r>
      <w:proofErr w:type="gramEnd"/>
      <w:r>
        <w:rPr>
          <w:rStyle w:val="Hyperlink"/>
          <w:rFonts w:ascii="Arial" w:hAnsi="Arial" w:cs="Arial"/>
          <w:color w:val="auto"/>
          <w:sz w:val="24"/>
          <w:szCs w:val="24"/>
          <w:u w:val="none"/>
        </w:rPr>
        <w:t xml:space="preserve"> t</w:t>
      </w:r>
      <w:r w:rsidR="00867AEE">
        <w:rPr>
          <w:rStyle w:val="Hyperlink"/>
          <w:rFonts w:ascii="Arial" w:hAnsi="Arial" w:cs="Arial"/>
          <w:color w:val="auto"/>
          <w:sz w:val="24"/>
          <w:szCs w:val="24"/>
          <w:u w:val="none"/>
        </w:rPr>
        <w:t>he</w:t>
      </w:r>
      <w:r>
        <w:rPr>
          <w:rStyle w:val="Hyperlink"/>
          <w:rFonts w:ascii="Arial" w:hAnsi="Arial" w:cs="Arial"/>
          <w:color w:val="auto"/>
          <w:sz w:val="24"/>
          <w:szCs w:val="24"/>
          <w:u w:val="none"/>
        </w:rPr>
        <w:t xml:space="preserve"> horrors experienced by Isaac</w:t>
      </w:r>
      <w:r w:rsidR="00867AEE">
        <w:rPr>
          <w:rStyle w:val="Hyperlink"/>
          <w:rFonts w:ascii="Arial" w:hAnsi="Arial" w:cs="Arial"/>
          <w:color w:val="auto"/>
          <w:sz w:val="24"/>
          <w:szCs w:val="24"/>
          <w:u w:val="none"/>
        </w:rPr>
        <w:t xml:space="preserve"> are highlighted</w:t>
      </w:r>
      <w:r>
        <w:rPr>
          <w:rStyle w:val="Hyperlink"/>
          <w:rFonts w:ascii="Arial" w:hAnsi="Arial" w:cs="Arial"/>
          <w:color w:val="auto"/>
          <w:sz w:val="24"/>
          <w:szCs w:val="24"/>
          <w:u w:val="none"/>
        </w:rPr>
        <w:t>.</w:t>
      </w:r>
      <w:r>
        <w:rPr>
          <w:rStyle w:val="FootnoteReference"/>
          <w:rFonts w:ascii="Arial" w:hAnsi="Arial" w:cs="Arial"/>
          <w:sz w:val="24"/>
          <w:szCs w:val="24"/>
        </w:rPr>
        <w:footnoteReference w:id="38"/>
      </w:r>
      <w:r w:rsidR="00AF33D2">
        <w:rPr>
          <w:rStyle w:val="Hyperlink"/>
          <w:rFonts w:ascii="Arial" w:hAnsi="Arial" w:cs="Arial"/>
          <w:color w:val="auto"/>
          <w:sz w:val="24"/>
          <w:szCs w:val="24"/>
          <w:u w:val="none"/>
        </w:rPr>
        <w:t xml:space="preserve"> </w:t>
      </w:r>
    </w:p>
    <w:p w:rsidR="004F5DCC" w:rsidRDefault="00867AEE"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r>
      <w:proofErr w:type="spellStart"/>
      <w:r w:rsidR="00AF33D2">
        <w:rPr>
          <w:rStyle w:val="Hyperlink"/>
          <w:rFonts w:ascii="Arial" w:hAnsi="Arial" w:cs="Arial"/>
          <w:color w:val="auto"/>
          <w:sz w:val="24"/>
          <w:szCs w:val="24"/>
          <w:u w:val="none"/>
        </w:rPr>
        <w:t>Welton</w:t>
      </w:r>
      <w:proofErr w:type="spellEnd"/>
      <w:r w:rsidR="00AF33D2">
        <w:rPr>
          <w:rStyle w:val="Hyperlink"/>
          <w:rFonts w:ascii="Arial" w:hAnsi="Arial" w:cs="Arial"/>
          <w:color w:val="auto"/>
          <w:sz w:val="24"/>
          <w:szCs w:val="24"/>
          <w:u w:val="none"/>
        </w:rPr>
        <w:t xml:space="preserve"> addresses negative aspects of biblical and “conservative Christian child rearing strategies”, </w:t>
      </w:r>
      <w:r w:rsidR="00A20EE6">
        <w:rPr>
          <w:rStyle w:val="Hyperlink"/>
          <w:rFonts w:ascii="Arial" w:hAnsi="Arial" w:cs="Arial"/>
          <w:color w:val="auto"/>
          <w:sz w:val="24"/>
          <w:szCs w:val="24"/>
          <w:u w:val="none"/>
        </w:rPr>
        <w:t xml:space="preserve">and </w:t>
      </w:r>
      <w:r w:rsidR="00AF33D2">
        <w:rPr>
          <w:rStyle w:val="Hyperlink"/>
          <w:rFonts w:ascii="Arial" w:hAnsi="Arial" w:cs="Arial"/>
          <w:color w:val="auto"/>
          <w:sz w:val="24"/>
          <w:szCs w:val="24"/>
          <w:u w:val="none"/>
        </w:rPr>
        <w:t xml:space="preserve">I would endorse </w:t>
      </w:r>
      <w:r>
        <w:rPr>
          <w:rStyle w:val="Hyperlink"/>
          <w:rFonts w:ascii="Arial" w:hAnsi="Arial" w:cs="Arial"/>
          <w:color w:val="auto"/>
          <w:sz w:val="24"/>
          <w:szCs w:val="24"/>
          <w:u w:val="none"/>
        </w:rPr>
        <w:t>her view that, by</w:t>
      </w:r>
      <w:r w:rsidR="00AF33D2">
        <w:rPr>
          <w:rStyle w:val="Hyperlink"/>
          <w:rFonts w:ascii="Arial" w:hAnsi="Arial" w:cs="Arial"/>
          <w:color w:val="auto"/>
          <w:sz w:val="24"/>
          <w:szCs w:val="24"/>
          <w:u w:val="none"/>
        </w:rPr>
        <w:t xml:space="preserve"> ascrib</w:t>
      </w:r>
      <w:r>
        <w:rPr>
          <w:rStyle w:val="Hyperlink"/>
          <w:rFonts w:ascii="Arial" w:hAnsi="Arial" w:cs="Arial"/>
          <w:color w:val="auto"/>
          <w:sz w:val="24"/>
          <w:szCs w:val="24"/>
          <w:u w:val="none"/>
        </w:rPr>
        <w:t>ing</w:t>
      </w:r>
      <w:r w:rsidR="00AF33D2">
        <w:rPr>
          <w:rStyle w:val="Hyperlink"/>
          <w:rFonts w:ascii="Arial" w:hAnsi="Arial" w:cs="Arial"/>
          <w:color w:val="auto"/>
          <w:sz w:val="24"/>
          <w:szCs w:val="24"/>
          <w:u w:val="none"/>
        </w:rPr>
        <w:t xml:space="preserve"> abuse and violent acts to the</w:t>
      </w:r>
      <w:r>
        <w:rPr>
          <w:rStyle w:val="Hyperlink"/>
          <w:rFonts w:ascii="Arial" w:hAnsi="Arial" w:cs="Arial"/>
          <w:color w:val="auto"/>
          <w:sz w:val="24"/>
          <w:szCs w:val="24"/>
          <w:u w:val="none"/>
        </w:rPr>
        <w:t xml:space="preserve"> mother,</w:t>
      </w:r>
      <w:r w:rsidR="00AF33D2">
        <w:rPr>
          <w:rStyle w:val="Hyperlink"/>
          <w:rFonts w:ascii="Arial" w:hAnsi="Arial" w:cs="Arial"/>
          <w:color w:val="auto"/>
          <w:sz w:val="24"/>
          <w:szCs w:val="24"/>
          <w:u w:val="none"/>
        </w:rPr>
        <w:t xml:space="preserve"> “patriarchal structures”</w:t>
      </w:r>
      <w:r>
        <w:rPr>
          <w:rStyle w:val="Hyperlink"/>
          <w:rFonts w:ascii="Arial" w:hAnsi="Arial" w:cs="Arial"/>
          <w:color w:val="auto"/>
          <w:sz w:val="24"/>
          <w:szCs w:val="24"/>
          <w:u w:val="none"/>
        </w:rPr>
        <w:t xml:space="preserve"> are not challenged</w:t>
      </w:r>
      <w:r w:rsidR="00AF33D2">
        <w:rPr>
          <w:rStyle w:val="Hyperlink"/>
          <w:rFonts w:ascii="Arial" w:hAnsi="Arial" w:cs="Arial"/>
          <w:color w:val="auto"/>
          <w:sz w:val="24"/>
          <w:szCs w:val="24"/>
          <w:u w:val="none"/>
        </w:rPr>
        <w:t>. She suggests that characterising Sarah as a potential murderer magnifies the horror of sacrificing a child, and speculates, not very convincingly in my view, that the game has been so successful because it was a woman who intended to perform the sacrifice.</w:t>
      </w:r>
      <w:r w:rsidR="00AF33D2">
        <w:rPr>
          <w:rStyle w:val="FootnoteReference"/>
          <w:rFonts w:ascii="Arial" w:hAnsi="Arial" w:cs="Arial"/>
          <w:sz w:val="24"/>
          <w:szCs w:val="24"/>
        </w:rPr>
        <w:footnoteReference w:id="39"/>
      </w:r>
    </w:p>
    <w:p w:rsidR="00AF33D2" w:rsidRDefault="00AF33D2"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Ne</w:t>
      </w:r>
      <w:r w:rsidR="00A20EE6">
        <w:rPr>
          <w:rStyle w:val="Hyperlink"/>
          <w:rFonts w:ascii="Arial" w:hAnsi="Arial" w:cs="Arial"/>
          <w:color w:val="auto"/>
          <w:sz w:val="24"/>
          <w:szCs w:val="24"/>
          <w:u w:val="none"/>
        </w:rPr>
        <w:t>vertheless, I do agree that, by providing the gamer with a “lived experience”, that is, by playing the game as Isaac, and able to make choices, such immersive engagement can promote new and insightful receptions of biblical texts in the modern world.</w:t>
      </w:r>
    </w:p>
    <w:p w:rsidR="00867AEE" w:rsidRDefault="00867AEE"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b/>
          <w:color w:val="auto"/>
          <w:sz w:val="24"/>
          <w:szCs w:val="24"/>
        </w:rPr>
      </w:pPr>
    </w:p>
    <w:p w:rsidR="00AA5B2D" w:rsidRDefault="00AA5B2D" w:rsidP="003426DD">
      <w:pPr>
        <w:spacing w:after="0"/>
        <w:jc w:val="both"/>
        <w:rPr>
          <w:rStyle w:val="Hyperlink"/>
          <w:rFonts w:ascii="Arial" w:hAnsi="Arial" w:cs="Arial"/>
          <w:b/>
          <w:color w:val="auto"/>
          <w:sz w:val="24"/>
          <w:szCs w:val="24"/>
        </w:rPr>
      </w:pPr>
    </w:p>
    <w:p w:rsidR="00AA5B2D" w:rsidRDefault="00AA5B2D" w:rsidP="003426DD">
      <w:pPr>
        <w:spacing w:after="0"/>
        <w:jc w:val="both"/>
        <w:rPr>
          <w:rStyle w:val="Hyperlink"/>
          <w:rFonts w:ascii="Arial" w:hAnsi="Arial" w:cs="Arial"/>
          <w:b/>
          <w:color w:val="auto"/>
          <w:sz w:val="24"/>
          <w:szCs w:val="24"/>
        </w:rPr>
      </w:pPr>
    </w:p>
    <w:p w:rsidR="00AA5B2D" w:rsidRDefault="00AA5B2D" w:rsidP="003426DD">
      <w:pPr>
        <w:spacing w:after="0"/>
        <w:jc w:val="both"/>
        <w:rPr>
          <w:rStyle w:val="Hyperlink"/>
          <w:rFonts w:ascii="Arial" w:hAnsi="Arial" w:cs="Arial"/>
          <w:b/>
          <w:color w:val="auto"/>
          <w:sz w:val="24"/>
          <w:szCs w:val="24"/>
        </w:rPr>
      </w:pPr>
    </w:p>
    <w:p w:rsidR="00867AEE" w:rsidRDefault="00867AEE" w:rsidP="003426DD">
      <w:pPr>
        <w:spacing w:after="0"/>
        <w:jc w:val="both"/>
        <w:rPr>
          <w:rStyle w:val="Hyperlink"/>
          <w:rFonts w:ascii="Arial" w:hAnsi="Arial" w:cs="Arial"/>
          <w:b/>
          <w:color w:val="auto"/>
          <w:sz w:val="24"/>
          <w:szCs w:val="24"/>
        </w:rPr>
      </w:pPr>
      <w:r>
        <w:rPr>
          <w:rStyle w:val="Hyperlink"/>
          <w:rFonts w:ascii="Arial" w:hAnsi="Arial" w:cs="Arial"/>
          <w:b/>
          <w:color w:val="auto"/>
          <w:sz w:val="24"/>
          <w:szCs w:val="24"/>
        </w:rPr>
        <w:lastRenderedPageBreak/>
        <w:t>Conclusion</w:t>
      </w:r>
    </w:p>
    <w:p w:rsidR="00C94A0D" w:rsidRDefault="00C94A0D" w:rsidP="003426DD">
      <w:pPr>
        <w:spacing w:after="0"/>
        <w:jc w:val="both"/>
        <w:rPr>
          <w:rStyle w:val="Hyperlink"/>
          <w:rFonts w:ascii="Arial" w:hAnsi="Arial" w:cs="Arial"/>
          <w:color w:val="auto"/>
          <w:sz w:val="24"/>
          <w:szCs w:val="24"/>
          <w:u w:val="none"/>
        </w:rPr>
      </w:pPr>
    </w:p>
    <w:p w:rsidR="00C94A0D" w:rsidRDefault="00C94A0D"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I have addressed the characteristics and reception of Abraham in a number of contexts: in Genesis 11-25 as a whole; a gendered perspective; his later depiction in the context of the “Bosom of Abraham” and in the Binding of Isaac narrative in Genesis 22.</w:t>
      </w:r>
    </w:p>
    <w:p w:rsidR="00772636" w:rsidRDefault="00C94A0D"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The evidence suggests that his earlier characterisation is not necessarily as a good father-figure, bu</w:t>
      </w:r>
      <w:r w:rsidR="00EA7A05">
        <w:rPr>
          <w:rStyle w:val="Hyperlink"/>
          <w:rFonts w:ascii="Arial" w:hAnsi="Arial" w:cs="Arial"/>
          <w:color w:val="auto"/>
          <w:sz w:val="24"/>
          <w:szCs w:val="24"/>
          <w:u w:val="none"/>
        </w:rPr>
        <w:t>t as an obedient and willing servant of God, which paves the way for great things in the future. Genesis 22 is particularly focused on obedience and deferment to God’s wishes, and Abraham is characterised as the quintessential faithful servant, even though this might cause emotional distress. This is evident in the two artworks discussed</w:t>
      </w:r>
      <w:r w:rsidR="00772636">
        <w:rPr>
          <w:rStyle w:val="Hyperlink"/>
          <w:rFonts w:ascii="Arial" w:hAnsi="Arial" w:cs="Arial"/>
          <w:color w:val="auto"/>
          <w:sz w:val="24"/>
          <w:szCs w:val="24"/>
          <w:u w:val="none"/>
        </w:rPr>
        <w:t xml:space="preserve">, </w:t>
      </w:r>
      <w:r w:rsidR="00EA7A05">
        <w:rPr>
          <w:rStyle w:val="Hyperlink"/>
          <w:rFonts w:ascii="Arial" w:hAnsi="Arial" w:cs="Arial"/>
          <w:i/>
          <w:color w:val="auto"/>
          <w:sz w:val="24"/>
          <w:szCs w:val="24"/>
          <w:u w:val="none"/>
        </w:rPr>
        <w:t>The Sacrifice of Isaac</w:t>
      </w:r>
      <w:r w:rsidR="00772636">
        <w:rPr>
          <w:rStyle w:val="Hyperlink"/>
          <w:rFonts w:ascii="Arial" w:hAnsi="Arial" w:cs="Arial"/>
          <w:i/>
          <w:color w:val="auto"/>
          <w:sz w:val="24"/>
          <w:szCs w:val="24"/>
          <w:u w:val="none"/>
        </w:rPr>
        <w:t xml:space="preserve"> </w:t>
      </w:r>
      <w:r w:rsidR="00772636">
        <w:rPr>
          <w:rStyle w:val="Hyperlink"/>
          <w:rFonts w:ascii="Arial" w:hAnsi="Arial" w:cs="Arial"/>
          <w:color w:val="auto"/>
          <w:sz w:val="24"/>
          <w:szCs w:val="24"/>
          <w:u w:val="none"/>
        </w:rPr>
        <w:t>paintings by Rembrandt and Chagall</w:t>
      </w:r>
      <w:r w:rsidR="00EA7A05">
        <w:rPr>
          <w:rStyle w:val="Hyperlink"/>
          <w:rFonts w:ascii="Arial" w:hAnsi="Arial" w:cs="Arial"/>
          <w:color w:val="auto"/>
          <w:sz w:val="24"/>
          <w:szCs w:val="24"/>
          <w:u w:val="none"/>
        </w:rPr>
        <w:t>, separated by some 330 years.</w:t>
      </w:r>
      <w:r w:rsidR="00772636">
        <w:rPr>
          <w:rStyle w:val="Hyperlink"/>
          <w:rFonts w:ascii="Arial" w:hAnsi="Arial" w:cs="Arial"/>
          <w:color w:val="auto"/>
          <w:sz w:val="24"/>
          <w:szCs w:val="24"/>
          <w:u w:val="none"/>
        </w:rPr>
        <w:t xml:space="preserve"> The video game covering this narrative illustrates the relevance of this medium for the reception of biblical texts in the modern age. I</w:t>
      </w:r>
      <w:r w:rsidR="00EA7A05">
        <w:rPr>
          <w:rStyle w:val="Hyperlink"/>
          <w:rFonts w:ascii="Arial" w:hAnsi="Arial" w:cs="Arial"/>
          <w:color w:val="auto"/>
          <w:sz w:val="24"/>
          <w:szCs w:val="24"/>
          <w:u w:val="none"/>
        </w:rPr>
        <w:t xml:space="preserve">n the New Testament, Abraham is received as a </w:t>
      </w:r>
      <w:r w:rsidR="00772636">
        <w:rPr>
          <w:rStyle w:val="Hyperlink"/>
          <w:rFonts w:ascii="Arial" w:hAnsi="Arial" w:cs="Arial"/>
          <w:color w:val="auto"/>
          <w:sz w:val="24"/>
          <w:szCs w:val="24"/>
          <w:u w:val="none"/>
        </w:rPr>
        <w:t>consistently positive father-figure, and recent v</w:t>
      </w:r>
      <w:r w:rsidR="00EA7A05">
        <w:rPr>
          <w:rStyle w:val="Hyperlink"/>
          <w:rFonts w:ascii="Arial" w:hAnsi="Arial" w:cs="Arial"/>
          <w:color w:val="auto"/>
          <w:sz w:val="24"/>
          <w:szCs w:val="24"/>
          <w:u w:val="none"/>
        </w:rPr>
        <w:t xml:space="preserve">isual art has </w:t>
      </w:r>
      <w:r w:rsidR="00772636">
        <w:rPr>
          <w:rStyle w:val="Hyperlink"/>
          <w:rFonts w:ascii="Arial" w:hAnsi="Arial" w:cs="Arial"/>
          <w:color w:val="auto"/>
          <w:sz w:val="24"/>
          <w:szCs w:val="24"/>
          <w:u w:val="none"/>
        </w:rPr>
        <w:t xml:space="preserve">continued to </w:t>
      </w:r>
      <w:r w:rsidR="00EA7A05">
        <w:rPr>
          <w:rStyle w:val="Hyperlink"/>
          <w:rFonts w:ascii="Arial" w:hAnsi="Arial" w:cs="Arial"/>
          <w:color w:val="auto"/>
          <w:sz w:val="24"/>
          <w:szCs w:val="24"/>
          <w:u w:val="none"/>
        </w:rPr>
        <w:t>rece</w:t>
      </w:r>
      <w:r w:rsidR="00772636">
        <w:rPr>
          <w:rStyle w:val="Hyperlink"/>
          <w:rFonts w:ascii="Arial" w:hAnsi="Arial" w:cs="Arial"/>
          <w:color w:val="auto"/>
          <w:sz w:val="24"/>
          <w:szCs w:val="24"/>
          <w:u w:val="none"/>
        </w:rPr>
        <w:t>ive him as such</w:t>
      </w:r>
      <w:r w:rsidR="00EA7A05">
        <w:rPr>
          <w:rStyle w:val="Hyperlink"/>
          <w:rFonts w:ascii="Arial" w:hAnsi="Arial" w:cs="Arial"/>
          <w:color w:val="auto"/>
          <w:sz w:val="24"/>
          <w:szCs w:val="24"/>
          <w:u w:val="none"/>
        </w:rPr>
        <w:t>.</w:t>
      </w:r>
    </w:p>
    <w:p w:rsidR="00C94A0D" w:rsidRDefault="00283E8C" w:rsidP="003426DD">
      <w:pPr>
        <w:spacing w:after="0"/>
        <w:jc w:val="both"/>
        <w:rPr>
          <w:rStyle w:val="Hyperlink"/>
          <w:rFonts w:ascii="Arial" w:hAnsi="Arial" w:cs="Arial"/>
          <w:color w:val="auto"/>
          <w:sz w:val="24"/>
          <w:szCs w:val="24"/>
          <w:u w:val="none"/>
        </w:rPr>
      </w:pPr>
      <w:r>
        <w:rPr>
          <w:rStyle w:val="Hyperlink"/>
          <w:rFonts w:ascii="Arial" w:hAnsi="Arial" w:cs="Arial"/>
          <w:color w:val="auto"/>
          <w:sz w:val="24"/>
          <w:szCs w:val="24"/>
          <w:u w:val="none"/>
        </w:rPr>
        <w:tab/>
        <w:t>T</w:t>
      </w:r>
      <w:r w:rsidR="00772636">
        <w:rPr>
          <w:rStyle w:val="Hyperlink"/>
          <w:rFonts w:ascii="Arial" w:hAnsi="Arial" w:cs="Arial"/>
          <w:color w:val="auto"/>
          <w:sz w:val="24"/>
          <w:szCs w:val="24"/>
          <w:u w:val="none"/>
        </w:rPr>
        <w:t xml:space="preserve">he diversity of </w:t>
      </w:r>
      <w:r>
        <w:rPr>
          <w:rStyle w:val="Hyperlink"/>
          <w:rFonts w:ascii="Arial" w:hAnsi="Arial" w:cs="Arial"/>
          <w:color w:val="auto"/>
          <w:sz w:val="24"/>
          <w:szCs w:val="24"/>
          <w:u w:val="none"/>
        </w:rPr>
        <w:t xml:space="preserve">the </w:t>
      </w:r>
      <w:r w:rsidR="00772636">
        <w:rPr>
          <w:rStyle w:val="Hyperlink"/>
          <w:rFonts w:ascii="Arial" w:hAnsi="Arial" w:cs="Arial"/>
          <w:color w:val="auto"/>
          <w:sz w:val="24"/>
          <w:szCs w:val="24"/>
          <w:u w:val="none"/>
        </w:rPr>
        <w:t xml:space="preserve">characterisation and reception </w:t>
      </w:r>
      <w:r>
        <w:rPr>
          <w:rStyle w:val="Hyperlink"/>
          <w:rFonts w:ascii="Arial" w:hAnsi="Arial" w:cs="Arial"/>
          <w:color w:val="auto"/>
          <w:sz w:val="24"/>
          <w:szCs w:val="24"/>
          <w:u w:val="none"/>
        </w:rPr>
        <w:t xml:space="preserve">of Abraham is noteworthy, and, in the contexts discussed, I consider a major influence to be the religious beliefs </w:t>
      </w:r>
      <w:r w:rsidR="00772636">
        <w:rPr>
          <w:rStyle w:val="Hyperlink"/>
          <w:rFonts w:ascii="Arial" w:hAnsi="Arial" w:cs="Arial"/>
          <w:color w:val="auto"/>
          <w:sz w:val="24"/>
          <w:szCs w:val="24"/>
          <w:u w:val="none"/>
        </w:rPr>
        <w:t xml:space="preserve">of the writer or artist, </w:t>
      </w:r>
      <w:r w:rsidR="002B4C19">
        <w:rPr>
          <w:rStyle w:val="Hyperlink"/>
          <w:rFonts w:ascii="Arial" w:hAnsi="Arial" w:cs="Arial"/>
          <w:color w:val="auto"/>
          <w:sz w:val="24"/>
          <w:szCs w:val="24"/>
          <w:u w:val="none"/>
        </w:rPr>
        <w:t>specifically</w:t>
      </w:r>
      <w:r>
        <w:rPr>
          <w:rStyle w:val="Hyperlink"/>
          <w:rFonts w:ascii="Arial" w:hAnsi="Arial" w:cs="Arial"/>
          <w:color w:val="auto"/>
          <w:sz w:val="24"/>
          <w:szCs w:val="24"/>
          <w:u w:val="none"/>
        </w:rPr>
        <w:t xml:space="preserve"> </w:t>
      </w:r>
      <w:r w:rsidR="002B4C19">
        <w:rPr>
          <w:rStyle w:val="Hyperlink"/>
          <w:rFonts w:ascii="Arial" w:hAnsi="Arial" w:cs="Arial"/>
          <w:color w:val="auto"/>
          <w:sz w:val="24"/>
          <w:szCs w:val="24"/>
          <w:u w:val="none"/>
        </w:rPr>
        <w:t xml:space="preserve">whether they are Jewish or Christian. Moreover, consideration should be given to the religious and cultural norms existing at the time of writing. </w:t>
      </w:r>
      <w:r>
        <w:rPr>
          <w:rStyle w:val="Hyperlink"/>
          <w:rFonts w:ascii="Arial" w:hAnsi="Arial" w:cs="Arial"/>
          <w:color w:val="auto"/>
          <w:sz w:val="24"/>
          <w:szCs w:val="24"/>
          <w:u w:val="none"/>
        </w:rPr>
        <w:t xml:space="preserve"> </w:t>
      </w:r>
      <w:r w:rsidR="00772636">
        <w:rPr>
          <w:rStyle w:val="Hyperlink"/>
          <w:rFonts w:ascii="Arial" w:hAnsi="Arial" w:cs="Arial"/>
          <w:color w:val="auto"/>
          <w:sz w:val="24"/>
          <w:szCs w:val="24"/>
          <w:u w:val="none"/>
        </w:rPr>
        <w:t xml:space="preserve"> </w:t>
      </w:r>
    </w:p>
    <w:p w:rsidR="00770FFE" w:rsidRDefault="00770FFE" w:rsidP="003426DD">
      <w:pPr>
        <w:spacing w:after="0"/>
        <w:jc w:val="both"/>
        <w:rPr>
          <w:rStyle w:val="Hyperlink"/>
          <w:rFonts w:ascii="Arial" w:hAnsi="Arial" w:cs="Arial"/>
          <w:color w:val="auto"/>
          <w:sz w:val="24"/>
          <w:szCs w:val="24"/>
          <w:u w:val="none"/>
        </w:rPr>
      </w:pPr>
    </w:p>
    <w:p w:rsidR="00770FFE" w:rsidRDefault="00770FFE" w:rsidP="003426DD">
      <w:pPr>
        <w:spacing w:after="0"/>
        <w:jc w:val="both"/>
        <w:rPr>
          <w:rStyle w:val="Hyperlink"/>
          <w:rFonts w:ascii="Arial" w:hAnsi="Arial" w:cs="Arial"/>
          <w:b/>
          <w:color w:val="auto"/>
          <w:sz w:val="24"/>
          <w:szCs w:val="24"/>
          <w:u w:val="none"/>
        </w:rPr>
      </w:pPr>
      <w:r>
        <w:rPr>
          <w:rStyle w:val="Hyperlink"/>
          <w:rFonts w:ascii="Arial" w:hAnsi="Arial" w:cs="Arial"/>
          <w:b/>
          <w:color w:val="auto"/>
          <w:sz w:val="24"/>
          <w:szCs w:val="24"/>
          <w:u w:val="none"/>
        </w:rPr>
        <w:t>Diane Stankaitis</w:t>
      </w:r>
    </w:p>
    <w:p w:rsidR="00770FFE" w:rsidRDefault="00E05BA7" w:rsidP="003426DD">
      <w:pPr>
        <w:spacing w:after="0"/>
        <w:jc w:val="both"/>
        <w:rPr>
          <w:rStyle w:val="Hyperlink"/>
          <w:rFonts w:ascii="Arial" w:hAnsi="Arial" w:cs="Arial"/>
          <w:b/>
          <w:color w:val="auto"/>
          <w:sz w:val="24"/>
          <w:szCs w:val="24"/>
          <w:u w:val="none"/>
        </w:rPr>
      </w:pPr>
      <w:r>
        <w:rPr>
          <w:rStyle w:val="Hyperlink"/>
          <w:rFonts w:ascii="Arial" w:hAnsi="Arial" w:cs="Arial"/>
          <w:b/>
          <w:color w:val="auto"/>
          <w:sz w:val="24"/>
          <w:szCs w:val="24"/>
          <w:u w:val="none"/>
        </w:rPr>
        <w:t>2</w:t>
      </w:r>
      <w:r w:rsidR="00A1503F">
        <w:rPr>
          <w:rStyle w:val="Hyperlink"/>
          <w:rFonts w:ascii="Arial" w:hAnsi="Arial" w:cs="Arial"/>
          <w:b/>
          <w:color w:val="auto"/>
          <w:sz w:val="24"/>
          <w:szCs w:val="24"/>
          <w:u w:val="none"/>
        </w:rPr>
        <w:t>4th</w:t>
      </w:r>
      <w:r w:rsidR="00770FFE">
        <w:rPr>
          <w:rStyle w:val="Hyperlink"/>
          <w:rFonts w:ascii="Arial" w:hAnsi="Arial" w:cs="Arial"/>
          <w:b/>
          <w:color w:val="auto"/>
          <w:sz w:val="24"/>
          <w:szCs w:val="24"/>
          <w:u w:val="none"/>
        </w:rPr>
        <w:t xml:space="preserve"> July 2021</w:t>
      </w:r>
    </w:p>
    <w:p w:rsidR="00770FFE" w:rsidRDefault="00F66B04" w:rsidP="003426DD">
      <w:pPr>
        <w:spacing w:after="0"/>
        <w:jc w:val="both"/>
        <w:rPr>
          <w:rStyle w:val="Hyperlink"/>
          <w:rFonts w:ascii="Arial" w:hAnsi="Arial" w:cs="Arial"/>
          <w:b/>
          <w:color w:val="auto"/>
          <w:sz w:val="24"/>
          <w:szCs w:val="24"/>
          <w:u w:val="none"/>
        </w:rPr>
      </w:pPr>
      <w:r>
        <w:rPr>
          <w:rStyle w:val="Hyperlink"/>
          <w:rFonts w:ascii="Arial" w:hAnsi="Arial" w:cs="Arial"/>
          <w:b/>
          <w:color w:val="auto"/>
          <w:sz w:val="24"/>
          <w:szCs w:val="24"/>
          <w:u w:val="none"/>
        </w:rPr>
        <w:t>317</w:t>
      </w:r>
      <w:r w:rsidR="001017E4">
        <w:rPr>
          <w:rStyle w:val="Hyperlink"/>
          <w:rFonts w:ascii="Arial" w:hAnsi="Arial" w:cs="Arial"/>
          <w:b/>
          <w:color w:val="auto"/>
          <w:sz w:val="24"/>
          <w:szCs w:val="24"/>
          <w:u w:val="none"/>
        </w:rPr>
        <w:t>9</w:t>
      </w:r>
      <w:r w:rsidR="00770FFE">
        <w:rPr>
          <w:rStyle w:val="Hyperlink"/>
          <w:rFonts w:ascii="Arial" w:hAnsi="Arial" w:cs="Arial"/>
          <w:b/>
          <w:color w:val="auto"/>
          <w:sz w:val="24"/>
          <w:szCs w:val="24"/>
          <w:u w:val="none"/>
        </w:rPr>
        <w:t xml:space="preserve"> words</w:t>
      </w:r>
      <w:bookmarkStart w:id="6" w:name="_GoBack"/>
      <w:bookmarkEnd w:id="6"/>
    </w:p>
    <w:p w:rsidR="00770FFE" w:rsidRPr="00770FFE" w:rsidRDefault="00770FFE" w:rsidP="003426DD">
      <w:pPr>
        <w:spacing w:after="0"/>
        <w:jc w:val="both"/>
        <w:rPr>
          <w:rStyle w:val="Hyperlink"/>
          <w:rFonts w:ascii="Arial" w:hAnsi="Arial" w:cs="Arial"/>
          <w:b/>
          <w:color w:val="auto"/>
          <w:sz w:val="24"/>
          <w:szCs w:val="24"/>
          <w:u w:val="none"/>
        </w:rPr>
      </w:pPr>
    </w:p>
    <w:p w:rsidR="00772636" w:rsidRDefault="00772636" w:rsidP="003426DD">
      <w:pPr>
        <w:spacing w:after="0"/>
        <w:jc w:val="both"/>
        <w:rPr>
          <w:rStyle w:val="Hyperlink"/>
          <w:rFonts w:ascii="Arial" w:hAnsi="Arial" w:cs="Arial"/>
          <w:color w:val="auto"/>
          <w:sz w:val="24"/>
          <w:szCs w:val="24"/>
          <w:u w:val="none"/>
        </w:rPr>
      </w:pPr>
    </w:p>
    <w:p w:rsidR="00772636" w:rsidRDefault="00772636" w:rsidP="003426DD">
      <w:pPr>
        <w:spacing w:after="0"/>
        <w:jc w:val="both"/>
        <w:rPr>
          <w:rStyle w:val="Hyperlink"/>
          <w:rFonts w:ascii="Arial" w:hAnsi="Arial" w:cs="Arial"/>
          <w:color w:val="auto"/>
          <w:sz w:val="24"/>
          <w:szCs w:val="24"/>
          <w:u w:val="none"/>
        </w:rPr>
      </w:pPr>
    </w:p>
    <w:p w:rsidR="00867AEE" w:rsidRDefault="00EA7A05" w:rsidP="003426DD">
      <w:pPr>
        <w:spacing w:after="0"/>
        <w:jc w:val="both"/>
        <w:rPr>
          <w:rStyle w:val="Hyperlink"/>
          <w:rFonts w:ascii="Arial" w:hAnsi="Arial" w:cs="Arial"/>
          <w:b/>
          <w:color w:val="auto"/>
          <w:sz w:val="24"/>
          <w:szCs w:val="24"/>
        </w:rPr>
      </w:pPr>
      <w:r>
        <w:rPr>
          <w:rStyle w:val="Hyperlink"/>
          <w:rFonts w:ascii="Arial" w:hAnsi="Arial" w:cs="Arial"/>
          <w:color w:val="auto"/>
          <w:sz w:val="24"/>
          <w:szCs w:val="24"/>
          <w:u w:val="none"/>
        </w:rPr>
        <w:tab/>
      </w:r>
    </w:p>
    <w:p w:rsidR="00867AEE" w:rsidRPr="00867AEE" w:rsidRDefault="00867AEE" w:rsidP="003426DD">
      <w:pPr>
        <w:spacing w:after="0"/>
        <w:jc w:val="both"/>
        <w:rPr>
          <w:rStyle w:val="Hyperlink"/>
          <w:rFonts w:ascii="Arial" w:hAnsi="Arial" w:cs="Arial"/>
          <w:color w:val="auto"/>
          <w:sz w:val="24"/>
          <w:szCs w:val="24"/>
          <w:u w:val="none"/>
        </w:rPr>
      </w:pPr>
    </w:p>
    <w:p w:rsidR="00A20EE6" w:rsidRPr="004F5DCC" w:rsidRDefault="00A20EE6" w:rsidP="003426DD">
      <w:pPr>
        <w:spacing w:after="0"/>
        <w:jc w:val="both"/>
        <w:rPr>
          <w:rStyle w:val="Hyperlink"/>
          <w:rFonts w:ascii="Arial" w:hAnsi="Arial" w:cs="Arial"/>
          <w:color w:val="auto"/>
          <w:sz w:val="24"/>
          <w:szCs w:val="24"/>
          <w:u w:val="none"/>
        </w:rPr>
      </w:pPr>
    </w:p>
    <w:p w:rsidR="002A0040" w:rsidRDefault="002A0040"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6C50FF" w:rsidRDefault="006C50FF"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Default="00AA5B2D" w:rsidP="003426DD">
      <w:pPr>
        <w:spacing w:after="0"/>
        <w:jc w:val="both"/>
        <w:rPr>
          <w:rStyle w:val="Hyperlink"/>
          <w:rFonts w:ascii="Arial" w:hAnsi="Arial" w:cs="Arial"/>
          <w:color w:val="auto"/>
          <w:sz w:val="24"/>
          <w:szCs w:val="24"/>
          <w:u w:val="none"/>
        </w:rPr>
      </w:pPr>
    </w:p>
    <w:p w:rsidR="00AA5B2D" w:rsidRPr="00AA5B2D" w:rsidRDefault="00AA5B2D" w:rsidP="00AA5B2D">
      <w:pPr>
        <w:spacing w:after="0"/>
        <w:ind w:left="720" w:hanging="720"/>
        <w:jc w:val="center"/>
        <w:rPr>
          <w:rFonts w:ascii="Arial" w:hAnsi="Arial" w:cs="Arial"/>
          <w:b/>
          <w:sz w:val="20"/>
          <w:szCs w:val="20"/>
        </w:rPr>
      </w:pPr>
      <w:r w:rsidRPr="00AA5B2D">
        <w:rPr>
          <w:rFonts w:ascii="Arial" w:hAnsi="Arial" w:cs="Arial"/>
          <w:b/>
          <w:sz w:val="20"/>
          <w:szCs w:val="20"/>
        </w:rPr>
        <w:lastRenderedPageBreak/>
        <w:t>Bibliography</w:t>
      </w:r>
    </w:p>
    <w:p w:rsidR="00AA5B2D" w:rsidRPr="00AA5B2D" w:rsidRDefault="00AA5B2D" w:rsidP="00AA5B2D">
      <w:pPr>
        <w:spacing w:after="0"/>
        <w:ind w:left="720" w:hanging="720"/>
        <w:rPr>
          <w:rFonts w:ascii="Arial" w:hAnsi="Arial" w:cs="Arial"/>
          <w:b/>
          <w:sz w:val="20"/>
          <w:szCs w:val="20"/>
        </w:rPr>
      </w:pP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Adams, S. A. &amp; Z. </w:t>
      </w:r>
      <w:proofErr w:type="spellStart"/>
      <w:r w:rsidRPr="00AA5B2D">
        <w:rPr>
          <w:rFonts w:ascii="Arial" w:hAnsi="Arial" w:cs="Arial"/>
          <w:sz w:val="20"/>
          <w:szCs w:val="20"/>
        </w:rPr>
        <w:t>Domoney-Lyttle</w:t>
      </w:r>
      <w:proofErr w:type="spellEnd"/>
      <w:r w:rsidRPr="00AA5B2D">
        <w:rPr>
          <w:rFonts w:ascii="Arial" w:hAnsi="Arial" w:cs="Arial"/>
          <w:sz w:val="20"/>
          <w:szCs w:val="20"/>
        </w:rPr>
        <w:t xml:space="preserve">, ‘Introduction’, in </w:t>
      </w:r>
      <w:r w:rsidRPr="00AA5B2D">
        <w:rPr>
          <w:rFonts w:ascii="Arial" w:hAnsi="Arial" w:cs="Arial"/>
          <w:i/>
          <w:sz w:val="20"/>
          <w:szCs w:val="20"/>
        </w:rPr>
        <w:t>Abraham in Jewish and Early Christian Literature</w:t>
      </w:r>
      <w:r w:rsidRPr="00AA5B2D">
        <w:rPr>
          <w:rFonts w:ascii="Arial" w:hAnsi="Arial" w:cs="Arial"/>
          <w:sz w:val="20"/>
          <w:szCs w:val="20"/>
        </w:rPr>
        <w:t xml:space="preserve">, ed. S.A. Adams &amp; Z. </w:t>
      </w:r>
      <w:proofErr w:type="spellStart"/>
      <w:r w:rsidRPr="00AA5B2D">
        <w:rPr>
          <w:rFonts w:ascii="Arial" w:hAnsi="Arial" w:cs="Arial"/>
          <w:sz w:val="20"/>
          <w:szCs w:val="20"/>
        </w:rPr>
        <w:t>Domoney-Lyttle</w:t>
      </w:r>
      <w:proofErr w:type="spellEnd"/>
      <w:r w:rsidRPr="00AA5B2D">
        <w:rPr>
          <w:rFonts w:ascii="Arial" w:hAnsi="Arial" w:cs="Arial"/>
          <w:sz w:val="20"/>
          <w:szCs w:val="20"/>
        </w:rPr>
        <w:t xml:space="preserve"> (London: T.&amp;T. Clark, 2019), pp. 1-8.</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Alter, R., </w:t>
      </w:r>
      <w:r w:rsidRPr="00AA5B2D">
        <w:rPr>
          <w:rFonts w:ascii="Arial" w:hAnsi="Arial" w:cs="Arial"/>
          <w:i/>
          <w:sz w:val="20"/>
          <w:szCs w:val="20"/>
        </w:rPr>
        <w:t xml:space="preserve">The Art of Biblical Narrative </w:t>
      </w:r>
      <w:r w:rsidRPr="00AA5B2D">
        <w:rPr>
          <w:rFonts w:ascii="Arial" w:hAnsi="Arial" w:cs="Arial"/>
          <w:sz w:val="20"/>
          <w:szCs w:val="20"/>
        </w:rPr>
        <w:t>(New York: Basic Books, 1981).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Alter, R., </w:t>
      </w:r>
      <w:r w:rsidRPr="00AA5B2D">
        <w:rPr>
          <w:rFonts w:ascii="Arial" w:hAnsi="Arial" w:cs="Arial"/>
          <w:i/>
          <w:sz w:val="20"/>
          <w:szCs w:val="20"/>
        </w:rPr>
        <w:t xml:space="preserve">Genesis: Translation and Commentary </w:t>
      </w:r>
      <w:r w:rsidRPr="00AA5B2D">
        <w:rPr>
          <w:rFonts w:ascii="Arial" w:hAnsi="Arial" w:cs="Arial"/>
          <w:sz w:val="20"/>
          <w:szCs w:val="20"/>
        </w:rPr>
        <w:t>(New York: Norton, 1996).</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Auerbach</w:t>
      </w:r>
      <w:proofErr w:type="spellEnd"/>
      <w:r w:rsidRPr="00AA5B2D">
        <w:rPr>
          <w:rFonts w:ascii="Arial" w:hAnsi="Arial" w:cs="Arial"/>
          <w:sz w:val="20"/>
          <w:szCs w:val="20"/>
        </w:rPr>
        <w:t xml:space="preserve">, E., </w:t>
      </w:r>
      <w:proofErr w:type="spellStart"/>
      <w:r w:rsidRPr="00AA5B2D">
        <w:rPr>
          <w:rFonts w:ascii="Arial" w:hAnsi="Arial" w:cs="Arial"/>
          <w:i/>
          <w:sz w:val="20"/>
          <w:szCs w:val="20"/>
        </w:rPr>
        <w:t>Mimesis</w:t>
      </w:r>
      <w:proofErr w:type="gramStart"/>
      <w:r w:rsidRPr="00AA5B2D">
        <w:rPr>
          <w:rFonts w:ascii="Arial" w:hAnsi="Arial" w:cs="Arial"/>
          <w:i/>
          <w:sz w:val="20"/>
          <w:szCs w:val="20"/>
        </w:rPr>
        <w:t>:The</w:t>
      </w:r>
      <w:proofErr w:type="spellEnd"/>
      <w:proofErr w:type="gramEnd"/>
      <w:r w:rsidRPr="00AA5B2D">
        <w:rPr>
          <w:rFonts w:ascii="Arial" w:hAnsi="Arial" w:cs="Arial"/>
          <w:i/>
          <w:sz w:val="20"/>
          <w:szCs w:val="20"/>
        </w:rPr>
        <w:t xml:space="preserve"> Representation of Reality in Western Literature</w:t>
      </w:r>
      <w:r w:rsidRPr="00AA5B2D">
        <w:rPr>
          <w:rFonts w:ascii="Arial" w:hAnsi="Arial" w:cs="Arial"/>
          <w:sz w:val="20"/>
          <w:szCs w:val="20"/>
        </w:rPr>
        <w:t>, trans. W.R. Trask (Princeton: Princeton University Press, 1953, 2003).</w:t>
      </w:r>
    </w:p>
    <w:p w:rsidR="00AA5B2D" w:rsidRPr="00AA5B2D" w:rsidRDefault="00AA5B2D" w:rsidP="00AA5B2D">
      <w:pPr>
        <w:spacing w:after="0"/>
        <w:ind w:left="720" w:hanging="720"/>
        <w:rPr>
          <w:rFonts w:ascii="Arial" w:hAnsi="Arial" w:cs="Arial"/>
          <w:i/>
          <w:sz w:val="20"/>
          <w:szCs w:val="20"/>
        </w:rPr>
      </w:pPr>
      <w:proofErr w:type="spellStart"/>
      <w:r w:rsidRPr="00AA5B2D">
        <w:rPr>
          <w:rFonts w:ascii="Arial" w:hAnsi="Arial" w:cs="Arial"/>
          <w:sz w:val="20"/>
          <w:szCs w:val="20"/>
        </w:rPr>
        <w:t>Awabdy</w:t>
      </w:r>
      <w:proofErr w:type="spellEnd"/>
      <w:r w:rsidRPr="00AA5B2D">
        <w:rPr>
          <w:rFonts w:ascii="Arial" w:hAnsi="Arial" w:cs="Arial"/>
          <w:sz w:val="20"/>
          <w:szCs w:val="20"/>
        </w:rPr>
        <w:t xml:space="preserve">, M.A., ‘Babel, Suspense, and the Introduction to the </w:t>
      </w:r>
      <w:proofErr w:type="spellStart"/>
      <w:r w:rsidRPr="00AA5B2D">
        <w:rPr>
          <w:rFonts w:ascii="Arial" w:hAnsi="Arial" w:cs="Arial"/>
          <w:sz w:val="20"/>
          <w:szCs w:val="20"/>
        </w:rPr>
        <w:t>Terah</w:t>
      </w:r>
      <w:proofErr w:type="spellEnd"/>
      <w:r w:rsidRPr="00AA5B2D">
        <w:rPr>
          <w:rFonts w:ascii="Arial" w:hAnsi="Arial" w:cs="Arial"/>
          <w:sz w:val="20"/>
          <w:szCs w:val="20"/>
        </w:rPr>
        <w:t xml:space="preserve">-Abram Narrative’, </w:t>
      </w:r>
      <w:r w:rsidRPr="00AA5B2D">
        <w:rPr>
          <w:rFonts w:ascii="Arial" w:hAnsi="Arial" w:cs="Arial"/>
          <w:i/>
          <w:sz w:val="20"/>
          <w:szCs w:val="20"/>
        </w:rPr>
        <w:t>Journal for the Study of the Old Testament</w:t>
      </w:r>
      <w:r w:rsidRPr="00AA5B2D">
        <w:rPr>
          <w:rFonts w:ascii="Arial" w:hAnsi="Arial" w:cs="Arial"/>
          <w:sz w:val="20"/>
          <w:szCs w:val="20"/>
        </w:rPr>
        <w:t xml:space="preserve"> </w:t>
      </w:r>
      <w:r w:rsidRPr="00AA5B2D">
        <w:rPr>
          <w:rFonts w:ascii="Arial" w:hAnsi="Arial" w:cs="Arial"/>
          <w:i/>
          <w:sz w:val="20"/>
          <w:szCs w:val="20"/>
        </w:rPr>
        <w:t>35, 1 (2010), pp. 3-29.</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Baden, Joel S.,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Promise to the Patriarchs</w:t>
      </w:r>
      <w:r w:rsidRPr="00AA5B2D">
        <w:rPr>
          <w:rFonts w:ascii="Arial" w:hAnsi="Arial" w:cs="Arial"/>
          <w:sz w:val="20"/>
          <w:szCs w:val="20"/>
        </w:rPr>
        <w:t xml:space="preserve"> (New York: Oxford University Press, 2013).</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Baschet</w:t>
      </w:r>
      <w:proofErr w:type="spellEnd"/>
      <w:r w:rsidRPr="00AA5B2D">
        <w:rPr>
          <w:rFonts w:ascii="Arial" w:hAnsi="Arial" w:cs="Arial"/>
          <w:sz w:val="20"/>
          <w:szCs w:val="20"/>
        </w:rPr>
        <w:t xml:space="preserve">, J., ‘Medieval Abraham: Between Fleshly Patriarch and Divine Father’, </w:t>
      </w:r>
      <w:r w:rsidRPr="00AA5B2D">
        <w:rPr>
          <w:rFonts w:ascii="Arial" w:hAnsi="Arial" w:cs="Arial"/>
          <w:i/>
          <w:sz w:val="20"/>
          <w:szCs w:val="20"/>
        </w:rPr>
        <w:t>MLN</w:t>
      </w:r>
      <w:r w:rsidRPr="00AA5B2D">
        <w:rPr>
          <w:rFonts w:ascii="Arial" w:hAnsi="Arial" w:cs="Arial"/>
          <w:sz w:val="20"/>
          <w:szCs w:val="20"/>
        </w:rPr>
        <w:t xml:space="preserve"> 108, 4 (1993), pp. 738-758.</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Baschet</w:t>
      </w:r>
      <w:proofErr w:type="spellEnd"/>
      <w:r w:rsidRPr="00AA5B2D">
        <w:rPr>
          <w:rFonts w:ascii="Arial" w:hAnsi="Arial" w:cs="Arial"/>
          <w:sz w:val="20"/>
          <w:szCs w:val="20"/>
        </w:rPr>
        <w:t xml:space="preserve">, J., </w:t>
      </w:r>
      <w:r w:rsidRPr="00AA5B2D">
        <w:rPr>
          <w:rFonts w:ascii="Arial" w:hAnsi="Arial" w:cs="Arial"/>
          <w:i/>
          <w:sz w:val="20"/>
          <w:szCs w:val="20"/>
        </w:rPr>
        <w:t xml:space="preserve">Le </w:t>
      </w:r>
      <w:proofErr w:type="spellStart"/>
      <w:r w:rsidRPr="00AA5B2D">
        <w:rPr>
          <w:rFonts w:ascii="Arial" w:hAnsi="Arial" w:cs="Arial"/>
          <w:i/>
          <w:sz w:val="20"/>
          <w:szCs w:val="20"/>
        </w:rPr>
        <w:t>Sein</w:t>
      </w:r>
      <w:proofErr w:type="spellEnd"/>
      <w:r w:rsidRPr="00AA5B2D">
        <w:rPr>
          <w:rFonts w:ascii="Arial" w:hAnsi="Arial" w:cs="Arial"/>
          <w:i/>
          <w:sz w:val="20"/>
          <w:szCs w:val="20"/>
        </w:rPr>
        <w:t xml:space="preserve"> du </w:t>
      </w:r>
      <w:proofErr w:type="spellStart"/>
      <w:r w:rsidRPr="00AA5B2D">
        <w:rPr>
          <w:rFonts w:ascii="Arial" w:hAnsi="Arial" w:cs="Arial"/>
          <w:i/>
          <w:sz w:val="20"/>
          <w:szCs w:val="20"/>
        </w:rPr>
        <w:t>Père</w:t>
      </w:r>
      <w:proofErr w:type="spellEnd"/>
      <w:r w:rsidRPr="00AA5B2D">
        <w:rPr>
          <w:rFonts w:ascii="Arial" w:hAnsi="Arial" w:cs="Arial"/>
          <w:i/>
          <w:sz w:val="20"/>
          <w:szCs w:val="20"/>
        </w:rPr>
        <w:t xml:space="preserve">: Abraham </w:t>
      </w:r>
      <w:proofErr w:type="gramStart"/>
      <w:r w:rsidRPr="00AA5B2D">
        <w:rPr>
          <w:rFonts w:ascii="Arial" w:hAnsi="Arial" w:cs="Arial"/>
          <w:i/>
          <w:sz w:val="20"/>
          <w:szCs w:val="20"/>
        </w:rPr>
        <w:t>et</w:t>
      </w:r>
      <w:proofErr w:type="gramEnd"/>
      <w:r w:rsidRPr="00AA5B2D">
        <w:rPr>
          <w:rFonts w:ascii="Arial" w:hAnsi="Arial" w:cs="Arial"/>
          <w:i/>
          <w:sz w:val="20"/>
          <w:szCs w:val="20"/>
        </w:rPr>
        <w:t xml:space="preserve"> la </w:t>
      </w:r>
      <w:proofErr w:type="spellStart"/>
      <w:r w:rsidRPr="00AA5B2D">
        <w:rPr>
          <w:rFonts w:ascii="Arial" w:hAnsi="Arial" w:cs="Arial"/>
          <w:i/>
          <w:sz w:val="20"/>
          <w:szCs w:val="20"/>
        </w:rPr>
        <w:t>Paternité</w:t>
      </w:r>
      <w:proofErr w:type="spellEnd"/>
      <w:r w:rsidRPr="00AA5B2D">
        <w:rPr>
          <w:rFonts w:ascii="Arial" w:hAnsi="Arial" w:cs="Arial"/>
          <w:i/>
          <w:sz w:val="20"/>
          <w:szCs w:val="20"/>
        </w:rPr>
        <w:t xml:space="preserve"> </w:t>
      </w:r>
      <w:proofErr w:type="spellStart"/>
      <w:r w:rsidRPr="00AA5B2D">
        <w:rPr>
          <w:rFonts w:ascii="Arial" w:hAnsi="Arial" w:cs="Arial"/>
          <w:i/>
          <w:sz w:val="20"/>
          <w:szCs w:val="20"/>
        </w:rPr>
        <w:t>dans</w:t>
      </w:r>
      <w:proofErr w:type="spellEnd"/>
      <w:r w:rsidRPr="00AA5B2D">
        <w:rPr>
          <w:rFonts w:ascii="Arial" w:hAnsi="Arial" w:cs="Arial"/>
          <w:i/>
          <w:sz w:val="20"/>
          <w:szCs w:val="20"/>
        </w:rPr>
        <w:t xml:space="preserve"> </w:t>
      </w:r>
      <w:proofErr w:type="spellStart"/>
      <w:r w:rsidRPr="00AA5B2D">
        <w:rPr>
          <w:rFonts w:ascii="Arial" w:hAnsi="Arial" w:cs="Arial"/>
          <w:i/>
          <w:sz w:val="20"/>
          <w:szCs w:val="20"/>
        </w:rPr>
        <w:t>l’Occident</w:t>
      </w:r>
      <w:proofErr w:type="spellEnd"/>
      <w:r w:rsidRPr="00AA5B2D">
        <w:rPr>
          <w:rFonts w:ascii="Arial" w:hAnsi="Arial" w:cs="Arial"/>
          <w:i/>
          <w:sz w:val="20"/>
          <w:szCs w:val="20"/>
        </w:rPr>
        <w:t xml:space="preserve"> </w:t>
      </w:r>
      <w:proofErr w:type="spellStart"/>
      <w:r w:rsidRPr="00AA5B2D">
        <w:rPr>
          <w:rFonts w:ascii="Arial" w:hAnsi="Arial" w:cs="Arial"/>
          <w:i/>
          <w:sz w:val="20"/>
          <w:szCs w:val="20"/>
        </w:rPr>
        <w:t>Médiéval</w:t>
      </w:r>
      <w:proofErr w:type="spellEnd"/>
      <w:r w:rsidRPr="00AA5B2D">
        <w:rPr>
          <w:rFonts w:ascii="Arial" w:hAnsi="Arial" w:cs="Arial"/>
          <w:i/>
          <w:sz w:val="20"/>
          <w:szCs w:val="20"/>
        </w:rPr>
        <w:t xml:space="preserve"> </w:t>
      </w:r>
      <w:r w:rsidRPr="00AA5B2D">
        <w:rPr>
          <w:rFonts w:ascii="Arial" w:hAnsi="Arial" w:cs="Arial"/>
          <w:sz w:val="20"/>
          <w:szCs w:val="20"/>
        </w:rPr>
        <w:t xml:space="preserve">(Paris: </w:t>
      </w:r>
      <w:proofErr w:type="spellStart"/>
      <w:r w:rsidRPr="00AA5B2D">
        <w:rPr>
          <w:rFonts w:ascii="Arial" w:hAnsi="Arial" w:cs="Arial"/>
          <w:sz w:val="20"/>
          <w:szCs w:val="20"/>
        </w:rPr>
        <w:t>Gallimard</w:t>
      </w:r>
      <w:proofErr w:type="spellEnd"/>
      <w:r w:rsidRPr="00AA5B2D">
        <w:rPr>
          <w:rFonts w:ascii="Arial" w:hAnsi="Arial" w:cs="Arial"/>
          <w:sz w:val="20"/>
          <w:szCs w:val="20"/>
        </w:rPr>
        <w:t>, 2000).</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Beal, T., ‘Reception History and Beyond: Toward the Cultural History of Scriptures’, </w:t>
      </w:r>
      <w:r w:rsidRPr="00AA5B2D">
        <w:rPr>
          <w:rFonts w:ascii="Arial" w:hAnsi="Arial" w:cs="Arial"/>
          <w:i/>
          <w:sz w:val="20"/>
          <w:szCs w:val="20"/>
        </w:rPr>
        <w:t>Biblical Interpretation</w:t>
      </w:r>
      <w:r w:rsidRPr="00AA5B2D">
        <w:rPr>
          <w:rFonts w:ascii="Arial" w:hAnsi="Arial" w:cs="Arial"/>
          <w:sz w:val="20"/>
          <w:szCs w:val="20"/>
        </w:rPr>
        <w:t xml:space="preserve"> 19 (2011), pp. 357-372.</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Berman, L., ‘Rembrandt, Caravaggio, and Beyond’: “The Binding of Isaac”’</w:t>
      </w:r>
      <w:proofErr w:type="gramStart"/>
      <w:r w:rsidRPr="00AA5B2D">
        <w:rPr>
          <w:rFonts w:ascii="Arial" w:hAnsi="Arial" w:cs="Arial"/>
          <w:sz w:val="20"/>
          <w:szCs w:val="20"/>
        </w:rPr>
        <w:t xml:space="preserve">,  </w:t>
      </w:r>
      <w:proofErr w:type="gramEnd"/>
      <w:r w:rsidRPr="00AA5B2D">
        <w:fldChar w:fldCharType="begin"/>
      </w:r>
      <w:r w:rsidRPr="00AA5B2D">
        <w:rPr>
          <w:rFonts w:ascii="Arial" w:hAnsi="Arial" w:cs="Arial"/>
          <w:sz w:val="20"/>
          <w:szCs w:val="20"/>
        </w:rPr>
        <w:instrText xml:space="preserve"> HYPERLINK "http://www.sefaria.org/sheets/129940?lang=bi" </w:instrText>
      </w:r>
      <w:r w:rsidRPr="00AA5B2D">
        <w:fldChar w:fldCharType="separate"/>
      </w:r>
      <w:r w:rsidRPr="00AA5B2D">
        <w:rPr>
          <w:rStyle w:val="Hyperlink"/>
          <w:rFonts w:ascii="Arial" w:hAnsi="Arial" w:cs="Arial"/>
          <w:sz w:val="20"/>
          <w:szCs w:val="20"/>
        </w:rPr>
        <w:t>www.sefaria.org/sheets/129940?lang=bi</w:t>
      </w:r>
      <w:r w:rsidRPr="00AA5B2D">
        <w:rPr>
          <w:rStyle w:val="Hyperlink"/>
          <w:rFonts w:ascii="Arial" w:hAnsi="Arial" w:cs="Arial"/>
          <w:sz w:val="20"/>
          <w:szCs w:val="20"/>
        </w:rPr>
        <w:fldChar w:fldCharType="end"/>
      </w:r>
      <w:r w:rsidRPr="00AA5B2D">
        <w:rPr>
          <w:rFonts w:ascii="Arial" w:hAnsi="Arial" w:cs="Arial"/>
          <w:sz w:val="20"/>
          <w:szCs w:val="20"/>
        </w:rPr>
        <w:t>, 25</w:t>
      </w:r>
      <w:r w:rsidRPr="00AA5B2D">
        <w:rPr>
          <w:rFonts w:ascii="Arial" w:hAnsi="Arial" w:cs="Arial"/>
          <w:sz w:val="20"/>
          <w:szCs w:val="20"/>
          <w:vertAlign w:val="superscript"/>
        </w:rPr>
        <w:t>th</w:t>
      </w:r>
      <w:r w:rsidRPr="00AA5B2D">
        <w:rPr>
          <w:rFonts w:ascii="Arial" w:hAnsi="Arial" w:cs="Arial"/>
          <w:sz w:val="20"/>
          <w:szCs w:val="20"/>
        </w:rPr>
        <w:t xml:space="preserve"> June 2012.</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Blenkinsopp, J., ‘Abraham, and the Righteous of Sodom’, </w:t>
      </w:r>
      <w:r w:rsidRPr="00AA5B2D">
        <w:rPr>
          <w:rFonts w:ascii="Arial" w:hAnsi="Arial" w:cs="Arial"/>
          <w:i/>
          <w:sz w:val="20"/>
          <w:szCs w:val="20"/>
        </w:rPr>
        <w:t>JJS</w:t>
      </w:r>
      <w:r w:rsidRPr="00AA5B2D">
        <w:rPr>
          <w:rFonts w:ascii="Arial" w:hAnsi="Arial" w:cs="Arial"/>
          <w:sz w:val="20"/>
          <w:szCs w:val="20"/>
        </w:rPr>
        <w:t xml:space="preserve"> 33 (1982), pp. 119-132.</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Blenkinsopp, J., ‘Abraham as Paradigm in the Priestly History in Genesis’, </w:t>
      </w:r>
      <w:r w:rsidRPr="00AA5B2D">
        <w:rPr>
          <w:rFonts w:ascii="Arial" w:hAnsi="Arial" w:cs="Arial"/>
          <w:i/>
          <w:sz w:val="20"/>
          <w:szCs w:val="20"/>
        </w:rPr>
        <w:t>Journal of Biblical Literature</w:t>
      </w:r>
      <w:r w:rsidRPr="00AA5B2D">
        <w:rPr>
          <w:rFonts w:ascii="Arial" w:hAnsi="Arial" w:cs="Arial"/>
          <w:sz w:val="20"/>
          <w:szCs w:val="20"/>
        </w:rPr>
        <w:t xml:space="preserve"> 128, 2 (2009), pp. 225-241.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Blenkinsopp, J., </w:t>
      </w:r>
      <w:r w:rsidRPr="00AA5B2D">
        <w:rPr>
          <w:rFonts w:ascii="Arial" w:hAnsi="Arial" w:cs="Arial"/>
          <w:i/>
          <w:sz w:val="20"/>
          <w:szCs w:val="20"/>
        </w:rPr>
        <w:t>Abraham: The Story of a Life</w:t>
      </w:r>
      <w:r w:rsidRPr="00AA5B2D">
        <w:rPr>
          <w:rFonts w:ascii="Arial" w:hAnsi="Arial" w:cs="Arial"/>
          <w:sz w:val="20"/>
          <w:szCs w:val="20"/>
        </w:rPr>
        <w:t xml:space="preserve"> (Grand Rapids: Eerdmans, 2015).</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Bouwens</w:t>
      </w:r>
      <w:proofErr w:type="spellEnd"/>
      <w:r w:rsidRPr="00AA5B2D">
        <w:rPr>
          <w:rFonts w:ascii="Arial" w:hAnsi="Arial" w:cs="Arial"/>
          <w:sz w:val="20"/>
          <w:szCs w:val="20"/>
        </w:rPr>
        <w:t>, N., ‘The Bible Collection: Abraham’, www.dove.org/review/948-abraham/, 19</w:t>
      </w:r>
      <w:r w:rsidRPr="00AA5B2D">
        <w:rPr>
          <w:rFonts w:ascii="Arial" w:hAnsi="Arial" w:cs="Arial"/>
          <w:sz w:val="20"/>
          <w:szCs w:val="20"/>
          <w:vertAlign w:val="superscript"/>
        </w:rPr>
        <w:t>th</w:t>
      </w:r>
      <w:r w:rsidRPr="00AA5B2D">
        <w:rPr>
          <w:rFonts w:ascii="Arial" w:hAnsi="Arial" w:cs="Arial"/>
          <w:sz w:val="20"/>
          <w:szCs w:val="20"/>
        </w:rPr>
        <w:t xml:space="preserve"> June 2021.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Bridge, E., ‘An Audacious Request: Abraham’s Dialogue with God in Genesis 18’, </w:t>
      </w:r>
      <w:r w:rsidRPr="00AA5B2D">
        <w:rPr>
          <w:rFonts w:ascii="Arial" w:hAnsi="Arial" w:cs="Arial"/>
          <w:i/>
          <w:sz w:val="20"/>
          <w:szCs w:val="20"/>
        </w:rPr>
        <w:t xml:space="preserve">Anglican Theological Review </w:t>
      </w:r>
      <w:r w:rsidRPr="00AA5B2D">
        <w:rPr>
          <w:rFonts w:ascii="Arial" w:hAnsi="Arial" w:cs="Arial"/>
          <w:sz w:val="20"/>
          <w:szCs w:val="20"/>
        </w:rPr>
        <w:t>40, 3 (2016), pp. 281-296.</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Brodie, T.L., </w:t>
      </w:r>
      <w:r w:rsidRPr="00AA5B2D">
        <w:rPr>
          <w:rFonts w:ascii="Arial" w:hAnsi="Arial" w:cs="Arial"/>
          <w:i/>
          <w:sz w:val="20"/>
          <w:szCs w:val="20"/>
        </w:rPr>
        <w:t>Genesis as Dialogue: A Literary, Historical, and Theological Commentary</w:t>
      </w:r>
      <w:r w:rsidRPr="00AA5B2D">
        <w:rPr>
          <w:rFonts w:ascii="Arial" w:hAnsi="Arial" w:cs="Arial"/>
          <w:sz w:val="20"/>
          <w:szCs w:val="20"/>
        </w:rPr>
        <w:t xml:space="preserve"> (Oxford: Oxford University Press, 2001).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Brown, P. &amp; S.C. Levinson</w:t>
      </w:r>
      <w:proofErr w:type="gramStart"/>
      <w:r w:rsidRPr="00AA5B2D">
        <w:rPr>
          <w:rFonts w:ascii="Arial" w:hAnsi="Arial" w:cs="Arial"/>
          <w:sz w:val="20"/>
          <w:szCs w:val="20"/>
        </w:rPr>
        <w:t xml:space="preserve">,  </w:t>
      </w:r>
      <w:r w:rsidRPr="00AA5B2D">
        <w:rPr>
          <w:rFonts w:ascii="Arial" w:hAnsi="Arial" w:cs="Arial"/>
          <w:i/>
          <w:sz w:val="20"/>
          <w:szCs w:val="20"/>
        </w:rPr>
        <w:t>Politeness</w:t>
      </w:r>
      <w:proofErr w:type="gramEnd"/>
      <w:r w:rsidRPr="00AA5B2D">
        <w:rPr>
          <w:rFonts w:ascii="Arial" w:hAnsi="Arial" w:cs="Arial"/>
          <w:i/>
          <w:sz w:val="20"/>
          <w:szCs w:val="20"/>
        </w:rPr>
        <w:t>: Some Universals in Language Usage</w:t>
      </w:r>
      <w:r w:rsidRPr="00AA5B2D">
        <w:rPr>
          <w:rFonts w:ascii="Arial" w:hAnsi="Arial" w:cs="Arial"/>
          <w:sz w:val="20"/>
          <w:szCs w:val="20"/>
        </w:rPr>
        <w:t xml:space="preserve"> (Cambridge: Cambridge University Press, 1987).</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Brueggemann</w:t>
      </w:r>
      <w:proofErr w:type="spellEnd"/>
      <w:r w:rsidRPr="00AA5B2D">
        <w:rPr>
          <w:rFonts w:ascii="Arial" w:hAnsi="Arial" w:cs="Arial"/>
          <w:sz w:val="20"/>
          <w:szCs w:val="20"/>
        </w:rPr>
        <w:t xml:space="preserve">, W., </w:t>
      </w:r>
      <w:r w:rsidRPr="00AA5B2D">
        <w:rPr>
          <w:rFonts w:ascii="Arial" w:hAnsi="Arial" w:cs="Arial"/>
          <w:i/>
          <w:sz w:val="20"/>
          <w:szCs w:val="20"/>
        </w:rPr>
        <w:t xml:space="preserve">Genesis: Interpretation </w:t>
      </w:r>
      <w:r w:rsidRPr="00AA5B2D">
        <w:rPr>
          <w:rFonts w:ascii="Arial" w:hAnsi="Arial" w:cs="Arial"/>
          <w:sz w:val="20"/>
          <w:szCs w:val="20"/>
        </w:rPr>
        <w:t>(Atlanta, GA: John Knox Press, 1982).</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Bukur</w:t>
      </w:r>
      <w:proofErr w:type="spellEnd"/>
      <w:r w:rsidRPr="00AA5B2D">
        <w:rPr>
          <w:rFonts w:ascii="Arial" w:hAnsi="Arial" w:cs="Arial"/>
          <w:sz w:val="20"/>
          <w:szCs w:val="20"/>
        </w:rPr>
        <w:t>, B.G., ‘</w:t>
      </w:r>
      <w:proofErr w:type="gramStart"/>
      <w:r w:rsidRPr="00AA5B2D">
        <w:rPr>
          <w:rFonts w:ascii="Arial" w:hAnsi="Arial" w:cs="Arial"/>
          <w:sz w:val="20"/>
          <w:szCs w:val="20"/>
        </w:rPr>
        <w:t>The</w:t>
      </w:r>
      <w:proofErr w:type="gramEnd"/>
      <w:r w:rsidRPr="00AA5B2D">
        <w:rPr>
          <w:rFonts w:ascii="Arial" w:hAnsi="Arial" w:cs="Arial"/>
          <w:sz w:val="20"/>
          <w:szCs w:val="20"/>
        </w:rPr>
        <w:t xml:space="preserve"> Early Christian Reception of Genesis 18: From Theophany to Trinitarian Symbolism’, </w:t>
      </w:r>
      <w:r w:rsidRPr="00AA5B2D">
        <w:rPr>
          <w:rFonts w:ascii="Arial" w:hAnsi="Arial" w:cs="Arial"/>
          <w:i/>
          <w:sz w:val="20"/>
          <w:szCs w:val="20"/>
        </w:rPr>
        <w:t>Journal of Early Christian Studies</w:t>
      </w:r>
      <w:r w:rsidRPr="00AA5B2D">
        <w:rPr>
          <w:rFonts w:ascii="Arial" w:hAnsi="Arial" w:cs="Arial"/>
          <w:sz w:val="20"/>
          <w:szCs w:val="20"/>
        </w:rPr>
        <w:t xml:space="preserve"> 23, 2 (2015), pp. 245-272.</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Calvert-</w:t>
      </w:r>
      <w:proofErr w:type="spellStart"/>
      <w:r w:rsidRPr="00AA5B2D">
        <w:rPr>
          <w:rFonts w:ascii="Arial" w:hAnsi="Arial" w:cs="Arial"/>
          <w:sz w:val="20"/>
          <w:szCs w:val="20"/>
        </w:rPr>
        <w:t>Koyzis</w:t>
      </w:r>
      <w:proofErr w:type="spellEnd"/>
      <w:r w:rsidRPr="00AA5B2D">
        <w:rPr>
          <w:rFonts w:ascii="Arial" w:hAnsi="Arial" w:cs="Arial"/>
          <w:sz w:val="20"/>
          <w:szCs w:val="20"/>
        </w:rPr>
        <w:t xml:space="preserve">, N., </w:t>
      </w:r>
      <w:r w:rsidRPr="00AA5B2D">
        <w:rPr>
          <w:rFonts w:ascii="Arial" w:hAnsi="Arial" w:cs="Arial"/>
          <w:i/>
          <w:sz w:val="20"/>
          <w:szCs w:val="20"/>
        </w:rPr>
        <w:t>Paul, Monotheism and the People of God: The Significance of Abraham Traditions for Early Judaism and Christianity</w:t>
      </w:r>
      <w:r w:rsidRPr="00AA5B2D">
        <w:rPr>
          <w:rFonts w:ascii="Arial" w:hAnsi="Arial" w:cs="Arial"/>
          <w:sz w:val="20"/>
          <w:szCs w:val="20"/>
        </w:rPr>
        <w:t xml:space="preserve"> (London: T</w:t>
      </w:r>
      <w:proofErr w:type="gramStart"/>
      <w:r w:rsidRPr="00AA5B2D">
        <w:rPr>
          <w:rFonts w:ascii="Arial" w:hAnsi="Arial" w:cs="Arial"/>
          <w:sz w:val="20"/>
          <w:szCs w:val="20"/>
        </w:rPr>
        <w:t>.&amp;</w:t>
      </w:r>
      <w:proofErr w:type="gramEnd"/>
      <w:r w:rsidRPr="00AA5B2D">
        <w:rPr>
          <w:rFonts w:ascii="Arial" w:hAnsi="Arial" w:cs="Arial"/>
          <w:sz w:val="20"/>
          <w:szCs w:val="20"/>
        </w:rPr>
        <w:t>T. Clark, 2004).</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Campbell, A.F. </w:t>
      </w:r>
      <w:proofErr w:type="gramStart"/>
      <w:r w:rsidRPr="00AA5B2D">
        <w:rPr>
          <w:rFonts w:ascii="Arial" w:hAnsi="Arial" w:cs="Arial"/>
          <w:sz w:val="20"/>
          <w:szCs w:val="20"/>
        </w:rPr>
        <w:t>&amp;  M.A</w:t>
      </w:r>
      <w:proofErr w:type="gramEnd"/>
      <w:r w:rsidRPr="00AA5B2D">
        <w:rPr>
          <w:rFonts w:ascii="Arial" w:hAnsi="Arial" w:cs="Arial"/>
          <w:sz w:val="20"/>
          <w:szCs w:val="20"/>
        </w:rPr>
        <w:t xml:space="preserve">. O’Brien, </w:t>
      </w:r>
      <w:r w:rsidRPr="00AA5B2D">
        <w:rPr>
          <w:rFonts w:ascii="Arial" w:hAnsi="Arial" w:cs="Arial"/>
          <w:i/>
          <w:sz w:val="20"/>
          <w:szCs w:val="20"/>
        </w:rPr>
        <w:t>Rethinking the Pentateuch: Prolegomena to the Theology of Ancient Israel</w:t>
      </w:r>
      <w:r w:rsidRPr="00AA5B2D">
        <w:rPr>
          <w:rFonts w:ascii="Arial" w:hAnsi="Arial" w:cs="Arial"/>
          <w:sz w:val="20"/>
          <w:szCs w:val="20"/>
        </w:rPr>
        <w:t xml:space="preserve"> (Louisville: Westminster John Knox, 2005).</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Campbell, S.D., ‘The Surety of God’s Promises: A Theological Interpretation of Genesis 22’, </w:t>
      </w:r>
      <w:r w:rsidRPr="00AA5B2D">
        <w:rPr>
          <w:rFonts w:ascii="Arial" w:hAnsi="Arial" w:cs="Arial"/>
          <w:i/>
          <w:sz w:val="20"/>
          <w:szCs w:val="20"/>
        </w:rPr>
        <w:t xml:space="preserve">Biblical Theology Bulletin </w:t>
      </w:r>
      <w:r w:rsidRPr="00AA5B2D">
        <w:rPr>
          <w:rFonts w:ascii="Arial" w:hAnsi="Arial" w:cs="Arial"/>
          <w:sz w:val="20"/>
          <w:szCs w:val="20"/>
        </w:rPr>
        <w:t>49, 3 (2019), pp. 123-131.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Carroll, R.P., ‘The Reader and the Text’, in </w:t>
      </w:r>
      <w:r w:rsidRPr="00AA5B2D">
        <w:rPr>
          <w:rFonts w:ascii="Arial" w:hAnsi="Arial" w:cs="Arial"/>
          <w:i/>
          <w:sz w:val="20"/>
          <w:szCs w:val="20"/>
        </w:rPr>
        <w:t>Text in Context: Essays by Members of the Society for Old Testament Study</w:t>
      </w:r>
      <w:r w:rsidRPr="00AA5B2D">
        <w:rPr>
          <w:rFonts w:ascii="Arial" w:hAnsi="Arial" w:cs="Arial"/>
          <w:sz w:val="20"/>
          <w:szCs w:val="20"/>
        </w:rPr>
        <w:t xml:space="preserve">, ed. A.D.H. Mayes (Oxford: Oxford University Press, 2000), pp. 3-34. </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Crider, S.F., ‘</w:t>
      </w:r>
      <w:proofErr w:type="gramStart"/>
      <w:r w:rsidRPr="00AA5B2D">
        <w:rPr>
          <w:rFonts w:ascii="Arial" w:hAnsi="Arial" w:cs="Arial"/>
          <w:sz w:val="20"/>
          <w:szCs w:val="20"/>
        </w:rPr>
        <w:t>The</w:t>
      </w:r>
      <w:proofErr w:type="gramEnd"/>
      <w:r w:rsidRPr="00AA5B2D">
        <w:rPr>
          <w:rFonts w:ascii="Arial" w:hAnsi="Arial" w:cs="Arial"/>
          <w:sz w:val="20"/>
          <w:szCs w:val="20"/>
        </w:rPr>
        <w:t xml:space="preserve"> Test: Narrating God, Abraham and Isaac in Genesis 22:1-19’, </w:t>
      </w:r>
      <w:r w:rsidRPr="00AA5B2D">
        <w:rPr>
          <w:rFonts w:ascii="Arial" w:hAnsi="Arial" w:cs="Arial"/>
          <w:i/>
          <w:sz w:val="20"/>
          <w:szCs w:val="20"/>
        </w:rPr>
        <w:t>Literary Imagination</w:t>
      </w:r>
      <w:r w:rsidRPr="00AA5B2D">
        <w:rPr>
          <w:rFonts w:ascii="Arial" w:hAnsi="Arial" w:cs="Arial"/>
          <w:sz w:val="20"/>
          <w:szCs w:val="20"/>
        </w:rPr>
        <w:t xml:space="preserve"> 19.2 (2017), pp. 148-164.</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Curley, E., ‘The God of Abraham, Isaac, and Jacob’, in </w:t>
      </w:r>
      <w:r w:rsidRPr="00AA5B2D">
        <w:rPr>
          <w:rFonts w:ascii="Arial" w:hAnsi="Arial" w:cs="Arial"/>
          <w:i/>
          <w:sz w:val="20"/>
          <w:szCs w:val="20"/>
        </w:rPr>
        <w:t>Divine Evil</w:t>
      </w:r>
      <w:proofErr w:type="gramStart"/>
      <w:r w:rsidRPr="00AA5B2D">
        <w:rPr>
          <w:rFonts w:ascii="Arial" w:hAnsi="Arial" w:cs="Arial"/>
          <w:i/>
          <w:sz w:val="20"/>
          <w:szCs w:val="20"/>
        </w:rPr>
        <w:t>?:</w:t>
      </w:r>
      <w:proofErr w:type="gramEnd"/>
      <w:r w:rsidRPr="00AA5B2D">
        <w:rPr>
          <w:rFonts w:ascii="Arial" w:hAnsi="Arial" w:cs="Arial"/>
          <w:i/>
          <w:sz w:val="20"/>
          <w:szCs w:val="20"/>
        </w:rPr>
        <w:t xml:space="preserve"> The Moral Character of the God of Abraham</w:t>
      </w:r>
      <w:r w:rsidRPr="00AA5B2D">
        <w:rPr>
          <w:rFonts w:ascii="Arial" w:hAnsi="Arial" w:cs="Arial"/>
          <w:sz w:val="20"/>
          <w:szCs w:val="20"/>
        </w:rPr>
        <w:t>, eds. M. Bergmann, M.J. Murray &amp; M.C. Rea (Oxford: Oxford University Press, 2010), pp. 58-78.</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Domoney-Lyttle</w:t>
      </w:r>
      <w:proofErr w:type="spellEnd"/>
      <w:r w:rsidRPr="00AA5B2D">
        <w:rPr>
          <w:rFonts w:ascii="Arial" w:hAnsi="Arial" w:cs="Arial"/>
          <w:sz w:val="20"/>
          <w:szCs w:val="20"/>
        </w:rPr>
        <w:t xml:space="preserve">, Z., ‘Abraham in the Hebrew Bible’, in </w:t>
      </w:r>
      <w:r w:rsidRPr="00AA5B2D">
        <w:rPr>
          <w:rFonts w:ascii="Arial" w:hAnsi="Arial" w:cs="Arial"/>
          <w:i/>
          <w:sz w:val="20"/>
          <w:szCs w:val="20"/>
        </w:rPr>
        <w:t>Abraham in Jewish and Early Christian Literature</w:t>
      </w:r>
      <w:r w:rsidRPr="00AA5B2D">
        <w:rPr>
          <w:rFonts w:ascii="Arial" w:hAnsi="Arial" w:cs="Arial"/>
          <w:sz w:val="20"/>
          <w:szCs w:val="20"/>
        </w:rPr>
        <w:t xml:space="preserve">, ed. S.A. Adams and  Z. </w:t>
      </w:r>
      <w:proofErr w:type="spellStart"/>
      <w:r w:rsidRPr="00AA5B2D">
        <w:rPr>
          <w:rFonts w:ascii="Arial" w:hAnsi="Arial" w:cs="Arial"/>
          <w:sz w:val="20"/>
          <w:szCs w:val="20"/>
        </w:rPr>
        <w:t>Domoney-Lyttle</w:t>
      </w:r>
      <w:proofErr w:type="spellEnd"/>
      <w:r w:rsidRPr="00AA5B2D">
        <w:rPr>
          <w:rFonts w:ascii="Arial" w:hAnsi="Arial" w:cs="Arial"/>
          <w:sz w:val="20"/>
          <w:szCs w:val="20"/>
        </w:rPr>
        <w:t xml:space="preserve"> (London: T.&amp;T. Clark, 2019), pp. 9-27.</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Doukhan</w:t>
      </w:r>
      <w:proofErr w:type="spellEnd"/>
      <w:r w:rsidRPr="00AA5B2D">
        <w:rPr>
          <w:rFonts w:ascii="Arial" w:hAnsi="Arial" w:cs="Arial"/>
          <w:sz w:val="20"/>
          <w:szCs w:val="20"/>
        </w:rPr>
        <w:t>, J.B., ‘</w:t>
      </w:r>
      <w:proofErr w:type="gramStart"/>
      <w:r w:rsidRPr="00AA5B2D">
        <w:rPr>
          <w:rFonts w:ascii="Arial" w:hAnsi="Arial" w:cs="Arial"/>
          <w:sz w:val="20"/>
          <w:szCs w:val="20"/>
        </w:rPr>
        <w:t>The</w:t>
      </w:r>
      <w:proofErr w:type="gramEnd"/>
      <w:r w:rsidRPr="00AA5B2D">
        <w:rPr>
          <w:rFonts w:ascii="Arial" w:hAnsi="Arial" w:cs="Arial"/>
          <w:sz w:val="20"/>
          <w:szCs w:val="20"/>
        </w:rPr>
        <w:t xml:space="preserve"> </w:t>
      </w:r>
      <w:proofErr w:type="spellStart"/>
      <w:r w:rsidRPr="00AA5B2D">
        <w:rPr>
          <w:rFonts w:ascii="Arial" w:hAnsi="Arial" w:cs="Arial"/>
          <w:sz w:val="20"/>
          <w:szCs w:val="20"/>
        </w:rPr>
        <w:t>Aqedah</w:t>
      </w:r>
      <w:proofErr w:type="spellEnd"/>
      <w:r w:rsidRPr="00AA5B2D">
        <w:rPr>
          <w:rFonts w:ascii="Arial" w:hAnsi="Arial" w:cs="Arial"/>
          <w:sz w:val="20"/>
          <w:szCs w:val="20"/>
        </w:rPr>
        <w:t xml:space="preserve"> at the “Crossroad”: Its Significance in the Jewish-Christian-Muslim Dialogue’, in </w:t>
      </w:r>
      <w:r w:rsidRPr="00AA5B2D">
        <w:rPr>
          <w:rFonts w:ascii="Arial" w:hAnsi="Arial" w:cs="Arial"/>
          <w:i/>
          <w:sz w:val="20"/>
          <w:szCs w:val="20"/>
        </w:rPr>
        <w:t>The Three Sons of Abraham: Interfaith Encounters</w:t>
      </w:r>
      <w:r w:rsidRPr="00AA5B2D">
        <w:rPr>
          <w:rFonts w:ascii="Arial" w:hAnsi="Arial" w:cs="Arial"/>
          <w:sz w:val="20"/>
          <w:szCs w:val="20"/>
        </w:rPr>
        <w:t xml:space="preserve">, ed. J.B. </w:t>
      </w:r>
      <w:proofErr w:type="spellStart"/>
      <w:r w:rsidRPr="00AA5B2D">
        <w:rPr>
          <w:rFonts w:ascii="Arial" w:hAnsi="Arial" w:cs="Arial"/>
          <w:sz w:val="20"/>
          <w:szCs w:val="20"/>
        </w:rPr>
        <w:t>Doukhan</w:t>
      </w:r>
      <w:proofErr w:type="spellEnd"/>
      <w:r w:rsidRPr="00AA5B2D">
        <w:rPr>
          <w:rFonts w:ascii="Arial" w:hAnsi="Arial" w:cs="Arial"/>
          <w:sz w:val="20"/>
          <w:szCs w:val="20"/>
        </w:rPr>
        <w:t xml:space="preserve"> (London &amp; </w:t>
      </w:r>
      <w:proofErr w:type="spellStart"/>
      <w:r w:rsidRPr="00AA5B2D">
        <w:rPr>
          <w:rFonts w:ascii="Arial" w:hAnsi="Arial" w:cs="Arial"/>
          <w:sz w:val="20"/>
          <w:szCs w:val="20"/>
        </w:rPr>
        <w:t>NewYork</w:t>
      </w:r>
      <w:proofErr w:type="spellEnd"/>
      <w:r w:rsidRPr="00AA5B2D">
        <w:rPr>
          <w:rFonts w:ascii="Arial" w:hAnsi="Arial" w:cs="Arial"/>
          <w:sz w:val="20"/>
          <w:szCs w:val="20"/>
        </w:rPr>
        <w:t xml:space="preserve">: I.B. </w:t>
      </w:r>
      <w:proofErr w:type="spellStart"/>
      <w:r w:rsidRPr="00AA5B2D">
        <w:rPr>
          <w:rFonts w:ascii="Arial" w:hAnsi="Arial" w:cs="Arial"/>
          <w:sz w:val="20"/>
          <w:szCs w:val="20"/>
        </w:rPr>
        <w:t>Tauris</w:t>
      </w:r>
      <w:proofErr w:type="spellEnd"/>
      <w:r w:rsidRPr="00AA5B2D">
        <w:rPr>
          <w:rFonts w:ascii="Arial" w:hAnsi="Arial" w:cs="Arial"/>
          <w:sz w:val="20"/>
          <w:szCs w:val="20"/>
        </w:rPr>
        <w:t>, 2014), pp. 115-127.</w:t>
      </w:r>
    </w:p>
    <w:p w:rsidR="00AA5B2D" w:rsidRPr="00AA5B2D" w:rsidRDefault="00AA5B2D" w:rsidP="00AA5B2D">
      <w:pPr>
        <w:spacing w:after="0"/>
        <w:ind w:left="720" w:hanging="720"/>
        <w:rPr>
          <w:rFonts w:ascii="Arial" w:hAnsi="Arial" w:cs="Arial"/>
          <w:sz w:val="20"/>
          <w:szCs w:val="20"/>
        </w:rPr>
      </w:pPr>
      <w:proofErr w:type="gramStart"/>
      <w:r w:rsidRPr="00AA5B2D">
        <w:rPr>
          <w:rFonts w:ascii="Arial" w:hAnsi="Arial" w:cs="Arial"/>
          <w:sz w:val="20"/>
          <w:szCs w:val="20"/>
        </w:rPr>
        <w:lastRenderedPageBreak/>
        <w:t xml:space="preserve">Durham, J.I., ‘Rembrandt as a Christian Artist’, </w:t>
      </w:r>
      <w:hyperlink r:id="rId20" w:history="1">
        <w:r w:rsidRPr="00AA5B2D">
          <w:rPr>
            <w:rStyle w:val="Hyperlink"/>
            <w:rFonts w:ascii="Arial" w:hAnsi="Arial" w:cs="Arial"/>
            <w:sz w:val="20"/>
            <w:szCs w:val="20"/>
          </w:rPr>
          <w:t>https://merceruniversitypress.wordpress.com/2014/07/15/rembrandt-as-christian-artist/</w:t>
        </w:r>
      </w:hyperlink>
      <w:r w:rsidRPr="00AA5B2D">
        <w:rPr>
          <w:rFonts w:ascii="Arial" w:hAnsi="Arial" w:cs="Arial"/>
          <w:sz w:val="20"/>
          <w:szCs w:val="20"/>
        </w:rPr>
        <w:t>.</w:t>
      </w:r>
      <w:proofErr w:type="gramEnd"/>
      <w:r w:rsidRPr="00AA5B2D">
        <w:rPr>
          <w:rFonts w:ascii="Arial" w:hAnsi="Arial" w:cs="Arial"/>
          <w:sz w:val="20"/>
          <w:szCs w:val="20"/>
        </w:rPr>
        <w:t xml:space="preserve"> 30</w:t>
      </w:r>
      <w:r w:rsidRPr="00AA5B2D">
        <w:rPr>
          <w:rFonts w:ascii="Arial" w:hAnsi="Arial" w:cs="Arial"/>
          <w:sz w:val="20"/>
          <w:szCs w:val="20"/>
          <w:vertAlign w:val="superscript"/>
        </w:rPr>
        <w:t>th</w:t>
      </w:r>
      <w:r w:rsidRPr="00AA5B2D">
        <w:rPr>
          <w:rFonts w:ascii="Arial" w:hAnsi="Arial" w:cs="Arial"/>
          <w:sz w:val="20"/>
          <w:szCs w:val="20"/>
        </w:rPr>
        <w:t xml:space="preserve"> June 2021.</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Exum</w:t>
      </w:r>
      <w:proofErr w:type="spellEnd"/>
      <w:r w:rsidRPr="00AA5B2D">
        <w:rPr>
          <w:rFonts w:ascii="Arial" w:hAnsi="Arial" w:cs="Arial"/>
          <w:sz w:val="20"/>
          <w:szCs w:val="20"/>
        </w:rPr>
        <w:t xml:space="preserve">, J.C., ‘Feminist Study of the Old Testament’, in </w:t>
      </w:r>
      <w:r w:rsidRPr="00AA5B2D">
        <w:rPr>
          <w:rFonts w:ascii="Arial" w:hAnsi="Arial" w:cs="Arial"/>
          <w:i/>
          <w:sz w:val="20"/>
          <w:szCs w:val="20"/>
        </w:rPr>
        <w:t>Text in Context: Essays by Members of the Society for Old Testament Study</w:t>
      </w:r>
      <w:r w:rsidRPr="00AA5B2D">
        <w:rPr>
          <w:rFonts w:ascii="Arial" w:hAnsi="Arial" w:cs="Arial"/>
          <w:sz w:val="20"/>
          <w:szCs w:val="20"/>
        </w:rPr>
        <w:t>, ed. A.D.H. Mayes (Oxford: Oxford University Press, 2000), pp. 86-115.</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Exum</w:t>
      </w:r>
      <w:proofErr w:type="spellEnd"/>
      <w:r w:rsidRPr="00AA5B2D">
        <w:rPr>
          <w:rFonts w:ascii="Arial" w:hAnsi="Arial" w:cs="Arial"/>
          <w:sz w:val="20"/>
          <w:szCs w:val="20"/>
        </w:rPr>
        <w:t>, J.C., ‘</w:t>
      </w:r>
      <w:proofErr w:type="gramStart"/>
      <w:r w:rsidRPr="00AA5B2D">
        <w:rPr>
          <w:rFonts w:ascii="Arial" w:hAnsi="Arial" w:cs="Arial"/>
          <w:sz w:val="20"/>
          <w:szCs w:val="20"/>
        </w:rPr>
        <w:t>The</w:t>
      </w:r>
      <w:proofErr w:type="gramEnd"/>
      <w:r w:rsidRPr="00AA5B2D">
        <w:rPr>
          <w:rFonts w:ascii="Arial" w:hAnsi="Arial" w:cs="Arial"/>
          <w:sz w:val="20"/>
          <w:szCs w:val="20"/>
        </w:rPr>
        <w:t xml:space="preserve"> Accusing Look: The Abjection of Hagar in Art’, </w:t>
      </w:r>
      <w:r w:rsidRPr="00AA5B2D">
        <w:rPr>
          <w:rFonts w:ascii="Arial" w:hAnsi="Arial" w:cs="Arial"/>
          <w:i/>
          <w:sz w:val="20"/>
          <w:szCs w:val="20"/>
        </w:rPr>
        <w:t>Religion and the Arts</w:t>
      </w:r>
      <w:r w:rsidRPr="00AA5B2D">
        <w:rPr>
          <w:rFonts w:ascii="Arial" w:hAnsi="Arial" w:cs="Arial"/>
          <w:sz w:val="20"/>
          <w:szCs w:val="20"/>
        </w:rPr>
        <w:t xml:space="preserve"> 11 (2007), pp. 143-171.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Gallagher, S.D., ‘Blessing on the Move: The Outpouring of God’s Blessing </w:t>
      </w:r>
      <w:proofErr w:type="gramStart"/>
      <w:r w:rsidRPr="00AA5B2D">
        <w:rPr>
          <w:rFonts w:ascii="Arial" w:hAnsi="Arial" w:cs="Arial"/>
          <w:sz w:val="20"/>
          <w:szCs w:val="20"/>
        </w:rPr>
        <w:t>Through</w:t>
      </w:r>
      <w:proofErr w:type="gramEnd"/>
      <w:r w:rsidRPr="00AA5B2D">
        <w:rPr>
          <w:rFonts w:ascii="Arial" w:hAnsi="Arial" w:cs="Arial"/>
          <w:sz w:val="20"/>
          <w:szCs w:val="20"/>
        </w:rPr>
        <w:t xml:space="preserve"> the Migrant Abraham’, </w:t>
      </w:r>
      <w:r w:rsidRPr="00AA5B2D">
        <w:rPr>
          <w:rFonts w:ascii="Arial" w:hAnsi="Arial" w:cs="Arial"/>
          <w:i/>
          <w:sz w:val="20"/>
          <w:szCs w:val="20"/>
        </w:rPr>
        <w:t xml:space="preserve">Mission Studies </w:t>
      </w:r>
      <w:r w:rsidRPr="00AA5B2D">
        <w:rPr>
          <w:rFonts w:ascii="Arial" w:hAnsi="Arial" w:cs="Arial"/>
          <w:sz w:val="20"/>
          <w:szCs w:val="20"/>
        </w:rPr>
        <w:t>30 (2013), pp. 147-161.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Greenberg, T., ‘Abram to Abraham: A Literary Analysis of the Abraham Narrative, written by Jonathan </w:t>
      </w:r>
      <w:proofErr w:type="spellStart"/>
      <w:r w:rsidRPr="00AA5B2D">
        <w:rPr>
          <w:rFonts w:ascii="Arial" w:hAnsi="Arial" w:cs="Arial"/>
          <w:sz w:val="20"/>
          <w:szCs w:val="20"/>
        </w:rPr>
        <w:t>Grosman</w:t>
      </w:r>
      <w:proofErr w:type="spellEnd"/>
      <w:r w:rsidRPr="00AA5B2D">
        <w:rPr>
          <w:rFonts w:ascii="Arial" w:hAnsi="Arial" w:cs="Arial"/>
          <w:sz w:val="20"/>
          <w:szCs w:val="20"/>
        </w:rPr>
        <w:t xml:space="preserve">, 2016’, </w:t>
      </w:r>
      <w:r w:rsidRPr="00AA5B2D">
        <w:rPr>
          <w:rFonts w:ascii="Arial" w:hAnsi="Arial" w:cs="Arial"/>
          <w:i/>
          <w:sz w:val="20"/>
          <w:szCs w:val="20"/>
        </w:rPr>
        <w:t xml:space="preserve">Biblical Interpretation </w:t>
      </w:r>
      <w:r w:rsidRPr="00AA5B2D">
        <w:rPr>
          <w:rFonts w:ascii="Arial" w:hAnsi="Arial" w:cs="Arial"/>
          <w:sz w:val="20"/>
          <w:szCs w:val="20"/>
        </w:rPr>
        <w:t xml:space="preserve">271 (2019), pp. 151-153. </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Gunkel</w:t>
      </w:r>
      <w:proofErr w:type="spellEnd"/>
      <w:r w:rsidRPr="00AA5B2D">
        <w:rPr>
          <w:rFonts w:ascii="Arial" w:hAnsi="Arial" w:cs="Arial"/>
          <w:sz w:val="20"/>
          <w:szCs w:val="20"/>
        </w:rPr>
        <w:t xml:space="preserve">, H., </w:t>
      </w:r>
      <w:r w:rsidRPr="00AA5B2D">
        <w:rPr>
          <w:rFonts w:ascii="Arial" w:hAnsi="Arial" w:cs="Arial"/>
          <w:i/>
          <w:sz w:val="20"/>
          <w:szCs w:val="20"/>
        </w:rPr>
        <w:t xml:space="preserve">Genesis, </w:t>
      </w:r>
      <w:r w:rsidRPr="00AA5B2D">
        <w:rPr>
          <w:rFonts w:ascii="Arial" w:hAnsi="Arial" w:cs="Arial"/>
          <w:sz w:val="20"/>
          <w:szCs w:val="20"/>
        </w:rPr>
        <w:t>trans. M.E. Biddle (Macon, GA: Mercer, 1997).</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Haddox</w:t>
      </w:r>
      <w:proofErr w:type="spellEnd"/>
      <w:r w:rsidRPr="00AA5B2D">
        <w:rPr>
          <w:rFonts w:ascii="Arial" w:hAnsi="Arial" w:cs="Arial"/>
          <w:sz w:val="20"/>
          <w:szCs w:val="20"/>
        </w:rPr>
        <w:t xml:space="preserve">, S.E., ‘Favoured Sons and Subordinate Masculinity’, in </w:t>
      </w:r>
      <w:r w:rsidRPr="00AA5B2D">
        <w:rPr>
          <w:rFonts w:ascii="Arial" w:hAnsi="Arial" w:cs="Arial"/>
          <w:i/>
          <w:sz w:val="20"/>
          <w:szCs w:val="20"/>
        </w:rPr>
        <w:t>Men and Masculinities in the Hebrew Bible and Beyond</w:t>
      </w:r>
      <w:r w:rsidRPr="00AA5B2D">
        <w:rPr>
          <w:rFonts w:ascii="Arial" w:hAnsi="Arial" w:cs="Arial"/>
          <w:sz w:val="20"/>
          <w:szCs w:val="20"/>
        </w:rPr>
        <w:t xml:space="preserve">, ed. O. </w:t>
      </w:r>
      <w:proofErr w:type="spellStart"/>
      <w:proofErr w:type="gramStart"/>
      <w:r w:rsidRPr="00AA5B2D">
        <w:rPr>
          <w:rFonts w:ascii="Arial" w:hAnsi="Arial" w:cs="Arial"/>
          <w:sz w:val="20"/>
          <w:szCs w:val="20"/>
        </w:rPr>
        <w:t>Creangă</w:t>
      </w:r>
      <w:proofErr w:type="spellEnd"/>
      <w:r w:rsidRPr="00AA5B2D">
        <w:rPr>
          <w:rFonts w:ascii="Arial" w:hAnsi="Arial" w:cs="Arial"/>
          <w:sz w:val="20"/>
          <w:szCs w:val="20"/>
        </w:rPr>
        <w:t xml:space="preserve">  (</w:t>
      </w:r>
      <w:proofErr w:type="gramEnd"/>
      <w:r w:rsidRPr="00AA5B2D">
        <w:rPr>
          <w:rFonts w:ascii="Arial" w:hAnsi="Arial" w:cs="Arial"/>
          <w:sz w:val="20"/>
          <w:szCs w:val="20"/>
        </w:rPr>
        <w:t>Sheffield: Sheffield Phoenix, 2010), pp. 2-19.</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Haddox</w:t>
      </w:r>
      <w:proofErr w:type="spellEnd"/>
      <w:r w:rsidRPr="00AA5B2D">
        <w:rPr>
          <w:rFonts w:ascii="Arial" w:hAnsi="Arial" w:cs="Arial"/>
          <w:sz w:val="20"/>
          <w:szCs w:val="20"/>
        </w:rPr>
        <w:t xml:space="preserve">, S.E., ‘Masculinity Studies of the Hebrew Bible: The First Two Decades’, </w:t>
      </w:r>
      <w:r w:rsidRPr="00AA5B2D">
        <w:rPr>
          <w:rFonts w:ascii="Arial" w:hAnsi="Arial" w:cs="Arial"/>
          <w:i/>
          <w:sz w:val="20"/>
          <w:szCs w:val="20"/>
        </w:rPr>
        <w:t>Currents in Biblical Research</w:t>
      </w:r>
      <w:r w:rsidRPr="00AA5B2D">
        <w:rPr>
          <w:rFonts w:ascii="Arial" w:hAnsi="Arial" w:cs="Arial"/>
          <w:sz w:val="20"/>
          <w:szCs w:val="20"/>
        </w:rPr>
        <w:t>, 14, 2 (2016), pp.176-206.</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Havrelock</w:t>
      </w:r>
      <w:proofErr w:type="spellEnd"/>
      <w:r w:rsidRPr="00AA5B2D">
        <w:rPr>
          <w:rFonts w:ascii="Arial" w:hAnsi="Arial" w:cs="Arial"/>
          <w:sz w:val="20"/>
          <w:szCs w:val="20"/>
        </w:rPr>
        <w:t xml:space="preserve">, R., ‘Genesis’, in </w:t>
      </w:r>
      <w:r w:rsidRPr="00AA5B2D">
        <w:rPr>
          <w:rFonts w:ascii="Arial" w:hAnsi="Arial" w:cs="Arial"/>
          <w:i/>
          <w:sz w:val="20"/>
          <w:szCs w:val="20"/>
        </w:rPr>
        <w:t>The Oxford Handbook of the Reception History of the Bible</w:t>
      </w:r>
      <w:r w:rsidRPr="00AA5B2D">
        <w:rPr>
          <w:rFonts w:ascii="Arial" w:hAnsi="Arial" w:cs="Arial"/>
          <w:sz w:val="20"/>
          <w:szCs w:val="20"/>
        </w:rPr>
        <w:t xml:space="preserve">, eds. M. </w:t>
      </w:r>
      <w:proofErr w:type="spellStart"/>
      <w:r w:rsidRPr="00AA5B2D">
        <w:rPr>
          <w:rFonts w:ascii="Arial" w:hAnsi="Arial" w:cs="Arial"/>
          <w:sz w:val="20"/>
          <w:szCs w:val="20"/>
        </w:rPr>
        <w:t>Lieb</w:t>
      </w:r>
      <w:proofErr w:type="spellEnd"/>
      <w:r w:rsidRPr="00AA5B2D">
        <w:rPr>
          <w:rFonts w:ascii="Arial" w:hAnsi="Arial" w:cs="Arial"/>
          <w:sz w:val="20"/>
          <w:szCs w:val="20"/>
        </w:rPr>
        <w:t>, E. Mason, J. Roberts &amp; C. Rowland (Oxford: Oxford University Press, 2011), pp. 11-24.</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Hendel</w:t>
      </w:r>
      <w:proofErr w:type="spellEnd"/>
      <w:r w:rsidRPr="00AA5B2D">
        <w:rPr>
          <w:rFonts w:ascii="Arial" w:hAnsi="Arial" w:cs="Arial"/>
          <w:sz w:val="20"/>
          <w:szCs w:val="20"/>
        </w:rPr>
        <w:t xml:space="preserve">, R.S. ‘The Poetics of Myth in Genesis’, in </w:t>
      </w:r>
      <w:r w:rsidRPr="00AA5B2D">
        <w:rPr>
          <w:rFonts w:ascii="Arial" w:hAnsi="Arial" w:cs="Arial"/>
          <w:i/>
          <w:sz w:val="20"/>
          <w:szCs w:val="20"/>
        </w:rPr>
        <w:t>The Seductiveness of Jewish Myth: Challenge or Response</w:t>
      </w:r>
      <w:proofErr w:type="gramStart"/>
      <w:r w:rsidRPr="00AA5B2D">
        <w:rPr>
          <w:rFonts w:ascii="Arial" w:hAnsi="Arial" w:cs="Arial"/>
          <w:i/>
          <w:sz w:val="20"/>
          <w:szCs w:val="20"/>
        </w:rPr>
        <w:t>?</w:t>
      </w:r>
      <w:r w:rsidRPr="00AA5B2D">
        <w:rPr>
          <w:rFonts w:ascii="Arial" w:hAnsi="Arial" w:cs="Arial"/>
          <w:sz w:val="20"/>
          <w:szCs w:val="20"/>
        </w:rPr>
        <w:t>,</w:t>
      </w:r>
      <w:proofErr w:type="gramEnd"/>
      <w:r w:rsidRPr="00AA5B2D">
        <w:rPr>
          <w:rFonts w:ascii="Arial" w:hAnsi="Arial" w:cs="Arial"/>
          <w:sz w:val="20"/>
          <w:szCs w:val="20"/>
        </w:rPr>
        <w:t xml:space="preserve"> ed. S.D. </w:t>
      </w:r>
      <w:proofErr w:type="spellStart"/>
      <w:r w:rsidRPr="00AA5B2D">
        <w:rPr>
          <w:rFonts w:ascii="Arial" w:hAnsi="Arial" w:cs="Arial"/>
          <w:sz w:val="20"/>
          <w:szCs w:val="20"/>
        </w:rPr>
        <w:t>Breslauer</w:t>
      </w:r>
      <w:proofErr w:type="spellEnd"/>
      <w:r w:rsidRPr="00AA5B2D">
        <w:rPr>
          <w:rFonts w:ascii="Arial" w:hAnsi="Arial" w:cs="Arial"/>
          <w:i/>
          <w:sz w:val="20"/>
          <w:szCs w:val="20"/>
        </w:rPr>
        <w:t xml:space="preserve"> </w:t>
      </w:r>
      <w:r w:rsidRPr="00AA5B2D">
        <w:rPr>
          <w:rFonts w:ascii="Arial" w:hAnsi="Arial" w:cs="Arial"/>
          <w:sz w:val="20"/>
          <w:szCs w:val="20"/>
        </w:rPr>
        <w:t>(Albany: SUNY Press, 1997), pp. 157-171.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 </w:t>
      </w:r>
      <w:proofErr w:type="spellStart"/>
      <w:r w:rsidRPr="00AA5B2D">
        <w:rPr>
          <w:rFonts w:ascii="Arial" w:hAnsi="Arial" w:cs="Arial"/>
          <w:sz w:val="20"/>
          <w:szCs w:val="20"/>
        </w:rPr>
        <w:t>Hendel</w:t>
      </w:r>
      <w:proofErr w:type="gramStart"/>
      <w:r w:rsidRPr="00AA5B2D">
        <w:rPr>
          <w:rFonts w:ascii="Arial" w:hAnsi="Arial" w:cs="Arial"/>
          <w:sz w:val="20"/>
          <w:szCs w:val="20"/>
        </w:rPr>
        <w:t>,R.S</w:t>
      </w:r>
      <w:proofErr w:type="spellEnd"/>
      <w:proofErr w:type="gramEnd"/>
      <w:r w:rsidRPr="00AA5B2D">
        <w:rPr>
          <w:rFonts w:ascii="Arial" w:hAnsi="Arial" w:cs="Arial"/>
          <w:sz w:val="20"/>
          <w:szCs w:val="20"/>
        </w:rPr>
        <w:t xml:space="preserve">., </w:t>
      </w:r>
      <w:r w:rsidRPr="00AA5B2D">
        <w:rPr>
          <w:rFonts w:ascii="Arial" w:hAnsi="Arial" w:cs="Arial"/>
          <w:i/>
          <w:sz w:val="20"/>
          <w:szCs w:val="20"/>
        </w:rPr>
        <w:t>Remembering Abraham: Culture, Memory, and History in the Hebrew Bible</w:t>
      </w:r>
      <w:r w:rsidRPr="00AA5B2D">
        <w:rPr>
          <w:rFonts w:ascii="Arial" w:hAnsi="Arial" w:cs="Arial"/>
          <w:sz w:val="20"/>
          <w:szCs w:val="20"/>
        </w:rPr>
        <w:t xml:space="preserve"> (Oxford: Oxford University Press, 2005).</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Irvine, S.A., ‘Is Anything Too Hard for Yahweh</w:t>
      </w:r>
      <w:proofErr w:type="gramStart"/>
      <w:r w:rsidRPr="00AA5B2D">
        <w:rPr>
          <w:rFonts w:ascii="Arial" w:hAnsi="Arial" w:cs="Arial"/>
          <w:sz w:val="20"/>
          <w:szCs w:val="20"/>
        </w:rPr>
        <w:t>?:</w:t>
      </w:r>
      <w:proofErr w:type="gramEnd"/>
      <w:r w:rsidRPr="00AA5B2D">
        <w:rPr>
          <w:rFonts w:ascii="Arial" w:hAnsi="Arial" w:cs="Arial"/>
          <w:sz w:val="20"/>
          <w:szCs w:val="20"/>
        </w:rPr>
        <w:t xml:space="preserve"> </w:t>
      </w:r>
      <w:proofErr w:type="spellStart"/>
      <w:r w:rsidRPr="00AA5B2D">
        <w:rPr>
          <w:rFonts w:ascii="Arial" w:hAnsi="Arial" w:cs="Arial"/>
          <w:sz w:val="20"/>
          <w:szCs w:val="20"/>
        </w:rPr>
        <w:t>Fulfillment</w:t>
      </w:r>
      <w:proofErr w:type="spellEnd"/>
      <w:r w:rsidRPr="00AA5B2D">
        <w:rPr>
          <w:rFonts w:ascii="Arial" w:hAnsi="Arial" w:cs="Arial"/>
          <w:sz w:val="20"/>
          <w:szCs w:val="20"/>
        </w:rPr>
        <w:t xml:space="preserve"> of Promise and Threat in Genesis 18-19’, </w:t>
      </w:r>
      <w:r w:rsidRPr="00AA5B2D">
        <w:rPr>
          <w:rFonts w:ascii="Arial" w:hAnsi="Arial" w:cs="Arial"/>
          <w:i/>
          <w:sz w:val="20"/>
          <w:szCs w:val="20"/>
        </w:rPr>
        <w:t>Journal for the Study of the Old Testament</w:t>
      </w:r>
      <w:r w:rsidRPr="00AA5B2D">
        <w:rPr>
          <w:rFonts w:ascii="Arial" w:hAnsi="Arial" w:cs="Arial"/>
          <w:sz w:val="20"/>
          <w:szCs w:val="20"/>
        </w:rPr>
        <w:t xml:space="preserve"> 43, 2 (2019), pp. 285-302.</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Jacobs, J., ‘Willing Obedience with Doubts: Abraham at the Binding of Isaac’, </w:t>
      </w:r>
      <w:proofErr w:type="spellStart"/>
      <w:r w:rsidRPr="00AA5B2D">
        <w:rPr>
          <w:rFonts w:ascii="Arial" w:hAnsi="Arial" w:cs="Arial"/>
          <w:i/>
          <w:sz w:val="20"/>
          <w:szCs w:val="20"/>
        </w:rPr>
        <w:t>Vetus</w:t>
      </w:r>
      <w:proofErr w:type="spellEnd"/>
      <w:r w:rsidRPr="00AA5B2D">
        <w:rPr>
          <w:rFonts w:ascii="Arial" w:hAnsi="Arial" w:cs="Arial"/>
          <w:i/>
          <w:sz w:val="20"/>
          <w:szCs w:val="20"/>
        </w:rPr>
        <w:t xml:space="preserve"> </w:t>
      </w:r>
      <w:proofErr w:type="spellStart"/>
      <w:r w:rsidRPr="00AA5B2D">
        <w:rPr>
          <w:rFonts w:ascii="Arial" w:hAnsi="Arial" w:cs="Arial"/>
          <w:i/>
          <w:sz w:val="20"/>
          <w:szCs w:val="20"/>
        </w:rPr>
        <w:t>Testamentum</w:t>
      </w:r>
      <w:proofErr w:type="spellEnd"/>
      <w:r w:rsidRPr="00AA5B2D">
        <w:rPr>
          <w:rFonts w:ascii="Arial" w:hAnsi="Arial" w:cs="Arial"/>
          <w:sz w:val="20"/>
          <w:szCs w:val="20"/>
        </w:rPr>
        <w:t xml:space="preserve"> 60, 4 (2010), pp. 546-559.</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Josephus, </w:t>
      </w:r>
      <w:r w:rsidRPr="00AA5B2D">
        <w:rPr>
          <w:rFonts w:ascii="Arial" w:hAnsi="Arial" w:cs="Arial"/>
          <w:i/>
          <w:sz w:val="20"/>
          <w:szCs w:val="20"/>
        </w:rPr>
        <w:t>Jewish Antiquities: Books 1-3</w:t>
      </w:r>
      <w:r w:rsidRPr="00AA5B2D">
        <w:rPr>
          <w:rFonts w:ascii="Arial" w:hAnsi="Arial" w:cs="Arial"/>
          <w:sz w:val="20"/>
          <w:szCs w:val="20"/>
        </w:rPr>
        <w:t xml:space="preserve">, </w:t>
      </w:r>
      <w:proofErr w:type="gramStart"/>
      <w:r w:rsidRPr="00AA5B2D">
        <w:rPr>
          <w:rFonts w:ascii="Arial" w:hAnsi="Arial" w:cs="Arial"/>
          <w:sz w:val="20"/>
          <w:szCs w:val="20"/>
        </w:rPr>
        <w:t>trans</w:t>
      </w:r>
      <w:proofErr w:type="gramEnd"/>
      <w:r w:rsidRPr="00AA5B2D">
        <w:rPr>
          <w:rFonts w:ascii="Arial" w:hAnsi="Arial" w:cs="Arial"/>
          <w:sz w:val="20"/>
          <w:szCs w:val="20"/>
        </w:rPr>
        <w:t xml:space="preserve"> H. St. J. Thackeray (Cambridge, MA: Harvard University Press, 1998).</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Kant, I.,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Conflict of the Faculties</w:t>
      </w:r>
      <w:r w:rsidRPr="00AA5B2D">
        <w:rPr>
          <w:rFonts w:ascii="Arial" w:hAnsi="Arial" w:cs="Arial"/>
          <w:sz w:val="20"/>
          <w:szCs w:val="20"/>
        </w:rPr>
        <w:t>, trans. M.J. Gregor (Lincoln: University of Nebraska Press, 1992).</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Kasa</w:t>
      </w:r>
      <w:proofErr w:type="spellEnd"/>
      <w:r w:rsidRPr="00AA5B2D">
        <w:rPr>
          <w:rFonts w:ascii="Arial" w:hAnsi="Arial" w:cs="Arial"/>
          <w:sz w:val="20"/>
          <w:szCs w:val="20"/>
        </w:rPr>
        <w:t xml:space="preserve">, D., ‘Abraham among the Tyrants: The Politics of Genesis 22 in George Buchanan’s </w:t>
      </w:r>
      <w:proofErr w:type="spellStart"/>
      <w:r w:rsidRPr="00AA5B2D">
        <w:rPr>
          <w:rFonts w:ascii="Arial" w:hAnsi="Arial" w:cs="Arial"/>
          <w:sz w:val="20"/>
          <w:szCs w:val="20"/>
        </w:rPr>
        <w:t>Iepthes</w:t>
      </w:r>
      <w:proofErr w:type="spellEnd"/>
      <w:r w:rsidRPr="00AA5B2D">
        <w:rPr>
          <w:rFonts w:ascii="Arial" w:hAnsi="Arial" w:cs="Arial"/>
          <w:sz w:val="20"/>
          <w:szCs w:val="20"/>
        </w:rPr>
        <w:t xml:space="preserve">, </w:t>
      </w:r>
      <w:proofErr w:type="spellStart"/>
      <w:r w:rsidRPr="00AA5B2D">
        <w:rPr>
          <w:rFonts w:ascii="Arial" w:hAnsi="Arial" w:cs="Arial"/>
          <w:sz w:val="20"/>
          <w:szCs w:val="20"/>
        </w:rPr>
        <w:t>sive</w:t>
      </w:r>
      <w:proofErr w:type="spellEnd"/>
      <w:r w:rsidRPr="00AA5B2D">
        <w:rPr>
          <w:rFonts w:ascii="Arial" w:hAnsi="Arial" w:cs="Arial"/>
          <w:sz w:val="20"/>
          <w:szCs w:val="20"/>
        </w:rPr>
        <w:t xml:space="preserve"> </w:t>
      </w:r>
      <w:proofErr w:type="spellStart"/>
      <w:r w:rsidRPr="00AA5B2D">
        <w:rPr>
          <w:rFonts w:ascii="Arial" w:hAnsi="Arial" w:cs="Arial"/>
          <w:sz w:val="20"/>
          <w:szCs w:val="20"/>
        </w:rPr>
        <w:t>votum</w:t>
      </w:r>
      <w:proofErr w:type="spellEnd"/>
      <w:r w:rsidRPr="00AA5B2D">
        <w:rPr>
          <w:rFonts w:ascii="Arial" w:hAnsi="Arial" w:cs="Arial"/>
          <w:sz w:val="20"/>
          <w:szCs w:val="20"/>
        </w:rPr>
        <w:t xml:space="preserve"> and Abraham </w:t>
      </w:r>
      <w:proofErr w:type="spellStart"/>
      <w:r w:rsidRPr="00AA5B2D">
        <w:rPr>
          <w:rFonts w:ascii="Arial" w:hAnsi="Arial" w:cs="Arial"/>
          <w:sz w:val="20"/>
          <w:szCs w:val="20"/>
        </w:rPr>
        <w:t>Cowley’s</w:t>
      </w:r>
      <w:proofErr w:type="spellEnd"/>
      <w:r w:rsidRPr="00AA5B2D">
        <w:rPr>
          <w:rFonts w:ascii="Arial" w:hAnsi="Arial" w:cs="Arial"/>
          <w:sz w:val="20"/>
          <w:szCs w:val="20"/>
        </w:rPr>
        <w:t xml:space="preserve"> </w:t>
      </w:r>
      <w:proofErr w:type="spellStart"/>
      <w:r w:rsidRPr="00AA5B2D">
        <w:rPr>
          <w:rFonts w:ascii="Arial" w:hAnsi="Arial" w:cs="Arial"/>
          <w:sz w:val="20"/>
          <w:szCs w:val="20"/>
        </w:rPr>
        <w:t>Davideis</w:t>
      </w:r>
      <w:proofErr w:type="spellEnd"/>
      <w:r w:rsidRPr="00AA5B2D">
        <w:rPr>
          <w:rFonts w:ascii="Arial" w:hAnsi="Arial" w:cs="Arial"/>
          <w:sz w:val="20"/>
          <w:szCs w:val="20"/>
        </w:rPr>
        <w:t xml:space="preserve">’, </w:t>
      </w:r>
      <w:r w:rsidRPr="00AA5B2D">
        <w:rPr>
          <w:rFonts w:ascii="Arial" w:hAnsi="Arial" w:cs="Arial"/>
          <w:i/>
          <w:sz w:val="20"/>
          <w:szCs w:val="20"/>
        </w:rPr>
        <w:t>Modern Philology</w:t>
      </w:r>
      <w:r w:rsidRPr="00AA5B2D">
        <w:rPr>
          <w:rFonts w:ascii="Arial" w:hAnsi="Arial" w:cs="Arial"/>
          <w:sz w:val="20"/>
          <w:szCs w:val="20"/>
        </w:rPr>
        <w:t xml:space="preserve"> 117, 1, (2019), pp. 48-69.</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Kessler, E., </w:t>
      </w:r>
      <w:r w:rsidRPr="00AA5B2D">
        <w:rPr>
          <w:rFonts w:ascii="Arial" w:hAnsi="Arial" w:cs="Arial"/>
          <w:i/>
          <w:sz w:val="20"/>
          <w:szCs w:val="20"/>
        </w:rPr>
        <w:t xml:space="preserve">Bound by the Bible: Jews, Christians and the Sacrifice of Isaac </w:t>
      </w:r>
      <w:r w:rsidRPr="00AA5B2D">
        <w:rPr>
          <w:rFonts w:ascii="Arial" w:hAnsi="Arial" w:cs="Arial"/>
          <w:sz w:val="20"/>
          <w:szCs w:val="20"/>
        </w:rPr>
        <w:t>Cambridge: Cambridge University Press, 2004).</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Knight, M., ‘</w:t>
      </w:r>
      <w:proofErr w:type="spellStart"/>
      <w:r w:rsidRPr="00AA5B2D">
        <w:rPr>
          <w:rFonts w:ascii="Arial" w:hAnsi="Arial" w:cs="Arial"/>
          <w:sz w:val="20"/>
          <w:szCs w:val="20"/>
        </w:rPr>
        <w:t>Wirkungsgeschichte</w:t>
      </w:r>
      <w:proofErr w:type="spellEnd"/>
      <w:r w:rsidRPr="00AA5B2D">
        <w:rPr>
          <w:rFonts w:ascii="Arial" w:hAnsi="Arial" w:cs="Arial"/>
          <w:sz w:val="20"/>
          <w:szCs w:val="20"/>
        </w:rPr>
        <w:t xml:space="preserve">, Reception History, Reception Theory’, </w:t>
      </w:r>
      <w:r w:rsidRPr="00AA5B2D">
        <w:rPr>
          <w:rFonts w:ascii="Arial" w:hAnsi="Arial" w:cs="Arial"/>
          <w:i/>
          <w:sz w:val="20"/>
          <w:szCs w:val="20"/>
        </w:rPr>
        <w:t>Journal for the Study of the New Testament</w:t>
      </w:r>
      <w:r w:rsidRPr="00AA5B2D">
        <w:rPr>
          <w:rFonts w:ascii="Arial" w:hAnsi="Arial" w:cs="Arial"/>
          <w:sz w:val="20"/>
          <w:szCs w:val="20"/>
        </w:rPr>
        <w:t xml:space="preserve"> 33, 2 (2010), pp. 137-146.</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Kolakowski</w:t>
      </w:r>
      <w:proofErr w:type="spellEnd"/>
      <w:r w:rsidRPr="00AA5B2D">
        <w:rPr>
          <w:rFonts w:ascii="Arial" w:hAnsi="Arial" w:cs="Arial"/>
          <w:sz w:val="20"/>
          <w:szCs w:val="20"/>
        </w:rPr>
        <w:t xml:space="preserve">, L., </w:t>
      </w:r>
      <w:r w:rsidRPr="00AA5B2D">
        <w:rPr>
          <w:rFonts w:ascii="Arial" w:hAnsi="Arial" w:cs="Arial"/>
          <w:i/>
          <w:sz w:val="20"/>
          <w:szCs w:val="20"/>
        </w:rPr>
        <w:t xml:space="preserve">Tales from the Kingdom of </w:t>
      </w:r>
      <w:proofErr w:type="spellStart"/>
      <w:r w:rsidRPr="00AA5B2D">
        <w:rPr>
          <w:rFonts w:ascii="Arial" w:hAnsi="Arial" w:cs="Arial"/>
          <w:i/>
          <w:sz w:val="20"/>
          <w:szCs w:val="20"/>
        </w:rPr>
        <w:t>Lailonia</w:t>
      </w:r>
      <w:proofErr w:type="spellEnd"/>
      <w:r w:rsidRPr="00AA5B2D">
        <w:rPr>
          <w:rFonts w:ascii="Arial" w:hAnsi="Arial" w:cs="Arial"/>
          <w:i/>
          <w:sz w:val="20"/>
          <w:szCs w:val="20"/>
        </w:rPr>
        <w:t xml:space="preserve"> and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Key to Heaven </w:t>
      </w:r>
      <w:r w:rsidRPr="00AA5B2D">
        <w:rPr>
          <w:rFonts w:ascii="Arial" w:hAnsi="Arial" w:cs="Arial"/>
          <w:sz w:val="20"/>
          <w:szCs w:val="20"/>
        </w:rPr>
        <w:t>(Chicago: Chicago University Press, 1989).</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Kozlova</w:t>
      </w:r>
      <w:proofErr w:type="spellEnd"/>
      <w:r w:rsidRPr="00AA5B2D">
        <w:rPr>
          <w:rFonts w:ascii="Arial" w:hAnsi="Arial" w:cs="Arial"/>
          <w:sz w:val="20"/>
          <w:szCs w:val="20"/>
        </w:rPr>
        <w:t>, E.E., ‘Abraham’s Burial (Genesis 25.9): An Idyllic Burial or a Dispute over Inheritance?</w:t>
      </w:r>
      <w:proofErr w:type="gramStart"/>
      <w:r w:rsidRPr="00AA5B2D">
        <w:rPr>
          <w:rFonts w:ascii="Arial" w:hAnsi="Arial" w:cs="Arial"/>
          <w:sz w:val="20"/>
          <w:szCs w:val="20"/>
        </w:rPr>
        <w:t>’,</w:t>
      </w:r>
      <w:proofErr w:type="gramEnd"/>
      <w:r w:rsidRPr="00AA5B2D">
        <w:rPr>
          <w:rFonts w:ascii="Arial" w:hAnsi="Arial" w:cs="Arial"/>
          <w:sz w:val="20"/>
          <w:szCs w:val="20"/>
        </w:rPr>
        <w:t xml:space="preserve"> </w:t>
      </w:r>
      <w:r w:rsidRPr="00AA5B2D">
        <w:rPr>
          <w:rFonts w:ascii="Arial" w:hAnsi="Arial" w:cs="Arial"/>
          <w:i/>
          <w:sz w:val="20"/>
          <w:szCs w:val="20"/>
        </w:rPr>
        <w:t>Journal for the Study of the Old Testament</w:t>
      </w:r>
      <w:r w:rsidRPr="00AA5B2D">
        <w:rPr>
          <w:rFonts w:ascii="Arial" w:hAnsi="Arial" w:cs="Arial"/>
          <w:sz w:val="20"/>
          <w:szCs w:val="20"/>
        </w:rPr>
        <w:t xml:space="preserve"> 42, 2 (2017), pp. 177-197.</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Kwakkel</w:t>
      </w:r>
      <w:proofErr w:type="spellEnd"/>
      <w:r w:rsidRPr="00AA5B2D">
        <w:rPr>
          <w:rFonts w:ascii="Arial" w:hAnsi="Arial" w:cs="Arial"/>
          <w:sz w:val="20"/>
          <w:szCs w:val="20"/>
        </w:rPr>
        <w:t xml:space="preserve">, G., ‘Models of Spirituality in the Bible: Abraham, David, Job and Peter’, </w:t>
      </w:r>
      <w:r w:rsidRPr="00AA5B2D">
        <w:rPr>
          <w:rFonts w:ascii="Arial" w:hAnsi="Arial" w:cs="Arial"/>
          <w:i/>
          <w:sz w:val="20"/>
          <w:szCs w:val="20"/>
        </w:rPr>
        <w:t>European Journal of Theology</w:t>
      </w:r>
      <w:r w:rsidRPr="00AA5B2D">
        <w:rPr>
          <w:rFonts w:ascii="Arial" w:hAnsi="Arial" w:cs="Arial"/>
          <w:sz w:val="20"/>
          <w:szCs w:val="20"/>
        </w:rPr>
        <w:t xml:space="preserve"> 19, 1 (2010), pp.16-27.</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Labriola</w:t>
      </w:r>
      <w:proofErr w:type="spellEnd"/>
      <w:r w:rsidRPr="00AA5B2D">
        <w:rPr>
          <w:rFonts w:ascii="Arial" w:hAnsi="Arial" w:cs="Arial"/>
          <w:sz w:val="20"/>
          <w:szCs w:val="20"/>
        </w:rPr>
        <w:t xml:space="preserve">, A.C., ‘The Bible and Iconography’, in </w:t>
      </w:r>
      <w:r w:rsidRPr="00AA5B2D">
        <w:rPr>
          <w:rFonts w:ascii="Arial" w:hAnsi="Arial" w:cs="Arial"/>
          <w:i/>
          <w:sz w:val="20"/>
          <w:szCs w:val="20"/>
        </w:rPr>
        <w:t>The Oxford Handbook of the Reception History of the Bible</w:t>
      </w:r>
      <w:r w:rsidRPr="00AA5B2D">
        <w:rPr>
          <w:rFonts w:ascii="Arial" w:hAnsi="Arial" w:cs="Arial"/>
          <w:sz w:val="20"/>
          <w:szCs w:val="20"/>
        </w:rPr>
        <w:t xml:space="preserve">, eds. M. </w:t>
      </w:r>
      <w:proofErr w:type="spellStart"/>
      <w:r w:rsidRPr="00AA5B2D">
        <w:rPr>
          <w:rFonts w:ascii="Arial" w:hAnsi="Arial" w:cs="Arial"/>
          <w:sz w:val="20"/>
          <w:szCs w:val="20"/>
        </w:rPr>
        <w:t>Lieb</w:t>
      </w:r>
      <w:proofErr w:type="spellEnd"/>
      <w:r w:rsidRPr="00AA5B2D">
        <w:rPr>
          <w:rFonts w:ascii="Arial" w:hAnsi="Arial" w:cs="Arial"/>
          <w:sz w:val="20"/>
          <w:szCs w:val="20"/>
        </w:rPr>
        <w:t>, E. Mason, J. Roberts &amp; C. Rowland (Oxford: Oxford University Press, 2011), pp. 175-199.</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LeRoux</w:t>
      </w:r>
      <w:proofErr w:type="spellEnd"/>
      <w:r w:rsidRPr="00AA5B2D">
        <w:rPr>
          <w:rFonts w:ascii="Arial" w:hAnsi="Arial" w:cs="Arial"/>
          <w:sz w:val="20"/>
          <w:szCs w:val="20"/>
        </w:rPr>
        <w:t xml:space="preserve">, J.H., ‘Abraham’s Reinterpretation and Life’s Meaning’, </w:t>
      </w:r>
      <w:r w:rsidRPr="00AA5B2D">
        <w:rPr>
          <w:rFonts w:ascii="Arial" w:hAnsi="Arial" w:cs="Arial"/>
          <w:i/>
          <w:sz w:val="20"/>
          <w:szCs w:val="20"/>
        </w:rPr>
        <w:t>Pretoria</w:t>
      </w:r>
      <w:r w:rsidRPr="00AA5B2D">
        <w:rPr>
          <w:rFonts w:ascii="Arial" w:hAnsi="Arial" w:cs="Arial"/>
          <w:sz w:val="20"/>
          <w:szCs w:val="20"/>
        </w:rPr>
        <w:t xml:space="preserve"> 36, 3 (2015), pp. 1-7.</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Levenson</w:t>
      </w:r>
      <w:proofErr w:type="spellEnd"/>
      <w:r w:rsidRPr="00AA5B2D">
        <w:rPr>
          <w:rFonts w:ascii="Arial" w:hAnsi="Arial" w:cs="Arial"/>
          <w:sz w:val="20"/>
          <w:szCs w:val="20"/>
        </w:rPr>
        <w:t xml:space="preserve">, J.D.,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Death and Resurrection of the Beloved Son: The Transformation of Child Sacrifice in Judaism and Christianity</w:t>
      </w:r>
      <w:r w:rsidRPr="00AA5B2D">
        <w:rPr>
          <w:rFonts w:ascii="Arial" w:hAnsi="Arial" w:cs="Arial"/>
          <w:sz w:val="20"/>
          <w:szCs w:val="20"/>
        </w:rPr>
        <w:t xml:space="preserve"> (New Haven: Yale University Press, 1993).</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Levenson</w:t>
      </w:r>
      <w:proofErr w:type="spellEnd"/>
      <w:r w:rsidRPr="00AA5B2D">
        <w:rPr>
          <w:rFonts w:ascii="Arial" w:hAnsi="Arial" w:cs="Arial"/>
          <w:sz w:val="20"/>
          <w:szCs w:val="20"/>
        </w:rPr>
        <w:t xml:space="preserve">, J.D., </w:t>
      </w:r>
      <w:r w:rsidRPr="00AA5B2D">
        <w:rPr>
          <w:rFonts w:ascii="Arial" w:hAnsi="Arial" w:cs="Arial"/>
          <w:i/>
          <w:sz w:val="20"/>
          <w:szCs w:val="20"/>
        </w:rPr>
        <w:t>Inheriting Abraham: The Legacy of the Patriarch in Judaism, Christianity, and Islam</w:t>
      </w:r>
      <w:r w:rsidRPr="00AA5B2D">
        <w:rPr>
          <w:rFonts w:ascii="Arial" w:hAnsi="Arial" w:cs="Arial"/>
          <w:sz w:val="20"/>
          <w:szCs w:val="20"/>
        </w:rPr>
        <w:t xml:space="preserve"> (Library of Jewish Ideas; Princeton: Princeton University Press, 2012).</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lastRenderedPageBreak/>
        <w:t>Lundbom</w:t>
      </w:r>
      <w:proofErr w:type="spellEnd"/>
      <w:r w:rsidRPr="00AA5B2D">
        <w:rPr>
          <w:rFonts w:ascii="Arial" w:hAnsi="Arial" w:cs="Arial"/>
          <w:sz w:val="20"/>
          <w:szCs w:val="20"/>
        </w:rPr>
        <w:t xml:space="preserve">, J.R., ‘Parataxis, Rhetorical Structure, and the Dialogue over Sodom in Genesis 18’, in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World of Genesis: Persons, Places, Perspectives</w:t>
      </w:r>
      <w:r w:rsidRPr="00AA5B2D">
        <w:rPr>
          <w:rFonts w:ascii="Arial" w:hAnsi="Arial" w:cs="Arial"/>
          <w:sz w:val="20"/>
          <w:szCs w:val="20"/>
        </w:rPr>
        <w:t>, eds. P.R. Davies &amp; D.J.A. Clines (Sheffield: Sheffield Academic Press, 1998), pp. 136-145.</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Lytton, T.D., ‘”Shall not the Judge of the Earth Deal Justly?</w:t>
      </w:r>
      <w:proofErr w:type="gramStart"/>
      <w:r w:rsidRPr="00AA5B2D">
        <w:rPr>
          <w:rFonts w:ascii="Arial" w:hAnsi="Arial" w:cs="Arial"/>
          <w:sz w:val="20"/>
          <w:szCs w:val="20"/>
        </w:rPr>
        <w:t>”:</w:t>
      </w:r>
      <w:proofErr w:type="gramEnd"/>
      <w:r w:rsidRPr="00AA5B2D">
        <w:rPr>
          <w:rFonts w:ascii="Arial" w:hAnsi="Arial" w:cs="Arial"/>
          <w:sz w:val="20"/>
          <w:szCs w:val="20"/>
        </w:rPr>
        <w:t xml:space="preserve"> Accountability, Compassion, and Judicial Authority in the Biblical Story of Sodom and Gomorrah’, </w:t>
      </w:r>
      <w:r w:rsidRPr="00AA5B2D">
        <w:rPr>
          <w:rFonts w:ascii="Arial" w:hAnsi="Arial" w:cs="Arial"/>
          <w:i/>
          <w:sz w:val="20"/>
          <w:szCs w:val="20"/>
        </w:rPr>
        <w:t>Journal of Law and Religion</w:t>
      </w:r>
      <w:r w:rsidRPr="00AA5B2D">
        <w:rPr>
          <w:rFonts w:ascii="Arial" w:hAnsi="Arial" w:cs="Arial"/>
          <w:sz w:val="20"/>
          <w:szCs w:val="20"/>
        </w:rPr>
        <w:t xml:space="preserve"> 18 (2002), pp. 31-55.</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MacDonald, N., ‘Listening to Abraham – Listening to </w:t>
      </w:r>
      <w:proofErr w:type="spellStart"/>
      <w:proofErr w:type="gramStart"/>
      <w:r w:rsidRPr="00AA5B2D">
        <w:rPr>
          <w:rFonts w:ascii="Arial" w:hAnsi="Arial" w:cs="Arial"/>
          <w:sz w:val="20"/>
          <w:szCs w:val="20"/>
        </w:rPr>
        <w:t>Yhwh</w:t>
      </w:r>
      <w:proofErr w:type="spellEnd"/>
      <w:proofErr w:type="gramEnd"/>
      <w:r w:rsidRPr="00AA5B2D">
        <w:rPr>
          <w:rFonts w:ascii="Arial" w:hAnsi="Arial" w:cs="Arial"/>
          <w:sz w:val="20"/>
          <w:szCs w:val="20"/>
        </w:rPr>
        <w:t xml:space="preserve">: Divine Justice and Mercy in Genesis 18:16-33’, </w:t>
      </w:r>
      <w:r w:rsidRPr="00AA5B2D">
        <w:rPr>
          <w:rFonts w:ascii="Arial" w:hAnsi="Arial" w:cs="Arial"/>
          <w:i/>
          <w:sz w:val="20"/>
          <w:szCs w:val="20"/>
        </w:rPr>
        <w:t>CBQ</w:t>
      </w:r>
      <w:r w:rsidRPr="00AA5B2D">
        <w:rPr>
          <w:rFonts w:ascii="Arial" w:hAnsi="Arial" w:cs="Arial"/>
          <w:sz w:val="20"/>
          <w:szCs w:val="20"/>
        </w:rPr>
        <w:t xml:space="preserve"> 66 (2004), pp. 25-43.</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MacSwain</w:t>
      </w:r>
      <w:proofErr w:type="spellEnd"/>
      <w:r w:rsidRPr="00AA5B2D">
        <w:rPr>
          <w:rFonts w:ascii="Arial" w:hAnsi="Arial" w:cs="Arial"/>
          <w:sz w:val="20"/>
          <w:szCs w:val="20"/>
        </w:rPr>
        <w:t xml:space="preserve">, R., ‘Wandering in Darkness: Narrative and the Problem of Suffering/Divine Evil? </w:t>
      </w:r>
      <w:proofErr w:type="gramStart"/>
      <w:r w:rsidRPr="00AA5B2D">
        <w:rPr>
          <w:rFonts w:ascii="Arial" w:hAnsi="Arial" w:cs="Arial"/>
          <w:sz w:val="20"/>
          <w:szCs w:val="20"/>
        </w:rPr>
        <w:t xml:space="preserve">The Moral Character of the God of Abraham’, </w:t>
      </w:r>
      <w:r w:rsidRPr="00AA5B2D">
        <w:rPr>
          <w:rFonts w:ascii="Arial" w:hAnsi="Arial" w:cs="Arial"/>
          <w:i/>
          <w:sz w:val="20"/>
          <w:szCs w:val="20"/>
        </w:rPr>
        <w:t>Sewanee Theological Review</w:t>
      </w:r>
      <w:r w:rsidRPr="00AA5B2D">
        <w:rPr>
          <w:rFonts w:ascii="Arial" w:hAnsi="Arial" w:cs="Arial"/>
          <w:sz w:val="20"/>
          <w:szCs w:val="20"/>
        </w:rPr>
        <w:t>, 57, 4 (2014), pp.582-586.</w:t>
      </w:r>
      <w:proofErr w:type="gramEnd"/>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Marshall, L., ‘False Promises and Overwhelming Compassion’</w:t>
      </w:r>
      <w:proofErr w:type="gramStart"/>
      <w:r w:rsidRPr="00AA5B2D">
        <w:rPr>
          <w:rFonts w:ascii="Arial" w:hAnsi="Arial" w:cs="Arial"/>
          <w:sz w:val="20"/>
          <w:szCs w:val="20"/>
        </w:rPr>
        <w:t xml:space="preserve">,  </w:t>
      </w:r>
      <w:proofErr w:type="gramEnd"/>
      <w:r w:rsidRPr="00AA5B2D">
        <w:rPr>
          <w:rFonts w:ascii="Arial" w:hAnsi="Arial" w:cs="Arial"/>
          <w:sz w:val="20"/>
          <w:szCs w:val="20"/>
        </w:rPr>
        <w:fldChar w:fldCharType="begin"/>
      </w:r>
      <w:r w:rsidRPr="00AA5B2D">
        <w:rPr>
          <w:rFonts w:ascii="Arial" w:hAnsi="Arial" w:cs="Arial"/>
          <w:sz w:val="20"/>
          <w:szCs w:val="20"/>
        </w:rPr>
        <w:instrText xml:space="preserve"> HYPERLINK "https://lucystarer.wordpress.com/2012/11/26/false-promises-and-overwhelming-compassion/" </w:instrText>
      </w:r>
      <w:r w:rsidRPr="00AA5B2D">
        <w:rPr>
          <w:rFonts w:ascii="Arial" w:hAnsi="Arial" w:cs="Arial"/>
          <w:sz w:val="20"/>
          <w:szCs w:val="20"/>
        </w:rPr>
        <w:fldChar w:fldCharType="separate"/>
      </w:r>
      <w:r w:rsidRPr="00AA5B2D">
        <w:rPr>
          <w:rStyle w:val="Hyperlink"/>
          <w:rFonts w:ascii="Arial" w:hAnsi="Arial" w:cs="Arial"/>
          <w:sz w:val="20"/>
          <w:szCs w:val="20"/>
        </w:rPr>
        <w:t>https://lucystarer.wordpress.com/2012/11/26/false-promises-and-overwhelming-compassion/</w:t>
      </w:r>
      <w:r w:rsidRPr="00AA5B2D">
        <w:rPr>
          <w:rFonts w:ascii="Arial" w:hAnsi="Arial" w:cs="Arial"/>
          <w:sz w:val="20"/>
          <w:szCs w:val="20"/>
        </w:rPr>
        <w:fldChar w:fldCharType="end"/>
      </w:r>
      <w:r w:rsidRPr="00AA5B2D">
        <w:rPr>
          <w:rFonts w:ascii="Arial" w:hAnsi="Arial" w:cs="Arial"/>
          <w:sz w:val="20"/>
          <w:szCs w:val="20"/>
        </w:rPr>
        <w:t>. 30</w:t>
      </w:r>
      <w:r w:rsidRPr="00AA5B2D">
        <w:rPr>
          <w:rFonts w:ascii="Arial" w:hAnsi="Arial" w:cs="Arial"/>
          <w:sz w:val="20"/>
          <w:szCs w:val="20"/>
          <w:vertAlign w:val="superscript"/>
        </w:rPr>
        <w:t>th</w:t>
      </w:r>
      <w:r w:rsidRPr="00AA5B2D">
        <w:rPr>
          <w:rFonts w:ascii="Arial" w:hAnsi="Arial" w:cs="Arial"/>
          <w:sz w:val="20"/>
          <w:szCs w:val="20"/>
        </w:rPr>
        <w:t xml:space="preserve"> June 2021.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McFarland, O., ‘Whose Abraham, Which Promise? </w:t>
      </w:r>
      <w:proofErr w:type="gramStart"/>
      <w:r w:rsidRPr="00AA5B2D">
        <w:rPr>
          <w:rFonts w:ascii="Arial" w:hAnsi="Arial" w:cs="Arial"/>
          <w:sz w:val="20"/>
          <w:szCs w:val="20"/>
        </w:rPr>
        <w:t xml:space="preserve">Genesis 15.6 in Philo’s </w:t>
      </w:r>
      <w:r w:rsidRPr="00AA5B2D">
        <w:rPr>
          <w:rFonts w:ascii="Arial" w:hAnsi="Arial" w:cs="Arial"/>
          <w:i/>
          <w:sz w:val="20"/>
          <w:szCs w:val="20"/>
        </w:rPr>
        <w:t xml:space="preserve">De </w:t>
      </w:r>
      <w:proofErr w:type="spellStart"/>
      <w:r w:rsidRPr="00AA5B2D">
        <w:rPr>
          <w:rFonts w:ascii="Arial" w:hAnsi="Arial" w:cs="Arial"/>
          <w:i/>
          <w:sz w:val="20"/>
          <w:szCs w:val="20"/>
        </w:rPr>
        <w:t>Virtutibus</w:t>
      </w:r>
      <w:proofErr w:type="spellEnd"/>
      <w:r w:rsidRPr="00AA5B2D">
        <w:rPr>
          <w:rFonts w:ascii="Arial" w:hAnsi="Arial" w:cs="Arial"/>
          <w:i/>
          <w:sz w:val="20"/>
          <w:szCs w:val="20"/>
        </w:rPr>
        <w:t xml:space="preserve"> </w:t>
      </w:r>
      <w:r w:rsidRPr="00AA5B2D">
        <w:rPr>
          <w:rFonts w:ascii="Arial" w:hAnsi="Arial" w:cs="Arial"/>
          <w:sz w:val="20"/>
          <w:szCs w:val="20"/>
        </w:rPr>
        <w:t xml:space="preserve">and Romans 4’, </w:t>
      </w:r>
      <w:r w:rsidRPr="00AA5B2D">
        <w:rPr>
          <w:rFonts w:ascii="Arial" w:hAnsi="Arial" w:cs="Arial"/>
          <w:i/>
          <w:sz w:val="20"/>
          <w:szCs w:val="20"/>
        </w:rPr>
        <w:t>Journal for the Study of the New Testament</w:t>
      </w:r>
      <w:r w:rsidRPr="00AA5B2D">
        <w:rPr>
          <w:rFonts w:ascii="Arial" w:hAnsi="Arial" w:cs="Arial"/>
          <w:sz w:val="20"/>
          <w:szCs w:val="20"/>
        </w:rPr>
        <w:t xml:space="preserve"> 35, 2 (2012), pp. 107-129.</w:t>
      </w:r>
      <w:proofErr w:type="gramEnd"/>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McMillen</w:t>
      </w:r>
      <w:proofErr w:type="spellEnd"/>
      <w:r w:rsidRPr="00AA5B2D">
        <w:rPr>
          <w:rFonts w:ascii="Arial" w:hAnsi="Arial" w:cs="Arial"/>
          <w:sz w:val="20"/>
          <w:szCs w:val="20"/>
        </w:rPr>
        <w:t xml:space="preserve">, E.C.,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Binding of Isaac: Afterbirth+</w:t>
      </w:r>
      <w:r w:rsidRPr="00AA5B2D">
        <w:rPr>
          <w:rFonts w:ascii="Arial" w:hAnsi="Arial" w:cs="Arial"/>
          <w:sz w:val="20"/>
          <w:szCs w:val="20"/>
        </w:rPr>
        <w:t>. 2017. Windows, OS X, Linux, Nintendo Switch, PS 4, Xbox One, iOS (Independently Published: USA).</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Moberly, R.W.L.,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Bible, Theology, and Faith: A Study of Abraham and Jesus</w:t>
      </w:r>
      <w:r w:rsidRPr="00AA5B2D">
        <w:rPr>
          <w:rFonts w:ascii="Arial" w:hAnsi="Arial" w:cs="Arial"/>
          <w:sz w:val="20"/>
          <w:szCs w:val="20"/>
        </w:rPr>
        <w:t xml:space="preserve"> (Cambridge: Cambridge University Press, 2000).</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Moberly, R.W.L, ‘A Specimen Text: Genesis 22’, in </w:t>
      </w:r>
      <w:r w:rsidRPr="00AA5B2D">
        <w:rPr>
          <w:rFonts w:ascii="Arial" w:hAnsi="Arial" w:cs="Arial"/>
          <w:i/>
          <w:sz w:val="20"/>
          <w:szCs w:val="20"/>
        </w:rPr>
        <w:t>Genesis and Exodus</w:t>
      </w:r>
      <w:r w:rsidRPr="00AA5B2D">
        <w:rPr>
          <w:rFonts w:ascii="Arial" w:hAnsi="Arial" w:cs="Arial"/>
          <w:sz w:val="20"/>
          <w:szCs w:val="20"/>
        </w:rPr>
        <w:t xml:space="preserve">, eds. J.W. </w:t>
      </w:r>
      <w:proofErr w:type="spellStart"/>
      <w:r w:rsidRPr="00AA5B2D">
        <w:rPr>
          <w:rFonts w:ascii="Arial" w:hAnsi="Arial" w:cs="Arial"/>
          <w:sz w:val="20"/>
          <w:szCs w:val="20"/>
        </w:rPr>
        <w:t>Rogerson</w:t>
      </w:r>
      <w:proofErr w:type="spellEnd"/>
      <w:r w:rsidRPr="00AA5B2D">
        <w:rPr>
          <w:rFonts w:ascii="Arial" w:hAnsi="Arial" w:cs="Arial"/>
          <w:sz w:val="20"/>
          <w:szCs w:val="20"/>
        </w:rPr>
        <w:t xml:space="preserve">, R.W.L. Moberly &amp; W. </w:t>
      </w:r>
      <w:proofErr w:type="spellStart"/>
      <w:proofErr w:type="gramStart"/>
      <w:r w:rsidRPr="00AA5B2D">
        <w:rPr>
          <w:rFonts w:ascii="Arial" w:hAnsi="Arial" w:cs="Arial"/>
          <w:sz w:val="20"/>
          <w:szCs w:val="20"/>
        </w:rPr>
        <w:t>Johnstone</w:t>
      </w:r>
      <w:proofErr w:type="spellEnd"/>
      <w:r w:rsidRPr="00AA5B2D">
        <w:rPr>
          <w:rFonts w:ascii="Arial" w:hAnsi="Arial" w:cs="Arial"/>
          <w:sz w:val="20"/>
          <w:szCs w:val="20"/>
        </w:rPr>
        <w:t xml:space="preserve">  (</w:t>
      </w:r>
      <w:proofErr w:type="gramEnd"/>
      <w:r w:rsidRPr="00AA5B2D">
        <w:rPr>
          <w:rFonts w:ascii="Arial" w:hAnsi="Arial" w:cs="Arial"/>
          <w:sz w:val="20"/>
          <w:szCs w:val="20"/>
        </w:rPr>
        <w:t>Sheffield: Sheffield Academic Press, 2001), pp.123-137.</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Moberly, R.W.L.,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Theology of the Book of Genesis </w:t>
      </w:r>
      <w:r w:rsidRPr="00AA5B2D">
        <w:rPr>
          <w:rFonts w:ascii="Arial" w:hAnsi="Arial" w:cs="Arial"/>
          <w:sz w:val="20"/>
          <w:szCs w:val="20"/>
        </w:rPr>
        <w:t>(Cambridge: Cambridge University Press, 2009).</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Morschauser</w:t>
      </w:r>
      <w:proofErr w:type="spellEnd"/>
      <w:r w:rsidRPr="00AA5B2D">
        <w:rPr>
          <w:rFonts w:ascii="Arial" w:hAnsi="Arial" w:cs="Arial"/>
          <w:sz w:val="20"/>
          <w:szCs w:val="20"/>
        </w:rPr>
        <w:t xml:space="preserve">, S.N., ‘Seeing You Have Not Withheld Your Son: An Overlooked Motif in Genesis 22?’, </w:t>
      </w:r>
      <w:r w:rsidRPr="00AA5B2D">
        <w:rPr>
          <w:rFonts w:ascii="Arial" w:hAnsi="Arial" w:cs="Arial"/>
          <w:i/>
          <w:sz w:val="20"/>
          <w:szCs w:val="20"/>
        </w:rPr>
        <w:t>Journal for the Study of the Old Testament</w:t>
      </w:r>
      <w:r w:rsidRPr="00AA5B2D">
        <w:rPr>
          <w:rFonts w:ascii="Arial" w:hAnsi="Arial" w:cs="Arial"/>
          <w:sz w:val="20"/>
          <w:szCs w:val="20"/>
        </w:rPr>
        <w:t xml:space="preserve"> 45, 3 (20</w:t>
      </w:r>
      <w:r w:rsidR="00230EC8">
        <w:rPr>
          <w:rFonts w:ascii="Arial" w:hAnsi="Arial" w:cs="Arial"/>
          <w:sz w:val="20"/>
          <w:szCs w:val="20"/>
        </w:rPr>
        <w:t>21</w:t>
      </w:r>
      <w:r w:rsidRPr="00AA5B2D">
        <w:rPr>
          <w:rFonts w:ascii="Arial" w:hAnsi="Arial" w:cs="Arial"/>
          <w:sz w:val="20"/>
          <w:szCs w:val="20"/>
        </w:rPr>
        <w:t>), pp. 388-406.</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O’Kane</w:t>
      </w:r>
      <w:proofErr w:type="spellEnd"/>
      <w:r w:rsidRPr="00AA5B2D">
        <w:rPr>
          <w:rFonts w:ascii="Arial" w:hAnsi="Arial" w:cs="Arial"/>
          <w:sz w:val="20"/>
          <w:szCs w:val="20"/>
        </w:rPr>
        <w:t>, M., ‘</w:t>
      </w:r>
      <w:proofErr w:type="gramStart"/>
      <w:r w:rsidRPr="00AA5B2D">
        <w:rPr>
          <w:rFonts w:ascii="Arial" w:hAnsi="Arial" w:cs="Arial"/>
          <w:sz w:val="20"/>
          <w:szCs w:val="20"/>
        </w:rPr>
        <w:t>The</w:t>
      </w:r>
      <w:proofErr w:type="gramEnd"/>
      <w:r w:rsidRPr="00AA5B2D">
        <w:rPr>
          <w:rFonts w:ascii="Arial" w:hAnsi="Arial" w:cs="Arial"/>
          <w:sz w:val="20"/>
          <w:szCs w:val="20"/>
        </w:rPr>
        <w:t xml:space="preserve"> Bosom of Abraham (Luke 16:22): Father Abraham in the Visual Imagination’, </w:t>
      </w:r>
      <w:r w:rsidRPr="00AA5B2D">
        <w:rPr>
          <w:rFonts w:ascii="Arial" w:hAnsi="Arial" w:cs="Arial"/>
          <w:i/>
          <w:sz w:val="20"/>
          <w:szCs w:val="20"/>
        </w:rPr>
        <w:t xml:space="preserve">Biblical Interpretation </w:t>
      </w:r>
      <w:r w:rsidRPr="00AA5B2D">
        <w:rPr>
          <w:rFonts w:ascii="Arial" w:hAnsi="Arial" w:cs="Arial"/>
          <w:sz w:val="20"/>
          <w:szCs w:val="20"/>
        </w:rPr>
        <w:t>15 (2007), pp. 485-518.</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Onwuke</w:t>
      </w:r>
      <w:proofErr w:type="spellEnd"/>
      <w:r w:rsidRPr="00AA5B2D">
        <w:rPr>
          <w:rFonts w:ascii="Arial" w:hAnsi="Arial" w:cs="Arial"/>
          <w:sz w:val="20"/>
          <w:szCs w:val="20"/>
        </w:rPr>
        <w:t xml:space="preserve">, V.C, ‘Characterisation and Plot(s) in Genesis 16: A Narrative-Critical Analysis’, </w:t>
      </w:r>
      <w:r w:rsidRPr="00AA5B2D">
        <w:rPr>
          <w:rFonts w:ascii="Arial" w:hAnsi="Arial" w:cs="Arial"/>
          <w:i/>
          <w:sz w:val="20"/>
          <w:szCs w:val="20"/>
        </w:rPr>
        <w:t xml:space="preserve">Scriptura </w:t>
      </w:r>
      <w:r w:rsidRPr="00AA5B2D">
        <w:rPr>
          <w:rFonts w:ascii="Arial" w:hAnsi="Arial" w:cs="Arial"/>
          <w:sz w:val="20"/>
          <w:szCs w:val="20"/>
        </w:rPr>
        <w:t>119, 1 (2020), pp. 1-7.</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Philo, </w:t>
      </w:r>
      <w:r w:rsidRPr="00AA5B2D">
        <w:rPr>
          <w:rFonts w:ascii="Arial" w:hAnsi="Arial" w:cs="Arial"/>
          <w:i/>
          <w:sz w:val="20"/>
          <w:szCs w:val="20"/>
        </w:rPr>
        <w:t>Volume VIII: On the Virtues</w:t>
      </w:r>
      <w:r w:rsidRPr="00AA5B2D">
        <w:rPr>
          <w:rFonts w:ascii="Arial" w:hAnsi="Arial" w:cs="Arial"/>
          <w:sz w:val="20"/>
          <w:szCs w:val="20"/>
        </w:rPr>
        <w:t>, trans. F.H. Colson (Cambridge, Massachusetts: Harvard University Press, 1989).</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Ramonet</w:t>
      </w:r>
      <w:proofErr w:type="spellEnd"/>
      <w:r w:rsidRPr="00AA5B2D">
        <w:rPr>
          <w:rFonts w:ascii="Arial" w:hAnsi="Arial" w:cs="Arial"/>
          <w:sz w:val="20"/>
          <w:szCs w:val="20"/>
        </w:rPr>
        <w:t xml:space="preserve">, I., ‘Palestine’, </w:t>
      </w:r>
      <w:hyperlink r:id="rId21" w:history="1">
        <w:r w:rsidRPr="00AA5B2D">
          <w:rPr>
            <w:rStyle w:val="Hyperlink"/>
            <w:rFonts w:ascii="Arial" w:hAnsi="Arial" w:cs="Arial"/>
            <w:sz w:val="20"/>
            <w:szCs w:val="20"/>
          </w:rPr>
          <w:t>www.monde-diplomatique.Fr/1991/10/RAMONET/43887</w:t>
        </w:r>
      </w:hyperlink>
      <w:r w:rsidRPr="00AA5B2D">
        <w:rPr>
          <w:rFonts w:ascii="Arial" w:hAnsi="Arial" w:cs="Arial"/>
          <w:sz w:val="20"/>
          <w:szCs w:val="20"/>
        </w:rPr>
        <w:t>, 25</w:t>
      </w:r>
      <w:r w:rsidRPr="00AA5B2D">
        <w:rPr>
          <w:rFonts w:ascii="Arial" w:hAnsi="Arial" w:cs="Arial"/>
          <w:sz w:val="20"/>
          <w:szCs w:val="20"/>
          <w:vertAlign w:val="superscript"/>
        </w:rPr>
        <w:t>th</w:t>
      </w:r>
      <w:r w:rsidRPr="00AA5B2D">
        <w:rPr>
          <w:rFonts w:ascii="Arial" w:hAnsi="Arial" w:cs="Arial"/>
          <w:sz w:val="20"/>
          <w:szCs w:val="20"/>
        </w:rPr>
        <w:t xml:space="preserve"> June 2021.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Reed, A.Y., ‘The Construction and Subversion of Patriarchal Protection: Abraham and Exemplarity in Philo, Josephus, and the Testament of Abraham’, </w:t>
      </w:r>
      <w:r w:rsidRPr="00AA5B2D">
        <w:rPr>
          <w:rFonts w:ascii="Arial" w:hAnsi="Arial" w:cs="Arial"/>
          <w:i/>
          <w:sz w:val="20"/>
          <w:szCs w:val="20"/>
        </w:rPr>
        <w:t>Journal for the Study of Judaism in the Persian, Hellenistic and Roman Period</w:t>
      </w:r>
      <w:r w:rsidRPr="00AA5B2D">
        <w:rPr>
          <w:rFonts w:ascii="Arial" w:hAnsi="Arial" w:cs="Arial"/>
          <w:sz w:val="20"/>
          <w:szCs w:val="20"/>
        </w:rPr>
        <w:t xml:space="preserve"> 40, 2 (2009), pp.185-212.</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Rickett</w:t>
      </w:r>
      <w:proofErr w:type="spellEnd"/>
      <w:r w:rsidRPr="00AA5B2D">
        <w:rPr>
          <w:rFonts w:ascii="Arial" w:hAnsi="Arial" w:cs="Arial"/>
          <w:sz w:val="20"/>
          <w:szCs w:val="20"/>
        </w:rPr>
        <w:t xml:space="preserve">, D., ‘Rethinking the Place and Purpose of Genesis 13’, </w:t>
      </w:r>
      <w:proofErr w:type="spellStart"/>
      <w:r w:rsidRPr="00AA5B2D">
        <w:rPr>
          <w:rFonts w:ascii="Arial" w:hAnsi="Arial" w:cs="Arial"/>
          <w:i/>
          <w:sz w:val="20"/>
          <w:szCs w:val="20"/>
        </w:rPr>
        <w:t>AnglicanTheological</w:t>
      </w:r>
      <w:proofErr w:type="spellEnd"/>
      <w:r w:rsidRPr="00AA5B2D">
        <w:rPr>
          <w:rFonts w:ascii="Arial" w:hAnsi="Arial" w:cs="Arial"/>
          <w:i/>
          <w:sz w:val="20"/>
          <w:szCs w:val="20"/>
        </w:rPr>
        <w:t xml:space="preserve"> Review</w:t>
      </w:r>
      <w:r w:rsidRPr="00AA5B2D">
        <w:rPr>
          <w:rFonts w:ascii="Arial" w:hAnsi="Arial" w:cs="Arial"/>
          <w:sz w:val="20"/>
          <w:szCs w:val="20"/>
        </w:rPr>
        <w:t xml:space="preserve"> 36, 1 (2011), pp. 1-53.</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Rogers, S.A., ‘The Parent-Child Relationship as an Archetype for the Relationship </w:t>
      </w:r>
      <w:proofErr w:type="gramStart"/>
      <w:r w:rsidRPr="00AA5B2D">
        <w:rPr>
          <w:rFonts w:ascii="Arial" w:hAnsi="Arial" w:cs="Arial"/>
          <w:sz w:val="20"/>
          <w:szCs w:val="20"/>
        </w:rPr>
        <w:t>Between</w:t>
      </w:r>
      <w:proofErr w:type="gramEnd"/>
      <w:r w:rsidRPr="00AA5B2D">
        <w:rPr>
          <w:rFonts w:ascii="Arial" w:hAnsi="Arial" w:cs="Arial"/>
          <w:sz w:val="20"/>
          <w:szCs w:val="20"/>
        </w:rPr>
        <w:t xml:space="preserve"> God and Humanity in Genesis’, </w:t>
      </w:r>
      <w:r w:rsidRPr="00AA5B2D">
        <w:rPr>
          <w:rFonts w:ascii="Arial" w:hAnsi="Arial" w:cs="Arial"/>
          <w:i/>
          <w:sz w:val="20"/>
          <w:szCs w:val="20"/>
        </w:rPr>
        <w:t>Pastoral Psychology</w:t>
      </w:r>
      <w:r w:rsidRPr="00AA5B2D">
        <w:rPr>
          <w:rFonts w:ascii="Arial" w:hAnsi="Arial" w:cs="Arial"/>
          <w:sz w:val="20"/>
          <w:szCs w:val="20"/>
        </w:rPr>
        <w:t>, 50, 5 (2002), pp. 377-385.</w:t>
      </w:r>
    </w:p>
    <w:p w:rsidR="00AA5B2D" w:rsidRPr="00AA5B2D" w:rsidRDefault="00AA5B2D" w:rsidP="00AA5B2D">
      <w:pPr>
        <w:spacing w:after="0"/>
        <w:ind w:left="720" w:hanging="720"/>
        <w:rPr>
          <w:rFonts w:ascii="Arial" w:hAnsi="Arial" w:cs="Arial"/>
          <w:sz w:val="20"/>
          <w:szCs w:val="20"/>
        </w:rPr>
      </w:pPr>
      <w:proofErr w:type="gramStart"/>
      <w:r w:rsidRPr="00AA5B2D">
        <w:rPr>
          <w:rFonts w:ascii="Arial" w:hAnsi="Arial" w:cs="Arial"/>
          <w:sz w:val="20"/>
          <w:szCs w:val="20"/>
        </w:rPr>
        <w:t xml:space="preserve">Roth, D., ‘Narrative Metaphor as a Tool for Exploring Character Formation’, </w:t>
      </w:r>
      <w:r w:rsidRPr="00AA5B2D">
        <w:rPr>
          <w:rFonts w:ascii="Arial" w:hAnsi="Arial" w:cs="Arial"/>
          <w:i/>
          <w:sz w:val="20"/>
          <w:szCs w:val="20"/>
        </w:rPr>
        <w:t>International Journal of Christianity and Education</w:t>
      </w:r>
      <w:r w:rsidRPr="00AA5B2D">
        <w:rPr>
          <w:rFonts w:ascii="Arial" w:hAnsi="Arial" w:cs="Arial"/>
          <w:sz w:val="20"/>
          <w:szCs w:val="20"/>
        </w:rPr>
        <w:t>, 25, 1 (2021), pp. 96-111.</w:t>
      </w:r>
      <w:proofErr w:type="gramEnd"/>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Sasson</w:t>
      </w:r>
      <w:proofErr w:type="spellEnd"/>
      <w:r w:rsidRPr="00AA5B2D">
        <w:rPr>
          <w:rFonts w:ascii="Arial" w:hAnsi="Arial" w:cs="Arial"/>
          <w:sz w:val="20"/>
          <w:szCs w:val="20"/>
        </w:rPr>
        <w:t>, G.E., ‘</w:t>
      </w:r>
      <w:proofErr w:type="gramStart"/>
      <w:r w:rsidRPr="00AA5B2D">
        <w:rPr>
          <w:rFonts w:ascii="Arial" w:hAnsi="Arial" w:cs="Arial"/>
          <w:sz w:val="20"/>
          <w:szCs w:val="20"/>
        </w:rPr>
        <w:t>The</w:t>
      </w:r>
      <w:proofErr w:type="gramEnd"/>
      <w:r w:rsidRPr="00AA5B2D">
        <w:rPr>
          <w:rFonts w:ascii="Arial" w:hAnsi="Arial" w:cs="Arial"/>
          <w:sz w:val="20"/>
          <w:szCs w:val="20"/>
        </w:rPr>
        <w:t xml:space="preserve"> Symbolic Meaning of Biblical Names as a Narrative Tool: Moses, Abraham, and David’, </w:t>
      </w:r>
      <w:r w:rsidRPr="00AA5B2D">
        <w:rPr>
          <w:rFonts w:ascii="Arial" w:hAnsi="Arial" w:cs="Arial"/>
          <w:i/>
          <w:sz w:val="20"/>
          <w:szCs w:val="20"/>
        </w:rPr>
        <w:t>Storytelling, Self, Society</w:t>
      </w:r>
      <w:r w:rsidRPr="00AA5B2D">
        <w:rPr>
          <w:rFonts w:ascii="Arial" w:hAnsi="Arial" w:cs="Arial"/>
          <w:sz w:val="20"/>
          <w:szCs w:val="20"/>
        </w:rPr>
        <w:t xml:space="preserve"> 11, 2 (2015), pp. 298-313.</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Sawyer, D., ‘The Case of Abraham’s Masculinity’, in </w:t>
      </w:r>
      <w:r w:rsidRPr="00AA5B2D">
        <w:rPr>
          <w:rFonts w:ascii="Arial" w:hAnsi="Arial" w:cs="Arial"/>
          <w:i/>
          <w:sz w:val="20"/>
          <w:szCs w:val="20"/>
        </w:rPr>
        <w:t>Gender, Religion and Diversity: Cross-Cultural Perspectives</w:t>
      </w:r>
      <w:r w:rsidRPr="00AA5B2D">
        <w:rPr>
          <w:rFonts w:ascii="Arial" w:hAnsi="Arial" w:cs="Arial"/>
          <w:sz w:val="20"/>
          <w:szCs w:val="20"/>
        </w:rPr>
        <w:t>, eds.</w:t>
      </w:r>
      <w:r w:rsidRPr="00AA5B2D">
        <w:rPr>
          <w:rFonts w:ascii="Arial" w:hAnsi="Arial" w:cs="Arial"/>
          <w:i/>
          <w:sz w:val="20"/>
          <w:szCs w:val="20"/>
        </w:rPr>
        <w:t xml:space="preserve"> </w:t>
      </w:r>
      <w:r w:rsidRPr="00AA5B2D">
        <w:rPr>
          <w:rFonts w:ascii="Arial" w:hAnsi="Arial" w:cs="Arial"/>
          <w:sz w:val="20"/>
          <w:szCs w:val="20"/>
        </w:rPr>
        <w:t xml:space="preserve">U. King &amp; T. </w:t>
      </w:r>
      <w:proofErr w:type="gramStart"/>
      <w:r w:rsidRPr="00AA5B2D">
        <w:rPr>
          <w:rFonts w:ascii="Arial" w:hAnsi="Arial" w:cs="Arial"/>
          <w:sz w:val="20"/>
          <w:szCs w:val="20"/>
        </w:rPr>
        <w:t xml:space="preserve">Beattie </w:t>
      </w:r>
      <w:r w:rsidRPr="00AA5B2D">
        <w:rPr>
          <w:rFonts w:ascii="Arial" w:hAnsi="Arial" w:cs="Arial"/>
          <w:i/>
          <w:sz w:val="20"/>
          <w:szCs w:val="20"/>
        </w:rPr>
        <w:t xml:space="preserve"> </w:t>
      </w:r>
      <w:r w:rsidRPr="00AA5B2D">
        <w:rPr>
          <w:rFonts w:ascii="Arial" w:hAnsi="Arial" w:cs="Arial"/>
          <w:sz w:val="20"/>
          <w:szCs w:val="20"/>
        </w:rPr>
        <w:t>(</w:t>
      </w:r>
      <w:proofErr w:type="gramEnd"/>
      <w:r w:rsidRPr="00AA5B2D">
        <w:rPr>
          <w:rFonts w:ascii="Arial" w:hAnsi="Arial" w:cs="Arial"/>
          <w:sz w:val="20"/>
          <w:szCs w:val="20"/>
        </w:rPr>
        <w:t>New York: Continuum, 2004), pp. 162-171.</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Seeman</w:t>
      </w:r>
      <w:proofErr w:type="spellEnd"/>
      <w:r w:rsidRPr="00AA5B2D">
        <w:rPr>
          <w:rFonts w:ascii="Arial" w:hAnsi="Arial" w:cs="Arial"/>
          <w:sz w:val="20"/>
          <w:szCs w:val="20"/>
        </w:rPr>
        <w:t xml:space="preserve">, D., ‘”Where is Sarah Your Wife?” Cultural Poetics of Gender and Nationhood in the Hebrew Bible’,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Harvard Theological Review</w:t>
      </w:r>
      <w:r w:rsidRPr="00AA5B2D">
        <w:rPr>
          <w:rFonts w:ascii="Arial" w:hAnsi="Arial" w:cs="Arial"/>
          <w:sz w:val="20"/>
          <w:szCs w:val="20"/>
        </w:rPr>
        <w:t xml:space="preserve"> 91, 2 (1998), pp. 103-125.</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Sonek</w:t>
      </w:r>
      <w:proofErr w:type="spellEnd"/>
      <w:r w:rsidRPr="00AA5B2D">
        <w:rPr>
          <w:rFonts w:ascii="Arial" w:hAnsi="Arial" w:cs="Arial"/>
          <w:sz w:val="20"/>
          <w:szCs w:val="20"/>
        </w:rPr>
        <w:t xml:space="preserve">, K., ‘The Abraham Narratives in Genesis 12-25’, </w:t>
      </w:r>
      <w:r w:rsidRPr="00AA5B2D">
        <w:rPr>
          <w:rFonts w:ascii="Arial" w:hAnsi="Arial" w:cs="Arial"/>
          <w:i/>
          <w:sz w:val="20"/>
          <w:szCs w:val="20"/>
        </w:rPr>
        <w:t>Currents in Biblical Research</w:t>
      </w:r>
      <w:r w:rsidRPr="00AA5B2D">
        <w:rPr>
          <w:rFonts w:ascii="Arial" w:hAnsi="Arial" w:cs="Arial"/>
          <w:sz w:val="20"/>
          <w:szCs w:val="20"/>
        </w:rPr>
        <w:t xml:space="preserve"> 17, 2 (2019), pp. 158-183.</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Splawn</w:t>
      </w:r>
      <w:proofErr w:type="spellEnd"/>
      <w:r w:rsidRPr="00AA5B2D">
        <w:rPr>
          <w:rFonts w:ascii="Arial" w:hAnsi="Arial" w:cs="Arial"/>
          <w:sz w:val="20"/>
          <w:szCs w:val="20"/>
        </w:rPr>
        <w:t xml:space="preserve">, J., ‘Reckless Eyeballing: Written and Oral Narratives in Genesis 16.4-5’, </w:t>
      </w:r>
      <w:r w:rsidRPr="00AA5B2D">
        <w:rPr>
          <w:rFonts w:ascii="Arial" w:hAnsi="Arial" w:cs="Arial"/>
          <w:i/>
          <w:sz w:val="20"/>
          <w:szCs w:val="20"/>
        </w:rPr>
        <w:t>Feminist Theology</w:t>
      </w:r>
      <w:r w:rsidRPr="00AA5B2D">
        <w:rPr>
          <w:rFonts w:ascii="Arial" w:hAnsi="Arial" w:cs="Arial"/>
          <w:sz w:val="20"/>
          <w:szCs w:val="20"/>
        </w:rPr>
        <w:t xml:space="preserve"> 21, 2 (2013), pp 173-179.</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lastRenderedPageBreak/>
        <w:t xml:space="preserve">Stark, J.D., ‘To Your Seed I Will Give …: The Land(s) Promised to Abraham in Genesis and Second Temple Judaism’, </w:t>
      </w:r>
      <w:r w:rsidRPr="00AA5B2D">
        <w:rPr>
          <w:rFonts w:ascii="Arial" w:hAnsi="Arial" w:cs="Arial"/>
          <w:i/>
          <w:sz w:val="20"/>
          <w:szCs w:val="20"/>
        </w:rPr>
        <w:t>Bulletin for Biblical Research</w:t>
      </w:r>
      <w:r w:rsidRPr="00AA5B2D">
        <w:rPr>
          <w:rFonts w:ascii="Arial" w:hAnsi="Arial" w:cs="Arial"/>
          <w:sz w:val="20"/>
          <w:szCs w:val="20"/>
        </w:rPr>
        <w:t xml:space="preserve"> 30, 1 (2020), pp. 1-21.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Steinberg, N.A.,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World of the Child in the Hebrew Bible</w:t>
      </w:r>
      <w:r w:rsidRPr="00AA5B2D">
        <w:rPr>
          <w:rFonts w:ascii="Arial" w:hAnsi="Arial" w:cs="Arial"/>
          <w:sz w:val="20"/>
          <w:szCs w:val="20"/>
        </w:rPr>
        <w:t xml:space="preserve"> (Sheffield: Sheffield Phoenix, 2013).</w:t>
      </w:r>
    </w:p>
    <w:p w:rsidR="00AA5B2D" w:rsidRPr="00AA5B2D" w:rsidRDefault="00AA5B2D" w:rsidP="00AA5B2D">
      <w:pPr>
        <w:spacing w:after="0"/>
        <w:ind w:left="720" w:hanging="720"/>
        <w:rPr>
          <w:rFonts w:ascii="Arial" w:hAnsi="Arial" w:cs="Arial"/>
          <w:sz w:val="20"/>
          <w:szCs w:val="20"/>
        </w:rPr>
      </w:pPr>
      <w:r w:rsidRPr="00AA5B2D">
        <w:rPr>
          <w:rFonts w:ascii="Arial" w:hAnsi="Arial" w:cs="Arial"/>
          <w:i/>
          <w:sz w:val="20"/>
          <w:szCs w:val="20"/>
        </w:rPr>
        <w:t>The New Oxford Annotated Bible: New Revised Standard Version with the Apocrypha</w:t>
      </w:r>
      <w:r w:rsidRPr="00AA5B2D">
        <w:rPr>
          <w:rFonts w:ascii="Arial" w:hAnsi="Arial" w:cs="Arial"/>
          <w:sz w:val="20"/>
          <w:szCs w:val="20"/>
        </w:rPr>
        <w:t xml:space="preserve">, ed. M.D. </w:t>
      </w:r>
      <w:proofErr w:type="spellStart"/>
      <w:r w:rsidRPr="00AA5B2D">
        <w:rPr>
          <w:rFonts w:ascii="Arial" w:hAnsi="Arial" w:cs="Arial"/>
          <w:sz w:val="20"/>
          <w:szCs w:val="20"/>
        </w:rPr>
        <w:t>Coogan</w:t>
      </w:r>
      <w:proofErr w:type="spellEnd"/>
      <w:r w:rsidRPr="00AA5B2D">
        <w:rPr>
          <w:rFonts w:ascii="Arial" w:hAnsi="Arial" w:cs="Arial"/>
          <w:sz w:val="20"/>
          <w:szCs w:val="20"/>
        </w:rPr>
        <w:t>, 5</w:t>
      </w:r>
      <w:r w:rsidRPr="00AA5B2D">
        <w:rPr>
          <w:rFonts w:ascii="Arial" w:hAnsi="Arial" w:cs="Arial"/>
          <w:sz w:val="20"/>
          <w:szCs w:val="20"/>
          <w:vertAlign w:val="superscript"/>
        </w:rPr>
        <w:t>th</w:t>
      </w:r>
      <w:r w:rsidRPr="00AA5B2D">
        <w:rPr>
          <w:rFonts w:ascii="Arial" w:hAnsi="Arial" w:cs="Arial"/>
          <w:sz w:val="20"/>
          <w:szCs w:val="20"/>
        </w:rPr>
        <w:t xml:space="preserve"> </w:t>
      </w:r>
      <w:proofErr w:type="spellStart"/>
      <w:r w:rsidRPr="00AA5B2D">
        <w:rPr>
          <w:rFonts w:ascii="Arial" w:hAnsi="Arial" w:cs="Arial"/>
          <w:sz w:val="20"/>
          <w:szCs w:val="20"/>
        </w:rPr>
        <w:t>edn</w:t>
      </w:r>
      <w:proofErr w:type="spellEnd"/>
      <w:r w:rsidRPr="00AA5B2D">
        <w:rPr>
          <w:rFonts w:ascii="Arial" w:hAnsi="Arial" w:cs="Arial"/>
          <w:sz w:val="20"/>
          <w:szCs w:val="20"/>
        </w:rPr>
        <w:t>.</w:t>
      </w:r>
      <w:r w:rsidRPr="00AA5B2D">
        <w:rPr>
          <w:rFonts w:ascii="Arial" w:hAnsi="Arial" w:cs="Arial"/>
          <w:i/>
          <w:sz w:val="20"/>
          <w:szCs w:val="20"/>
        </w:rPr>
        <w:t xml:space="preserve"> </w:t>
      </w:r>
      <w:r w:rsidRPr="00AA5B2D">
        <w:rPr>
          <w:rFonts w:ascii="Arial" w:hAnsi="Arial" w:cs="Arial"/>
          <w:sz w:val="20"/>
          <w:szCs w:val="20"/>
        </w:rPr>
        <w:t>(Oxford: Oxford University Press, 2018).</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Tozer</w:t>
      </w:r>
      <w:proofErr w:type="spellEnd"/>
      <w:r w:rsidRPr="00AA5B2D">
        <w:rPr>
          <w:rFonts w:ascii="Arial" w:hAnsi="Arial" w:cs="Arial"/>
          <w:sz w:val="20"/>
          <w:szCs w:val="20"/>
        </w:rPr>
        <w:t xml:space="preserve">, A.W., </w:t>
      </w:r>
      <w:proofErr w:type="gramStart"/>
      <w:r w:rsidRPr="00AA5B2D">
        <w:rPr>
          <w:rFonts w:ascii="Arial" w:hAnsi="Arial" w:cs="Arial"/>
          <w:i/>
          <w:sz w:val="20"/>
          <w:szCs w:val="20"/>
        </w:rPr>
        <w:t>The</w:t>
      </w:r>
      <w:proofErr w:type="gramEnd"/>
      <w:r w:rsidRPr="00AA5B2D">
        <w:rPr>
          <w:rFonts w:ascii="Arial" w:hAnsi="Arial" w:cs="Arial"/>
          <w:i/>
          <w:sz w:val="20"/>
          <w:szCs w:val="20"/>
        </w:rPr>
        <w:t xml:space="preserve"> Pursuit of God</w:t>
      </w:r>
      <w:r w:rsidRPr="00AA5B2D">
        <w:rPr>
          <w:rFonts w:ascii="Arial" w:hAnsi="Arial" w:cs="Arial"/>
          <w:sz w:val="20"/>
          <w:szCs w:val="20"/>
        </w:rPr>
        <w:t xml:space="preserve"> (London: Horizon House, 1976).</w:t>
      </w:r>
    </w:p>
    <w:p w:rsidR="00AA5B2D" w:rsidRPr="00AA5B2D" w:rsidRDefault="00AA5B2D" w:rsidP="00AA5B2D">
      <w:pPr>
        <w:spacing w:after="0"/>
        <w:ind w:left="720" w:hanging="720"/>
        <w:rPr>
          <w:rFonts w:ascii="Arial" w:hAnsi="Arial" w:cs="Arial"/>
          <w:sz w:val="20"/>
          <w:szCs w:val="20"/>
        </w:rPr>
      </w:pPr>
      <w:r w:rsidRPr="00AA5B2D">
        <w:rPr>
          <w:rFonts w:ascii="Arial" w:hAnsi="Arial" w:cs="Arial"/>
          <w:i/>
          <w:sz w:val="20"/>
          <w:szCs w:val="20"/>
        </w:rPr>
        <w:t>United States Holocaust Memorial Museum</w:t>
      </w:r>
      <w:proofErr w:type="gramStart"/>
      <w:r w:rsidRPr="00AA5B2D">
        <w:rPr>
          <w:rFonts w:ascii="Arial" w:hAnsi="Arial" w:cs="Arial"/>
          <w:sz w:val="20"/>
          <w:szCs w:val="20"/>
        </w:rPr>
        <w:t>,  ‘Marc</w:t>
      </w:r>
      <w:proofErr w:type="gramEnd"/>
      <w:r w:rsidRPr="00AA5B2D">
        <w:rPr>
          <w:rFonts w:ascii="Arial" w:hAnsi="Arial" w:cs="Arial"/>
          <w:sz w:val="20"/>
          <w:szCs w:val="20"/>
        </w:rPr>
        <w:t xml:space="preserve"> Chagall’, </w:t>
      </w:r>
      <w:hyperlink r:id="rId22" w:history="1">
        <w:r w:rsidRPr="00AA5B2D">
          <w:rPr>
            <w:rStyle w:val="Hyperlink"/>
            <w:rFonts w:ascii="Arial" w:hAnsi="Arial" w:cs="Arial"/>
            <w:sz w:val="20"/>
            <w:szCs w:val="20"/>
          </w:rPr>
          <w:t>https://encyclopedia.ushmm.ord/content/en/article/marc-chagall</w:t>
        </w:r>
      </w:hyperlink>
      <w:r w:rsidRPr="00AA5B2D">
        <w:rPr>
          <w:rFonts w:ascii="Arial" w:hAnsi="Arial" w:cs="Arial"/>
          <w:sz w:val="20"/>
          <w:szCs w:val="20"/>
        </w:rPr>
        <w:t>, 29</w:t>
      </w:r>
      <w:r w:rsidRPr="00AA5B2D">
        <w:rPr>
          <w:rFonts w:ascii="Arial" w:hAnsi="Arial" w:cs="Arial"/>
          <w:sz w:val="20"/>
          <w:szCs w:val="20"/>
          <w:vertAlign w:val="superscript"/>
        </w:rPr>
        <w:t>th</w:t>
      </w:r>
      <w:r w:rsidRPr="00AA5B2D">
        <w:rPr>
          <w:rFonts w:ascii="Arial" w:hAnsi="Arial" w:cs="Arial"/>
          <w:sz w:val="20"/>
          <w:szCs w:val="20"/>
        </w:rPr>
        <w:t xml:space="preserve"> June 2021.</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Van </w:t>
      </w:r>
      <w:proofErr w:type="spellStart"/>
      <w:r w:rsidRPr="00AA5B2D">
        <w:rPr>
          <w:rFonts w:ascii="Arial" w:hAnsi="Arial" w:cs="Arial"/>
          <w:sz w:val="20"/>
          <w:szCs w:val="20"/>
        </w:rPr>
        <w:t>Woerden</w:t>
      </w:r>
      <w:proofErr w:type="spellEnd"/>
      <w:r w:rsidRPr="00AA5B2D">
        <w:rPr>
          <w:rFonts w:ascii="Arial" w:hAnsi="Arial" w:cs="Arial"/>
          <w:sz w:val="20"/>
          <w:szCs w:val="20"/>
        </w:rPr>
        <w:t xml:space="preserve">, I.S., ‘The Iconography of the Sacrifice of Abraham’, </w:t>
      </w:r>
      <w:proofErr w:type="spellStart"/>
      <w:r w:rsidRPr="00AA5B2D">
        <w:rPr>
          <w:rFonts w:ascii="Arial" w:hAnsi="Arial" w:cs="Arial"/>
          <w:i/>
          <w:sz w:val="20"/>
          <w:szCs w:val="20"/>
        </w:rPr>
        <w:t>Vigiliae</w:t>
      </w:r>
      <w:proofErr w:type="spellEnd"/>
      <w:r w:rsidRPr="00AA5B2D">
        <w:rPr>
          <w:rFonts w:ascii="Arial" w:hAnsi="Arial" w:cs="Arial"/>
          <w:i/>
          <w:sz w:val="20"/>
          <w:szCs w:val="20"/>
        </w:rPr>
        <w:t xml:space="preserve"> </w:t>
      </w:r>
      <w:proofErr w:type="spellStart"/>
      <w:r w:rsidRPr="00AA5B2D">
        <w:rPr>
          <w:rFonts w:ascii="Arial" w:hAnsi="Arial" w:cs="Arial"/>
          <w:i/>
          <w:sz w:val="20"/>
          <w:szCs w:val="20"/>
        </w:rPr>
        <w:t>Christianae</w:t>
      </w:r>
      <w:proofErr w:type="spellEnd"/>
      <w:r w:rsidRPr="00AA5B2D">
        <w:rPr>
          <w:rFonts w:ascii="Arial" w:hAnsi="Arial" w:cs="Arial"/>
          <w:sz w:val="20"/>
          <w:szCs w:val="20"/>
        </w:rPr>
        <w:t xml:space="preserve"> 15, 4 (1961), pp. 214-255.</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Warner, M., ‘Back to the Future: Reading the Abraham Narratives as Prequel’, </w:t>
      </w:r>
      <w:r w:rsidRPr="00AA5B2D">
        <w:rPr>
          <w:rFonts w:ascii="Arial" w:hAnsi="Arial" w:cs="Arial"/>
          <w:i/>
          <w:sz w:val="20"/>
          <w:szCs w:val="20"/>
        </w:rPr>
        <w:t xml:space="preserve">Biblical Interpretation </w:t>
      </w:r>
      <w:r w:rsidRPr="00AA5B2D">
        <w:rPr>
          <w:rFonts w:ascii="Arial" w:hAnsi="Arial" w:cs="Arial"/>
          <w:sz w:val="20"/>
          <w:szCs w:val="20"/>
        </w:rPr>
        <w:t>25 (2017), pp. 479-496.</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Welton</w:t>
      </w:r>
      <w:proofErr w:type="spellEnd"/>
      <w:r w:rsidRPr="00AA5B2D">
        <w:rPr>
          <w:rFonts w:ascii="Arial" w:hAnsi="Arial" w:cs="Arial"/>
          <w:sz w:val="20"/>
          <w:szCs w:val="20"/>
        </w:rPr>
        <w:t xml:space="preserve">, R., ‘Isaac Rebounds: A Video Game Retelling of the </w:t>
      </w:r>
      <w:proofErr w:type="spellStart"/>
      <w:r w:rsidRPr="00AA5B2D">
        <w:rPr>
          <w:rFonts w:ascii="Arial" w:hAnsi="Arial" w:cs="Arial"/>
          <w:sz w:val="20"/>
          <w:szCs w:val="20"/>
        </w:rPr>
        <w:t>Aqedah</w:t>
      </w:r>
      <w:proofErr w:type="spellEnd"/>
      <w:r w:rsidRPr="00AA5B2D">
        <w:rPr>
          <w:rFonts w:ascii="Arial" w:hAnsi="Arial" w:cs="Arial"/>
          <w:sz w:val="20"/>
          <w:szCs w:val="20"/>
        </w:rPr>
        <w:t xml:space="preserve">’, </w:t>
      </w:r>
      <w:r w:rsidRPr="00AA5B2D">
        <w:rPr>
          <w:rFonts w:ascii="Arial" w:hAnsi="Arial" w:cs="Arial"/>
          <w:i/>
          <w:sz w:val="20"/>
          <w:szCs w:val="20"/>
        </w:rPr>
        <w:t xml:space="preserve">Journal for the Study of the Old Testament, </w:t>
      </w:r>
      <w:r w:rsidRPr="00AA5B2D">
        <w:rPr>
          <w:rFonts w:ascii="Arial" w:hAnsi="Arial" w:cs="Arial"/>
          <w:sz w:val="20"/>
          <w:szCs w:val="20"/>
        </w:rPr>
        <w:t>44, 3 (2020), pp. 293-314.</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Wenham, G., </w:t>
      </w:r>
      <w:r w:rsidRPr="00AA5B2D">
        <w:rPr>
          <w:rFonts w:ascii="Arial" w:hAnsi="Arial" w:cs="Arial"/>
          <w:i/>
          <w:sz w:val="20"/>
          <w:szCs w:val="20"/>
        </w:rPr>
        <w:t xml:space="preserve">Genesis 16-50 </w:t>
      </w:r>
      <w:r w:rsidRPr="00AA5B2D">
        <w:rPr>
          <w:rFonts w:ascii="Arial" w:hAnsi="Arial" w:cs="Arial"/>
          <w:sz w:val="20"/>
          <w:szCs w:val="20"/>
        </w:rPr>
        <w:t>(Waco, TX: Word Books, 1994).</w:t>
      </w:r>
    </w:p>
    <w:p w:rsidR="00AA5B2D" w:rsidRPr="00AA5B2D" w:rsidRDefault="00AA5B2D" w:rsidP="00AA5B2D">
      <w:pPr>
        <w:spacing w:after="0"/>
        <w:ind w:left="720" w:hanging="720"/>
        <w:rPr>
          <w:rFonts w:ascii="Arial" w:hAnsi="Arial" w:cs="Arial"/>
          <w:sz w:val="20"/>
          <w:szCs w:val="20"/>
        </w:rPr>
      </w:pPr>
      <w:proofErr w:type="spellStart"/>
      <w:r w:rsidRPr="00AA5B2D">
        <w:rPr>
          <w:rFonts w:ascii="Arial" w:hAnsi="Arial" w:cs="Arial"/>
          <w:sz w:val="20"/>
          <w:szCs w:val="20"/>
        </w:rPr>
        <w:t>Westermann</w:t>
      </w:r>
      <w:proofErr w:type="spellEnd"/>
      <w:r w:rsidRPr="00AA5B2D">
        <w:rPr>
          <w:rFonts w:ascii="Arial" w:hAnsi="Arial" w:cs="Arial"/>
          <w:sz w:val="20"/>
          <w:szCs w:val="20"/>
        </w:rPr>
        <w:t xml:space="preserve">, C., </w:t>
      </w:r>
      <w:r w:rsidRPr="00AA5B2D">
        <w:rPr>
          <w:rFonts w:ascii="Arial" w:hAnsi="Arial" w:cs="Arial"/>
          <w:i/>
          <w:sz w:val="20"/>
          <w:szCs w:val="20"/>
        </w:rPr>
        <w:t>Genesis 12-36: A Commentary</w:t>
      </w:r>
      <w:r w:rsidRPr="00AA5B2D">
        <w:rPr>
          <w:rFonts w:ascii="Arial" w:hAnsi="Arial" w:cs="Arial"/>
          <w:sz w:val="20"/>
          <w:szCs w:val="20"/>
        </w:rPr>
        <w:t xml:space="preserve"> (London, SPCK, 1985).</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Wheaton, B., ‘Focus and Structure in the Abraham Narratives’, </w:t>
      </w:r>
      <w:r w:rsidRPr="00AA5B2D">
        <w:rPr>
          <w:rFonts w:ascii="Arial" w:hAnsi="Arial" w:cs="Arial"/>
          <w:i/>
          <w:sz w:val="20"/>
          <w:szCs w:val="20"/>
        </w:rPr>
        <w:t>Trinity Journal</w:t>
      </w:r>
      <w:r w:rsidRPr="00AA5B2D">
        <w:rPr>
          <w:rFonts w:ascii="Arial" w:hAnsi="Arial" w:cs="Arial"/>
          <w:sz w:val="20"/>
          <w:szCs w:val="20"/>
        </w:rPr>
        <w:t xml:space="preserve"> 27, 1 (2006), pp. 143-162.</w:t>
      </w:r>
    </w:p>
    <w:p w:rsidR="00AA5B2D" w:rsidRPr="00AA5B2D" w:rsidRDefault="00AA5B2D" w:rsidP="00AA5B2D">
      <w:pPr>
        <w:spacing w:after="0"/>
        <w:ind w:left="720" w:hanging="720"/>
        <w:rPr>
          <w:rFonts w:ascii="Arial" w:hAnsi="Arial" w:cs="Arial"/>
          <w:sz w:val="20"/>
          <w:szCs w:val="20"/>
        </w:rPr>
      </w:pPr>
      <w:r w:rsidRPr="00AA5B2D">
        <w:rPr>
          <w:rFonts w:ascii="Arial" w:hAnsi="Arial" w:cs="Arial"/>
          <w:sz w:val="20"/>
          <w:szCs w:val="20"/>
        </w:rPr>
        <w:t xml:space="preserve">Williamson, P.R., ‘Abraham’, in </w:t>
      </w:r>
      <w:r w:rsidRPr="00AA5B2D">
        <w:rPr>
          <w:rFonts w:ascii="Arial" w:hAnsi="Arial" w:cs="Arial"/>
          <w:i/>
          <w:sz w:val="20"/>
          <w:szCs w:val="20"/>
        </w:rPr>
        <w:t>Dictionary of the Old Testament: Pentateuch</w:t>
      </w:r>
      <w:r w:rsidRPr="00AA5B2D">
        <w:rPr>
          <w:rFonts w:ascii="Arial" w:hAnsi="Arial" w:cs="Arial"/>
          <w:sz w:val="20"/>
          <w:szCs w:val="20"/>
        </w:rPr>
        <w:t>, eds. T.D. Alexander &amp; D.W. Baker</w:t>
      </w:r>
      <w:r w:rsidRPr="00AA5B2D">
        <w:rPr>
          <w:rFonts w:ascii="Arial" w:hAnsi="Arial" w:cs="Arial"/>
          <w:i/>
          <w:sz w:val="20"/>
          <w:szCs w:val="20"/>
        </w:rPr>
        <w:t xml:space="preserve"> </w:t>
      </w:r>
      <w:r w:rsidRPr="00AA5B2D">
        <w:rPr>
          <w:rFonts w:ascii="Arial" w:hAnsi="Arial" w:cs="Arial"/>
          <w:sz w:val="20"/>
          <w:szCs w:val="20"/>
        </w:rPr>
        <w:t xml:space="preserve">(Downers Grove: </w:t>
      </w:r>
      <w:proofErr w:type="spellStart"/>
      <w:r w:rsidRPr="00AA5B2D">
        <w:rPr>
          <w:rFonts w:ascii="Arial" w:hAnsi="Arial" w:cs="Arial"/>
          <w:sz w:val="20"/>
          <w:szCs w:val="20"/>
        </w:rPr>
        <w:t>InterVarsity</w:t>
      </w:r>
      <w:proofErr w:type="spellEnd"/>
      <w:r w:rsidRPr="00AA5B2D">
        <w:rPr>
          <w:rFonts w:ascii="Arial" w:hAnsi="Arial" w:cs="Arial"/>
          <w:sz w:val="20"/>
          <w:szCs w:val="20"/>
        </w:rPr>
        <w:t>, 2003), pp. 8-17.</w:t>
      </w:r>
    </w:p>
    <w:p w:rsidR="00AA5B2D" w:rsidRPr="00AA5B2D" w:rsidRDefault="00AA5B2D" w:rsidP="00AA5B2D">
      <w:pPr>
        <w:spacing w:after="0"/>
        <w:ind w:left="720" w:hanging="720"/>
        <w:rPr>
          <w:rFonts w:ascii="Arial" w:hAnsi="Arial" w:cs="Arial"/>
          <w:sz w:val="20"/>
          <w:szCs w:val="20"/>
        </w:rPr>
      </w:pPr>
    </w:p>
    <w:p w:rsidR="00AA5B2D" w:rsidRDefault="00AA5B2D" w:rsidP="00AA5B2D">
      <w:pPr>
        <w:spacing w:after="0"/>
      </w:pPr>
    </w:p>
    <w:p w:rsidR="00AA5B2D" w:rsidRDefault="00AA5B2D" w:rsidP="003426DD">
      <w:pPr>
        <w:spacing w:after="0"/>
        <w:jc w:val="both"/>
        <w:rPr>
          <w:rStyle w:val="Hyperlink"/>
          <w:rFonts w:ascii="Arial" w:hAnsi="Arial" w:cs="Arial"/>
          <w:color w:val="auto"/>
          <w:sz w:val="24"/>
          <w:szCs w:val="24"/>
          <w:u w:val="none"/>
        </w:rPr>
      </w:pPr>
    </w:p>
    <w:p w:rsidR="002A0040" w:rsidRPr="002A0040" w:rsidRDefault="002A0040" w:rsidP="003426DD">
      <w:pPr>
        <w:spacing w:after="0"/>
        <w:jc w:val="both"/>
        <w:rPr>
          <w:rStyle w:val="Hyperlink"/>
          <w:rFonts w:ascii="Arial" w:hAnsi="Arial" w:cs="Arial"/>
          <w:b/>
          <w:color w:val="auto"/>
          <w:sz w:val="24"/>
          <w:szCs w:val="24"/>
        </w:rPr>
      </w:pPr>
    </w:p>
    <w:p w:rsidR="00F3569C" w:rsidRDefault="00F3569C" w:rsidP="003426DD">
      <w:pPr>
        <w:spacing w:after="0"/>
        <w:jc w:val="both"/>
        <w:rPr>
          <w:rStyle w:val="Hyperlink"/>
          <w:rFonts w:ascii="Arial" w:hAnsi="Arial" w:cs="Arial"/>
          <w:color w:val="auto"/>
          <w:sz w:val="24"/>
          <w:szCs w:val="24"/>
          <w:u w:val="none"/>
        </w:rPr>
      </w:pPr>
    </w:p>
    <w:p w:rsidR="00BC0DAD" w:rsidRPr="003426DD" w:rsidRDefault="003426DD" w:rsidP="003426DD">
      <w:pPr>
        <w:spacing w:after="0"/>
        <w:jc w:val="both"/>
        <w:rPr>
          <w:rStyle w:val="Hyperlink"/>
          <w:rFonts w:ascii="Arial" w:hAnsi="Arial" w:cs="Arial"/>
          <w:color w:val="auto"/>
          <w:sz w:val="24"/>
          <w:szCs w:val="24"/>
          <w:u w:val="none"/>
        </w:rPr>
      </w:pPr>
      <w:r w:rsidRPr="003426DD">
        <w:rPr>
          <w:rStyle w:val="Hyperlink"/>
          <w:rFonts w:ascii="Arial" w:hAnsi="Arial" w:cs="Arial"/>
          <w:color w:val="auto"/>
          <w:sz w:val="24"/>
          <w:szCs w:val="24"/>
          <w:u w:val="none"/>
        </w:rPr>
        <w:t xml:space="preserve"> </w:t>
      </w:r>
    </w:p>
    <w:p w:rsidR="00E61342" w:rsidRDefault="00E61342" w:rsidP="00403B69">
      <w:pPr>
        <w:spacing w:after="0"/>
        <w:jc w:val="both"/>
        <w:rPr>
          <w:rStyle w:val="Hyperlink"/>
          <w:rFonts w:ascii="Arial" w:hAnsi="Arial" w:cs="Arial"/>
          <w:color w:val="auto"/>
          <w:sz w:val="20"/>
          <w:szCs w:val="20"/>
          <w:u w:val="none"/>
        </w:rPr>
      </w:pP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r>
    </w:p>
    <w:p w:rsidR="00E61342" w:rsidRPr="00E61342" w:rsidRDefault="00E61342" w:rsidP="00403B69">
      <w:pPr>
        <w:spacing w:after="0"/>
        <w:jc w:val="both"/>
        <w:rPr>
          <w:rStyle w:val="Hyperlink"/>
          <w:rFonts w:ascii="Arial" w:hAnsi="Arial" w:cs="Arial"/>
          <w:color w:val="auto"/>
          <w:sz w:val="20"/>
          <w:szCs w:val="20"/>
          <w:u w:val="none"/>
        </w:rPr>
      </w:pPr>
    </w:p>
    <w:p w:rsidR="00B70D0F" w:rsidRDefault="00B70D0F" w:rsidP="00403B69">
      <w:pPr>
        <w:spacing w:after="0"/>
        <w:jc w:val="both"/>
        <w:rPr>
          <w:rStyle w:val="Hyperlink"/>
          <w:rFonts w:ascii="Arial" w:hAnsi="Arial" w:cs="Arial"/>
          <w:b/>
          <w:color w:val="auto"/>
          <w:sz w:val="24"/>
          <w:szCs w:val="24"/>
        </w:rPr>
      </w:pPr>
    </w:p>
    <w:p w:rsidR="001A7F18" w:rsidRDefault="001A7F18" w:rsidP="00403B69">
      <w:pPr>
        <w:spacing w:after="0"/>
        <w:jc w:val="both"/>
        <w:rPr>
          <w:rStyle w:val="Hyperlink"/>
          <w:rFonts w:ascii="Arial" w:hAnsi="Arial" w:cs="Arial"/>
          <w:b/>
          <w:color w:val="auto"/>
          <w:sz w:val="24"/>
          <w:szCs w:val="24"/>
        </w:rPr>
      </w:pPr>
    </w:p>
    <w:p w:rsidR="001A7F18" w:rsidRPr="001A7F18" w:rsidRDefault="001A7F18" w:rsidP="00403B69">
      <w:pPr>
        <w:spacing w:after="0"/>
        <w:jc w:val="both"/>
        <w:rPr>
          <w:rStyle w:val="Hyperlink"/>
          <w:rFonts w:ascii="Arial" w:hAnsi="Arial" w:cs="Arial"/>
          <w:color w:val="auto"/>
          <w:sz w:val="24"/>
          <w:szCs w:val="24"/>
          <w:u w:val="none"/>
        </w:rPr>
      </w:pPr>
    </w:p>
    <w:p w:rsidR="001A7F18" w:rsidRDefault="001A7F18" w:rsidP="00403B69">
      <w:pPr>
        <w:spacing w:after="0"/>
        <w:jc w:val="both"/>
        <w:rPr>
          <w:rStyle w:val="Hyperlink"/>
          <w:rFonts w:ascii="Arial" w:hAnsi="Arial" w:cs="Arial"/>
          <w:color w:val="auto"/>
          <w:sz w:val="24"/>
          <w:szCs w:val="24"/>
          <w:u w:val="none"/>
        </w:rPr>
      </w:pPr>
    </w:p>
    <w:p w:rsidR="001A7F18" w:rsidRPr="00A63169" w:rsidRDefault="001A7F18" w:rsidP="00403B69">
      <w:pPr>
        <w:spacing w:after="0"/>
        <w:jc w:val="both"/>
        <w:rPr>
          <w:rStyle w:val="Hyperlink"/>
          <w:rFonts w:ascii="Arial" w:hAnsi="Arial" w:cs="Arial"/>
          <w:color w:val="auto"/>
          <w:sz w:val="24"/>
          <w:szCs w:val="24"/>
          <w:u w:val="none"/>
        </w:rPr>
      </w:pPr>
    </w:p>
    <w:p w:rsidR="001028A4" w:rsidRDefault="001028A4" w:rsidP="00403B69">
      <w:pPr>
        <w:spacing w:after="0"/>
        <w:jc w:val="both"/>
        <w:rPr>
          <w:rStyle w:val="Hyperlink"/>
          <w:rFonts w:ascii="Arial" w:hAnsi="Arial" w:cs="Arial"/>
          <w:b/>
          <w:color w:val="auto"/>
          <w:sz w:val="20"/>
          <w:szCs w:val="20"/>
        </w:rPr>
      </w:pPr>
    </w:p>
    <w:p w:rsidR="001028A4" w:rsidRPr="001028A4" w:rsidRDefault="001028A4" w:rsidP="001028A4">
      <w:pPr>
        <w:spacing w:after="0"/>
        <w:rPr>
          <w:rFonts w:ascii="Arial" w:hAnsi="Arial" w:cs="Arial"/>
          <w:sz w:val="20"/>
          <w:szCs w:val="20"/>
        </w:rPr>
      </w:pPr>
      <w:r>
        <w:rPr>
          <w:rStyle w:val="Hyperlink"/>
          <w:rFonts w:ascii="Arial" w:hAnsi="Arial" w:cs="Arial"/>
          <w:color w:val="auto"/>
          <w:sz w:val="20"/>
          <w:szCs w:val="20"/>
          <w:u w:val="none"/>
        </w:rPr>
        <w:tab/>
      </w:r>
    </w:p>
    <w:p w:rsidR="002B371A" w:rsidRDefault="002B371A" w:rsidP="002B371A">
      <w:pPr>
        <w:spacing w:after="0"/>
        <w:rPr>
          <w:rFonts w:ascii="Arial" w:hAnsi="Arial" w:cs="Arial"/>
          <w:b/>
          <w:sz w:val="24"/>
          <w:szCs w:val="24"/>
          <w:u w:val="single"/>
        </w:rPr>
      </w:pPr>
    </w:p>
    <w:p w:rsidR="00403B69" w:rsidRDefault="00403B69" w:rsidP="00403B69">
      <w:pPr>
        <w:spacing w:after="0"/>
        <w:jc w:val="both"/>
        <w:rPr>
          <w:rStyle w:val="Hyperlink"/>
          <w:rFonts w:ascii="Arial" w:hAnsi="Arial" w:cs="Arial"/>
          <w:color w:val="auto"/>
          <w:sz w:val="24"/>
          <w:szCs w:val="24"/>
          <w:u w:val="none"/>
        </w:rPr>
      </w:pPr>
    </w:p>
    <w:p w:rsidR="00403B69" w:rsidRDefault="00403B69" w:rsidP="002B371A">
      <w:pPr>
        <w:spacing w:after="0"/>
        <w:rPr>
          <w:rFonts w:ascii="Arial" w:hAnsi="Arial" w:cs="Arial"/>
          <w:b/>
          <w:sz w:val="24"/>
          <w:szCs w:val="24"/>
          <w:u w:val="single"/>
        </w:rPr>
      </w:pPr>
    </w:p>
    <w:p w:rsidR="004C73B0" w:rsidRDefault="004C73B0" w:rsidP="002B371A">
      <w:pPr>
        <w:spacing w:after="0"/>
        <w:rPr>
          <w:rFonts w:ascii="Arial" w:hAnsi="Arial" w:cs="Arial"/>
          <w:b/>
          <w:sz w:val="24"/>
          <w:szCs w:val="24"/>
        </w:rPr>
      </w:pPr>
      <w:r>
        <w:rPr>
          <w:rFonts w:ascii="Arial" w:hAnsi="Arial" w:cs="Arial"/>
          <w:b/>
          <w:sz w:val="24"/>
          <w:szCs w:val="24"/>
        </w:rPr>
        <w:tab/>
      </w:r>
    </w:p>
    <w:p w:rsidR="001C7973" w:rsidRDefault="001C7973" w:rsidP="002B371A">
      <w:pPr>
        <w:spacing w:after="0"/>
        <w:rPr>
          <w:rFonts w:ascii="Arial" w:hAnsi="Arial" w:cs="Arial"/>
          <w:b/>
          <w:sz w:val="24"/>
          <w:szCs w:val="24"/>
        </w:rPr>
      </w:pPr>
    </w:p>
    <w:p w:rsidR="001C7973" w:rsidRPr="004C73B0" w:rsidRDefault="001C7973" w:rsidP="002B371A">
      <w:pPr>
        <w:spacing w:after="0"/>
        <w:rPr>
          <w:rFonts w:ascii="Arial" w:hAnsi="Arial" w:cs="Arial"/>
          <w:b/>
          <w:sz w:val="24"/>
          <w:szCs w:val="24"/>
        </w:rPr>
      </w:pPr>
    </w:p>
    <w:p w:rsidR="004C73B0" w:rsidRDefault="004C73B0" w:rsidP="002B371A">
      <w:pPr>
        <w:spacing w:after="0"/>
        <w:rPr>
          <w:rFonts w:ascii="Arial" w:hAnsi="Arial" w:cs="Arial"/>
          <w:b/>
          <w:sz w:val="24"/>
          <w:szCs w:val="24"/>
          <w:u w:val="single"/>
        </w:rPr>
      </w:pPr>
    </w:p>
    <w:p w:rsidR="004C73B0" w:rsidRDefault="004C73B0" w:rsidP="002B371A">
      <w:pPr>
        <w:spacing w:after="0"/>
        <w:rPr>
          <w:rFonts w:ascii="Arial" w:hAnsi="Arial" w:cs="Arial"/>
          <w:b/>
          <w:sz w:val="24"/>
          <w:szCs w:val="24"/>
          <w:u w:val="single"/>
        </w:rPr>
      </w:pPr>
    </w:p>
    <w:p w:rsidR="00971FF4" w:rsidRDefault="00971FF4" w:rsidP="002B371A">
      <w:pPr>
        <w:spacing w:after="0"/>
        <w:rPr>
          <w:rFonts w:ascii="Arial" w:hAnsi="Arial" w:cs="Arial"/>
          <w:b/>
          <w:sz w:val="24"/>
          <w:szCs w:val="24"/>
          <w:u w:val="single"/>
        </w:rPr>
      </w:pPr>
    </w:p>
    <w:p w:rsidR="00971FF4" w:rsidRPr="00971FF4" w:rsidRDefault="00971FF4" w:rsidP="002B371A">
      <w:pPr>
        <w:spacing w:after="0"/>
        <w:rPr>
          <w:rFonts w:ascii="Arial" w:hAnsi="Arial" w:cs="Arial"/>
          <w:sz w:val="24"/>
          <w:szCs w:val="24"/>
        </w:rPr>
      </w:pPr>
    </w:p>
    <w:p w:rsidR="002B371A" w:rsidRDefault="002B371A" w:rsidP="002B371A">
      <w:pPr>
        <w:spacing w:after="0"/>
        <w:rPr>
          <w:rFonts w:ascii="Arial" w:hAnsi="Arial" w:cs="Arial"/>
          <w:sz w:val="24"/>
          <w:szCs w:val="24"/>
        </w:rPr>
      </w:pPr>
    </w:p>
    <w:p w:rsidR="002B371A" w:rsidRDefault="002B371A" w:rsidP="002B371A">
      <w:pPr>
        <w:spacing w:after="0"/>
        <w:jc w:val="center"/>
        <w:rPr>
          <w:rFonts w:ascii="Arial" w:hAnsi="Arial" w:cs="Arial"/>
          <w:sz w:val="24"/>
          <w:szCs w:val="24"/>
        </w:rPr>
      </w:pPr>
    </w:p>
    <w:p w:rsidR="00A564B1" w:rsidRPr="00A564B1" w:rsidRDefault="00A564B1" w:rsidP="00AA5B2D">
      <w:pPr>
        <w:spacing w:after="0"/>
        <w:jc w:val="center"/>
        <w:rPr>
          <w:rFonts w:ascii="Arial" w:hAnsi="Arial" w:cs="Arial"/>
          <w:sz w:val="24"/>
          <w:szCs w:val="24"/>
        </w:rPr>
      </w:pPr>
    </w:p>
    <w:sectPr w:rsidR="00A564B1" w:rsidRPr="00A564B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DB4" w:rsidRDefault="00803DB4" w:rsidP="00DC0025">
      <w:pPr>
        <w:spacing w:after="0" w:line="240" w:lineRule="auto"/>
      </w:pPr>
      <w:r>
        <w:separator/>
      </w:r>
    </w:p>
  </w:endnote>
  <w:endnote w:type="continuationSeparator" w:id="0">
    <w:p w:rsidR="00803DB4" w:rsidRDefault="00803DB4" w:rsidP="00DC0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DB4" w:rsidRDefault="00803DB4" w:rsidP="00DC0025">
      <w:pPr>
        <w:spacing w:after="0" w:line="240" w:lineRule="auto"/>
      </w:pPr>
      <w:r>
        <w:separator/>
      </w:r>
    </w:p>
  </w:footnote>
  <w:footnote w:type="continuationSeparator" w:id="0">
    <w:p w:rsidR="00803DB4" w:rsidRDefault="00803DB4" w:rsidP="00DC0025">
      <w:pPr>
        <w:spacing w:after="0" w:line="240" w:lineRule="auto"/>
      </w:pPr>
      <w:r>
        <w:continuationSeparator/>
      </w:r>
    </w:p>
  </w:footnote>
  <w:footnote w:id="1">
    <w:p w:rsidR="00356F13" w:rsidRDefault="00356F13" w:rsidP="00356F13">
      <w:pPr>
        <w:pStyle w:val="FootnoteText"/>
      </w:pPr>
      <w:r>
        <w:rPr>
          <w:rStyle w:val="FootnoteReference"/>
        </w:rPr>
        <w:footnoteRef/>
      </w:r>
      <w:r>
        <w:t xml:space="preserve"> Sean A. Adams &amp; </w:t>
      </w:r>
      <w:proofErr w:type="spellStart"/>
      <w:r>
        <w:t>Zanne</w:t>
      </w:r>
      <w:proofErr w:type="spellEnd"/>
      <w:r>
        <w:t xml:space="preserve"> </w:t>
      </w:r>
      <w:proofErr w:type="spellStart"/>
      <w:r>
        <w:t>Domoney-Lyttle</w:t>
      </w:r>
      <w:proofErr w:type="spellEnd"/>
      <w:r>
        <w:t xml:space="preserve">, ‘Introduction’, in </w:t>
      </w:r>
      <w:r>
        <w:rPr>
          <w:i/>
        </w:rPr>
        <w:t>Abraham in Jewish and Early Christian Literature</w:t>
      </w:r>
      <w:r>
        <w:t xml:space="preserve">, ed. S.A. Adams &amp; Z. </w:t>
      </w:r>
      <w:proofErr w:type="spellStart"/>
      <w:r>
        <w:t>Domoney-Lyttle</w:t>
      </w:r>
      <w:proofErr w:type="spellEnd"/>
      <w:r>
        <w:t xml:space="preserve"> (London T.&amp;T. Clark, 2019), p. 1. </w:t>
      </w:r>
    </w:p>
  </w:footnote>
  <w:footnote w:id="2">
    <w:p w:rsidR="00356F13" w:rsidRDefault="00356F13" w:rsidP="00356F13">
      <w:pPr>
        <w:pStyle w:val="FootnoteText"/>
      </w:pPr>
      <w:r>
        <w:rPr>
          <w:rStyle w:val="FootnoteReference"/>
        </w:rPr>
        <w:footnoteRef/>
      </w:r>
      <w:r>
        <w:t xml:space="preserve"> Adams &amp; </w:t>
      </w:r>
      <w:proofErr w:type="spellStart"/>
      <w:r>
        <w:t>Domoney-Lyttle</w:t>
      </w:r>
      <w:proofErr w:type="spellEnd"/>
      <w:r>
        <w:t>, Introduction, p. 2.</w:t>
      </w:r>
    </w:p>
  </w:footnote>
  <w:footnote w:id="3">
    <w:p w:rsidR="007C3C57" w:rsidRDefault="007C3C57">
      <w:pPr>
        <w:pStyle w:val="FootnoteText"/>
      </w:pPr>
      <w:r>
        <w:rPr>
          <w:rStyle w:val="FootnoteReference"/>
        </w:rPr>
        <w:footnoteRef/>
      </w:r>
      <w:r>
        <w:t xml:space="preserve"> </w:t>
      </w:r>
      <w:r w:rsidRPr="00DC0025">
        <w:rPr>
          <w:rFonts w:cstheme="minorHAnsi"/>
        </w:rPr>
        <w:t>Dan</w:t>
      </w:r>
      <w:r>
        <w:rPr>
          <w:rFonts w:cstheme="minorHAnsi"/>
        </w:rPr>
        <w:t xml:space="preserve"> </w:t>
      </w:r>
      <w:proofErr w:type="spellStart"/>
      <w:r>
        <w:rPr>
          <w:rFonts w:cstheme="minorHAnsi"/>
        </w:rPr>
        <w:t>Rickett</w:t>
      </w:r>
      <w:proofErr w:type="spellEnd"/>
      <w:r>
        <w:rPr>
          <w:rFonts w:cstheme="minorHAnsi"/>
        </w:rPr>
        <w:t xml:space="preserve">, ‘Rethinking the Place and Purpose of Genesis 13’, </w:t>
      </w:r>
      <w:r>
        <w:rPr>
          <w:rFonts w:cstheme="minorHAnsi"/>
          <w:i/>
        </w:rPr>
        <w:t>Anglican Theological Review</w:t>
      </w:r>
      <w:r>
        <w:rPr>
          <w:rFonts w:cstheme="minorHAnsi"/>
        </w:rPr>
        <w:t xml:space="preserve"> 36, 1 (2011), p. 32. </w:t>
      </w:r>
    </w:p>
  </w:footnote>
  <w:footnote w:id="4">
    <w:p w:rsidR="007C3C57" w:rsidRPr="00A564B1" w:rsidRDefault="007C3C57">
      <w:pPr>
        <w:pStyle w:val="FootnoteText"/>
      </w:pPr>
      <w:r>
        <w:rPr>
          <w:rStyle w:val="FootnoteReference"/>
        </w:rPr>
        <w:footnoteRef/>
      </w:r>
      <w:r>
        <w:t xml:space="preserve"> Stephen D. Campbell, ‘The Surety of God’s Promises: A Theological Interpretation of Genesis 22’, </w:t>
      </w:r>
      <w:r>
        <w:rPr>
          <w:i/>
        </w:rPr>
        <w:t>Biblical Theology Bulletin</w:t>
      </w:r>
      <w:r>
        <w:t>, 49, 3 (2019), pp. 123.</w:t>
      </w:r>
    </w:p>
  </w:footnote>
  <w:footnote w:id="5">
    <w:p w:rsidR="007C3C57" w:rsidRDefault="007C3C57">
      <w:pPr>
        <w:pStyle w:val="FootnoteText"/>
      </w:pPr>
      <w:r>
        <w:rPr>
          <w:rStyle w:val="FootnoteReference"/>
        </w:rPr>
        <w:footnoteRef/>
      </w:r>
      <w:r>
        <w:t xml:space="preserve"> Joseph Blenkinsopp, ‘Abraham as paradigm in the Priestly History in Genesis’</w:t>
      </w:r>
      <w:proofErr w:type="gramStart"/>
      <w:r>
        <w:t xml:space="preserve">,  </w:t>
      </w:r>
      <w:r>
        <w:rPr>
          <w:i/>
        </w:rPr>
        <w:t>Journal</w:t>
      </w:r>
      <w:proofErr w:type="gramEnd"/>
      <w:r>
        <w:rPr>
          <w:i/>
        </w:rPr>
        <w:t xml:space="preserve"> of Biblical Literature</w:t>
      </w:r>
      <w:r>
        <w:t xml:space="preserve"> 128, 2 (2009), p. 225; </w:t>
      </w:r>
      <w:r>
        <w:rPr>
          <w:i/>
        </w:rPr>
        <w:t>Abraham, The Story of a Life</w:t>
      </w:r>
      <w:r>
        <w:t xml:space="preserve"> (Grand Rapids: Eerdmans, 2015), p. 21. </w:t>
      </w:r>
    </w:p>
  </w:footnote>
  <w:footnote w:id="6">
    <w:p w:rsidR="007C3C57" w:rsidRPr="00FE4E44" w:rsidRDefault="007C3C57">
      <w:pPr>
        <w:pStyle w:val="FootnoteText"/>
      </w:pPr>
      <w:r>
        <w:rPr>
          <w:rStyle w:val="FootnoteReference"/>
        </w:rPr>
        <w:footnoteRef/>
      </w:r>
      <w:r>
        <w:t xml:space="preserve"> Kris </w:t>
      </w:r>
      <w:proofErr w:type="spellStart"/>
      <w:r>
        <w:t>Sonek</w:t>
      </w:r>
      <w:proofErr w:type="spellEnd"/>
      <w:r>
        <w:t xml:space="preserve">, ‘The Abraham Narratives in Genesis 12-25’ </w:t>
      </w:r>
      <w:r>
        <w:rPr>
          <w:i/>
        </w:rPr>
        <w:t>Currents in Biblical Research</w:t>
      </w:r>
      <w:r>
        <w:t xml:space="preserve"> 17, 2 (2019), p. 172; Jon D. </w:t>
      </w:r>
      <w:proofErr w:type="spellStart"/>
      <w:r>
        <w:t>Levenson</w:t>
      </w:r>
      <w:proofErr w:type="spellEnd"/>
      <w:r>
        <w:t xml:space="preserve">, </w:t>
      </w:r>
      <w:r>
        <w:rPr>
          <w:i/>
        </w:rPr>
        <w:t>Inheriting Abraham: The Legacy of the Patriarch in Judaism, Christianity, and Islam</w:t>
      </w:r>
      <w:r>
        <w:t xml:space="preserve"> (Library of Jewish Ideas: Princeton University Press, 2012), pp. 213-214).</w:t>
      </w:r>
    </w:p>
  </w:footnote>
  <w:footnote w:id="7">
    <w:p w:rsidR="007C3C57" w:rsidRPr="00C604B4" w:rsidRDefault="007C3C57">
      <w:pPr>
        <w:pStyle w:val="FootnoteText"/>
      </w:pPr>
      <w:r>
        <w:rPr>
          <w:rStyle w:val="FootnoteReference"/>
        </w:rPr>
        <w:footnoteRef/>
      </w:r>
      <w:r>
        <w:t xml:space="preserve"> </w:t>
      </w:r>
      <w:proofErr w:type="spellStart"/>
      <w:r>
        <w:t>Sarita</w:t>
      </w:r>
      <w:proofErr w:type="spellEnd"/>
      <w:r>
        <w:t xml:space="preserve"> D. Gallagher, ‘Blessing on the Move: The Outpouring of God’s Blessing </w:t>
      </w:r>
      <w:proofErr w:type="gramStart"/>
      <w:r>
        <w:t>Through</w:t>
      </w:r>
      <w:proofErr w:type="gramEnd"/>
      <w:r>
        <w:t xml:space="preserve"> the Migrant Abraham’, </w:t>
      </w:r>
      <w:r>
        <w:rPr>
          <w:i/>
        </w:rPr>
        <w:t>Mission Studies</w:t>
      </w:r>
      <w:r>
        <w:t xml:space="preserve"> 30 (2013), pp. 149-150.</w:t>
      </w:r>
    </w:p>
  </w:footnote>
  <w:footnote w:id="8">
    <w:p w:rsidR="007C3C57" w:rsidRPr="008E437C" w:rsidRDefault="007C3C57">
      <w:pPr>
        <w:pStyle w:val="FootnoteText"/>
      </w:pPr>
      <w:r>
        <w:rPr>
          <w:rStyle w:val="FootnoteReference"/>
        </w:rPr>
        <w:footnoteRef/>
      </w:r>
      <w:r>
        <w:t xml:space="preserve"> Paul, R. Williamson, ‘Abraham’, in </w:t>
      </w:r>
      <w:r>
        <w:rPr>
          <w:i/>
        </w:rPr>
        <w:t>Dictionary of the Old Testament Pentateuch</w:t>
      </w:r>
      <w:r>
        <w:t xml:space="preserve">, eds. T.D. Alexander &amp; D.W. Baker (Downers Grove: </w:t>
      </w:r>
      <w:proofErr w:type="spellStart"/>
      <w:r>
        <w:t>InterVars</w:t>
      </w:r>
      <w:r w:rsidR="00BC1A80">
        <w:t>ity</w:t>
      </w:r>
      <w:proofErr w:type="spellEnd"/>
      <w:r w:rsidR="00BC1A80">
        <w:t xml:space="preserve">, 2003), p. 15; Kris </w:t>
      </w:r>
      <w:proofErr w:type="spellStart"/>
      <w:r w:rsidR="00BC1A80">
        <w:t>Sonek</w:t>
      </w:r>
      <w:proofErr w:type="spellEnd"/>
      <w:r w:rsidR="00BC1A80">
        <w:t xml:space="preserve">, </w:t>
      </w:r>
      <w:r>
        <w:t>The Abraha</w:t>
      </w:r>
      <w:r w:rsidR="00BC1A80">
        <w:t>m Narratives,</w:t>
      </w:r>
      <w:r>
        <w:t xml:space="preserve"> pp. 158-159.</w:t>
      </w:r>
    </w:p>
  </w:footnote>
  <w:footnote w:id="9">
    <w:p w:rsidR="007C3C57" w:rsidRPr="00616E6A" w:rsidRDefault="007C3C57">
      <w:pPr>
        <w:pStyle w:val="FootnoteText"/>
      </w:pPr>
      <w:r>
        <w:rPr>
          <w:rStyle w:val="FootnoteReference"/>
        </w:rPr>
        <w:footnoteRef/>
      </w:r>
      <w:r>
        <w:t xml:space="preserve"> </w:t>
      </w:r>
      <w:proofErr w:type="spellStart"/>
      <w:r>
        <w:t>Orrey</w:t>
      </w:r>
      <w:proofErr w:type="spellEnd"/>
      <w:r>
        <w:t xml:space="preserve"> McFarland, ‘Whose Abraham, Which Promise? </w:t>
      </w:r>
      <w:proofErr w:type="gramStart"/>
      <w:r>
        <w:t xml:space="preserve">Genesis 15.6 in Philo’s </w:t>
      </w:r>
      <w:r>
        <w:rPr>
          <w:i/>
        </w:rPr>
        <w:t xml:space="preserve">De </w:t>
      </w:r>
      <w:proofErr w:type="spellStart"/>
      <w:r>
        <w:rPr>
          <w:i/>
        </w:rPr>
        <w:t>Virtutibus</w:t>
      </w:r>
      <w:proofErr w:type="spellEnd"/>
      <w:r>
        <w:t xml:space="preserve"> and Romans 4’, </w:t>
      </w:r>
      <w:r>
        <w:rPr>
          <w:i/>
        </w:rPr>
        <w:t>Journal for the Study of the New Testament</w:t>
      </w:r>
      <w:r>
        <w:t>, 35, 2 (2012), pp.</w:t>
      </w:r>
      <w:proofErr w:type="gramEnd"/>
      <w:r>
        <w:t xml:space="preserve">  107-117.</w:t>
      </w:r>
    </w:p>
  </w:footnote>
  <w:footnote w:id="10">
    <w:p w:rsidR="007C3C57" w:rsidRDefault="007C3C57">
      <w:pPr>
        <w:pStyle w:val="FootnoteText"/>
      </w:pPr>
      <w:r>
        <w:rPr>
          <w:rStyle w:val="FootnoteReference"/>
        </w:rPr>
        <w:footnoteRef/>
      </w:r>
      <w:r>
        <w:t xml:space="preserve"> McFarland, Whose Abraham, p. 109.</w:t>
      </w:r>
    </w:p>
  </w:footnote>
  <w:footnote w:id="11">
    <w:p w:rsidR="007C3C57" w:rsidRPr="002F101E" w:rsidRDefault="007C3C57">
      <w:pPr>
        <w:pStyle w:val="FootnoteText"/>
      </w:pPr>
      <w:r>
        <w:rPr>
          <w:rStyle w:val="FootnoteReference"/>
        </w:rPr>
        <w:footnoteRef/>
      </w:r>
      <w:r>
        <w:t xml:space="preserve"> Philo, </w:t>
      </w:r>
      <w:proofErr w:type="spellStart"/>
      <w:r>
        <w:rPr>
          <w:i/>
        </w:rPr>
        <w:t>Virt</w:t>
      </w:r>
      <w:proofErr w:type="spellEnd"/>
      <w:r>
        <w:rPr>
          <w:i/>
        </w:rPr>
        <w:t xml:space="preserve">. </w:t>
      </w:r>
      <w:r>
        <w:t xml:space="preserve"> 212-219; McFarland, Whose Abraham, pp. 109-110. </w:t>
      </w:r>
    </w:p>
  </w:footnote>
  <w:footnote w:id="12">
    <w:p w:rsidR="007C3C57" w:rsidRDefault="007C3C57">
      <w:pPr>
        <w:pStyle w:val="FootnoteText"/>
      </w:pPr>
      <w:r>
        <w:rPr>
          <w:rStyle w:val="FootnoteReference"/>
        </w:rPr>
        <w:footnoteRef/>
      </w:r>
      <w:r>
        <w:t xml:space="preserve"> McFarland, Whose Abraham, p. 115</w:t>
      </w:r>
    </w:p>
  </w:footnote>
  <w:footnote w:id="13">
    <w:p w:rsidR="007C3C57" w:rsidRDefault="007C3C57">
      <w:pPr>
        <w:pStyle w:val="FootnoteText"/>
      </w:pPr>
      <w:r>
        <w:rPr>
          <w:rStyle w:val="FootnoteReference"/>
        </w:rPr>
        <w:footnoteRef/>
      </w:r>
      <w:r>
        <w:t xml:space="preserve"> McFarland, Whose Abraham, p. 115.</w:t>
      </w:r>
    </w:p>
  </w:footnote>
  <w:footnote w:id="14">
    <w:p w:rsidR="007C3C57" w:rsidRPr="0067433B" w:rsidRDefault="007C3C57">
      <w:pPr>
        <w:pStyle w:val="FootnoteText"/>
      </w:pPr>
      <w:r>
        <w:rPr>
          <w:rStyle w:val="FootnoteReference"/>
        </w:rPr>
        <w:footnoteRef/>
      </w:r>
      <w:r>
        <w:t xml:space="preserve"> Susan E. </w:t>
      </w:r>
      <w:proofErr w:type="spellStart"/>
      <w:r>
        <w:t>Haddox</w:t>
      </w:r>
      <w:proofErr w:type="spellEnd"/>
      <w:r>
        <w:t xml:space="preserve">, ‘Masculinity Studies of the Hebrew Bible: The First Two Decades’, </w:t>
      </w:r>
      <w:r>
        <w:rPr>
          <w:i/>
        </w:rPr>
        <w:t>Currents in Biblical Research</w:t>
      </w:r>
      <w:r>
        <w:t xml:space="preserve"> 14, 2 (2016), p. 182; </w:t>
      </w:r>
      <w:proofErr w:type="spellStart"/>
      <w:r>
        <w:t>Zanne</w:t>
      </w:r>
      <w:proofErr w:type="spellEnd"/>
      <w:r>
        <w:t xml:space="preserve"> </w:t>
      </w:r>
      <w:proofErr w:type="spellStart"/>
      <w:r>
        <w:t>Domoney-Lyttle</w:t>
      </w:r>
      <w:proofErr w:type="spellEnd"/>
      <w:r>
        <w:t xml:space="preserve">, ‘Abraham in the Hebrew Bible’, in </w:t>
      </w:r>
      <w:r>
        <w:rPr>
          <w:i/>
        </w:rPr>
        <w:t>Abraham in Jewish and Early Christian Literature</w:t>
      </w:r>
      <w:r>
        <w:t xml:space="preserve">, eds. S.A. Adams &amp; Z. </w:t>
      </w:r>
      <w:proofErr w:type="spellStart"/>
      <w:r>
        <w:t>Domoney-Lyttle</w:t>
      </w:r>
      <w:proofErr w:type="spellEnd"/>
      <w:r>
        <w:t xml:space="preserve"> (London: T.&amp;T. Clark, 2019), p. 9.</w:t>
      </w:r>
    </w:p>
  </w:footnote>
  <w:footnote w:id="15">
    <w:p w:rsidR="007C3C57" w:rsidRPr="00E10268" w:rsidRDefault="007C3C57">
      <w:pPr>
        <w:pStyle w:val="FootnoteText"/>
      </w:pPr>
      <w:r>
        <w:rPr>
          <w:rStyle w:val="FootnoteReference"/>
        </w:rPr>
        <w:footnoteRef/>
      </w:r>
      <w:r>
        <w:t xml:space="preserve"> Robert S. </w:t>
      </w:r>
      <w:proofErr w:type="spellStart"/>
      <w:r>
        <w:t>Hendel</w:t>
      </w:r>
      <w:proofErr w:type="spellEnd"/>
      <w:r>
        <w:t xml:space="preserve">, </w:t>
      </w:r>
      <w:r>
        <w:rPr>
          <w:i/>
        </w:rPr>
        <w:t>Remembering Abraham: Culture, Memory, and History in the Hebrew Bible</w:t>
      </w:r>
      <w:r>
        <w:t xml:space="preserve"> (Oxford: Oxford University Press, 2005), p. 33; </w:t>
      </w:r>
      <w:proofErr w:type="spellStart"/>
      <w:r>
        <w:t>Domoney-Lyttle</w:t>
      </w:r>
      <w:proofErr w:type="spellEnd"/>
      <w:r>
        <w:t>, Abraham, p. 11.</w:t>
      </w:r>
    </w:p>
  </w:footnote>
  <w:footnote w:id="16">
    <w:p w:rsidR="007C3C57" w:rsidRDefault="007C3C57">
      <w:pPr>
        <w:pStyle w:val="FootnoteText"/>
      </w:pPr>
      <w:r>
        <w:rPr>
          <w:rStyle w:val="FootnoteReference"/>
        </w:rPr>
        <w:footnoteRef/>
      </w:r>
      <w:r>
        <w:t xml:space="preserve"> </w:t>
      </w:r>
      <w:proofErr w:type="spellStart"/>
      <w:r>
        <w:t>Domoney-Lyttle</w:t>
      </w:r>
      <w:proofErr w:type="spellEnd"/>
      <w:r>
        <w:t>, Abraham, p. 14.</w:t>
      </w:r>
    </w:p>
  </w:footnote>
  <w:footnote w:id="17">
    <w:p w:rsidR="007C3C57" w:rsidRDefault="007C3C57">
      <w:pPr>
        <w:pStyle w:val="FootnoteText"/>
      </w:pPr>
      <w:r>
        <w:rPr>
          <w:rStyle w:val="FootnoteReference"/>
        </w:rPr>
        <w:footnoteRef/>
      </w:r>
      <w:r>
        <w:t xml:space="preserve"> </w:t>
      </w:r>
      <w:proofErr w:type="spellStart"/>
      <w:r>
        <w:t>Haddox</w:t>
      </w:r>
      <w:proofErr w:type="spellEnd"/>
      <w:r>
        <w:t>, Masculinity Studies, pp. 197-198.</w:t>
      </w:r>
    </w:p>
  </w:footnote>
  <w:footnote w:id="18">
    <w:p w:rsidR="007C3C57" w:rsidRDefault="007C3C57">
      <w:pPr>
        <w:pStyle w:val="FootnoteText"/>
      </w:pPr>
      <w:r>
        <w:rPr>
          <w:rStyle w:val="FootnoteReference"/>
        </w:rPr>
        <w:footnoteRef/>
      </w:r>
      <w:r>
        <w:t xml:space="preserve"> </w:t>
      </w:r>
      <w:proofErr w:type="spellStart"/>
      <w:r>
        <w:t>Domoney-Lyttle</w:t>
      </w:r>
      <w:proofErr w:type="spellEnd"/>
      <w:r>
        <w:t>, Abraham, p. 21.</w:t>
      </w:r>
    </w:p>
  </w:footnote>
  <w:footnote w:id="19">
    <w:p w:rsidR="007C3C57" w:rsidRPr="008C03D9" w:rsidRDefault="007C3C57" w:rsidP="00DC7795">
      <w:pPr>
        <w:pStyle w:val="FootnoteText"/>
      </w:pPr>
      <w:r>
        <w:rPr>
          <w:rStyle w:val="FootnoteReference"/>
        </w:rPr>
        <w:footnoteRef/>
      </w:r>
      <w:r>
        <w:t xml:space="preserve"> Deborah Sawyer, ‘The Case of Abraham’s Masculinity, in </w:t>
      </w:r>
      <w:r>
        <w:rPr>
          <w:i/>
        </w:rPr>
        <w:t>Gender, Religion and Diversity: Cross-Cultural Perspectives</w:t>
      </w:r>
      <w:r>
        <w:t>, eds. U. King &amp; T. Beattie (New York: Continuum, 2004), pp. 162-171.</w:t>
      </w:r>
    </w:p>
  </w:footnote>
  <w:footnote w:id="20">
    <w:p w:rsidR="007C3C57" w:rsidRDefault="007C3C57">
      <w:pPr>
        <w:pStyle w:val="FootnoteText"/>
      </w:pPr>
      <w:r>
        <w:rPr>
          <w:rStyle w:val="FootnoteReference"/>
        </w:rPr>
        <w:footnoteRef/>
      </w:r>
      <w:r>
        <w:t xml:space="preserve"> </w:t>
      </w:r>
      <w:proofErr w:type="spellStart"/>
      <w:r>
        <w:t>Haddox</w:t>
      </w:r>
      <w:proofErr w:type="spellEnd"/>
      <w:r>
        <w:t>, Masculinity Studies, p. 198.</w:t>
      </w:r>
    </w:p>
  </w:footnote>
  <w:footnote w:id="21">
    <w:p w:rsidR="007C3C57" w:rsidRPr="00A47DEA" w:rsidRDefault="007C3C57">
      <w:pPr>
        <w:pStyle w:val="FootnoteText"/>
      </w:pPr>
      <w:r>
        <w:rPr>
          <w:rStyle w:val="FootnoteReference"/>
        </w:rPr>
        <w:footnoteRef/>
      </w:r>
      <w:r>
        <w:t xml:space="preserve"> Martin </w:t>
      </w:r>
      <w:proofErr w:type="spellStart"/>
      <w:r>
        <w:t>O’Kane</w:t>
      </w:r>
      <w:proofErr w:type="spellEnd"/>
      <w:r>
        <w:t>, ‘</w:t>
      </w:r>
      <w:proofErr w:type="gramStart"/>
      <w:r>
        <w:t>The</w:t>
      </w:r>
      <w:proofErr w:type="gramEnd"/>
      <w:r>
        <w:t xml:space="preserve"> Bosom of Abraham (Luke 16:22): Father Abraham in the Visual Imagination’, </w:t>
      </w:r>
      <w:r>
        <w:rPr>
          <w:i/>
        </w:rPr>
        <w:t xml:space="preserve">Biblical Interpretation </w:t>
      </w:r>
      <w:r>
        <w:t>15 (2007), p. 485.</w:t>
      </w:r>
    </w:p>
  </w:footnote>
  <w:footnote w:id="22">
    <w:p w:rsidR="007C3C57" w:rsidRPr="009C1929" w:rsidRDefault="007C3C57">
      <w:pPr>
        <w:pStyle w:val="FootnoteText"/>
      </w:pPr>
      <w:r>
        <w:rPr>
          <w:rStyle w:val="FootnoteReference"/>
        </w:rPr>
        <w:footnoteRef/>
      </w:r>
      <w:r>
        <w:t xml:space="preserve"> </w:t>
      </w:r>
      <w:proofErr w:type="spellStart"/>
      <w:r>
        <w:t>J</w:t>
      </w:r>
      <w:r>
        <w:rPr>
          <w:rFonts w:cstheme="minorHAnsi"/>
        </w:rPr>
        <w:t>é</w:t>
      </w:r>
      <w:r>
        <w:t>r</w:t>
      </w:r>
      <w:r>
        <w:rPr>
          <w:rFonts w:cstheme="minorHAnsi"/>
        </w:rPr>
        <w:t>ô</w:t>
      </w:r>
      <w:r>
        <w:t>me</w:t>
      </w:r>
      <w:proofErr w:type="spellEnd"/>
      <w:r>
        <w:t xml:space="preserve"> </w:t>
      </w:r>
      <w:proofErr w:type="spellStart"/>
      <w:r>
        <w:t>Baschet</w:t>
      </w:r>
      <w:proofErr w:type="spellEnd"/>
      <w:r>
        <w:t xml:space="preserve">, </w:t>
      </w:r>
      <w:r>
        <w:rPr>
          <w:i/>
        </w:rPr>
        <w:t xml:space="preserve">Le </w:t>
      </w:r>
      <w:proofErr w:type="spellStart"/>
      <w:r>
        <w:rPr>
          <w:i/>
        </w:rPr>
        <w:t>Sein</w:t>
      </w:r>
      <w:proofErr w:type="spellEnd"/>
      <w:r>
        <w:rPr>
          <w:i/>
        </w:rPr>
        <w:t xml:space="preserve"> du </w:t>
      </w:r>
      <w:proofErr w:type="spellStart"/>
      <w:r>
        <w:rPr>
          <w:i/>
        </w:rPr>
        <w:t>P</w:t>
      </w:r>
      <w:r>
        <w:rPr>
          <w:rFonts w:cstheme="minorHAnsi"/>
          <w:i/>
        </w:rPr>
        <w:t>è</w:t>
      </w:r>
      <w:r>
        <w:rPr>
          <w:i/>
        </w:rPr>
        <w:t>re</w:t>
      </w:r>
      <w:proofErr w:type="spellEnd"/>
      <w:r>
        <w:rPr>
          <w:i/>
        </w:rPr>
        <w:t xml:space="preserve">: Abraham </w:t>
      </w:r>
      <w:proofErr w:type="gramStart"/>
      <w:r>
        <w:rPr>
          <w:i/>
        </w:rPr>
        <w:t>et</w:t>
      </w:r>
      <w:proofErr w:type="gramEnd"/>
      <w:r>
        <w:rPr>
          <w:i/>
        </w:rPr>
        <w:t xml:space="preserve"> la </w:t>
      </w:r>
      <w:proofErr w:type="spellStart"/>
      <w:r>
        <w:rPr>
          <w:i/>
        </w:rPr>
        <w:t>Paternit</w:t>
      </w:r>
      <w:r>
        <w:rPr>
          <w:rFonts w:cstheme="minorHAnsi"/>
          <w:i/>
        </w:rPr>
        <w:t>é</w:t>
      </w:r>
      <w:proofErr w:type="spellEnd"/>
      <w:r>
        <w:rPr>
          <w:i/>
        </w:rPr>
        <w:t xml:space="preserve"> </w:t>
      </w:r>
      <w:proofErr w:type="spellStart"/>
      <w:r>
        <w:rPr>
          <w:i/>
        </w:rPr>
        <w:t>dans</w:t>
      </w:r>
      <w:proofErr w:type="spellEnd"/>
      <w:r>
        <w:rPr>
          <w:i/>
        </w:rPr>
        <w:t xml:space="preserve"> </w:t>
      </w:r>
      <w:proofErr w:type="spellStart"/>
      <w:r>
        <w:rPr>
          <w:i/>
        </w:rPr>
        <w:t>l’Occident</w:t>
      </w:r>
      <w:proofErr w:type="spellEnd"/>
      <w:r>
        <w:rPr>
          <w:i/>
        </w:rPr>
        <w:t xml:space="preserve"> </w:t>
      </w:r>
      <w:proofErr w:type="spellStart"/>
      <w:r>
        <w:rPr>
          <w:i/>
        </w:rPr>
        <w:t>M</w:t>
      </w:r>
      <w:r>
        <w:rPr>
          <w:rFonts w:cstheme="minorHAnsi"/>
          <w:i/>
        </w:rPr>
        <w:t>é</w:t>
      </w:r>
      <w:r>
        <w:rPr>
          <w:i/>
        </w:rPr>
        <w:t>di</w:t>
      </w:r>
      <w:r>
        <w:rPr>
          <w:rFonts w:cstheme="minorHAnsi"/>
          <w:i/>
        </w:rPr>
        <w:t>é</w:t>
      </w:r>
      <w:r>
        <w:rPr>
          <w:i/>
        </w:rPr>
        <w:t>val</w:t>
      </w:r>
      <w:proofErr w:type="spellEnd"/>
      <w:r>
        <w:rPr>
          <w:i/>
        </w:rPr>
        <w:t xml:space="preserve"> </w:t>
      </w:r>
      <w:r>
        <w:t xml:space="preserve">(Paris: </w:t>
      </w:r>
      <w:proofErr w:type="spellStart"/>
      <w:r>
        <w:t>Gallimard</w:t>
      </w:r>
      <w:proofErr w:type="spellEnd"/>
      <w:r>
        <w:t xml:space="preserve">, 2000), p. 22; </w:t>
      </w:r>
      <w:proofErr w:type="spellStart"/>
      <w:r>
        <w:t>O’Kane</w:t>
      </w:r>
      <w:proofErr w:type="spellEnd"/>
      <w:r>
        <w:t>, The Bosom, p. 518.</w:t>
      </w:r>
    </w:p>
  </w:footnote>
  <w:footnote w:id="23">
    <w:p w:rsidR="007C3C57" w:rsidRDefault="007C3C57">
      <w:pPr>
        <w:pStyle w:val="FootnoteText"/>
      </w:pPr>
      <w:r>
        <w:rPr>
          <w:rStyle w:val="FootnoteReference"/>
        </w:rPr>
        <w:footnoteRef/>
      </w:r>
      <w:r>
        <w:t xml:space="preserve"> Ignacio </w:t>
      </w:r>
      <w:proofErr w:type="spellStart"/>
      <w:r>
        <w:t>Ramonet</w:t>
      </w:r>
      <w:proofErr w:type="spellEnd"/>
      <w:r>
        <w:t xml:space="preserve">, ‘Palestine’, </w:t>
      </w:r>
      <w:hyperlink r:id="rId1" w:history="1">
        <w:r w:rsidRPr="004F6E29">
          <w:rPr>
            <w:rStyle w:val="Hyperlink"/>
          </w:rPr>
          <w:t>www.monde-diplomatique.Fr/1991/10/RAMONET/43887</w:t>
        </w:r>
      </w:hyperlink>
      <w:r>
        <w:t xml:space="preserve"> </w:t>
      </w:r>
    </w:p>
  </w:footnote>
  <w:footnote w:id="24">
    <w:p w:rsidR="007C3C57" w:rsidRPr="00D01D23" w:rsidRDefault="007C3C57">
      <w:pPr>
        <w:pStyle w:val="FootnoteText"/>
      </w:pPr>
      <w:r>
        <w:rPr>
          <w:rStyle w:val="FootnoteReference"/>
        </w:rPr>
        <w:footnoteRef/>
      </w:r>
      <w:r>
        <w:t xml:space="preserve"> </w:t>
      </w:r>
      <w:proofErr w:type="spellStart"/>
      <w:r>
        <w:t>O’Kane</w:t>
      </w:r>
      <w:proofErr w:type="spellEnd"/>
      <w:r>
        <w:t>, The Bosom, p. 517</w:t>
      </w:r>
      <w:proofErr w:type="gramStart"/>
      <w:r>
        <w:t xml:space="preserve">;  </w:t>
      </w:r>
      <w:proofErr w:type="spellStart"/>
      <w:r>
        <w:t>J</w:t>
      </w:r>
      <w:r>
        <w:rPr>
          <w:rFonts w:cstheme="minorHAnsi"/>
        </w:rPr>
        <w:t>é</w:t>
      </w:r>
      <w:r>
        <w:t>r</w:t>
      </w:r>
      <w:r>
        <w:rPr>
          <w:rFonts w:cstheme="minorHAnsi"/>
        </w:rPr>
        <w:t>ô</w:t>
      </w:r>
      <w:r>
        <w:t>me</w:t>
      </w:r>
      <w:proofErr w:type="spellEnd"/>
      <w:proofErr w:type="gramEnd"/>
      <w:r>
        <w:t xml:space="preserve"> </w:t>
      </w:r>
      <w:proofErr w:type="spellStart"/>
      <w:r>
        <w:t>Baschet</w:t>
      </w:r>
      <w:proofErr w:type="spellEnd"/>
      <w:r>
        <w:t xml:space="preserve">, ‘Medieval Abraham; Between Fleshly Patriarch and Divine Father’, </w:t>
      </w:r>
      <w:r>
        <w:rPr>
          <w:i/>
        </w:rPr>
        <w:t>MLN</w:t>
      </w:r>
      <w:r>
        <w:t xml:space="preserve"> 108, 4 (1993), p. 748.</w:t>
      </w:r>
    </w:p>
  </w:footnote>
  <w:footnote w:id="25">
    <w:p w:rsidR="007C3C57" w:rsidRDefault="007C3C57">
      <w:pPr>
        <w:pStyle w:val="FootnoteText"/>
      </w:pPr>
      <w:r>
        <w:rPr>
          <w:rStyle w:val="FootnoteReference"/>
        </w:rPr>
        <w:footnoteRef/>
      </w:r>
      <w:r>
        <w:t xml:space="preserve"> </w:t>
      </w:r>
      <w:proofErr w:type="spellStart"/>
      <w:r>
        <w:t>O’Kane</w:t>
      </w:r>
      <w:proofErr w:type="spellEnd"/>
      <w:r>
        <w:t xml:space="preserve">, </w:t>
      </w:r>
      <w:proofErr w:type="gramStart"/>
      <w:r>
        <w:t>The</w:t>
      </w:r>
      <w:proofErr w:type="gramEnd"/>
      <w:r>
        <w:t xml:space="preserve"> Bosom, pp. 517-518.</w:t>
      </w:r>
    </w:p>
  </w:footnote>
  <w:footnote w:id="26">
    <w:p w:rsidR="007C3C57" w:rsidRPr="00A63169" w:rsidRDefault="007C3C57">
      <w:pPr>
        <w:pStyle w:val="FootnoteText"/>
      </w:pPr>
      <w:r>
        <w:rPr>
          <w:rStyle w:val="FootnoteReference"/>
        </w:rPr>
        <w:footnoteRef/>
      </w:r>
      <w:r>
        <w:t xml:space="preserve"> </w:t>
      </w:r>
      <w:proofErr w:type="spellStart"/>
      <w:r>
        <w:t>Deni</w:t>
      </w:r>
      <w:proofErr w:type="spellEnd"/>
      <w:r>
        <w:t xml:space="preserve"> </w:t>
      </w:r>
      <w:proofErr w:type="spellStart"/>
      <w:r>
        <w:t>Kasa</w:t>
      </w:r>
      <w:proofErr w:type="spellEnd"/>
      <w:r>
        <w:t xml:space="preserve">, ‘Abraham Among the Tyrants: The Politics of Genesis 22 in George Buchanan’s </w:t>
      </w:r>
      <w:proofErr w:type="spellStart"/>
      <w:r>
        <w:t>Iepthes</w:t>
      </w:r>
      <w:proofErr w:type="spellEnd"/>
      <w:r>
        <w:t xml:space="preserve">, </w:t>
      </w:r>
      <w:proofErr w:type="spellStart"/>
      <w:r>
        <w:t>sive</w:t>
      </w:r>
      <w:proofErr w:type="spellEnd"/>
      <w:r>
        <w:t xml:space="preserve"> </w:t>
      </w:r>
      <w:proofErr w:type="spellStart"/>
      <w:r>
        <w:t>votum</w:t>
      </w:r>
      <w:proofErr w:type="spellEnd"/>
      <w:r>
        <w:t xml:space="preserve"> and Abraham </w:t>
      </w:r>
      <w:proofErr w:type="spellStart"/>
      <w:r>
        <w:t>Cowley’s</w:t>
      </w:r>
      <w:proofErr w:type="spellEnd"/>
      <w:r>
        <w:t xml:space="preserve"> </w:t>
      </w:r>
      <w:proofErr w:type="spellStart"/>
      <w:r>
        <w:t>Davideis</w:t>
      </w:r>
      <w:proofErr w:type="spellEnd"/>
      <w:r>
        <w:t xml:space="preserve">’, </w:t>
      </w:r>
      <w:r>
        <w:rPr>
          <w:i/>
        </w:rPr>
        <w:t>Modern Philology</w:t>
      </w:r>
      <w:r>
        <w:t xml:space="preserve"> 117, 1 (2019), pp. 49-51; Erich </w:t>
      </w:r>
      <w:proofErr w:type="spellStart"/>
      <w:r>
        <w:t>Auerbach</w:t>
      </w:r>
      <w:proofErr w:type="spellEnd"/>
      <w:r>
        <w:t xml:space="preserve">, </w:t>
      </w:r>
      <w:proofErr w:type="spellStart"/>
      <w:r>
        <w:rPr>
          <w:i/>
        </w:rPr>
        <w:t>Mimesi</w:t>
      </w:r>
      <w:proofErr w:type="spellEnd"/>
      <w:r>
        <w:rPr>
          <w:i/>
        </w:rPr>
        <w:t xml:space="preserve">: The Representation of </w:t>
      </w:r>
      <w:proofErr w:type="spellStart"/>
      <w:r>
        <w:rPr>
          <w:i/>
        </w:rPr>
        <w:t>Rality</w:t>
      </w:r>
      <w:proofErr w:type="spellEnd"/>
      <w:r>
        <w:rPr>
          <w:i/>
        </w:rPr>
        <w:t xml:space="preserve"> in Western Literature</w:t>
      </w:r>
      <w:r>
        <w:t>, trans. W.R. Trask (Princeton: Princeton University Press, 2003), pp. 3-17.</w:t>
      </w:r>
    </w:p>
  </w:footnote>
  <w:footnote w:id="27">
    <w:p w:rsidR="007C3C57" w:rsidRDefault="007C3C57">
      <w:pPr>
        <w:pStyle w:val="FootnoteText"/>
      </w:pPr>
      <w:r>
        <w:rPr>
          <w:rStyle w:val="FootnoteReference"/>
        </w:rPr>
        <w:footnoteRef/>
      </w:r>
      <w:r>
        <w:t xml:space="preserve"> Walter Moberly, ‘A Specimen Text: Genesis 22’, in </w:t>
      </w:r>
      <w:r>
        <w:rPr>
          <w:i/>
        </w:rPr>
        <w:t>Genesis and Exodus</w:t>
      </w:r>
      <w:r>
        <w:t xml:space="preserve">, eds. J.W. </w:t>
      </w:r>
      <w:proofErr w:type="spellStart"/>
      <w:r>
        <w:t>Rogerson</w:t>
      </w:r>
      <w:proofErr w:type="spellEnd"/>
      <w:r>
        <w:t xml:space="preserve">, R.W.L. </w:t>
      </w:r>
      <w:proofErr w:type="spellStart"/>
      <w:r>
        <w:t>Moberley</w:t>
      </w:r>
      <w:proofErr w:type="spellEnd"/>
      <w:r>
        <w:t xml:space="preserve"> &amp; W. </w:t>
      </w:r>
      <w:proofErr w:type="spellStart"/>
      <w:r>
        <w:t>Johnstone</w:t>
      </w:r>
      <w:proofErr w:type="spellEnd"/>
      <w:r>
        <w:t xml:space="preserve"> (Sheffield: Sheffield Academic Press, 2001), pp. 126-127.</w:t>
      </w:r>
    </w:p>
  </w:footnote>
  <w:footnote w:id="28">
    <w:p w:rsidR="007C3C57" w:rsidRDefault="007C3C57">
      <w:pPr>
        <w:pStyle w:val="FootnoteText"/>
      </w:pPr>
      <w:r>
        <w:rPr>
          <w:rStyle w:val="FootnoteReference"/>
        </w:rPr>
        <w:footnoteRef/>
      </w:r>
      <w:r>
        <w:t xml:space="preserve"> Walter Moberly, </w:t>
      </w:r>
      <w:proofErr w:type="gramStart"/>
      <w:r>
        <w:t>A</w:t>
      </w:r>
      <w:proofErr w:type="gramEnd"/>
      <w:r>
        <w:t xml:space="preserve"> Specimen Text, p. 127.</w:t>
      </w:r>
    </w:p>
  </w:footnote>
  <w:footnote w:id="29">
    <w:p w:rsidR="007C3C57" w:rsidRDefault="007C3C57">
      <w:pPr>
        <w:pStyle w:val="FootnoteText"/>
      </w:pPr>
      <w:r>
        <w:rPr>
          <w:rStyle w:val="FootnoteReference"/>
        </w:rPr>
        <w:footnoteRef/>
      </w:r>
      <w:r>
        <w:t xml:space="preserve"> Walter Moberly, </w:t>
      </w:r>
      <w:proofErr w:type="gramStart"/>
      <w:r>
        <w:t>A</w:t>
      </w:r>
      <w:proofErr w:type="gramEnd"/>
      <w:r>
        <w:t xml:space="preserve"> Specimen Text, p. 128.</w:t>
      </w:r>
    </w:p>
  </w:footnote>
  <w:footnote w:id="30">
    <w:p w:rsidR="007C3C57" w:rsidRPr="00403B69" w:rsidRDefault="007C3C57">
      <w:pPr>
        <w:pStyle w:val="FootnoteText"/>
      </w:pPr>
      <w:r>
        <w:rPr>
          <w:rStyle w:val="FootnoteReference"/>
        </w:rPr>
        <w:footnoteRef/>
      </w:r>
      <w:r>
        <w:t xml:space="preserve"> Scott Crider, ‘The Test: Narrating God, Abraham and Isaac in Genesis 22:1-19’, </w:t>
      </w:r>
      <w:r>
        <w:rPr>
          <w:i/>
        </w:rPr>
        <w:t xml:space="preserve">Literary </w:t>
      </w:r>
      <w:r w:rsidRPr="00B70D0F">
        <w:t>Imagination</w:t>
      </w:r>
      <w:r>
        <w:t xml:space="preserve">, 19, 2 (2017), p. 150; </w:t>
      </w:r>
      <w:r w:rsidRPr="00B70D0F">
        <w:t>Walter</w:t>
      </w:r>
      <w:r>
        <w:t xml:space="preserve"> Moberly, A Specimen Text, p.126.</w:t>
      </w:r>
    </w:p>
  </w:footnote>
  <w:footnote w:id="31">
    <w:p w:rsidR="007C3C57" w:rsidRDefault="007C3C57">
      <w:pPr>
        <w:pStyle w:val="FootnoteText"/>
      </w:pPr>
      <w:r>
        <w:rPr>
          <w:rStyle w:val="FootnoteReference"/>
        </w:rPr>
        <w:footnoteRef/>
      </w:r>
      <w:r>
        <w:t xml:space="preserve"> Moberly, </w:t>
      </w:r>
      <w:proofErr w:type="gramStart"/>
      <w:r>
        <w:t>A</w:t>
      </w:r>
      <w:proofErr w:type="gramEnd"/>
      <w:r>
        <w:t xml:space="preserve"> Specimen Text, pp. 124-125.</w:t>
      </w:r>
    </w:p>
  </w:footnote>
  <w:footnote w:id="32">
    <w:p w:rsidR="007C3C57" w:rsidRPr="004E0CD4" w:rsidRDefault="007C3C57">
      <w:pPr>
        <w:pStyle w:val="FootnoteText"/>
      </w:pPr>
      <w:r>
        <w:rPr>
          <w:rStyle w:val="FootnoteReference"/>
        </w:rPr>
        <w:footnoteRef/>
      </w:r>
      <w:r>
        <w:t xml:space="preserve"> Scott </w:t>
      </w:r>
      <w:proofErr w:type="spellStart"/>
      <w:r>
        <w:t>Morschauser</w:t>
      </w:r>
      <w:proofErr w:type="spellEnd"/>
      <w:r>
        <w:t>, ‘Seeing You Have Not Withheld Your Son: An Overlooked Motif in Genesis 22</w:t>
      </w:r>
      <w:proofErr w:type="gramStart"/>
      <w:r>
        <w:t>?,</w:t>
      </w:r>
      <w:proofErr w:type="gramEnd"/>
      <w:r>
        <w:t xml:space="preserve"> </w:t>
      </w:r>
      <w:r>
        <w:rPr>
          <w:i/>
        </w:rPr>
        <w:t>Journal for the Study of the Old Testament</w:t>
      </w:r>
      <w:r w:rsidR="000A6D1B">
        <w:t>, 45, 3 (2021</w:t>
      </w:r>
      <w:r>
        <w:t>), pp. 388, 406).</w:t>
      </w:r>
    </w:p>
  </w:footnote>
  <w:footnote w:id="33">
    <w:p w:rsidR="007C3C57" w:rsidRPr="00263D56" w:rsidRDefault="007C3C57">
      <w:pPr>
        <w:pStyle w:val="FootnoteText"/>
      </w:pPr>
      <w:r>
        <w:rPr>
          <w:rStyle w:val="FootnoteReference"/>
        </w:rPr>
        <w:footnoteRef/>
      </w:r>
      <w:r>
        <w:t xml:space="preserve"> </w:t>
      </w:r>
      <w:proofErr w:type="spellStart"/>
      <w:r>
        <w:t>Kasa</w:t>
      </w:r>
      <w:proofErr w:type="spellEnd"/>
      <w:r>
        <w:t xml:space="preserve">, Abraham </w:t>
      </w:r>
      <w:proofErr w:type="gramStart"/>
      <w:r>
        <w:t>Among</w:t>
      </w:r>
      <w:proofErr w:type="gramEnd"/>
      <w:r>
        <w:t xml:space="preserve"> the Tyrants, p. 48; Erich </w:t>
      </w:r>
      <w:proofErr w:type="spellStart"/>
      <w:r>
        <w:t>Auerbach</w:t>
      </w:r>
      <w:proofErr w:type="spellEnd"/>
      <w:r>
        <w:t xml:space="preserve">, </w:t>
      </w:r>
      <w:r>
        <w:rPr>
          <w:i/>
        </w:rPr>
        <w:t>Mimesis: The Representation of Reality in Western Literature</w:t>
      </w:r>
      <w:r>
        <w:t>, trans. W.R. Trask (Princeton: Princeton University Press, 2003), p. 14.</w:t>
      </w:r>
    </w:p>
  </w:footnote>
  <w:footnote w:id="34">
    <w:p w:rsidR="007C3C57" w:rsidRPr="001A7F18" w:rsidRDefault="007C3C57">
      <w:pPr>
        <w:pStyle w:val="FootnoteText"/>
      </w:pPr>
      <w:r>
        <w:rPr>
          <w:rStyle w:val="FootnoteReference"/>
        </w:rPr>
        <w:footnoteRef/>
      </w:r>
      <w:r>
        <w:t xml:space="preserve"> Edwin Curley, ‘The God of Abraham, Isaac, and Jacob’, in </w:t>
      </w:r>
      <w:r>
        <w:rPr>
          <w:i/>
        </w:rPr>
        <w:t>Divine Evil</w:t>
      </w:r>
      <w:proofErr w:type="gramStart"/>
      <w:r>
        <w:rPr>
          <w:i/>
        </w:rPr>
        <w:t>?:</w:t>
      </w:r>
      <w:proofErr w:type="gramEnd"/>
      <w:r>
        <w:rPr>
          <w:i/>
        </w:rPr>
        <w:t xml:space="preserve"> The Moral Character of the God of Abraham</w:t>
      </w:r>
      <w:r>
        <w:t>, eds. M. Bergmann, M.J. Murray &amp; M.C. Rea (Oxford: Oxford University Press, 2010), p.10.</w:t>
      </w:r>
    </w:p>
  </w:footnote>
  <w:footnote w:id="35">
    <w:p w:rsidR="007C3C57" w:rsidRDefault="007C3C57">
      <w:pPr>
        <w:pStyle w:val="FootnoteText"/>
      </w:pPr>
      <w:r>
        <w:rPr>
          <w:rStyle w:val="FootnoteReference"/>
        </w:rPr>
        <w:footnoteRef/>
      </w:r>
      <w:r>
        <w:t xml:space="preserve"> Scott Crider, </w:t>
      </w:r>
      <w:proofErr w:type="gramStart"/>
      <w:r>
        <w:t>The</w:t>
      </w:r>
      <w:proofErr w:type="gramEnd"/>
      <w:r>
        <w:t xml:space="preserve"> Test, pp. 152, 158.</w:t>
      </w:r>
    </w:p>
  </w:footnote>
  <w:footnote w:id="36">
    <w:p w:rsidR="004F5DCC" w:rsidRPr="005C2340" w:rsidRDefault="004F5DCC" w:rsidP="005C2340">
      <w:pPr>
        <w:spacing w:after="0" w:line="240" w:lineRule="auto"/>
        <w:ind w:left="720" w:hanging="720"/>
        <w:rPr>
          <w:rFonts w:ascii="Arial" w:hAnsi="Arial" w:cs="Arial"/>
          <w:sz w:val="24"/>
          <w:szCs w:val="24"/>
        </w:rPr>
      </w:pPr>
      <w:r>
        <w:rPr>
          <w:rStyle w:val="FootnoteReference"/>
        </w:rPr>
        <w:footnoteRef/>
      </w:r>
      <w:r>
        <w:t xml:space="preserve"> </w:t>
      </w:r>
      <w:r w:rsidRPr="004F5DCC">
        <w:rPr>
          <w:sz w:val="20"/>
          <w:szCs w:val="20"/>
        </w:rPr>
        <w:t xml:space="preserve">Edmund </w:t>
      </w:r>
      <w:proofErr w:type="spellStart"/>
      <w:r w:rsidRPr="004F5DCC">
        <w:rPr>
          <w:sz w:val="20"/>
          <w:szCs w:val="20"/>
        </w:rPr>
        <w:t>McMillen</w:t>
      </w:r>
      <w:proofErr w:type="spellEnd"/>
      <w:r w:rsidRPr="004F5DCC">
        <w:rPr>
          <w:sz w:val="20"/>
          <w:szCs w:val="20"/>
        </w:rPr>
        <w:t xml:space="preserve">, </w:t>
      </w:r>
      <w:proofErr w:type="gramStart"/>
      <w:r w:rsidRPr="004F5DCC">
        <w:rPr>
          <w:i/>
          <w:sz w:val="20"/>
          <w:szCs w:val="20"/>
        </w:rPr>
        <w:t>The</w:t>
      </w:r>
      <w:proofErr w:type="gramEnd"/>
      <w:r w:rsidRPr="004F5DCC">
        <w:rPr>
          <w:i/>
          <w:sz w:val="20"/>
          <w:szCs w:val="20"/>
        </w:rPr>
        <w:t xml:space="preserve"> Binding of Isaac: Afterlife+</w:t>
      </w:r>
      <w:r w:rsidRPr="004F5DCC">
        <w:rPr>
          <w:sz w:val="20"/>
          <w:szCs w:val="20"/>
        </w:rPr>
        <w:t>.</w:t>
      </w:r>
      <w:r>
        <w:rPr>
          <w:i/>
        </w:rPr>
        <w:t xml:space="preserve">  </w:t>
      </w:r>
      <w:r w:rsidRPr="004F5DCC">
        <w:rPr>
          <w:rFonts w:cstheme="minorHAnsi"/>
          <w:sz w:val="20"/>
          <w:szCs w:val="20"/>
        </w:rPr>
        <w:t>2017. Windows, OS X, Linux, Nintendo Switch, PS 4, Xbox One, iOS (Independently Published: USA).</w:t>
      </w:r>
    </w:p>
  </w:footnote>
  <w:footnote w:id="37">
    <w:p w:rsidR="005C2340" w:rsidRPr="00AF33D2" w:rsidRDefault="005C2340" w:rsidP="00AF33D2">
      <w:pPr>
        <w:spacing w:after="0" w:line="240" w:lineRule="auto"/>
        <w:ind w:left="720" w:hanging="720"/>
        <w:rPr>
          <w:rFonts w:ascii="Arial" w:hAnsi="Arial" w:cs="Arial"/>
          <w:sz w:val="24"/>
          <w:szCs w:val="24"/>
        </w:rPr>
      </w:pPr>
      <w:r>
        <w:rPr>
          <w:rStyle w:val="FootnoteReference"/>
        </w:rPr>
        <w:footnoteRef/>
      </w:r>
      <w:r>
        <w:t xml:space="preserve"> </w:t>
      </w:r>
      <w:r w:rsidRPr="005C2340">
        <w:rPr>
          <w:sz w:val="20"/>
          <w:szCs w:val="20"/>
        </w:rPr>
        <w:t xml:space="preserve">Rebekah </w:t>
      </w:r>
      <w:proofErr w:type="spellStart"/>
      <w:r w:rsidRPr="005C2340">
        <w:rPr>
          <w:sz w:val="20"/>
          <w:szCs w:val="20"/>
        </w:rPr>
        <w:t>Welton</w:t>
      </w:r>
      <w:proofErr w:type="spellEnd"/>
      <w:proofErr w:type="gramStart"/>
      <w:r>
        <w:t xml:space="preserve">, </w:t>
      </w:r>
      <w:r w:rsidRPr="005C2340">
        <w:rPr>
          <w:rFonts w:cstheme="minorHAnsi"/>
          <w:sz w:val="20"/>
          <w:szCs w:val="20"/>
        </w:rPr>
        <w:t xml:space="preserve"> ‘Isaac</w:t>
      </w:r>
      <w:proofErr w:type="gramEnd"/>
      <w:r w:rsidRPr="005C2340">
        <w:rPr>
          <w:rFonts w:cstheme="minorHAnsi"/>
          <w:sz w:val="20"/>
          <w:szCs w:val="20"/>
        </w:rPr>
        <w:t xml:space="preserve"> Rebounds: A Video Game Retelling of the </w:t>
      </w:r>
      <w:proofErr w:type="spellStart"/>
      <w:r w:rsidRPr="005C2340">
        <w:rPr>
          <w:rFonts w:cstheme="minorHAnsi"/>
          <w:sz w:val="20"/>
          <w:szCs w:val="20"/>
        </w:rPr>
        <w:t>Aqedah</w:t>
      </w:r>
      <w:proofErr w:type="spellEnd"/>
      <w:r w:rsidRPr="005C2340">
        <w:rPr>
          <w:rFonts w:cstheme="minorHAnsi"/>
          <w:sz w:val="20"/>
          <w:szCs w:val="20"/>
        </w:rPr>
        <w:t xml:space="preserve">’, </w:t>
      </w:r>
      <w:r w:rsidRPr="005C2340">
        <w:rPr>
          <w:rFonts w:cstheme="minorHAnsi"/>
          <w:i/>
          <w:sz w:val="20"/>
          <w:szCs w:val="20"/>
        </w:rPr>
        <w:t xml:space="preserve">Journal for the Study of the Old </w:t>
      </w:r>
      <w:r>
        <w:rPr>
          <w:rFonts w:cstheme="minorHAnsi"/>
          <w:i/>
          <w:sz w:val="20"/>
          <w:szCs w:val="20"/>
        </w:rPr>
        <w:t xml:space="preserve">Testament </w:t>
      </w:r>
      <w:r w:rsidRPr="005C2340">
        <w:rPr>
          <w:rFonts w:cstheme="minorHAnsi"/>
          <w:i/>
          <w:sz w:val="20"/>
          <w:szCs w:val="20"/>
        </w:rPr>
        <w:t xml:space="preserve"> </w:t>
      </w:r>
      <w:r>
        <w:rPr>
          <w:rFonts w:cstheme="minorHAnsi"/>
          <w:sz w:val="20"/>
          <w:szCs w:val="20"/>
        </w:rPr>
        <w:t>44, 3 (2020), pp</w:t>
      </w:r>
      <w:r w:rsidRPr="005C2340">
        <w:rPr>
          <w:rFonts w:cstheme="minorHAnsi"/>
          <w:sz w:val="20"/>
          <w:szCs w:val="20"/>
        </w:rPr>
        <w:t>.</w:t>
      </w:r>
      <w:r>
        <w:rPr>
          <w:rFonts w:cstheme="minorHAnsi"/>
          <w:sz w:val="20"/>
          <w:szCs w:val="20"/>
        </w:rPr>
        <w:t xml:space="preserve"> 297-298.</w:t>
      </w:r>
    </w:p>
  </w:footnote>
  <w:footnote w:id="38">
    <w:p w:rsidR="005C2340" w:rsidRDefault="005C2340">
      <w:pPr>
        <w:pStyle w:val="FootnoteText"/>
      </w:pPr>
      <w:r>
        <w:rPr>
          <w:rStyle w:val="FootnoteReference"/>
        </w:rPr>
        <w:footnoteRef/>
      </w:r>
      <w:r>
        <w:t xml:space="preserve"> </w:t>
      </w:r>
      <w:proofErr w:type="spellStart"/>
      <w:r w:rsidR="00AF33D2">
        <w:t>Welton</w:t>
      </w:r>
      <w:proofErr w:type="spellEnd"/>
      <w:r w:rsidR="00AF33D2">
        <w:t>, Isaac Rebounds, p.313.</w:t>
      </w:r>
    </w:p>
  </w:footnote>
  <w:footnote w:id="39">
    <w:p w:rsidR="00AF33D2" w:rsidRDefault="00AF33D2">
      <w:pPr>
        <w:pStyle w:val="FootnoteText"/>
      </w:pPr>
      <w:r>
        <w:rPr>
          <w:rStyle w:val="FootnoteReference"/>
        </w:rPr>
        <w:footnoteRef/>
      </w:r>
      <w:r>
        <w:t xml:space="preserve"> </w:t>
      </w:r>
      <w:proofErr w:type="spellStart"/>
      <w:r>
        <w:t>Welton</w:t>
      </w:r>
      <w:proofErr w:type="spellEnd"/>
      <w:r>
        <w:t>, Isaac Rebounds, p.313.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325299"/>
      <w:docPartObj>
        <w:docPartGallery w:val="Page Numbers (Top of Page)"/>
        <w:docPartUnique/>
      </w:docPartObj>
    </w:sdtPr>
    <w:sdtEndPr>
      <w:rPr>
        <w:noProof/>
      </w:rPr>
    </w:sdtEndPr>
    <w:sdtContent>
      <w:p w:rsidR="007C3C57" w:rsidRDefault="007C3C57">
        <w:pPr>
          <w:pStyle w:val="Header"/>
          <w:jc w:val="right"/>
        </w:pPr>
        <w:r>
          <w:fldChar w:fldCharType="begin"/>
        </w:r>
        <w:r>
          <w:instrText xml:space="preserve"> PAGE   \* MERGEFORMAT </w:instrText>
        </w:r>
        <w:r>
          <w:fldChar w:fldCharType="separate"/>
        </w:r>
        <w:r w:rsidR="00A1503F">
          <w:rPr>
            <w:noProof/>
          </w:rPr>
          <w:t>1</w:t>
        </w:r>
        <w:r>
          <w:rPr>
            <w:noProof/>
          </w:rPr>
          <w:fldChar w:fldCharType="end"/>
        </w:r>
      </w:p>
    </w:sdtContent>
  </w:sdt>
  <w:p w:rsidR="007C3C57" w:rsidRDefault="007C3C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732BA"/>
    <w:multiLevelType w:val="hybridMultilevel"/>
    <w:tmpl w:val="8014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FDF"/>
    <w:rsid w:val="00001C4A"/>
    <w:rsid w:val="00030FDF"/>
    <w:rsid w:val="00035EAB"/>
    <w:rsid w:val="0003713C"/>
    <w:rsid w:val="000421A6"/>
    <w:rsid w:val="000444E2"/>
    <w:rsid w:val="00085E1D"/>
    <w:rsid w:val="00087427"/>
    <w:rsid w:val="000A350C"/>
    <w:rsid w:val="000A6D1B"/>
    <w:rsid w:val="000B1DFE"/>
    <w:rsid w:val="000B5477"/>
    <w:rsid w:val="000C5C8A"/>
    <w:rsid w:val="000D1F1C"/>
    <w:rsid w:val="000D2D4F"/>
    <w:rsid w:val="000D30AB"/>
    <w:rsid w:val="000F6D98"/>
    <w:rsid w:val="001017E4"/>
    <w:rsid w:val="001028A4"/>
    <w:rsid w:val="00140DA6"/>
    <w:rsid w:val="00174424"/>
    <w:rsid w:val="001962D9"/>
    <w:rsid w:val="001A7F18"/>
    <w:rsid w:val="001B3C9A"/>
    <w:rsid w:val="001C2C96"/>
    <w:rsid w:val="001C7973"/>
    <w:rsid w:val="001F2A9F"/>
    <w:rsid w:val="00204F31"/>
    <w:rsid w:val="00211981"/>
    <w:rsid w:val="00230EC8"/>
    <w:rsid w:val="00251702"/>
    <w:rsid w:val="00263D56"/>
    <w:rsid w:val="00265286"/>
    <w:rsid w:val="00283E8C"/>
    <w:rsid w:val="002A0040"/>
    <w:rsid w:val="002B371A"/>
    <w:rsid w:val="002B4C19"/>
    <w:rsid w:val="002F101E"/>
    <w:rsid w:val="003321AA"/>
    <w:rsid w:val="003426DD"/>
    <w:rsid w:val="00356F13"/>
    <w:rsid w:val="00365322"/>
    <w:rsid w:val="00380329"/>
    <w:rsid w:val="003864B6"/>
    <w:rsid w:val="003B68AF"/>
    <w:rsid w:val="003D5215"/>
    <w:rsid w:val="003E2A56"/>
    <w:rsid w:val="003F1F10"/>
    <w:rsid w:val="00403B69"/>
    <w:rsid w:val="004224E2"/>
    <w:rsid w:val="00465549"/>
    <w:rsid w:val="00496094"/>
    <w:rsid w:val="004C3C25"/>
    <w:rsid w:val="004C73B0"/>
    <w:rsid w:val="004D161A"/>
    <w:rsid w:val="004D5470"/>
    <w:rsid w:val="004D7120"/>
    <w:rsid w:val="004E0CD4"/>
    <w:rsid w:val="004F5DCC"/>
    <w:rsid w:val="00547A39"/>
    <w:rsid w:val="00551E34"/>
    <w:rsid w:val="005708D7"/>
    <w:rsid w:val="005C2340"/>
    <w:rsid w:val="005C38C7"/>
    <w:rsid w:val="005F2D01"/>
    <w:rsid w:val="00616E6A"/>
    <w:rsid w:val="00641A7D"/>
    <w:rsid w:val="0064790A"/>
    <w:rsid w:val="00661ECA"/>
    <w:rsid w:val="0067433B"/>
    <w:rsid w:val="006959FA"/>
    <w:rsid w:val="006C3067"/>
    <w:rsid w:val="006C50FF"/>
    <w:rsid w:val="006D0777"/>
    <w:rsid w:val="006F13F4"/>
    <w:rsid w:val="00761CF5"/>
    <w:rsid w:val="007658E7"/>
    <w:rsid w:val="00770FFE"/>
    <w:rsid w:val="00772636"/>
    <w:rsid w:val="007C3C57"/>
    <w:rsid w:val="007F632A"/>
    <w:rsid w:val="00803DB4"/>
    <w:rsid w:val="00820A24"/>
    <w:rsid w:val="00822F0E"/>
    <w:rsid w:val="008248FF"/>
    <w:rsid w:val="00827637"/>
    <w:rsid w:val="00861B9D"/>
    <w:rsid w:val="00863F41"/>
    <w:rsid w:val="00867AEE"/>
    <w:rsid w:val="00873C58"/>
    <w:rsid w:val="008B1BD3"/>
    <w:rsid w:val="008C03D9"/>
    <w:rsid w:val="008E217A"/>
    <w:rsid w:val="008E437C"/>
    <w:rsid w:val="009259EA"/>
    <w:rsid w:val="009565C0"/>
    <w:rsid w:val="00971FF4"/>
    <w:rsid w:val="00995774"/>
    <w:rsid w:val="009C1929"/>
    <w:rsid w:val="00A1503F"/>
    <w:rsid w:val="00A155AB"/>
    <w:rsid w:val="00A20EE6"/>
    <w:rsid w:val="00A42D17"/>
    <w:rsid w:val="00A47DEA"/>
    <w:rsid w:val="00A53288"/>
    <w:rsid w:val="00A564B1"/>
    <w:rsid w:val="00A621EE"/>
    <w:rsid w:val="00A63169"/>
    <w:rsid w:val="00A84310"/>
    <w:rsid w:val="00AA4946"/>
    <w:rsid w:val="00AA59C3"/>
    <w:rsid w:val="00AA5B2D"/>
    <w:rsid w:val="00AF33D2"/>
    <w:rsid w:val="00B179E5"/>
    <w:rsid w:val="00B70D0F"/>
    <w:rsid w:val="00B90741"/>
    <w:rsid w:val="00B97C00"/>
    <w:rsid w:val="00BA2E52"/>
    <w:rsid w:val="00BC0DAD"/>
    <w:rsid w:val="00BC15BF"/>
    <w:rsid w:val="00BC1A80"/>
    <w:rsid w:val="00C250E2"/>
    <w:rsid w:val="00C604B4"/>
    <w:rsid w:val="00C92266"/>
    <w:rsid w:val="00C94A0D"/>
    <w:rsid w:val="00CF472C"/>
    <w:rsid w:val="00D01D23"/>
    <w:rsid w:val="00D22C0C"/>
    <w:rsid w:val="00D82C23"/>
    <w:rsid w:val="00DC0025"/>
    <w:rsid w:val="00DC7795"/>
    <w:rsid w:val="00DD31A4"/>
    <w:rsid w:val="00DD6B03"/>
    <w:rsid w:val="00E05BA7"/>
    <w:rsid w:val="00E10268"/>
    <w:rsid w:val="00E61342"/>
    <w:rsid w:val="00EA7A05"/>
    <w:rsid w:val="00EB6B56"/>
    <w:rsid w:val="00EC48AD"/>
    <w:rsid w:val="00F3569C"/>
    <w:rsid w:val="00F45912"/>
    <w:rsid w:val="00F61120"/>
    <w:rsid w:val="00F66B04"/>
    <w:rsid w:val="00F92DD4"/>
    <w:rsid w:val="00FE4E44"/>
    <w:rsid w:val="00FF7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FDF"/>
  </w:style>
  <w:style w:type="paragraph" w:styleId="Heading3">
    <w:name w:val="heading 3"/>
    <w:basedOn w:val="Normal"/>
    <w:link w:val="Heading3Char"/>
    <w:qFormat/>
    <w:rsid w:val="00A1503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00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0025"/>
    <w:rPr>
      <w:sz w:val="20"/>
      <w:szCs w:val="20"/>
    </w:rPr>
  </w:style>
  <w:style w:type="character" w:styleId="FootnoteReference">
    <w:name w:val="footnote reference"/>
    <w:basedOn w:val="DefaultParagraphFont"/>
    <w:uiPriority w:val="99"/>
    <w:semiHidden/>
    <w:unhideWhenUsed/>
    <w:rsid w:val="00DC0025"/>
    <w:rPr>
      <w:vertAlign w:val="superscript"/>
    </w:rPr>
  </w:style>
  <w:style w:type="character" w:styleId="Hyperlink">
    <w:name w:val="Hyperlink"/>
    <w:basedOn w:val="DefaultParagraphFont"/>
    <w:uiPriority w:val="99"/>
    <w:unhideWhenUsed/>
    <w:rsid w:val="000C5C8A"/>
    <w:rPr>
      <w:color w:val="0000FF" w:themeColor="hyperlink"/>
      <w:u w:val="single"/>
    </w:rPr>
  </w:style>
  <w:style w:type="paragraph" w:styleId="BalloonText">
    <w:name w:val="Balloon Text"/>
    <w:basedOn w:val="Normal"/>
    <w:link w:val="BalloonTextChar"/>
    <w:uiPriority w:val="99"/>
    <w:semiHidden/>
    <w:unhideWhenUsed/>
    <w:rsid w:val="004C3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C25"/>
    <w:rPr>
      <w:rFonts w:ascii="Tahoma" w:hAnsi="Tahoma" w:cs="Tahoma"/>
      <w:sz w:val="16"/>
      <w:szCs w:val="16"/>
    </w:rPr>
  </w:style>
  <w:style w:type="paragraph" w:styleId="ListParagraph">
    <w:name w:val="List Paragraph"/>
    <w:basedOn w:val="Normal"/>
    <w:uiPriority w:val="34"/>
    <w:qFormat/>
    <w:rsid w:val="0067433B"/>
    <w:pPr>
      <w:ind w:left="720"/>
      <w:contextualSpacing/>
    </w:pPr>
  </w:style>
  <w:style w:type="paragraph" w:styleId="Header">
    <w:name w:val="header"/>
    <w:basedOn w:val="Normal"/>
    <w:link w:val="HeaderChar"/>
    <w:uiPriority w:val="99"/>
    <w:unhideWhenUsed/>
    <w:rsid w:val="00820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A24"/>
  </w:style>
  <w:style w:type="paragraph" w:styleId="Footer">
    <w:name w:val="footer"/>
    <w:basedOn w:val="Normal"/>
    <w:link w:val="FooterChar"/>
    <w:uiPriority w:val="99"/>
    <w:unhideWhenUsed/>
    <w:rsid w:val="00820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A24"/>
  </w:style>
  <w:style w:type="character" w:customStyle="1" w:styleId="Heading3Char">
    <w:name w:val="Heading 3 Char"/>
    <w:basedOn w:val="DefaultParagraphFont"/>
    <w:link w:val="Heading3"/>
    <w:rsid w:val="00A1503F"/>
    <w:rPr>
      <w:rFonts w:ascii="Tahoma" w:eastAsia="SimSun" w:hAnsi="Tahoma" w:cs="Tahoma"/>
      <w:b/>
      <w:bCs/>
      <w:sz w:val="20"/>
      <w:szCs w:val="20"/>
      <w:lang w:eastAsia="zh-CN"/>
    </w:rPr>
  </w:style>
  <w:style w:type="paragraph" w:styleId="NormalWeb">
    <w:name w:val="Normal (Web)"/>
    <w:basedOn w:val="Normal"/>
    <w:rsid w:val="00A1503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FDF"/>
  </w:style>
  <w:style w:type="paragraph" w:styleId="Heading3">
    <w:name w:val="heading 3"/>
    <w:basedOn w:val="Normal"/>
    <w:link w:val="Heading3Char"/>
    <w:qFormat/>
    <w:rsid w:val="00A1503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00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0025"/>
    <w:rPr>
      <w:sz w:val="20"/>
      <w:szCs w:val="20"/>
    </w:rPr>
  </w:style>
  <w:style w:type="character" w:styleId="FootnoteReference">
    <w:name w:val="footnote reference"/>
    <w:basedOn w:val="DefaultParagraphFont"/>
    <w:uiPriority w:val="99"/>
    <w:semiHidden/>
    <w:unhideWhenUsed/>
    <w:rsid w:val="00DC0025"/>
    <w:rPr>
      <w:vertAlign w:val="superscript"/>
    </w:rPr>
  </w:style>
  <w:style w:type="character" w:styleId="Hyperlink">
    <w:name w:val="Hyperlink"/>
    <w:basedOn w:val="DefaultParagraphFont"/>
    <w:uiPriority w:val="99"/>
    <w:unhideWhenUsed/>
    <w:rsid w:val="000C5C8A"/>
    <w:rPr>
      <w:color w:val="0000FF" w:themeColor="hyperlink"/>
      <w:u w:val="single"/>
    </w:rPr>
  </w:style>
  <w:style w:type="paragraph" w:styleId="BalloonText">
    <w:name w:val="Balloon Text"/>
    <w:basedOn w:val="Normal"/>
    <w:link w:val="BalloonTextChar"/>
    <w:uiPriority w:val="99"/>
    <w:semiHidden/>
    <w:unhideWhenUsed/>
    <w:rsid w:val="004C3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C25"/>
    <w:rPr>
      <w:rFonts w:ascii="Tahoma" w:hAnsi="Tahoma" w:cs="Tahoma"/>
      <w:sz w:val="16"/>
      <w:szCs w:val="16"/>
    </w:rPr>
  </w:style>
  <w:style w:type="paragraph" w:styleId="ListParagraph">
    <w:name w:val="List Paragraph"/>
    <w:basedOn w:val="Normal"/>
    <w:uiPriority w:val="34"/>
    <w:qFormat/>
    <w:rsid w:val="0067433B"/>
    <w:pPr>
      <w:ind w:left="720"/>
      <w:contextualSpacing/>
    </w:pPr>
  </w:style>
  <w:style w:type="paragraph" w:styleId="Header">
    <w:name w:val="header"/>
    <w:basedOn w:val="Normal"/>
    <w:link w:val="HeaderChar"/>
    <w:uiPriority w:val="99"/>
    <w:unhideWhenUsed/>
    <w:rsid w:val="00820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A24"/>
  </w:style>
  <w:style w:type="paragraph" w:styleId="Footer">
    <w:name w:val="footer"/>
    <w:basedOn w:val="Normal"/>
    <w:link w:val="FooterChar"/>
    <w:uiPriority w:val="99"/>
    <w:unhideWhenUsed/>
    <w:rsid w:val="00820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A24"/>
  </w:style>
  <w:style w:type="character" w:customStyle="1" w:styleId="Heading3Char">
    <w:name w:val="Heading 3 Char"/>
    <w:basedOn w:val="DefaultParagraphFont"/>
    <w:link w:val="Heading3"/>
    <w:rsid w:val="00A1503F"/>
    <w:rPr>
      <w:rFonts w:ascii="Tahoma" w:eastAsia="SimSun" w:hAnsi="Tahoma" w:cs="Tahoma"/>
      <w:b/>
      <w:bCs/>
      <w:sz w:val="20"/>
      <w:szCs w:val="20"/>
      <w:lang w:eastAsia="zh-CN"/>
    </w:rPr>
  </w:style>
  <w:style w:type="paragraph" w:styleId="NormalWeb">
    <w:name w:val="Normal (Web)"/>
    <w:basedOn w:val="Normal"/>
    <w:rsid w:val="00A1503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www.monde-diplomatique.Fr/1991/10/RAMONET/43887"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hermitagemuseum.org/wps/portal/hermitage/digital-collection/01.+Paintings/4336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merceruniversitypress.wordpress.com/2014/07/15/rembrandt-as-christian-arti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cpeanutgallery.com/2015/07/18/morning-prayer-18-july-romans-413-17a-on-receiving-the-promise-by-faith/"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romaniancoins.org/5lei06ieud.html" TargetMode="External"/><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wanford.com/the-sacrifice-of-isaac-1966-by-marc-chagal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romaniancoins.org/5lei06ieud.html" TargetMode="External"/><Relationship Id="rId22" Type="http://schemas.openxmlformats.org/officeDocument/2006/relationships/hyperlink" Target="https://encyclopedia.ushmm.ord/content/en/article/marc-chagal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onde-diplomatique.Fr/1991/10/RAMONET/43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35F8E-A2E6-4F98-B244-22A98C80C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4621</Words>
  <Characters>26345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Diane</cp:lastModifiedBy>
  <cp:revision>2</cp:revision>
  <dcterms:created xsi:type="dcterms:W3CDTF">2021-07-24T15:03:00Z</dcterms:created>
  <dcterms:modified xsi:type="dcterms:W3CDTF">2021-07-24T15:03:00Z</dcterms:modified>
</cp:coreProperties>
</file>