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ind w:left="0" w:leftChars="0" w:firstLine="0" w:firstLineChars="0"/>
        <w:jc w:val="center"/>
        <w:rPr>
          <w:rFonts w:hint="eastAsia" w:ascii="Times New Roman" w:hAnsi="Times New Roman"/>
          <w:i/>
          <w:iCs/>
          <w:caps w:val="0"/>
          <w:sz w:val="44"/>
          <w:szCs w:val="44"/>
          <w:lang w:val="en-US" w:eastAsia="zh-CN"/>
        </w:rPr>
      </w:pPr>
      <w:bookmarkStart w:id="0" w:name="_Toc21628"/>
      <w:bookmarkStart w:id="1" w:name="_Toc15512"/>
      <w:r>
        <w:rPr>
          <w:rFonts w:hint="eastAsia" w:ascii="Times New Roman" w:hAnsi="Times New Roman"/>
          <w:i/>
          <w:iCs/>
          <w:caps w:val="0"/>
          <w:sz w:val="44"/>
          <w:szCs w:val="44"/>
          <w:lang w:val="en-US" w:eastAsia="zh-CN"/>
        </w:rPr>
        <w:t>How to success in the competition?A strategy selection analysis of BYD</w:t>
      </w:r>
      <w:bookmarkEnd w:id="0"/>
      <w:bookmarkEnd w:id="1"/>
    </w:p>
    <w:p>
      <w:pPr>
        <w:jc w:val="both"/>
        <w:rPr>
          <w:rFonts w:hint="eastAsia" w:ascii="Times New Roman" w:hAnsi="Times New Roman"/>
          <w:caps w:val="0"/>
          <w:lang w:val="en-US" w:eastAsia="zh-CN"/>
        </w:rPr>
      </w:pPr>
      <w:r>
        <w:drawing>
          <wp:anchor distT="0" distB="0" distL="114300" distR="114300" simplePos="0" relativeHeight="251659264" behindDoc="1" locked="0" layoutInCell="1" allowOverlap="1">
            <wp:simplePos x="0" y="0"/>
            <wp:positionH relativeFrom="column">
              <wp:posOffset>1054100</wp:posOffset>
            </wp:positionH>
            <wp:positionV relativeFrom="paragraph">
              <wp:posOffset>168910</wp:posOffset>
            </wp:positionV>
            <wp:extent cx="3187700" cy="3534410"/>
            <wp:effectExtent l="0" t="0" r="0" b="0"/>
            <wp:wrapTight wrapText="bothSides">
              <wp:wrapPolygon>
                <wp:start x="0" y="0"/>
                <wp:lineTo x="0" y="21538"/>
                <wp:lineTo x="21428" y="21538"/>
                <wp:lineTo x="21428" y="0"/>
                <wp:lineTo x="0" y="0"/>
              </wp:wrapPolygon>
            </wp:wrapTight>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3187700" cy="3534410"/>
                    </a:xfrm>
                    <a:prstGeom prst="rect">
                      <a:avLst/>
                    </a:prstGeom>
                    <a:noFill/>
                    <a:ln>
                      <a:noFill/>
                    </a:ln>
                  </pic:spPr>
                </pic:pic>
              </a:graphicData>
            </a:graphic>
          </wp:anchor>
        </w:drawing>
      </w:r>
    </w:p>
    <w:p>
      <w:pPr>
        <w:jc w:val="both"/>
        <w:rPr>
          <w:rFonts w:hint="eastAsia" w:ascii="Times New Roman" w:hAnsi="Times New Roman"/>
          <w:caps w:val="0"/>
          <w:lang w:val="en-US" w:eastAsia="zh-CN"/>
        </w:rPr>
      </w:pPr>
    </w:p>
    <w:p>
      <w:pPr>
        <w:jc w:val="both"/>
        <w:rPr>
          <w:rFonts w:hint="default" w:ascii="Times New Roman" w:hAnsi="Times New Roman"/>
          <w:caps w:val="0"/>
          <w:lang w:val="en-US" w:eastAsia="zh-CN"/>
        </w:rPr>
      </w:pPr>
    </w:p>
    <w:p>
      <w:pPr>
        <w:pStyle w:val="2"/>
        <w:bidi w:val="0"/>
        <w:jc w:val="both"/>
        <w:outlineLvl w:val="9"/>
        <w:rPr>
          <w:rFonts w:hint="default" w:ascii="Times New Roman" w:hAnsi="Times New Roman"/>
          <w:caps w:val="0"/>
          <w:lang w:val="en-US" w:eastAsia="zh-CN"/>
        </w:rPr>
      </w:pPr>
      <w:r>
        <w:rPr>
          <w:rFonts w:hint="eastAsia" w:ascii="Times New Roman" w:hAnsi="Times New Roman"/>
          <w:caps w:val="0"/>
          <w:lang w:val="en-US" w:eastAsia="zh-CN"/>
        </w:rPr>
        <w:t xml:space="preserve"> </w:t>
      </w:r>
    </w:p>
    <w:p>
      <w:pPr>
        <w:jc w:val="both"/>
        <w:rPr>
          <w:rFonts w:hint="eastAsia" w:ascii="Times New Roman" w:hAnsi="Times New Roman"/>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ind w:left="0" w:leftChars="0" w:firstLine="0" w:firstLineChars="0"/>
        <w:jc w:val="both"/>
        <w:rPr>
          <w:rFonts w:hint="eastAsia" w:ascii="Times New Roman" w:hAnsi="Times New Roman"/>
          <w:b/>
          <w:bCs/>
          <w:caps w:val="0"/>
          <w:lang w:val="en-US" w:eastAsia="zh-CN"/>
        </w:rPr>
      </w:pPr>
    </w:p>
    <w:p>
      <w:pPr>
        <w:ind w:left="0" w:leftChars="0" w:firstLine="0" w:firstLineChars="0"/>
        <w:jc w:val="center"/>
        <w:rPr>
          <w:rFonts w:hint="default" w:ascii="Times New Roman" w:hAnsi="Times New Roman"/>
          <w:b/>
          <w:bCs/>
          <w:caps w:val="0"/>
          <w:sz w:val="44"/>
          <w:szCs w:val="44"/>
          <w:lang w:val="en-US" w:eastAsia="zh-CN"/>
        </w:rPr>
      </w:pPr>
      <w:r>
        <w:rPr>
          <w:rFonts w:hint="eastAsia"/>
          <w:b/>
          <w:bCs/>
          <w:caps w:val="0"/>
          <w:sz w:val="44"/>
          <w:szCs w:val="44"/>
          <w:lang w:val="en-US" w:eastAsia="zh-CN"/>
        </w:rPr>
        <w:t>December ,2022</w:t>
      </w:r>
    </w:p>
    <w:p>
      <w:pPr>
        <w:ind w:left="0" w:leftChars="0" w:firstLine="0" w:firstLineChars="0"/>
        <w:jc w:val="both"/>
        <w:rPr>
          <w:rFonts w:hint="eastAsia" w:ascii="Times New Roman" w:hAnsi="Times New Roman"/>
          <w:b/>
          <w:bCs/>
          <w:caps w:val="0"/>
          <w:lang w:val="en-US" w:eastAsia="zh-CN"/>
        </w:rPr>
      </w:pPr>
    </w:p>
    <w:p>
      <w:pPr>
        <w:jc w:val="both"/>
        <w:rPr>
          <w:rFonts w:hint="eastAsia" w:ascii="Times New Roman" w:hAnsi="Times New Roman"/>
          <w:b/>
          <w:bCs/>
          <w:caps w:val="0"/>
          <w:sz w:val="24"/>
          <w:szCs w:val="24"/>
          <w:lang w:val="en-US" w:eastAsia="zh-CN"/>
        </w:rPr>
      </w:pPr>
    </w:p>
    <w:p>
      <w:pPr>
        <w:ind w:left="0" w:leftChars="0" w:firstLine="0" w:firstLineChars="0"/>
        <w:jc w:val="both"/>
        <w:rPr>
          <w:rFonts w:hint="eastAsia"/>
          <w:b/>
          <w:bCs/>
          <w:caps w:val="0"/>
          <w:sz w:val="24"/>
          <w:szCs w:val="24"/>
          <w:lang w:val="en-US" w:eastAsia="zh-CN"/>
        </w:rPr>
      </w:pPr>
      <w:r>
        <w:rPr>
          <w:rFonts w:hint="eastAsia"/>
          <w:b/>
          <w:bCs/>
          <w:caps w:val="0"/>
          <w:sz w:val="24"/>
          <w:szCs w:val="24"/>
          <w:lang w:val="en-US" w:eastAsia="zh-CN"/>
        </w:rPr>
        <w:t xml:space="preserve">MOODLE NAME:         Zihe Liu;2203396 </w:t>
      </w:r>
    </w:p>
    <w:p>
      <w:pPr>
        <w:jc w:val="both"/>
        <w:rPr>
          <w:rFonts w:hint="eastAsia"/>
          <w:b/>
          <w:bCs/>
          <w:caps w:val="0"/>
          <w:sz w:val="24"/>
          <w:szCs w:val="24"/>
          <w:lang w:val="en-US" w:eastAsia="zh-CN"/>
        </w:rPr>
      </w:pPr>
    </w:p>
    <w:p>
      <w:pPr>
        <w:ind w:left="0" w:leftChars="0" w:firstLine="0" w:firstLineChars="0"/>
        <w:jc w:val="both"/>
        <w:rPr>
          <w:rFonts w:hint="default"/>
          <w:b/>
          <w:bCs/>
          <w:caps w:val="0"/>
          <w:sz w:val="24"/>
          <w:szCs w:val="24"/>
          <w:lang w:val="en-US" w:eastAsia="zh-CN"/>
        </w:rPr>
      </w:pPr>
      <w:r>
        <w:rPr>
          <w:rFonts w:hint="eastAsia"/>
          <w:b/>
          <w:bCs/>
          <w:caps w:val="0"/>
          <w:sz w:val="24"/>
          <w:szCs w:val="24"/>
          <w:lang w:val="en-US" w:eastAsia="zh-CN"/>
        </w:rPr>
        <w:t>NAME:                  刘子赫（Liu Zihe）</w:t>
      </w:r>
    </w:p>
    <w:p>
      <w:pPr>
        <w:jc w:val="both"/>
        <w:rPr>
          <w:rFonts w:hint="eastAsia" w:ascii="Times New Roman" w:hAnsi="Times New Roman"/>
          <w:b/>
          <w:bCs/>
          <w:caps w:val="0"/>
          <w:sz w:val="24"/>
          <w:szCs w:val="24"/>
          <w:lang w:val="en-US" w:eastAsia="zh-CN"/>
        </w:rPr>
      </w:pPr>
    </w:p>
    <w:p>
      <w:pPr>
        <w:ind w:left="0" w:leftChars="0" w:firstLine="0" w:firstLineChars="0"/>
        <w:jc w:val="both"/>
        <w:outlineLvl w:val="0"/>
        <w:rPr>
          <w:rFonts w:hint="default" w:ascii="Times New Roman" w:hAnsi="Times New Roman"/>
          <w:b/>
          <w:bCs/>
          <w:caps w:val="0"/>
          <w:sz w:val="24"/>
          <w:szCs w:val="24"/>
          <w:lang w:val="en-US" w:eastAsia="zh-CN"/>
        </w:rPr>
      </w:pPr>
      <w:bookmarkStart w:id="2" w:name="_Toc30351"/>
      <w:bookmarkStart w:id="3" w:name="_Toc10837"/>
      <w:r>
        <w:rPr>
          <w:rFonts w:hint="eastAsia"/>
          <w:b/>
          <w:bCs/>
          <w:caps w:val="0"/>
          <w:sz w:val="24"/>
          <w:szCs w:val="24"/>
          <w:lang w:val="en-US" w:eastAsia="zh-CN"/>
        </w:rPr>
        <w:t>STUDENT NUMBER：    2203396</w:t>
      </w:r>
      <w:bookmarkEnd w:id="2"/>
      <w:bookmarkEnd w:id="3"/>
      <w:r>
        <w:rPr>
          <w:rFonts w:hint="eastAsia"/>
          <w:b/>
          <w:bCs/>
          <w:caps w:val="0"/>
          <w:sz w:val="24"/>
          <w:szCs w:val="24"/>
          <w:lang w:val="en-US" w:eastAsia="zh-CN"/>
        </w:rPr>
        <w:t xml:space="preserve"> </w:t>
      </w: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jc w:val="both"/>
        <w:rPr>
          <w:rFonts w:hint="eastAsia" w:ascii="Times New Roman" w:hAnsi="Times New Roman"/>
          <w:b/>
          <w:bCs/>
          <w:caps w:val="0"/>
          <w:lang w:val="en-US" w:eastAsia="zh-CN"/>
        </w:rPr>
      </w:pPr>
    </w:p>
    <w:p>
      <w:pPr>
        <w:pStyle w:val="8"/>
        <w:tabs>
          <w:tab w:val="right" w:leader="dot" w:pos="8306"/>
        </w:tabs>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pPr>
    </w:p>
    <w:p>
      <w:pPr>
        <w:pStyle w:val="8"/>
        <w:tabs>
          <w:tab w:val="right" w:leader="dot" w:pos="8306"/>
        </w:tabs>
        <w:ind w:left="0" w:leftChars="0" w:firstLine="0" w:firstLineChars="0"/>
        <w:rPr>
          <w:sz w:val="24"/>
          <w:szCs w:val="24"/>
        </w:rPr>
      </w:pPr>
      <w:r>
        <w:fldChar w:fldCharType="begin"/>
      </w:r>
      <w:r>
        <w:instrText xml:space="preserve">TOC \o "1-2" \h \u </w:instrText>
      </w:r>
      <w:r>
        <w:fldChar w:fldCharType="separate"/>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jc w:val="center"/>
        <w:textAlignment w:val="auto"/>
        <w:rPr>
          <w:rFonts w:hint="eastAsia"/>
          <w:b/>
          <w:bCs/>
          <w:sz w:val="28"/>
          <w:szCs w:val="28"/>
        </w:rPr>
      </w:pPr>
      <w:r>
        <w:rPr>
          <w:rFonts w:hint="eastAsia"/>
          <w:b/>
          <w:bCs/>
          <w:sz w:val="28"/>
          <w:szCs w:val="28"/>
        </w:rPr>
        <w:t>Table of Contents</w:t>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p>
    <w:p>
      <w:pPr>
        <w:pStyle w:val="8"/>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_Toc7590 </w:instrText>
      </w:r>
      <w:r>
        <w:rPr>
          <w:sz w:val="24"/>
          <w:szCs w:val="24"/>
        </w:rPr>
        <w:fldChar w:fldCharType="separate"/>
      </w:r>
      <w:r>
        <w:rPr>
          <w:rFonts w:hint="eastAsia"/>
          <w:sz w:val="24"/>
          <w:szCs w:val="24"/>
          <w:lang w:val="en-US" w:eastAsia="zh-CN"/>
        </w:rPr>
        <w:t>1.Introduction</w:t>
      </w:r>
      <w:r>
        <w:rPr>
          <w:sz w:val="24"/>
          <w:szCs w:val="24"/>
        </w:rPr>
        <w:tab/>
      </w:r>
      <w:r>
        <w:rPr>
          <w:sz w:val="24"/>
          <w:szCs w:val="24"/>
        </w:rPr>
        <w:fldChar w:fldCharType="begin"/>
      </w:r>
      <w:r>
        <w:rPr>
          <w:sz w:val="24"/>
          <w:szCs w:val="24"/>
        </w:rPr>
        <w:instrText xml:space="preserve"> PAGEREF _Toc7590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_Toc13910 </w:instrText>
      </w:r>
      <w:r>
        <w:rPr>
          <w:sz w:val="24"/>
          <w:szCs w:val="24"/>
        </w:rPr>
        <w:fldChar w:fldCharType="separate"/>
      </w:r>
      <w:r>
        <w:rPr>
          <w:rFonts w:hint="eastAsia" w:ascii="Times New Roman" w:hAnsi="Times New Roman"/>
          <w:bCs/>
          <w:caps w:val="0"/>
          <w:sz w:val="24"/>
          <w:szCs w:val="24"/>
          <w:lang w:val="en-US" w:eastAsia="zh-CN"/>
        </w:rPr>
        <w:t>Table 1-1 BYD basic information</w:t>
      </w:r>
      <w:r>
        <w:rPr>
          <w:sz w:val="24"/>
          <w:szCs w:val="24"/>
        </w:rPr>
        <w:tab/>
      </w:r>
      <w:r>
        <w:rPr>
          <w:sz w:val="24"/>
          <w:szCs w:val="24"/>
        </w:rPr>
        <w:fldChar w:fldCharType="begin"/>
      </w:r>
      <w:r>
        <w:rPr>
          <w:sz w:val="24"/>
          <w:szCs w:val="24"/>
        </w:rPr>
        <w:instrText xml:space="preserve"> PAGEREF _Toc13910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_Toc23450 </w:instrText>
      </w:r>
      <w:r>
        <w:rPr>
          <w:sz w:val="24"/>
          <w:szCs w:val="24"/>
        </w:rPr>
        <w:fldChar w:fldCharType="separate"/>
      </w:r>
      <w:r>
        <w:rPr>
          <w:rFonts w:hint="eastAsia"/>
          <w:sz w:val="24"/>
          <w:szCs w:val="24"/>
          <w:lang w:val="en-US" w:eastAsia="zh-CN"/>
        </w:rPr>
        <w:t>2.Macroscopic environment analysis based on the PEST model</w:t>
      </w:r>
      <w:r>
        <w:rPr>
          <w:sz w:val="24"/>
          <w:szCs w:val="24"/>
        </w:rPr>
        <w:tab/>
      </w:r>
      <w:r>
        <w:rPr>
          <w:sz w:val="24"/>
          <w:szCs w:val="24"/>
        </w:rPr>
        <w:fldChar w:fldCharType="begin"/>
      </w:r>
      <w:r>
        <w:rPr>
          <w:sz w:val="24"/>
          <w:szCs w:val="24"/>
        </w:rPr>
        <w:instrText xml:space="preserve"> PAGEREF _Toc23450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_Toc4680 </w:instrText>
      </w:r>
      <w:r>
        <w:rPr>
          <w:sz w:val="24"/>
          <w:szCs w:val="24"/>
        </w:rPr>
        <w:fldChar w:fldCharType="separate"/>
      </w:r>
      <w:r>
        <w:rPr>
          <w:rFonts w:hint="default"/>
          <w:sz w:val="24"/>
          <w:szCs w:val="24"/>
          <w:lang w:val="en-US" w:eastAsia="zh-CN"/>
        </w:rPr>
        <w:t>2.1</w:t>
      </w:r>
      <w:r>
        <w:rPr>
          <w:rFonts w:hint="eastAsia"/>
          <w:sz w:val="24"/>
          <w:szCs w:val="24"/>
          <w:lang w:val="en-US" w:eastAsia="zh-CN"/>
        </w:rPr>
        <w:t>.</w:t>
      </w:r>
      <w:r>
        <w:rPr>
          <w:rFonts w:hint="default"/>
          <w:sz w:val="24"/>
          <w:szCs w:val="24"/>
          <w:lang w:val="en-US" w:eastAsia="zh-CN"/>
        </w:rPr>
        <w:t>Political environment</w:t>
      </w:r>
      <w:r>
        <w:rPr>
          <w:sz w:val="24"/>
          <w:szCs w:val="24"/>
        </w:rPr>
        <w:tab/>
      </w:r>
      <w:r>
        <w:rPr>
          <w:sz w:val="24"/>
          <w:szCs w:val="24"/>
        </w:rPr>
        <w:fldChar w:fldCharType="begin"/>
      </w:r>
      <w:r>
        <w:rPr>
          <w:sz w:val="24"/>
          <w:szCs w:val="24"/>
        </w:rPr>
        <w:instrText xml:space="preserve"> PAGEREF _Toc4680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_Toc23938 </w:instrText>
      </w:r>
      <w:r>
        <w:rPr>
          <w:sz w:val="24"/>
          <w:szCs w:val="24"/>
        </w:rPr>
        <w:fldChar w:fldCharType="separate"/>
      </w:r>
      <w:r>
        <w:rPr>
          <w:rFonts w:hint="default"/>
          <w:sz w:val="24"/>
          <w:szCs w:val="24"/>
          <w:lang w:val="en-US" w:eastAsia="zh-CN"/>
        </w:rPr>
        <w:t>2.2</w:t>
      </w:r>
      <w:r>
        <w:rPr>
          <w:rFonts w:hint="eastAsia"/>
          <w:sz w:val="24"/>
          <w:szCs w:val="24"/>
          <w:lang w:val="en-US" w:eastAsia="zh-CN"/>
        </w:rPr>
        <w:t>.</w:t>
      </w:r>
      <w:r>
        <w:rPr>
          <w:rFonts w:hint="default"/>
          <w:sz w:val="24"/>
          <w:szCs w:val="24"/>
          <w:lang w:val="en-US" w:eastAsia="zh-CN"/>
        </w:rPr>
        <w:t>Economic environment</w:t>
      </w:r>
      <w:r>
        <w:rPr>
          <w:sz w:val="24"/>
          <w:szCs w:val="24"/>
        </w:rPr>
        <w:tab/>
      </w:r>
      <w:r>
        <w:rPr>
          <w:sz w:val="24"/>
          <w:szCs w:val="24"/>
        </w:rPr>
        <w:fldChar w:fldCharType="begin"/>
      </w:r>
      <w:r>
        <w:rPr>
          <w:sz w:val="24"/>
          <w:szCs w:val="24"/>
        </w:rPr>
        <w:instrText xml:space="preserve"> PAGEREF _Toc23938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_Toc17907 </w:instrText>
      </w:r>
      <w:r>
        <w:rPr>
          <w:sz w:val="24"/>
          <w:szCs w:val="24"/>
        </w:rPr>
        <w:fldChar w:fldCharType="separate"/>
      </w:r>
      <w:r>
        <w:rPr>
          <w:rFonts w:hint="default"/>
          <w:sz w:val="24"/>
          <w:szCs w:val="24"/>
          <w:lang w:val="en-US" w:eastAsia="zh-CN"/>
        </w:rPr>
        <w:t>2.3</w:t>
      </w:r>
      <w:r>
        <w:rPr>
          <w:rFonts w:hint="eastAsia"/>
          <w:sz w:val="24"/>
          <w:szCs w:val="24"/>
          <w:lang w:val="en-US" w:eastAsia="zh-CN"/>
        </w:rPr>
        <w:t>.</w:t>
      </w:r>
      <w:r>
        <w:rPr>
          <w:rFonts w:hint="default"/>
          <w:sz w:val="24"/>
          <w:szCs w:val="24"/>
          <w:lang w:val="en-US" w:eastAsia="zh-CN"/>
        </w:rPr>
        <w:t>Social environment</w:t>
      </w:r>
      <w:r>
        <w:rPr>
          <w:sz w:val="24"/>
          <w:szCs w:val="24"/>
        </w:rPr>
        <w:tab/>
      </w:r>
      <w:r>
        <w:rPr>
          <w:sz w:val="24"/>
          <w:szCs w:val="24"/>
        </w:rPr>
        <w:fldChar w:fldCharType="begin"/>
      </w:r>
      <w:r>
        <w:rPr>
          <w:sz w:val="24"/>
          <w:szCs w:val="24"/>
        </w:rPr>
        <w:instrText xml:space="preserve"> PAGEREF _Toc17907 \h </w:instrText>
      </w:r>
      <w:r>
        <w:rPr>
          <w:sz w:val="24"/>
          <w:szCs w:val="24"/>
        </w:rPr>
        <w:fldChar w:fldCharType="separate"/>
      </w:r>
      <w:r>
        <w:rPr>
          <w:sz w:val="24"/>
          <w:szCs w:val="24"/>
        </w:rPr>
        <w:t>6</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_Toc9840 </w:instrText>
      </w:r>
      <w:r>
        <w:rPr>
          <w:sz w:val="24"/>
          <w:szCs w:val="24"/>
        </w:rPr>
        <w:fldChar w:fldCharType="separate"/>
      </w:r>
      <w:r>
        <w:rPr>
          <w:rFonts w:hint="default"/>
          <w:sz w:val="24"/>
          <w:szCs w:val="24"/>
          <w:lang w:val="en-US" w:eastAsia="zh-CN"/>
        </w:rPr>
        <w:t>2.4</w:t>
      </w:r>
      <w:r>
        <w:rPr>
          <w:rFonts w:hint="eastAsia"/>
          <w:sz w:val="24"/>
          <w:szCs w:val="24"/>
          <w:lang w:val="en-US" w:eastAsia="zh-CN"/>
        </w:rPr>
        <w:t>.</w:t>
      </w:r>
      <w:r>
        <w:rPr>
          <w:rFonts w:hint="default"/>
          <w:sz w:val="24"/>
          <w:szCs w:val="24"/>
          <w:lang w:val="en-US" w:eastAsia="zh-CN"/>
        </w:rPr>
        <w:t>Technical environment</w:t>
      </w:r>
      <w:r>
        <w:rPr>
          <w:sz w:val="24"/>
          <w:szCs w:val="24"/>
        </w:rPr>
        <w:tab/>
      </w:r>
      <w:r>
        <w:rPr>
          <w:sz w:val="24"/>
          <w:szCs w:val="24"/>
        </w:rPr>
        <w:fldChar w:fldCharType="begin"/>
      </w:r>
      <w:r>
        <w:rPr>
          <w:sz w:val="24"/>
          <w:szCs w:val="24"/>
        </w:rPr>
        <w:instrText xml:space="preserve"> PAGEREF _Toc9840 \h </w:instrText>
      </w:r>
      <w:r>
        <w:rPr>
          <w:sz w:val="24"/>
          <w:szCs w:val="24"/>
        </w:rPr>
        <w:fldChar w:fldCharType="separate"/>
      </w:r>
      <w:r>
        <w:rPr>
          <w:sz w:val="24"/>
          <w:szCs w:val="24"/>
        </w:rPr>
        <w:t>7</w:t>
      </w:r>
      <w:r>
        <w:rPr>
          <w:sz w:val="24"/>
          <w:szCs w:val="24"/>
        </w:rPr>
        <w:fldChar w:fldCharType="end"/>
      </w:r>
      <w:r>
        <w:rPr>
          <w:sz w:val="24"/>
          <w:szCs w:val="24"/>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_Toc3835 </w:instrText>
      </w:r>
      <w:r>
        <w:rPr>
          <w:sz w:val="24"/>
          <w:szCs w:val="24"/>
        </w:rPr>
        <w:fldChar w:fldCharType="separate"/>
      </w:r>
      <w:r>
        <w:rPr>
          <w:rFonts w:hint="eastAsia"/>
          <w:sz w:val="24"/>
          <w:szCs w:val="24"/>
          <w:lang w:val="en-US" w:eastAsia="zh-CN"/>
        </w:rPr>
        <w:t>3. Industry environment analysis based on the Porter's five-force model</w:t>
      </w:r>
      <w:r>
        <w:rPr>
          <w:sz w:val="24"/>
          <w:szCs w:val="24"/>
        </w:rPr>
        <w:tab/>
      </w:r>
      <w:r>
        <w:rPr>
          <w:sz w:val="24"/>
          <w:szCs w:val="24"/>
        </w:rPr>
        <w:fldChar w:fldCharType="begin"/>
      </w:r>
      <w:r>
        <w:rPr>
          <w:sz w:val="24"/>
          <w:szCs w:val="24"/>
        </w:rPr>
        <w:instrText xml:space="preserve"> PAGEREF _Toc3835 \h </w:instrText>
      </w:r>
      <w:r>
        <w:rPr>
          <w:sz w:val="24"/>
          <w:szCs w:val="24"/>
        </w:rPr>
        <w:fldChar w:fldCharType="separate"/>
      </w:r>
      <w:r>
        <w:rPr>
          <w:sz w:val="24"/>
          <w:szCs w:val="24"/>
        </w:rPr>
        <w:t>8</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_Toc28931 </w:instrText>
      </w:r>
      <w:r>
        <w:rPr>
          <w:sz w:val="24"/>
          <w:szCs w:val="24"/>
        </w:rPr>
        <w:fldChar w:fldCharType="separate"/>
      </w:r>
      <w:r>
        <w:rPr>
          <w:rFonts w:hint="eastAsia"/>
          <w:sz w:val="24"/>
          <w:szCs w:val="24"/>
          <w:lang w:val="en-US" w:eastAsia="zh-CN"/>
        </w:rPr>
        <w:t>3.1. Competitiveness of the existing competitors</w:t>
      </w:r>
      <w:r>
        <w:rPr>
          <w:sz w:val="24"/>
          <w:szCs w:val="24"/>
        </w:rPr>
        <w:tab/>
      </w:r>
      <w:r>
        <w:rPr>
          <w:sz w:val="24"/>
          <w:szCs w:val="24"/>
        </w:rPr>
        <w:fldChar w:fldCharType="begin"/>
      </w:r>
      <w:r>
        <w:rPr>
          <w:sz w:val="24"/>
          <w:szCs w:val="24"/>
        </w:rPr>
        <w:instrText xml:space="preserve"> PAGEREF _Toc28931 \h </w:instrText>
      </w:r>
      <w:r>
        <w:rPr>
          <w:sz w:val="24"/>
          <w:szCs w:val="24"/>
        </w:rPr>
        <w:fldChar w:fldCharType="separate"/>
      </w:r>
      <w:r>
        <w:rPr>
          <w:sz w:val="24"/>
          <w:szCs w:val="24"/>
        </w:rPr>
        <w:t>8</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_Toc2786 </w:instrText>
      </w:r>
      <w:r>
        <w:rPr>
          <w:sz w:val="24"/>
          <w:szCs w:val="24"/>
        </w:rPr>
        <w:fldChar w:fldCharType="separate"/>
      </w:r>
      <w:r>
        <w:rPr>
          <w:rFonts w:hint="default"/>
          <w:sz w:val="24"/>
          <w:szCs w:val="24"/>
          <w:lang w:val="en-US" w:eastAsia="zh-CN"/>
        </w:rPr>
        <w:t>3.2</w:t>
      </w:r>
      <w:r>
        <w:rPr>
          <w:rFonts w:hint="eastAsia"/>
          <w:sz w:val="24"/>
          <w:szCs w:val="24"/>
          <w:lang w:val="en-US" w:eastAsia="zh-CN"/>
        </w:rPr>
        <w:t>.</w:t>
      </w:r>
      <w:r>
        <w:rPr>
          <w:rFonts w:hint="default"/>
          <w:sz w:val="24"/>
          <w:szCs w:val="24"/>
          <w:lang w:val="en-US" w:eastAsia="zh-CN"/>
        </w:rPr>
        <w:t>Entry ability of potential competitors</w:t>
      </w:r>
      <w:r>
        <w:rPr>
          <w:sz w:val="24"/>
          <w:szCs w:val="24"/>
        </w:rPr>
        <w:tab/>
      </w:r>
      <w:r>
        <w:rPr>
          <w:sz w:val="24"/>
          <w:szCs w:val="24"/>
        </w:rPr>
        <w:fldChar w:fldCharType="begin"/>
      </w:r>
      <w:r>
        <w:rPr>
          <w:sz w:val="24"/>
          <w:szCs w:val="24"/>
        </w:rPr>
        <w:instrText xml:space="preserve"> PAGEREF _Toc2786 \h </w:instrText>
      </w:r>
      <w:r>
        <w:rPr>
          <w:sz w:val="24"/>
          <w:szCs w:val="24"/>
        </w:rPr>
        <w:fldChar w:fldCharType="separate"/>
      </w:r>
      <w:r>
        <w:rPr>
          <w:sz w:val="24"/>
          <w:szCs w:val="24"/>
        </w:rPr>
        <w:t>12</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_Toc1167 </w:instrText>
      </w:r>
      <w:r>
        <w:rPr>
          <w:sz w:val="24"/>
          <w:szCs w:val="24"/>
        </w:rPr>
        <w:fldChar w:fldCharType="separate"/>
      </w:r>
      <w:r>
        <w:rPr>
          <w:rFonts w:hint="default"/>
          <w:sz w:val="24"/>
          <w:szCs w:val="24"/>
          <w:lang w:val="en-US" w:eastAsia="zh-CN"/>
        </w:rPr>
        <w:t>3.3</w:t>
      </w:r>
      <w:r>
        <w:rPr>
          <w:rFonts w:hint="eastAsia"/>
          <w:sz w:val="24"/>
          <w:szCs w:val="24"/>
          <w:lang w:val="en-US" w:eastAsia="zh-CN"/>
        </w:rPr>
        <w:t>.</w:t>
      </w:r>
      <w:r>
        <w:rPr>
          <w:rFonts w:hint="default"/>
          <w:sz w:val="24"/>
          <w:szCs w:val="24"/>
          <w:lang w:val="en-US" w:eastAsia="zh-CN"/>
        </w:rPr>
        <w:t>The substitution ability of substitutes</w:t>
      </w:r>
      <w:r>
        <w:rPr>
          <w:sz w:val="24"/>
          <w:szCs w:val="24"/>
        </w:rPr>
        <w:tab/>
      </w:r>
      <w:r>
        <w:rPr>
          <w:sz w:val="24"/>
          <w:szCs w:val="24"/>
        </w:rPr>
        <w:fldChar w:fldCharType="begin"/>
      </w:r>
      <w:r>
        <w:rPr>
          <w:sz w:val="24"/>
          <w:szCs w:val="24"/>
        </w:rPr>
        <w:instrText xml:space="preserve"> PAGEREF _Toc1167 \h </w:instrText>
      </w:r>
      <w:r>
        <w:rPr>
          <w:sz w:val="24"/>
          <w:szCs w:val="24"/>
        </w:rPr>
        <w:fldChar w:fldCharType="separate"/>
      </w:r>
      <w:r>
        <w:rPr>
          <w:sz w:val="24"/>
          <w:szCs w:val="24"/>
        </w:rPr>
        <w:t>12</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_Toc27679 </w:instrText>
      </w:r>
      <w:r>
        <w:rPr>
          <w:sz w:val="24"/>
          <w:szCs w:val="24"/>
        </w:rPr>
        <w:fldChar w:fldCharType="separate"/>
      </w:r>
      <w:r>
        <w:rPr>
          <w:rFonts w:hint="default"/>
          <w:sz w:val="24"/>
          <w:szCs w:val="24"/>
          <w:lang w:val="en-US" w:eastAsia="zh-CN"/>
        </w:rPr>
        <w:t>3.5 Bargaining power of the buyers</w:t>
      </w:r>
      <w:r>
        <w:rPr>
          <w:sz w:val="24"/>
          <w:szCs w:val="24"/>
        </w:rPr>
        <w:tab/>
      </w:r>
      <w:r>
        <w:rPr>
          <w:sz w:val="24"/>
          <w:szCs w:val="24"/>
        </w:rPr>
        <w:fldChar w:fldCharType="begin"/>
      </w:r>
      <w:r>
        <w:rPr>
          <w:sz w:val="24"/>
          <w:szCs w:val="24"/>
        </w:rPr>
        <w:instrText xml:space="preserve"> PAGEREF _Toc27679 \h </w:instrText>
      </w:r>
      <w:r>
        <w:rPr>
          <w:sz w:val="24"/>
          <w:szCs w:val="24"/>
        </w:rPr>
        <w:fldChar w:fldCharType="separate"/>
      </w:r>
      <w:r>
        <w:rPr>
          <w:sz w:val="24"/>
          <w:szCs w:val="24"/>
        </w:rPr>
        <w:t>17</w:t>
      </w:r>
      <w:r>
        <w:rPr>
          <w:sz w:val="24"/>
          <w:szCs w:val="24"/>
        </w:rPr>
        <w:fldChar w:fldCharType="end"/>
      </w:r>
      <w:r>
        <w:rPr>
          <w:sz w:val="24"/>
          <w:szCs w:val="24"/>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_Toc30806 </w:instrText>
      </w:r>
      <w:r>
        <w:rPr>
          <w:sz w:val="24"/>
          <w:szCs w:val="24"/>
        </w:rPr>
        <w:fldChar w:fldCharType="separate"/>
      </w:r>
      <w:r>
        <w:rPr>
          <w:rFonts w:hint="eastAsia"/>
          <w:sz w:val="24"/>
          <w:szCs w:val="24"/>
          <w:lang w:val="en-US" w:eastAsia="zh-CN"/>
        </w:rPr>
        <w:t>4 Internal enterprise analysis based on the SWOT model</w:t>
      </w:r>
      <w:r>
        <w:rPr>
          <w:sz w:val="24"/>
          <w:szCs w:val="24"/>
        </w:rPr>
        <w:tab/>
      </w:r>
      <w:r>
        <w:rPr>
          <w:sz w:val="24"/>
          <w:szCs w:val="24"/>
        </w:rPr>
        <w:fldChar w:fldCharType="begin"/>
      </w:r>
      <w:r>
        <w:rPr>
          <w:sz w:val="24"/>
          <w:szCs w:val="24"/>
        </w:rPr>
        <w:instrText xml:space="preserve"> PAGEREF _Toc30806 \h </w:instrText>
      </w:r>
      <w:r>
        <w:rPr>
          <w:sz w:val="24"/>
          <w:szCs w:val="24"/>
        </w:rPr>
        <w:fldChar w:fldCharType="separate"/>
      </w:r>
      <w:r>
        <w:rPr>
          <w:sz w:val="24"/>
          <w:szCs w:val="24"/>
        </w:rPr>
        <w:t>18</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_Toc2283 </w:instrText>
      </w:r>
      <w:r>
        <w:rPr>
          <w:sz w:val="24"/>
          <w:szCs w:val="24"/>
        </w:rPr>
        <w:fldChar w:fldCharType="separate"/>
      </w:r>
      <w:r>
        <w:rPr>
          <w:rFonts w:hint="eastAsia"/>
          <w:sz w:val="24"/>
          <w:szCs w:val="24"/>
          <w:lang w:val="en-US" w:eastAsia="zh-CN"/>
        </w:rPr>
        <w:t>4.1 Advantage S</w:t>
      </w:r>
      <w:r>
        <w:rPr>
          <w:sz w:val="24"/>
          <w:szCs w:val="24"/>
        </w:rPr>
        <w:tab/>
      </w:r>
      <w:r>
        <w:rPr>
          <w:sz w:val="24"/>
          <w:szCs w:val="24"/>
        </w:rPr>
        <w:fldChar w:fldCharType="begin"/>
      </w:r>
      <w:r>
        <w:rPr>
          <w:sz w:val="24"/>
          <w:szCs w:val="24"/>
        </w:rPr>
        <w:instrText xml:space="preserve"> PAGEREF _Toc2283 \h </w:instrText>
      </w:r>
      <w:r>
        <w:rPr>
          <w:sz w:val="24"/>
          <w:szCs w:val="24"/>
        </w:rPr>
        <w:fldChar w:fldCharType="separate"/>
      </w:r>
      <w:r>
        <w:rPr>
          <w:sz w:val="24"/>
          <w:szCs w:val="24"/>
        </w:rPr>
        <w:t>18</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_Toc32169 </w:instrText>
      </w:r>
      <w:r>
        <w:rPr>
          <w:sz w:val="24"/>
          <w:szCs w:val="24"/>
        </w:rPr>
        <w:fldChar w:fldCharType="separate"/>
      </w:r>
      <w:r>
        <w:rPr>
          <w:rFonts w:hint="eastAsia"/>
          <w:sz w:val="24"/>
          <w:szCs w:val="24"/>
          <w:lang w:val="en-US" w:eastAsia="zh-CN"/>
        </w:rPr>
        <w:t>4.2 Disstrength W</w:t>
      </w:r>
      <w:r>
        <w:rPr>
          <w:sz w:val="24"/>
          <w:szCs w:val="24"/>
        </w:rPr>
        <w:tab/>
      </w:r>
      <w:r>
        <w:rPr>
          <w:sz w:val="24"/>
          <w:szCs w:val="24"/>
        </w:rPr>
        <w:fldChar w:fldCharType="begin"/>
      </w:r>
      <w:r>
        <w:rPr>
          <w:sz w:val="24"/>
          <w:szCs w:val="24"/>
        </w:rPr>
        <w:instrText xml:space="preserve"> PAGEREF _Toc32169 \h </w:instrText>
      </w:r>
      <w:r>
        <w:rPr>
          <w:sz w:val="24"/>
          <w:szCs w:val="24"/>
        </w:rPr>
        <w:fldChar w:fldCharType="separate"/>
      </w:r>
      <w:r>
        <w:rPr>
          <w:sz w:val="24"/>
          <w:szCs w:val="24"/>
        </w:rPr>
        <w:t>19</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_Toc6505 </w:instrText>
      </w:r>
      <w:r>
        <w:rPr>
          <w:sz w:val="24"/>
          <w:szCs w:val="24"/>
        </w:rPr>
        <w:fldChar w:fldCharType="separate"/>
      </w:r>
      <w:r>
        <w:rPr>
          <w:rFonts w:hint="eastAsia"/>
          <w:sz w:val="24"/>
          <w:szCs w:val="24"/>
          <w:lang w:val="en-US" w:eastAsia="zh-CN"/>
        </w:rPr>
        <w:t>4.3 Opportunity O</w:t>
      </w:r>
      <w:r>
        <w:rPr>
          <w:sz w:val="24"/>
          <w:szCs w:val="24"/>
        </w:rPr>
        <w:tab/>
      </w:r>
      <w:r>
        <w:rPr>
          <w:sz w:val="24"/>
          <w:szCs w:val="24"/>
        </w:rPr>
        <w:fldChar w:fldCharType="begin"/>
      </w:r>
      <w:r>
        <w:rPr>
          <w:sz w:val="24"/>
          <w:szCs w:val="24"/>
        </w:rPr>
        <w:instrText xml:space="preserve"> PAGEREF _Toc6505 \h </w:instrText>
      </w:r>
      <w:r>
        <w:rPr>
          <w:sz w:val="24"/>
          <w:szCs w:val="24"/>
        </w:rPr>
        <w:fldChar w:fldCharType="separate"/>
      </w:r>
      <w:r>
        <w:rPr>
          <w:sz w:val="24"/>
          <w:szCs w:val="24"/>
        </w:rPr>
        <w:t>20</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_Toc20458 </w:instrText>
      </w:r>
      <w:r>
        <w:rPr>
          <w:sz w:val="24"/>
          <w:szCs w:val="24"/>
        </w:rPr>
        <w:fldChar w:fldCharType="separate"/>
      </w:r>
      <w:r>
        <w:rPr>
          <w:rFonts w:hint="eastAsia"/>
          <w:sz w:val="24"/>
          <w:szCs w:val="24"/>
          <w:lang w:val="en-US" w:eastAsia="zh-CN"/>
        </w:rPr>
        <w:t>4.4 Threat T</w:t>
      </w:r>
      <w:r>
        <w:rPr>
          <w:sz w:val="24"/>
          <w:szCs w:val="24"/>
        </w:rPr>
        <w:tab/>
      </w:r>
      <w:r>
        <w:rPr>
          <w:sz w:val="24"/>
          <w:szCs w:val="24"/>
        </w:rPr>
        <w:fldChar w:fldCharType="begin"/>
      </w:r>
      <w:r>
        <w:rPr>
          <w:sz w:val="24"/>
          <w:szCs w:val="24"/>
        </w:rPr>
        <w:instrText xml:space="preserve"> PAGEREF _Toc20458 \h </w:instrText>
      </w:r>
      <w:r>
        <w:rPr>
          <w:sz w:val="24"/>
          <w:szCs w:val="24"/>
        </w:rPr>
        <w:fldChar w:fldCharType="separate"/>
      </w:r>
      <w:r>
        <w:rPr>
          <w:sz w:val="24"/>
          <w:szCs w:val="24"/>
        </w:rPr>
        <w:t>21</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_Toc26643 </w:instrText>
      </w:r>
      <w:r>
        <w:rPr>
          <w:sz w:val="24"/>
          <w:szCs w:val="24"/>
        </w:rPr>
        <w:fldChar w:fldCharType="separate"/>
      </w:r>
      <w:r>
        <w:rPr>
          <w:rFonts w:hint="default"/>
          <w:sz w:val="24"/>
          <w:szCs w:val="24"/>
          <w:lang w:val="en-US" w:eastAsia="zh-CN"/>
        </w:rPr>
        <w:t>4.5 Conclusion of the SWOT analysis</w:t>
      </w:r>
      <w:r>
        <w:rPr>
          <w:sz w:val="24"/>
          <w:szCs w:val="24"/>
        </w:rPr>
        <w:tab/>
      </w:r>
      <w:r>
        <w:rPr>
          <w:sz w:val="24"/>
          <w:szCs w:val="24"/>
        </w:rPr>
        <w:fldChar w:fldCharType="begin"/>
      </w:r>
      <w:r>
        <w:rPr>
          <w:sz w:val="24"/>
          <w:szCs w:val="24"/>
        </w:rPr>
        <w:instrText xml:space="preserve"> PAGEREF _Toc26643 \h </w:instrText>
      </w:r>
      <w:r>
        <w:rPr>
          <w:sz w:val="24"/>
          <w:szCs w:val="24"/>
        </w:rPr>
        <w:fldChar w:fldCharType="separate"/>
      </w:r>
      <w:r>
        <w:rPr>
          <w:sz w:val="24"/>
          <w:szCs w:val="24"/>
        </w:rPr>
        <w:t>22</w:t>
      </w:r>
      <w:r>
        <w:rPr>
          <w:sz w:val="24"/>
          <w:szCs w:val="24"/>
        </w:rPr>
        <w:fldChar w:fldCharType="end"/>
      </w:r>
      <w:r>
        <w:rPr>
          <w:sz w:val="24"/>
          <w:szCs w:val="24"/>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_Toc3732 </w:instrText>
      </w:r>
      <w:r>
        <w:rPr>
          <w:sz w:val="24"/>
          <w:szCs w:val="24"/>
        </w:rPr>
        <w:fldChar w:fldCharType="separate"/>
      </w:r>
      <w:r>
        <w:rPr>
          <w:rFonts w:hint="default"/>
          <w:snapToGrid w:val="0"/>
          <w:sz w:val="24"/>
          <w:szCs w:val="24"/>
          <w:lang w:val="en-US" w:eastAsia="zh-CN"/>
        </w:rPr>
        <w:t>5</w:t>
      </w:r>
      <w:r>
        <w:rPr>
          <w:rFonts w:hint="eastAsia"/>
          <w:snapToGrid w:val="0"/>
          <w:sz w:val="24"/>
          <w:szCs w:val="24"/>
          <w:lang w:val="en-US" w:eastAsia="zh-CN"/>
        </w:rPr>
        <w:t>.</w:t>
      </w:r>
      <w:r>
        <w:rPr>
          <w:rFonts w:hint="default"/>
          <w:snapToGrid w:val="0"/>
          <w:sz w:val="24"/>
          <w:szCs w:val="24"/>
          <w:lang w:val="en-US" w:eastAsia="zh-CN"/>
        </w:rPr>
        <w:t>Conclusion: Selection of competitive strategy plan</w:t>
      </w:r>
      <w:r>
        <w:rPr>
          <w:sz w:val="24"/>
          <w:szCs w:val="24"/>
        </w:rPr>
        <w:tab/>
      </w:r>
      <w:r>
        <w:rPr>
          <w:sz w:val="24"/>
          <w:szCs w:val="24"/>
        </w:rPr>
        <w:fldChar w:fldCharType="begin"/>
      </w:r>
      <w:r>
        <w:rPr>
          <w:sz w:val="24"/>
          <w:szCs w:val="24"/>
        </w:rPr>
        <w:instrText xml:space="preserve"> PAGEREF _Toc3732 \h </w:instrText>
      </w:r>
      <w:r>
        <w:rPr>
          <w:sz w:val="24"/>
          <w:szCs w:val="24"/>
        </w:rPr>
        <w:fldChar w:fldCharType="separate"/>
      </w:r>
      <w:r>
        <w:rPr>
          <w:sz w:val="24"/>
          <w:szCs w:val="24"/>
        </w:rPr>
        <w:t>25</w:t>
      </w:r>
      <w:r>
        <w:rPr>
          <w:sz w:val="24"/>
          <w:szCs w:val="24"/>
        </w:rPr>
        <w:fldChar w:fldCharType="end"/>
      </w:r>
      <w:r>
        <w:rPr>
          <w:sz w:val="24"/>
          <w:szCs w:val="24"/>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_Toc22821 </w:instrText>
      </w:r>
      <w:r>
        <w:rPr>
          <w:sz w:val="24"/>
          <w:szCs w:val="24"/>
        </w:rPr>
        <w:fldChar w:fldCharType="separate"/>
      </w:r>
      <w:r>
        <w:rPr>
          <w:rFonts w:hint="eastAsia"/>
          <w:sz w:val="24"/>
          <w:szCs w:val="24"/>
          <w:lang w:val="en-US" w:eastAsia="zh-CN"/>
        </w:rPr>
        <w:t>6.Recommendations</w:t>
      </w:r>
      <w:r>
        <w:rPr>
          <w:sz w:val="24"/>
          <w:szCs w:val="24"/>
        </w:rPr>
        <w:tab/>
      </w:r>
      <w:r>
        <w:rPr>
          <w:sz w:val="24"/>
          <w:szCs w:val="24"/>
        </w:rPr>
        <w:fldChar w:fldCharType="begin"/>
      </w:r>
      <w:r>
        <w:rPr>
          <w:sz w:val="24"/>
          <w:szCs w:val="24"/>
        </w:rPr>
        <w:instrText xml:space="preserve"> PAGEREF _Toc22821 \h </w:instrText>
      </w:r>
      <w:r>
        <w:rPr>
          <w:sz w:val="24"/>
          <w:szCs w:val="24"/>
        </w:rPr>
        <w:fldChar w:fldCharType="separate"/>
      </w:r>
      <w:r>
        <w:rPr>
          <w:sz w:val="24"/>
          <w:szCs w:val="24"/>
        </w:rPr>
        <w:t>27</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_Toc27257 </w:instrText>
      </w:r>
      <w:r>
        <w:rPr>
          <w:sz w:val="24"/>
          <w:szCs w:val="24"/>
        </w:rPr>
        <w:fldChar w:fldCharType="separate"/>
      </w:r>
      <w:r>
        <w:rPr>
          <w:rFonts w:hint="default"/>
          <w:sz w:val="24"/>
          <w:szCs w:val="24"/>
          <w:lang w:val="en-US" w:eastAsia="zh-CN"/>
        </w:rPr>
        <w:t>6.1</w:t>
      </w:r>
      <w:r>
        <w:rPr>
          <w:rFonts w:hint="eastAsia"/>
          <w:sz w:val="24"/>
          <w:szCs w:val="24"/>
          <w:lang w:val="en-US" w:eastAsia="zh-CN"/>
        </w:rPr>
        <w:t>.</w:t>
      </w:r>
      <w:r>
        <w:rPr>
          <w:rFonts w:hint="default"/>
          <w:sz w:val="24"/>
          <w:szCs w:val="24"/>
          <w:lang w:val="en-US" w:eastAsia="zh-CN"/>
        </w:rPr>
        <w:t>Integrate the industrial chain upward</w:t>
      </w:r>
      <w:r>
        <w:rPr>
          <w:sz w:val="24"/>
          <w:szCs w:val="24"/>
        </w:rPr>
        <w:tab/>
      </w:r>
      <w:r>
        <w:rPr>
          <w:sz w:val="24"/>
          <w:szCs w:val="24"/>
        </w:rPr>
        <w:fldChar w:fldCharType="begin"/>
      </w:r>
      <w:r>
        <w:rPr>
          <w:sz w:val="24"/>
          <w:szCs w:val="24"/>
        </w:rPr>
        <w:instrText xml:space="preserve"> PAGEREF _Toc27257 \h </w:instrText>
      </w:r>
      <w:r>
        <w:rPr>
          <w:sz w:val="24"/>
          <w:szCs w:val="24"/>
        </w:rPr>
        <w:fldChar w:fldCharType="separate"/>
      </w:r>
      <w:r>
        <w:rPr>
          <w:sz w:val="24"/>
          <w:szCs w:val="24"/>
        </w:rPr>
        <w:t>27</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_Toc14231 </w:instrText>
      </w:r>
      <w:r>
        <w:rPr>
          <w:sz w:val="24"/>
          <w:szCs w:val="24"/>
        </w:rPr>
        <w:fldChar w:fldCharType="separate"/>
      </w:r>
      <w:r>
        <w:rPr>
          <w:rFonts w:hint="eastAsia"/>
          <w:sz w:val="24"/>
          <w:szCs w:val="24"/>
          <w:lang w:val="en-US" w:eastAsia="zh-CN"/>
        </w:rPr>
        <w:t>6.2.Optimize the sales model</w:t>
      </w:r>
      <w:r>
        <w:rPr>
          <w:sz w:val="24"/>
          <w:szCs w:val="24"/>
        </w:rPr>
        <w:tab/>
      </w:r>
      <w:r>
        <w:rPr>
          <w:sz w:val="24"/>
          <w:szCs w:val="24"/>
        </w:rPr>
        <w:fldChar w:fldCharType="begin"/>
      </w:r>
      <w:r>
        <w:rPr>
          <w:sz w:val="24"/>
          <w:szCs w:val="24"/>
        </w:rPr>
        <w:instrText xml:space="preserve"> PAGEREF _Toc14231 \h </w:instrText>
      </w:r>
      <w:r>
        <w:rPr>
          <w:sz w:val="24"/>
          <w:szCs w:val="24"/>
        </w:rPr>
        <w:fldChar w:fldCharType="separate"/>
      </w:r>
      <w:r>
        <w:rPr>
          <w:sz w:val="24"/>
          <w:szCs w:val="24"/>
        </w:rPr>
        <w:t>27</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sz w:val="24"/>
          <w:szCs w:val="24"/>
        </w:rPr>
      </w:pPr>
      <w:r>
        <w:rPr>
          <w:sz w:val="24"/>
          <w:szCs w:val="24"/>
        </w:rPr>
        <w:fldChar w:fldCharType="begin"/>
      </w:r>
      <w:r>
        <w:rPr>
          <w:sz w:val="24"/>
          <w:szCs w:val="24"/>
        </w:rPr>
        <w:instrText xml:space="preserve"> HYPERLINK \l _Toc4190 </w:instrText>
      </w:r>
      <w:r>
        <w:rPr>
          <w:sz w:val="24"/>
          <w:szCs w:val="24"/>
        </w:rPr>
        <w:fldChar w:fldCharType="separate"/>
      </w:r>
      <w:r>
        <w:rPr>
          <w:rFonts w:hint="default"/>
          <w:sz w:val="24"/>
          <w:szCs w:val="24"/>
          <w:lang w:val="en-US" w:eastAsia="zh-CN"/>
        </w:rPr>
        <w:t>6.3</w:t>
      </w:r>
      <w:r>
        <w:rPr>
          <w:rFonts w:hint="eastAsia"/>
          <w:sz w:val="24"/>
          <w:szCs w:val="24"/>
          <w:lang w:val="en-US" w:eastAsia="zh-CN"/>
        </w:rPr>
        <w:t>.</w:t>
      </w:r>
      <w:r>
        <w:rPr>
          <w:rFonts w:hint="default"/>
          <w:sz w:val="24"/>
          <w:szCs w:val="24"/>
          <w:lang w:val="en-US" w:eastAsia="zh-CN"/>
        </w:rPr>
        <w:t>Clarify product positioning</w:t>
      </w:r>
      <w:r>
        <w:rPr>
          <w:rFonts w:hint="eastAsia"/>
          <w:sz w:val="24"/>
          <w:szCs w:val="24"/>
          <w:lang w:val="en-US" w:eastAsia="zh-CN"/>
        </w:rPr>
        <w:t>.</w:t>
      </w:r>
      <w:r>
        <w:rPr>
          <w:rFonts w:hint="default"/>
          <w:sz w:val="24"/>
          <w:szCs w:val="24"/>
          <w:lang w:val="en-US" w:eastAsia="zh-CN"/>
        </w:rPr>
        <w:t>Product positioning</w:t>
      </w:r>
      <w:r>
        <w:rPr>
          <w:sz w:val="24"/>
          <w:szCs w:val="24"/>
        </w:rPr>
        <w:tab/>
      </w:r>
      <w:r>
        <w:rPr>
          <w:sz w:val="24"/>
          <w:szCs w:val="24"/>
        </w:rPr>
        <w:fldChar w:fldCharType="begin"/>
      </w:r>
      <w:r>
        <w:rPr>
          <w:sz w:val="24"/>
          <w:szCs w:val="24"/>
        </w:rPr>
        <w:instrText xml:space="preserve"> PAGEREF _Toc4190 \h </w:instrText>
      </w:r>
      <w:r>
        <w:rPr>
          <w:sz w:val="24"/>
          <w:szCs w:val="24"/>
        </w:rPr>
        <w:fldChar w:fldCharType="separate"/>
      </w:r>
      <w:r>
        <w:rPr>
          <w:sz w:val="24"/>
          <w:szCs w:val="24"/>
        </w:rPr>
        <w:t>28</w:t>
      </w:r>
      <w:r>
        <w:rPr>
          <w:sz w:val="24"/>
          <w:szCs w:val="24"/>
        </w:rPr>
        <w:fldChar w:fldCharType="end"/>
      </w:r>
      <w:r>
        <w:rPr>
          <w:sz w:val="24"/>
          <w:szCs w:val="24"/>
        </w:rPr>
        <w:fldChar w:fldCharType="end"/>
      </w:r>
    </w:p>
    <w:p>
      <w:pPr>
        <w:pStyle w:val="10"/>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rFonts w:hint="eastAsia"/>
          <w:sz w:val="24"/>
          <w:szCs w:val="24"/>
          <w:lang w:val="en-US" w:eastAsia="zh-CN"/>
        </w:rPr>
      </w:pPr>
      <w:r>
        <w:rPr>
          <w:sz w:val="24"/>
          <w:szCs w:val="24"/>
        </w:rPr>
        <w:fldChar w:fldCharType="begin"/>
      </w:r>
      <w:r>
        <w:rPr>
          <w:sz w:val="24"/>
          <w:szCs w:val="24"/>
        </w:rPr>
        <w:instrText xml:space="preserve"> HYPERLINK \l _Toc4190 </w:instrText>
      </w:r>
      <w:r>
        <w:rPr>
          <w:sz w:val="24"/>
          <w:szCs w:val="24"/>
        </w:rPr>
        <w:fldChar w:fldCharType="separate"/>
      </w:r>
      <w:r>
        <w:rPr>
          <w:rFonts w:hint="eastAsia"/>
          <w:sz w:val="24"/>
          <w:szCs w:val="24"/>
          <w:lang w:val="en-US" w:eastAsia="zh-CN"/>
        </w:rPr>
        <w:t>6.4 Strengthen the application of data analysis</w:t>
      </w:r>
      <w:r>
        <w:rPr>
          <w:sz w:val="24"/>
          <w:szCs w:val="24"/>
        </w:rPr>
        <w:tab/>
      </w:r>
      <w:r>
        <w:rPr>
          <w:sz w:val="24"/>
          <w:szCs w:val="24"/>
        </w:rPr>
        <w:fldChar w:fldCharType="begin"/>
      </w:r>
      <w:r>
        <w:rPr>
          <w:sz w:val="24"/>
          <w:szCs w:val="24"/>
        </w:rPr>
        <w:instrText xml:space="preserve"> PAGEREF _Toc4190 \h </w:instrText>
      </w:r>
      <w:r>
        <w:rPr>
          <w:sz w:val="24"/>
          <w:szCs w:val="24"/>
        </w:rPr>
        <w:fldChar w:fldCharType="separate"/>
      </w:r>
      <w:r>
        <w:rPr>
          <w:sz w:val="24"/>
          <w:szCs w:val="24"/>
        </w:rPr>
        <w:t>28</w:t>
      </w:r>
      <w:r>
        <w:rPr>
          <w:sz w:val="24"/>
          <w:szCs w:val="24"/>
        </w:rPr>
        <w:fldChar w:fldCharType="end"/>
      </w:r>
      <w:r>
        <w:rPr>
          <w:sz w:val="24"/>
          <w:szCs w:val="24"/>
        </w:rPr>
        <w:fldChar w:fldCharType="end"/>
      </w:r>
    </w:p>
    <w:p>
      <w:pPr>
        <w:pStyle w:val="8"/>
        <w:keepNext w:val="0"/>
        <w:keepLines w:val="0"/>
        <w:pageBreakBefore w:val="0"/>
        <w:widowControl/>
        <w:tabs>
          <w:tab w:val="right" w:leader="dot" w:pos="8306"/>
        </w:tabs>
        <w:kinsoku/>
        <w:wordWrap/>
        <w:overflowPunct/>
        <w:topLinePunct w:val="0"/>
        <w:autoSpaceDE/>
        <w:autoSpaceDN/>
        <w:bidi w:val="0"/>
        <w:adjustRightInd/>
        <w:snapToGrid/>
        <w:spacing w:line="240" w:lineRule="auto"/>
        <w:ind w:firstLine="0" w:firstLineChars="0"/>
        <w:textAlignment w:val="auto"/>
        <w:rPr>
          <w:rFonts w:hint="default" w:eastAsia="宋体"/>
          <w:sz w:val="24"/>
          <w:szCs w:val="24"/>
          <w:lang w:val="en-US" w:eastAsia="zh-CN"/>
        </w:rPr>
      </w:pPr>
      <w:r>
        <w:rPr>
          <w:rFonts w:hint="eastAsia"/>
          <w:sz w:val="24"/>
          <w:szCs w:val="24"/>
          <w:lang w:val="en-US" w:eastAsia="zh-CN"/>
        </w:rPr>
        <w:t>Reference</w:t>
      </w:r>
      <w:r>
        <w:rPr>
          <w:sz w:val="24"/>
          <w:szCs w:val="24"/>
        </w:rPr>
        <w:tab/>
      </w:r>
      <w:r>
        <w:rPr>
          <w:rFonts w:hint="eastAsia"/>
          <w:sz w:val="24"/>
          <w:szCs w:val="24"/>
          <w:lang w:val="en-US" w:eastAsia="zh-CN"/>
        </w:rPr>
        <w:t>30</w:t>
      </w:r>
    </w:p>
    <w:p/>
    <w:p/>
    <w:p>
      <w:r>
        <w:br w:type="page"/>
      </w:r>
    </w:p>
    <w:p>
      <w:pPr>
        <w:sectPr>
          <w:footerReference r:id="rId5" w:type="default"/>
          <w:pgSz w:w="11906" w:h="16838"/>
          <w:pgMar w:top="1440" w:right="1800" w:bottom="1440" w:left="1800" w:header="851" w:footer="992" w:gutter="0"/>
          <w:pgBorders>
            <w:top w:val="none" w:sz="0" w:space="0"/>
            <w:left w:val="none" w:sz="0" w:space="0"/>
            <w:bottom w:val="none" w:sz="0" w:space="0"/>
            <w:right w:val="none" w:sz="0" w:space="0"/>
          </w:pgBorders>
          <w:pgNumType w:start="1"/>
          <w:cols w:space="425" w:num="1"/>
          <w:docGrid w:type="lines" w:linePitch="312" w:charSpace="0"/>
        </w:sectPr>
      </w:pPr>
    </w:p>
    <w:p>
      <w:pPr>
        <w:pageBreakBefore w:val="0"/>
        <w:widowControl/>
        <w:kinsoku/>
        <w:overflowPunct/>
        <w:topLinePunct w:val="0"/>
        <w:autoSpaceDE/>
        <w:autoSpaceDN/>
        <w:bidi w:val="0"/>
        <w:adjustRightInd/>
        <w:snapToGrid/>
        <w:spacing w:line="480" w:lineRule="auto"/>
        <w:ind w:left="0" w:leftChars="0" w:firstLine="0" w:firstLineChars="0"/>
        <w:jc w:val="both"/>
        <w:textAlignment w:val="auto"/>
        <w:rPr>
          <w:rFonts w:hint="eastAsia" w:ascii="Times New Roman" w:hAnsi="Times New Roman"/>
          <w:caps w:val="0"/>
          <w:sz w:val="24"/>
          <w:szCs w:val="24"/>
          <w:lang w:val="en-US" w:eastAsia="zh-CN"/>
        </w:rPr>
      </w:pPr>
      <w:r>
        <w:fldChar w:fldCharType="end"/>
      </w:r>
      <w:r>
        <w:rPr>
          <w:rFonts w:hint="eastAsia" w:ascii="Times New Roman" w:hAnsi="Times New Roman"/>
          <w:b/>
          <w:bCs/>
          <w:caps w:val="0"/>
          <w:sz w:val="24"/>
          <w:szCs w:val="24"/>
          <w:lang w:val="en-US" w:eastAsia="zh-CN"/>
        </w:rPr>
        <w:t xml:space="preserve">Executive summary: </w:t>
      </w:r>
      <w:r>
        <w:rPr>
          <w:rFonts w:hint="eastAsia" w:ascii="Times New Roman" w:hAnsi="Times New Roman"/>
          <w:caps w:val="0"/>
          <w:sz w:val="24"/>
          <w:szCs w:val="24"/>
          <w:lang w:val="en-US" w:eastAsia="zh-CN"/>
        </w:rPr>
        <w:t>The traditional automobile industry is now being impacted by the rapid development of science and technology. Because of the emergence of new energy, traditional automobile enterprises have been able to find new development opportunities, and some have begun to shift toward new energy vehicles. In light of this, BYD has begun the transition from traditional vehicles to new energy vehicles. By using BYD as the analysis object, this paper examines BYD's corporate strategy.Based on a summary of BYD's current situation, it employs the PEST model at the macro level, the Porter's Five Forces model at the industry level, and the SWOT model within the enterprise. It compares the basic strategic types of BYD's overall competitive advantage across three dimensions and recommends that it begin with a cost priority strategy and a differentiation strategy. Using a cost-priority strategy, increased R&amp;D investment, supply chain optimization, and a differentiation strategy as a supplement, create product differentiation, marketing differentiation, and technology differentiation to stand out in fierce domestic and international industry competition.</w:t>
      </w:r>
    </w:p>
    <w:p>
      <w:pPr>
        <w:pStyle w:val="2"/>
        <w:pageBreakBefore w:val="0"/>
        <w:widowControl/>
        <w:kinsoku/>
        <w:overflowPunct/>
        <w:topLinePunct w:val="0"/>
        <w:autoSpaceDE/>
        <w:autoSpaceDN/>
        <w:bidi w:val="0"/>
        <w:adjustRightInd/>
        <w:snapToGrid/>
        <w:spacing w:line="480" w:lineRule="auto"/>
        <w:textAlignment w:val="auto"/>
        <w:rPr>
          <w:rFonts w:hint="eastAsia"/>
          <w:lang w:val="en-US" w:eastAsia="zh-CN"/>
        </w:rPr>
      </w:pPr>
      <w:bookmarkStart w:id="4" w:name="_Toc7590"/>
      <w:r>
        <w:rPr>
          <w:rFonts w:hint="eastAsia"/>
          <w:lang w:val="en-US" w:eastAsia="zh-CN"/>
        </w:rPr>
        <w:t>1.Introduction</w:t>
      </w:r>
      <w:bookmarkEnd w:id="4"/>
    </w:p>
    <w:p>
      <w:pPr>
        <w:pStyle w:val="4"/>
        <w:keepNext/>
        <w:keepLines/>
        <w:pageBreakBefore w:val="0"/>
        <w:widowControl/>
        <w:kinsoku/>
        <w:wordWrap/>
        <w:overflowPunct/>
        <w:topLinePunct w:val="0"/>
        <w:autoSpaceDE/>
        <w:autoSpaceDN/>
        <w:bidi w:val="0"/>
        <w:adjustRightInd/>
        <w:snapToGrid/>
        <w:spacing w:line="480" w:lineRule="auto"/>
        <w:jc w:val="both"/>
        <w:textAlignment w:val="auto"/>
        <w:rPr>
          <w:rFonts w:hint="default"/>
          <w:b w:val="0"/>
          <w:bCs/>
          <w:sz w:val="24"/>
          <w:szCs w:val="24"/>
          <w:lang w:val="en-US" w:eastAsia="zh-CN"/>
        </w:rPr>
      </w:pPr>
      <w:bookmarkStart w:id="5" w:name="_Toc13910"/>
      <w:r>
        <w:rPr>
          <w:rFonts w:hint="default"/>
          <w:b w:val="0"/>
          <w:bCs/>
          <w:sz w:val="24"/>
          <w:szCs w:val="24"/>
          <w:lang w:val="en-US" w:eastAsia="zh-CN"/>
        </w:rPr>
        <w:t>BYD Co., Ltd. was established in 1995 and has its headquarters in Shenzhen, Guangdong. It is one of the top 500 firms in China and is listed in both Shenzhen and Hong Kong. Electronics, autos, new energy, and rail transportation are the primary industries. As soon as it was established, the firm started to produce and sell cars using its cutting-edge battery technology, and over time it rose to become a well-known domestic automaker in China. BYD constantly follows three "separate" paradigms of development (independent research and development, independent brand and independent development).It has developed dozens of processing factories and car industry bases both domestically and internationally after years of steady and quick expansion, and its industrial chain has stretched over the entire world. Its industrial layout is continuously getting better because to its R&amp;D prowess and inventive development approach. The manufacture, core technology, and research and development of new energy vehicles have all surpassed international standards.</w:t>
      </w:r>
    </w:p>
    <w:p>
      <w:pPr>
        <w:rPr>
          <w:rFonts w:hint="default"/>
          <w:b w:val="0"/>
          <w:bCs/>
          <w:sz w:val="24"/>
          <w:szCs w:val="24"/>
          <w:lang w:val="en-US" w:eastAsia="zh-CN"/>
        </w:rPr>
      </w:pPr>
    </w:p>
    <w:p>
      <w:pPr>
        <w:rPr>
          <w:rFonts w:hint="default"/>
          <w:b w:val="0"/>
          <w:bCs/>
          <w:sz w:val="24"/>
          <w:szCs w:val="24"/>
          <w:lang w:val="en-US" w:eastAsia="zh-CN"/>
        </w:rPr>
      </w:pPr>
    </w:p>
    <w:p>
      <w:pPr>
        <w:rPr>
          <w:rFonts w:hint="default"/>
          <w:b w:val="0"/>
          <w:bCs/>
          <w:sz w:val="24"/>
          <w:szCs w:val="24"/>
          <w:lang w:val="en-US" w:eastAsia="zh-CN"/>
        </w:rPr>
      </w:pPr>
    </w:p>
    <w:p>
      <w:pPr>
        <w:rPr>
          <w:rFonts w:hint="default"/>
          <w:b w:val="0"/>
          <w:bCs/>
          <w:sz w:val="24"/>
          <w:szCs w:val="24"/>
          <w:lang w:val="en-US" w:eastAsia="zh-CN"/>
        </w:rPr>
      </w:pPr>
    </w:p>
    <w:p>
      <w:pPr>
        <w:rPr>
          <w:rFonts w:hint="default"/>
          <w:b w:val="0"/>
          <w:bCs/>
          <w:sz w:val="24"/>
          <w:szCs w:val="24"/>
          <w:lang w:val="en-US" w:eastAsia="zh-CN"/>
        </w:rPr>
      </w:pPr>
    </w:p>
    <w:p>
      <w:pPr>
        <w:rPr>
          <w:rFonts w:hint="default"/>
          <w:b w:val="0"/>
          <w:bCs/>
          <w:sz w:val="24"/>
          <w:szCs w:val="24"/>
          <w:lang w:val="en-US" w:eastAsia="zh-CN"/>
        </w:rPr>
      </w:pPr>
    </w:p>
    <w:p>
      <w:pPr>
        <w:pStyle w:val="4"/>
        <w:keepNext/>
        <w:keepLines/>
        <w:pageBreakBefore w:val="0"/>
        <w:widowControl/>
        <w:kinsoku/>
        <w:wordWrap/>
        <w:overflowPunct/>
        <w:topLinePunct w:val="0"/>
        <w:autoSpaceDE/>
        <w:autoSpaceDN/>
        <w:bidi w:val="0"/>
        <w:adjustRightInd/>
        <w:snapToGrid/>
        <w:spacing w:line="480" w:lineRule="auto"/>
        <w:jc w:val="center"/>
        <w:textAlignment w:val="auto"/>
        <w:rPr>
          <w:rFonts w:hint="default"/>
          <w:sz w:val="24"/>
          <w:szCs w:val="24"/>
          <w:lang w:val="en-US" w:eastAsia="zh-CN"/>
        </w:rPr>
      </w:pPr>
      <w:r>
        <w:rPr>
          <w:rFonts w:hint="eastAsia"/>
          <w:sz w:val="24"/>
          <w:szCs w:val="24"/>
          <w:lang w:val="en-US" w:eastAsia="zh-CN"/>
        </w:rPr>
        <w:t>Table 1-1 BYD basic information</w:t>
      </w:r>
      <w:bookmarkEnd w:id="5"/>
    </w:p>
    <w:tbl>
      <w:tblPr>
        <w:tblStyle w:val="19"/>
        <w:tblW w:w="8556" w:type="dxa"/>
        <w:tblInd w:w="0" w:type="dxa"/>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Layout w:type="fixed"/>
        <w:tblCellMar>
          <w:top w:w="0" w:type="dxa"/>
          <w:left w:w="108" w:type="dxa"/>
          <w:bottom w:w="0" w:type="dxa"/>
          <w:right w:w="108" w:type="dxa"/>
        </w:tblCellMar>
      </w:tblPr>
      <w:tblGrid>
        <w:gridCol w:w="1937"/>
        <w:gridCol w:w="1697"/>
        <w:gridCol w:w="1414"/>
        <w:gridCol w:w="3508"/>
      </w:tblGrid>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90" w:hRule="atLeast"/>
        </w:trPr>
        <w:tc>
          <w:tcPr>
            <w:tcW w:w="1937" w:type="dxa"/>
            <w:tcBorders>
              <w:insideV w:val="single" w:sz="4" w:space="0"/>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default" w:ascii="Times New Roman" w:hAnsi="Times New Roman"/>
                <w:b w:val="0"/>
                <w:bCs w:val="0"/>
                <w:caps w:val="0"/>
                <w:kern w:val="0"/>
                <w:sz w:val="24"/>
                <w:szCs w:val="24"/>
              </w:rPr>
              <w:t>corporate name</w:t>
            </w:r>
          </w:p>
        </w:tc>
        <w:tc>
          <w:tcPr>
            <w:tcW w:w="6619" w:type="dxa"/>
            <w:gridSpan w:val="3"/>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Byd Co.</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Ltd</w:t>
            </w:r>
          </w:p>
        </w:tc>
      </w:tr>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335" w:hRule="atLeast"/>
        </w:trPr>
        <w:tc>
          <w:tcPr>
            <w:tcW w:w="1937" w:type="dxa"/>
            <w:tcBorders>
              <w:insideV w:val="single" w:sz="4" w:space="0"/>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date of establishment</w:t>
            </w:r>
          </w:p>
        </w:tc>
        <w:tc>
          <w:tcPr>
            <w:tcW w:w="1697"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In 1995,</w:t>
            </w:r>
          </w:p>
        </w:tc>
        <w:tc>
          <w:tcPr>
            <w:tcW w:w="1414"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registered capital</w:t>
            </w:r>
          </w:p>
        </w:tc>
        <w:tc>
          <w:tcPr>
            <w:tcW w:w="3508"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two billion</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nine hundred and eleven million</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one hundred and forty-three thousand yuan</w:t>
            </w:r>
          </w:p>
        </w:tc>
      </w:tr>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434" w:hRule="atLeast"/>
        </w:trPr>
        <w:tc>
          <w:tcPr>
            <w:tcW w:w="1937" w:type="dxa"/>
            <w:tcBorders>
              <w:insideV w:val="single" w:sz="4" w:space="0"/>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The largest shareholder</w:t>
            </w:r>
          </w:p>
        </w:tc>
        <w:tc>
          <w:tcPr>
            <w:tcW w:w="1697"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Wang Chuanfu</w:t>
            </w:r>
          </w:p>
        </w:tc>
        <w:tc>
          <w:tcPr>
            <w:tcW w:w="1414"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shareholding ratio</w:t>
            </w:r>
          </w:p>
        </w:tc>
        <w:tc>
          <w:tcPr>
            <w:tcW w:w="3508"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18.83%</w:t>
            </w:r>
          </w:p>
        </w:tc>
      </w:tr>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599" w:hRule="atLeast"/>
        </w:trPr>
        <w:tc>
          <w:tcPr>
            <w:tcW w:w="1937" w:type="dxa"/>
            <w:tcBorders>
              <w:insideV w:val="single" w:sz="4" w:space="0"/>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Industry types</w:t>
            </w:r>
          </w:p>
        </w:tc>
        <w:tc>
          <w:tcPr>
            <w:tcW w:w="1697"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manufacturing industry</w:t>
            </w:r>
          </w:p>
        </w:tc>
        <w:tc>
          <w:tcPr>
            <w:tcW w:w="1414"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Main composition</w:t>
            </w:r>
          </w:p>
        </w:tc>
        <w:tc>
          <w:tcPr>
            <w:tcW w:w="3508" w:type="dxa"/>
            <w:tcBorders>
              <w:tl2br w:val="nil"/>
              <w:tr2bl w:val="nil"/>
            </w:tcBorders>
            <w:shd w:val="clear" w:color="auto" w:fill="auto"/>
          </w:tcPr>
          <w:p>
            <w:pPr>
              <w:pageBreakBefore w:val="0"/>
              <w:widowControl/>
              <w:numPr>
                <w:ilvl w:val="0"/>
                <w:numId w:val="0"/>
              </w:numPr>
              <w:kinsoku/>
              <w:wordWrap/>
              <w:overflowPunct/>
              <w:topLinePunct w:val="0"/>
              <w:autoSpaceDE/>
              <w:autoSpaceDN/>
              <w:bidi w:val="0"/>
              <w:adjustRightInd/>
              <w:snapToGrid/>
              <w:spacing w:line="480" w:lineRule="auto"/>
              <w:ind w:leftChars="0" w:firstLine="0" w:firstLineChars="0"/>
              <w:jc w:val="center"/>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Automobile</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mobile phone parts and assembly</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secondary charging</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battery and photovoltaic</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rail transit</w:t>
            </w:r>
          </w:p>
        </w:tc>
      </w:tr>
    </w:tbl>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p>
    <w:p>
      <w:pPr>
        <w:bidi w:val="0"/>
        <w:ind w:left="0" w:leftChars="0" w:firstLine="0" w:firstLineChars="0"/>
        <w:rPr>
          <w:rFonts w:hint="default"/>
          <w:lang w:val="en-US" w:eastAsia="zh-CN"/>
        </w:rPr>
      </w:pPr>
      <w:bookmarkStart w:id="6" w:name="_Toc23450"/>
      <w:r>
        <w:rPr>
          <w:rFonts w:hint="default"/>
          <w:lang w:val="en-US" w:eastAsia="zh-CN"/>
        </w:rPr>
        <w:t>BYD currently holds an unshakeable position in many fields, including lithium battery manufacturing, automobile manufacturing, and urban rail transit. It produces a variety of fuel vehicle products, industrial models, vehicle parts, dual model trams and pure trams. Qin, Tang, Song, Yuan, E6, EV300, and other series are the main representative models. "Moving towards the new" is BYD's core brand concept.The fundamental point is that firms should aim for broad breakthroughs in new technologies, industries, energy, channels, and businesses. It has established an industrial cluster network with new energy as its focal point, encompassing power batteries, intelligent accessories, and urban rail transit. According to BYD's production and marketing bulletin, the company would sell 1.628 million vehicles from January to November 2022, an increase of 219.38% year on year.</w:t>
      </w:r>
    </w:p>
    <w:p>
      <w:pPr>
        <w:pStyle w:val="2"/>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eastAsia"/>
          <w:lang w:val="en-US" w:eastAsia="zh-CN"/>
        </w:rPr>
        <w:t>2.Macroscopic environment analysis based on the PEST model</w:t>
      </w:r>
      <w:bookmarkEnd w:id="6"/>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7" w:name="_Toc4680"/>
      <w:r>
        <w:rPr>
          <w:rFonts w:hint="default"/>
          <w:lang w:val="en-US" w:eastAsia="zh-CN"/>
        </w:rPr>
        <w:t>2.1</w:t>
      </w:r>
      <w:r>
        <w:rPr>
          <w:rFonts w:hint="eastAsia"/>
          <w:lang w:val="en-US" w:eastAsia="zh-CN"/>
        </w:rPr>
        <w:t>.</w:t>
      </w:r>
      <w:r>
        <w:rPr>
          <w:rFonts w:hint="default"/>
          <w:lang w:val="en-US" w:eastAsia="zh-CN"/>
        </w:rPr>
        <w:t>Political environment</w:t>
      </w:r>
      <w:bookmarkEnd w:id="7"/>
    </w:p>
    <w:p>
      <w:pPr>
        <w:bidi w:val="0"/>
        <w:ind w:left="0" w:leftChars="0" w:firstLine="0" w:firstLineChars="0"/>
        <w:rPr>
          <w:rFonts w:hint="eastAsia"/>
          <w:lang w:val="en-US" w:eastAsia="zh-CN"/>
        </w:rPr>
      </w:pPr>
      <w:r>
        <w:rPr>
          <w:rFonts w:hint="eastAsia" w:ascii="Times New Roman" w:hAnsi="Times New Roman"/>
          <w:caps w:val="0"/>
          <w:szCs w:val="24"/>
          <w:lang w:val="en-US" w:eastAsia="zh-CN"/>
        </w:rPr>
        <w:t xml:space="preserve">The new energy vehicle sector in China has gained national strategic backing, and its development vigour benefits from China's strategic planning and local supporting policies. China has been running a new energy vehicle trial programme since 2009. The municipal administration has pushed for the implementation of a number of energy initiatives. It has made pricing efforts by lowering the cost of new energy vehicles, boosting subsidies for production and operation, and offering subsidies and preferential treatment for the issuance of new energy licences.However, as of 2018, the Chinese government had drastically altered the new energy subsidy criteria and tightened the subsidy amount. Subsidy items are also transmitted from manufacturers to consumers at the same time. On this basis, the profit route of certain new energy vehicle firms that rely on subsidies has been effectively barred, supporting industry </w:t>
      </w:r>
      <w:r>
        <w:rPr>
          <w:rFonts w:hint="eastAsia"/>
          <w:lang w:val="en-US" w:eastAsia="zh-CN"/>
        </w:rPr>
        <w:t>change and upgrading.</w:t>
      </w:r>
    </w:p>
    <w:p>
      <w:pPr>
        <w:bidi w:val="0"/>
        <w:ind w:left="0" w:leftChars="0" w:firstLine="0" w:firstLineChars="0"/>
        <w:rPr>
          <w:rFonts w:hint="default"/>
          <w:lang w:val="en-US" w:eastAsia="zh-CN"/>
        </w:rPr>
      </w:pPr>
      <w:bookmarkStart w:id="8" w:name="_Toc23938"/>
      <w:r>
        <w:rPr>
          <w:rFonts w:hint="default"/>
          <w:lang w:val="en-US" w:eastAsia="zh-CN"/>
        </w:rPr>
        <w:t>Thanks to the adoption of preferential policies of local governments,the new energy vehicle sector has achieved fast development since 2014. The growth rate of new energy vehicle manufacturing declined in 2016 and 2017, as a result of the fall in local government subsidy schemes. Since 2019, the pandemic has had a negative impact on the manufacturing and sales of new energy cars.However, according to the China Association of Automobile Manufacturers, in 2021, China's production and sales of new energy cars will reach 3.545 million and 3.521 million units, respectively, representing a 1.6-fold rise year on year. In the longer run,under the supervision of China's core national policy of "carbon peak and carbon neutral",the new energy vehicle sector is likely to enter the dividend phase of fast development again. BYD has demonstrated its worldwide strong core competitiveness via years of work and different elements of product architecture.</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2.2</w:t>
      </w:r>
      <w:r>
        <w:rPr>
          <w:rFonts w:hint="eastAsia"/>
          <w:lang w:val="en-US" w:eastAsia="zh-CN"/>
        </w:rPr>
        <w:t>.</w:t>
      </w:r>
      <w:r>
        <w:rPr>
          <w:rFonts w:hint="default"/>
          <w:lang w:val="en-US" w:eastAsia="zh-CN"/>
        </w:rPr>
        <w:t>Economic environment</w:t>
      </w:r>
      <w:bookmarkEnd w:id="8"/>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In terms of the external economic environment, the world economy has steadily entered a stage of structural transformation since 2020, with poor investment and trade. The world's biggest economies are sinking faster than projected, while emerging markets and other developing economies are experiencing financial turbulence as a result of the global pandemic.</w:t>
      </w:r>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In terms of the domestic economic climate, China's economy is fast developing, and its economic growth rate remains among the world's major economies. According to China fund news, China's economy will reach 110 trillion yuan in 2021, an increase of 8.1% over the previous year. In general, in the new energy automobile industry upgrading, the good economic situation will continue to improve consumer confidence, to promote the development of Chinese car companies industry plays a positive role, and also provides a good economic environment for car companies business development.In terms of national income, the growth rate of rural residents' income is quicker than that of urban residents' income, and rural residents' consumption level is also expanding at the same time. However, the penetration rate of new energy vehicles in small towns and rural areas is low, therefore one of the issues that new energy vehicle companies must address is boosting the penetration rate of new energy vehicles in small cities and rural areas and developing domestic demand.</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9" w:name="_Toc17907"/>
      <w:r>
        <w:rPr>
          <w:rFonts w:hint="default"/>
          <w:lang w:val="en-US" w:eastAsia="zh-CN"/>
        </w:rPr>
        <w:t>2.3</w:t>
      </w:r>
      <w:r>
        <w:rPr>
          <w:rFonts w:hint="eastAsia"/>
          <w:lang w:val="en-US" w:eastAsia="zh-CN"/>
        </w:rPr>
        <w:t>.</w:t>
      </w:r>
      <w:r>
        <w:rPr>
          <w:rFonts w:hint="default"/>
          <w:lang w:val="en-US" w:eastAsia="zh-CN"/>
        </w:rPr>
        <w:t>Social environment</w:t>
      </w:r>
      <w:bookmarkEnd w:id="9"/>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eastAsia" w:ascii="Times New Roman" w:hAnsi="Times New Roman"/>
          <w:caps w:val="0"/>
          <w:sz w:val="24"/>
          <w:szCs w:val="24"/>
          <w:lang w:val="en-US" w:eastAsia="zh-CN"/>
        </w:rPr>
        <w:t>First, consider environmental safeguards. People have become increasingly concerned about the environmental concerns caused by motor vehicles in recent years, owing to increased environmental contamination. Countries all over the world have begun to support "low-carbon travel" in order to minimise vehicle emissions. New energy cars have low energy consumption and emissions, allowing them to not only implement China's sustainable development policy, but also contribute to the present "two-carbon" target.</w:t>
      </w:r>
      <w:r>
        <w:rPr>
          <w:rFonts w:hint="default" w:ascii="Times New Roman" w:hAnsi="Times New Roman"/>
          <w:caps w:val="0"/>
          <w:sz w:val="24"/>
          <w:szCs w:val="24"/>
          <w:lang w:val="en-US" w:eastAsia="zh-CN"/>
        </w:rPr>
        <w:t>As a result, new energy vehicles have progressively reached the public's consciousness. The expansion of the new energy vehicle market has created a favourable development environment for BYD firms. Initially,BYD automobiles were mainly consumed by the Chinese government and huge state-owned companies. However, when consumer attitudes and policies shifted, the share of individual purchases began to climb. As a result, BYD grasped the market opportunity and increased production in 2015 in order to capture a specific market share.</w:t>
      </w:r>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lang w:val="en-US" w:eastAsia="zh-CN"/>
        </w:rPr>
      </w:pPr>
      <w:r>
        <w:rPr>
          <w:rFonts w:hint="eastAsia" w:ascii="Times New Roman" w:hAnsi="Times New Roman"/>
          <w:caps w:val="0"/>
          <w:sz w:val="24"/>
          <w:szCs w:val="24"/>
          <w:lang w:val="en-US" w:eastAsia="zh-CN"/>
        </w:rPr>
        <w:t>Second, consider the consumption notion. However, since 2018, local government policies have shifted and government subsidies have begun to decline. Consumers are becoming wary due to the high cost of new energy vehicles. However, as Chinese citizens grow more environmentally conscious and the prices of energy sources such as gasoline climb, individuals are beginning to consider new energy vehicles when purchasing cars. According to media polls, when purchasing new energy vehicles, buyers would prioritise driving expenses, safety, car quality, and driving pleasure. Furthermore, factors influencing purchasing decisions include consumer attitudes, environmental awareness, and lifestyle changes.</w:t>
      </w:r>
    </w:p>
    <w:p>
      <w:pPr>
        <w:bidi w:val="0"/>
        <w:ind w:left="0" w:leftChars="0" w:firstLine="0" w:firstLineChars="0"/>
        <w:rPr>
          <w:rFonts w:hint="eastAsia"/>
          <w:lang w:val="en-US" w:eastAsia="zh-CN"/>
        </w:rPr>
      </w:pPr>
      <w:bookmarkStart w:id="10" w:name="_Toc9840"/>
      <w:r>
        <w:rPr>
          <w:rFonts w:hint="eastAsia"/>
          <w:lang w:val="en-US" w:eastAsia="zh-CN"/>
        </w:rPr>
        <w:t>Third, consider the other factors. Online car-hailing and car-sharing have become more popular ways of transportation for Chinese citizens in recent years. to a single a person's attention. In general, when consumers have more and more options, they have increasingly stringent standards on the performance and service of automobiles, and they also pay greater attention to the individualised and differentiated demands of products.</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2.4</w:t>
      </w:r>
      <w:r>
        <w:rPr>
          <w:rFonts w:hint="eastAsia"/>
          <w:lang w:val="en-US" w:eastAsia="zh-CN"/>
        </w:rPr>
        <w:t>.</w:t>
      </w:r>
      <w:r>
        <w:rPr>
          <w:rFonts w:hint="default"/>
          <w:lang w:val="en-US" w:eastAsia="zh-CN"/>
        </w:rPr>
        <w:t>Technical environment</w:t>
      </w:r>
      <w:bookmarkEnd w:id="10"/>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lang w:val="en-US" w:eastAsia="zh-CN"/>
        </w:rPr>
      </w:pPr>
      <w:r>
        <w:rPr>
          <w:rFonts w:hint="eastAsia" w:ascii="Times New Roman" w:hAnsi="Times New Roman"/>
          <w:caps w:val="0"/>
          <w:sz w:val="24"/>
          <w:szCs w:val="24"/>
          <w:lang w:val="en-US" w:eastAsia="zh-CN"/>
        </w:rPr>
        <w:t>As China's competitors in the new energy vehicle business grow, government subsidies have begun to decline. As a result, in order to increase its competitiveness, BYD must pay attention to manufacturing cost control while simultaneously continuing to strengthen development and investment in new goods.</w:t>
      </w:r>
    </w:p>
    <w:p>
      <w:pPr>
        <w:pageBreakBefore w:val="0"/>
        <w:widowControl/>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lang w:val="en-US" w:eastAsia="zh-CN"/>
        </w:rPr>
      </w:pPr>
      <w:r>
        <w:rPr>
          <w:rFonts w:hint="eastAsia" w:ascii="Times New Roman" w:hAnsi="Times New Roman"/>
          <w:caps w:val="0"/>
          <w:sz w:val="24"/>
          <w:szCs w:val="24"/>
          <w:lang w:val="en-US" w:eastAsia="zh-CN"/>
        </w:rPr>
        <w:t>The three main sections of a standard fuel car are the battery, electronic control, and motor, whereas the three primary power systems of an electric car are the battery, electronic control, and motor. The energy source of modern energy vehicles is the battery. It is possible to evolve it from a lead-acid cell to a Japanese hybrid NI-MH battery and eventually to the presently popular lithium battery. Cell phones and power packs are significant impediments for the growth of independent firms.Because of BYD's independent innovation philosophy, it has become the world's first automobile manufacturer to simultaneously use three core technologies: battery, motor, and electronic control, and it is the world's top power battery maker. Byd created the "542 strategy" for technology (5:100 km acceleration less than 5 seconds; 4: full time electric four-wheel drive,2:100 km fuel consumption less than 2 liters). However, BYD's technology still has several limitations, such as expensive battery prices and limited range. Technology plays a critical role in the development of the new energy vehicle industry. It can only thrive in the domestic new energy vehicle market and acquire international reputation if it consistently promotes technological improvement.</w:t>
      </w:r>
    </w:p>
    <w:p>
      <w:pPr>
        <w:pStyle w:val="2"/>
        <w:pageBreakBefore w:val="0"/>
        <w:widowControl/>
        <w:numPr>
          <w:ilvl w:val="0"/>
          <w:numId w:val="1"/>
        </w:numPr>
        <w:kinsoku/>
        <w:overflowPunct/>
        <w:topLinePunct w:val="0"/>
        <w:autoSpaceDE/>
        <w:autoSpaceDN/>
        <w:bidi w:val="0"/>
        <w:adjustRightInd/>
        <w:snapToGrid/>
        <w:spacing w:line="480" w:lineRule="auto"/>
        <w:textAlignment w:val="auto"/>
        <w:rPr>
          <w:rFonts w:hint="eastAsia"/>
          <w:lang w:val="en-US" w:eastAsia="zh-CN"/>
        </w:rPr>
      </w:pPr>
      <w:bookmarkStart w:id="11" w:name="_Toc3835"/>
      <w:r>
        <w:rPr>
          <w:rFonts w:hint="eastAsia"/>
          <w:lang w:val="en-US" w:eastAsia="zh-CN"/>
        </w:rPr>
        <w:t>Industry environment analysis based on the Porter's five-force model</w:t>
      </w:r>
      <w:bookmarkEnd w:id="11"/>
    </w:p>
    <w:p>
      <w:pPr>
        <w:pStyle w:val="3"/>
        <w:pageBreakBefore w:val="0"/>
        <w:widowControl/>
        <w:kinsoku/>
        <w:overflowPunct/>
        <w:topLinePunct w:val="0"/>
        <w:autoSpaceDE/>
        <w:autoSpaceDN/>
        <w:bidi w:val="0"/>
        <w:adjustRightInd/>
        <w:snapToGrid/>
        <w:spacing w:line="480" w:lineRule="auto"/>
        <w:textAlignment w:val="auto"/>
        <w:rPr>
          <w:rFonts w:hint="eastAsia"/>
          <w:lang w:val="en-US" w:eastAsia="zh-CN"/>
        </w:rPr>
      </w:pPr>
      <w:bookmarkStart w:id="12" w:name="_Toc28931"/>
      <w:r>
        <w:rPr>
          <w:rFonts w:hint="eastAsia"/>
          <w:lang w:val="en-US" w:eastAsia="zh-CN"/>
        </w:rPr>
        <w:t>3.1. Competitiveness of the existing competitors</w:t>
      </w:r>
      <w:bookmarkEnd w:id="12"/>
    </w:p>
    <w:p>
      <w:pPr>
        <w:bidi w:val="0"/>
        <w:ind w:left="0" w:leftChars="0" w:firstLine="0" w:firstLineChars="0"/>
        <w:rPr>
          <w:rFonts w:hint="eastAsia"/>
          <w:lang w:val="en-US" w:eastAsia="zh-CN"/>
        </w:rPr>
      </w:pPr>
      <w:r>
        <w:rPr>
          <w:rFonts w:hint="eastAsia"/>
          <w:lang w:val="en-US" w:eastAsia="zh-CN"/>
        </w:rPr>
        <w:t>At the moment, existing domestic new energy vehicle rivals can be loosely grouped into three categories: Tesla, domestic new forces, and traditional automobile makers.</w:t>
      </w:r>
    </w:p>
    <w:p>
      <w:pPr>
        <w:pStyle w:val="4"/>
        <w:pageBreakBefore w:val="0"/>
        <w:widowControl/>
        <w:kinsoku/>
        <w:overflowPunct/>
        <w:topLinePunct w:val="0"/>
        <w:autoSpaceDE/>
        <w:autoSpaceDN/>
        <w:bidi w:val="0"/>
        <w:adjustRightInd/>
        <w:snapToGrid/>
        <w:spacing w:line="480" w:lineRule="auto"/>
        <w:textAlignment w:val="auto"/>
        <w:rPr>
          <w:rFonts w:hint="eastAsia"/>
          <w:lang w:val="en-US" w:eastAsia="zh-CN"/>
        </w:rPr>
      </w:pPr>
      <w:r>
        <w:rPr>
          <w:rFonts w:hint="eastAsia"/>
          <w:lang w:val="en-US" w:eastAsia="zh-CN"/>
        </w:rPr>
        <w:t>3.1.1.Tesla</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highlight w:val="none"/>
          <w:lang w:val="en-US" w:eastAsia="zh-CN"/>
        </w:rPr>
      </w:pPr>
      <w:r>
        <w:rPr>
          <w:rFonts w:hint="eastAsia" w:ascii="Times New Roman" w:hAnsi="Times New Roman"/>
          <w:caps w:val="0"/>
          <w:sz w:val="24"/>
          <w:szCs w:val="24"/>
          <w:highlight w:val="none"/>
          <w:lang w:val="en-US" w:eastAsia="zh-CN"/>
        </w:rPr>
        <w:t>Tesla is a traditional fuel vehicle disruptor, but it has also been a disruptor of new energy vehicles in the past, and it is a benchmark enterprise in the worldwide new energy vehicle market. Tesla sold approximately 500,000 automobiles worldwide in 2020, passing Toyota to become the world's largest car company by market valuation. According to Cean Technica statistics, the total sales volume of Tesla Model 3 reached 1031588 units at the end of the second quarter of 2021, making it the first pure electric vehicle with a cumulative sales volume of more than one million. In October of the same year, the Chinese Tesla ModelY delivered in August surpassed the top of China's SUV sales volume. The core competitiveness of Tesla can be described in three points: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eastAsia" w:ascii="Times New Roman" w:hAnsi="Times New Roman"/>
          <w:caps w:val="0"/>
          <w:sz w:val="24"/>
          <w:szCs w:val="24"/>
          <w:highlight w:val="none"/>
          <w:lang w:val="en-US" w:eastAsia="zh-CN"/>
        </w:rPr>
      </w:pPr>
      <w:r>
        <w:rPr>
          <w:rFonts w:hint="eastAsia" w:ascii="Times New Roman" w:hAnsi="Times New Roman"/>
          <w:caps w:val="0"/>
          <w:sz w:val="24"/>
          <w:szCs w:val="24"/>
          <w:highlight w:val="none"/>
          <w:lang w:val="en-US" w:eastAsia="zh-CN"/>
        </w:rPr>
        <w:t>For starters, the sales price is low. Tesla's sales and service operate in OTO (OnlineToOffline) mode, adhering to the "online sales+offline service experience," cancelling dealers, closing 4S outlets, and reducing intermediary linkages. This direct selling approach can significantly minimise sales channel and user buying costs.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Second, the ability to integrate the industrial chain is strong. Tesla combines the entire electric car industry chain through procurement, cooperative development, and acquisition strategies. Utilize the advantages of large companies by purchasing Panasonic batteries and developing motors with Taiwan Futian; actively cooperating with upstream lithium mining giants in raw materials, acquiring Maxwell, arranging battery electrode technology in advance, etc., integrating the industrial chain in various ways, continuously reducing manufacturing costs and improving product performance.</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Third, the fundamental technological barriers are substantial. Tesla's competitiveness is dependent on its core technologies. Tesla's technical obstacles are currently manifested primarily in three areas: battery management system (BMS) technology, autonomous driving technology, and overcharging technology. Tesla holds almost 140 patents in BMS-related disciplines. Its self-developed BMS can accurately determine the battery health status, realise battery thermal management, residual power management, and so on, and can effectively realise the consistent coordinated management of over 7,000 18650 batteries in cars, significantly improving safety, battery life, and range.</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Tesla's Autopilot system has been a global benchmark in the field of intelligent driving,the whole system with high function of openness and smooth practical experience a ride better than other products,and independent research and development of the FSD car chip,calculate force is up to 72 TOPS,based on FSD chip tesla autopilot system has been selected to 3.0,far ahead of other car companies.</w:t>
      </w:r>
    </w:p>
    <w:p>
      <w:pPr>
        <w:bidi w:val="0"/>
        <w:ind w:left="0" w:leftChars="0" w:firstLine="0" w:firstLineChars="0"/>
        <w:rPr>
          <w:rFonts w:hint="default"/>
          <w:lang w:val="en-US" w:eastAsia="zh-CN"/>
        </w:rPr>
      </w:pPr>
      <w:r>
        <w:rPr>
          <w:rFonts w:hint="default"/>
          <w:lang w:val="en-US" w:eastAsia="zh-CN"/>
        </w:rPr>
        <w:t>In terms of charging technology, Tesla is the world's first company to develop supercharging technology. Tesla's V2 super charging network currently covers more than 140 cities in China, with over 2,000 charging devices with peak capacity of 145 kW. Fast charging will undoubtedly enhance Tesla's technological moat in the absence of a superior way to replenish energy.</w:t>
      </w:r>
    </w:p>
    <w:p>
      <w:pPr>
        <w:pStyle w:val="4"/>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eastAsia"/>
          <w:lang w:val="en-US" w:eastAsia="zh-CN"/>
        </w:rPr>
        <w:t>3.1.2.New power of home-made car manufacturing</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highlight w:val="none"/>
          <w:lang w:val="en-US" w:eastAsia="zh-CN"/>
        </w:rPr>
      </w:pPr>
      <w:r>
        <w:rPr>
          <w:rFonts w:hint="default" w:ascii="Times New Roman" w:hAnsi="Times New Roman"/>
          <w:caps w:val="0"/>
          <w:sz w:val="24"/>
          <w:szCs w:val="24"/>
          <w:highlight w:val="none"/>
          <w:lang w:val="en-US" w:eastAsia="zh-CN"/>
        </w:rPr>
        <w:t>In recent years, the new forces of domestic automobile manufacture, represented by Nio, Xiaopeng, and Ideal, have risen swiftly and become a "spoiler" in China's auto market that cannot be underestimated. The delivery volumes of NIO, Xiaopeng, and Ideal in 2021 were 10,489, 16,000, and 14,087 units, respectively. Furthermore, the zha delivery volume continues to reach 10,000 units, and the accomplishments of other new forces such as Zero Run and Weima shine.The new force of car production has long been an underappreciated market force. Nio, in particular, focuses on luxury and specialises in the high-end market. Xiaopeng Automobile focuses on cost-effective intelligent technology configuration, such as autonomous driving and supercharging technology. The ideal car location is more accurate, with the term "dad car" intended for the two-child family. Zero run, in which Zha and other manufacturers focus on the intermediate and low-end markets, in order to conquer the low-end electric car market with low prices and high distribution.</w:t>
      </w:r>
    </w:p>
    <w:p>
      <w:pPr>
        <w:pStyle w:val="4"/>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3.1.3</w:t>
      </w:r>
      <w:r>
        <w:rPr>
          <w:rFonts w:hint="eastAsia"/>
          <w:lang w:val="en-US" w:eastAsia="zh-CN"/>
        </w:rPr>
        <w:t>.</w:t>
      </w:r>
      <w:r>
        <w:rPr>
          <w:rFonts w:hint="default"/>
          <w:lang w:val="en-US" w:eastAsia="zh-CN"/>
        </w:rPr>
        <w:t>Traditional automobile manufacturers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Domestic traditional vehicle manufacturers in China are classified as joint venture manufacturers and independent manufacturers. Joint venture manufacturers are temporally behind in the new energy vehicle business, but independent manufacturers have already established a presence in the domestic new energy vehicle market. According to relevant data, the entire penetration rate of new energy vehicles in the Chinese market exceeded 20% in December 2021, with independent manufacturers having a penetration rate of 39%, compared to mainstream joint venture manufacturers having a penetration rate of only 3.3%.</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Overall, practically all joint venture brands offer plug-in hybrid variants as well as pure electric vehicles. However, due to the higher price and relatively low level of intelligence, market feedback has been unsatisfactory, posing little challenge to the top corporations of new energy vehicles. The technical advantages of joint venture manufacturers will progressively be reflected in the future, with the debut of intelligent pure electric platforms by key manufacturers, which may undermine the existing pattern of new energy cars.Chery, Changan, Geely, and other traditional independent manufacturers are not willing to be left behind, and have established the corresponding new energy brands, but the layout is late, the core technology is not strong, and has been left behind by the head of the independent manufacturers, who have recently increased their efforts to compensate for the shortcomings of new energy, the future is still cannot be underestimated.</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13" w:name="_Toc2786"/>
      <w:r>
        <w:rPr>
          <w:rFonts w:hint="default"/>
          <w:lang w:val="en-US" w:eastAsia="zh-CN"/>
        </w:rPr>
        <w:t>3.2</w:t>
      </w:r>
      <w:r>
        <w:rPr>
          <w:rFonts w:hint="eastAsia"/>
          <w:lang w:val="en-US" w:eastAsia="zh-CN"/>
        </w:rPr>
        <w:t>.</w:t>
      </w:r>
      <w:r>
        <w:rPr>
          <w:rFonts w:hint="default"/>
          <w:lang w:val="en-US" w:eastAsia="zh-CN"/>
        </w:rPr>
        <w:t>Entry ability of potential competitors</w:t>
      </w:r>
      <w:bookmarkEnd w:id="13"/>
    </w:p>
    <w:p>
      <w:pPr>
        <w:bidi w:val="0"/>
        <w:ind w:left="0" w:leftChars="0" w:firstLine="0" w:firstLineChars="0"/>
        <w:rPr>
          <w:rFonts w:hint="default"/>
          <w:lang w:val="en-US" w:eastAsia="zh-CN"/>
        </w:rPr>
      </w:pPr>
      <w:bookmarkStart w:id="14" w:name="_Toc1167"/>
      <w:bookmarkStart w:id="28" w:name="_GoBack"/>
      <w:bookmarkEnd w:id="28"/>
      <w:r>
        <w:rPr>
          <w:rFonts w:hint="default"/>
          <w:lang w:val="en-US" w:eastAsia="zh-CN"/>
        </w:rPr>
        <w:t>With the new energy vehicle market becoming incredibly hot, more and more businesses want a piece of the action. according to the market. At the moment, possible rivals are primarily cross-border organisations, particularly Internet technology enterprises that have begun to establish the groundwork for the new energy vehicle industry, such as Baidu,Alibaba,Huawei, and others. The majority of potential competitors have substantial financial resources and can overcome the industry's capital restrictions. Although new energy vehicles lack complex transmission mechanisms such as gearboxes, and their relatively simple structure allows them to overcome technical barriers, most businesses are discouraged due to the high cost of research and development and the lengthy cycle of the vehicle business from zero.</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3.3</w:t>
      </w:r>
      <w:r>
        <w:rPr>
          <w:rFonts w:hint="eastAsia"/>
          <w:lang w:val="en-US" w:eastAsia="zh-CN"/>
        </w:rPr>
        <w:t>.</w:t>
      </w:r>
      <w:r>
        <w:rPr>
          <w:rFonts w:hint="default"/>
          <w:lang w:val="en-US" w:eastAsia="zh-CN"/>
        </w:rPr>
        <w:t>The substitution ability of substitutes</w:t>
      </w:r>
      <w:bookmarkEnd w:id="14"/>
    </w:p>
    <w:p>
      <w:pPr>
        <w:pStyle w:val="4"/>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eastAsia"/>
          <w:lang w:val="en-US" w:eastAsia="zh-CN"/>
        </w:rPr>
        <w:t>3.3.1.the major alternatives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At this point, traditional fuel cars remain the primary replacements with the greatest capacity for replacing new energy vehicles. The advantages of old fuel vehicles over new energy vehicles are mostly reflected in three areas: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First, there is a high level of technological maturity and dependability. Despite the fact that traditional gasoline cars have a more complex overall architecture, their technology maturity and reliability have advanced to very high levels after more than a century of research. Although the replacement cycle of fuel vehicle consumers has been around 6-8 years in recent years, the real service life of the fuel car can exceed 15 years, and good maintenance can utilise hundreds of thousands of kilometres of miles.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Second, there is no range apprehension. After a long period of large-scale building, the basic fuel vehicle supporting facilities are now quite complete. The abundance of gas stations and the relatively quick refuelling period ensure that gasoline vehicles experience little range anxiety. However, despite the rapid development of supercharging technology, the range augmented by the same energy time is still significantly less than that of fuel vehicles; charging and changing stations are still in poor supply, and charging and changing queuing is typical during peak hours. Some older residential neighbourhoods lack the infrastructure to construct household charging stations, limiting the use scenarios of new energy vehicles, particularly pure electric vehicles, and making the situation of hydrogen energy vehicles much worse.</w:t>
      </w:r>
    </w:p>
    <w:p>
      <w:pPr>
        <w:bidi w:val="0"/>
        <w:ind w:left="0" w:leftChars="0" w:firstLine="0" w:firstLineChars="0"/>
        <w:rPr>
          <w:rFonts w:hint="default"/>
          <w:lang w:val="en-US" w:eastAsia="zh-CN"/>
        </w:rPr>
      </w:pPr>
      <w:r>
        <w:rPr>
          <w:rFonts w:hint="default"/>
          <w:lang w:val="en-US" w:eastAsia="zh-CN"/>
        </w:rPr>
        <w:t>Third, the prices are reasonable. At the moment, the market price of traditional fuel automobiles is generally lower than that of the same level of new energy vehicles. New energy models of the same car can cost approximately 100,000 yuan more than regular fuel models, limiting users with limited budgets to only fuel cars. However, as some countries and regions gradually began to ban fuel vehicles, some car companies will gradually stop selling fuel cars in order to meet local policy requirements, new energy vehicles may lose substitute threat and face unprecedented opportunities for development, most countries and regions in 2030 as banned fuel car time node, perhaps ten years later fuel cars will gradually withdraw from the historical stage.</w:t>
      </w:r>
    </w:p>
    <w:p>
      <w:pPr>
        <w:pStyle w:val="4"/>
        <w:pageBreakBefore w:val="0"/>
        <w:widowControl/>
        <w:kinsoku/>
        <w:overflowPunct/>
        <w:topLinePunct w:val="0"/>
        <w:autoSpaceDE/>
        <w:autoSpaceDN/>
        <w:bidi w:val="0"/>
        <w:adjustRightInd/>
        <w:snapToGrid/>
        <w:spacing w:line="480" w:lineRule="auto"/>
        <w:textAlignment w:val="auto"/>
      </w:pPr>
      <w:r>
        <w:rPr>
          <w:rFonts w:hint="eastAsia"/>
          <w:lang w:val="en-US" w:eastAsia="zh-CN"/>
        </w:rPr>
        <w:t>3.3.2 Other alternatives</w:t>
      </w:r>
    </w:p>
    <w:p>
      <w:pPr>
        <w:bidi w:val="0"/>
        <w:ind w:left="0" w:leftChars="0" w:firstLine="0" w:firstLineChars="0"/>
        <w:rPr>
          <w:rFonts w:hint="default"/>
          <w:lang w:val="en-US" w:eastAsia="zh-CN"/>
        </w:rPr>
      </w:pPr>
      <w:r>
        <w:rPr>
          <w:rFonts w:hint="default"/>
          <w:lang w:val="en-US" w:eastAsia="zh-CN"/>
        </w:rPr>
        <w:t>Subways, buses, bicycles, and other modes of transportation are the principal alternatives to new energy vehicles, and their substitution ability is limited. According to the concept of Chinese consumers at this stage, although urban transportation is convenient, a car is still a necessity for many families. In a sense, other vehicles and new energy vehicles are more like a complementary relationship,congestion can choose public transportation travel,while other necessary can choose car travel.</w:t>
      </w:r>
    </w:p>
    <w:p>
      <w:pPr>
        <w:pStyle w:val="3"/>
        <w:pageBreakBefore w:val="0"/>
        <w:widowControl/>
        <w:kinsoku/>
        <w:overflowPunct/>
        <w:topLinePunct w:val="0"/>
        <w:autoSpaceDE/>
        <w:autoSpaceDN/>
        <w:bidi w:val="0"/>
        <w:adjustRightInd/>
        <w:snapToGrid/>
        <w:spacing w:line="480" w:lineRule="auto"/>
        <w:textAlignment w:val="auto"/>
        <w:rPr>
          <w:rFonts w:hint="eastAsia"/>
          <w:lang w:val="en-US" w:eastAsia="zh-CN"/>
        </w:rPr>
      </w:pPr>
      <w:r>
        <w:rPr>
          <w:rFonts w:hint="eastAsia"/>
          <w:lang w:val="en-US" w:eastAsia="zh-CN"/>
        </w:rPr>
        <w:t>3.4 Bargaining power of suppliers</w:t>
      </w:r>
    </w:p>
    <w:p>
      <w:pPr>
        <w:pStyle w:val="4"/>
        <w:pageBreakBefore w:val="0"/>
        <w:widowControl/>
        <w:kinsoku/>
        <w:overflowPunct/>
        <w:topLinePunct w:val="0"/>
        <w:autoSpaceDE/>
        <w:autoSpaceDN/>
        <w:bidi w:val="0"/>
        <w:adjustRightInd/>
        <w:snapToGrid/>
        <w:spacing w:line="480" w:lineRule="auto"/>
        <w:jc w:val="center"/>
        <w:textAlignment w:val="auto"/>
        <w:rPr>
          <w:rFonts w:hint="default"/>
          <w:sz w:val="24"/>
          <w:szCs w:val="24"/>
          <w:lang w:val="en-US" w:eastAsia="zh-CN"/>
        </w:rPr>
      </w:pPr>
      <w:r>
        <w:rPr>
          <w:rFonts w:hint="eastAsia"/>
          <w:sz w:val="24"/>
          <w:szCs w:val="24"/>
          <w:lang w:val="en-US" w:eastAsia="zh-CN"/>
        </w:rPr>
        <w:t>Figure 3-1 Market share of China's new energy vehicle drive motor enterprises in 2021</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ascii="Times New Roman" w:hAnsi="Times New Roman"/>
          <w:caps w:val="0"/>
          <w:sz w:val="24"/>
          <w:szCs w:val="24"/>
        </w:rPr>
      </w:pPr>
      <w:r>
        <w:rPr>
          <w:rFonts w:hint="eastAsia" w:ascii="Times New Roman" w:hAnsi="Times New Roman"/>
          <w:caps w:val="0"/>
          <w:sz w:val="24"/>
          <w:szCs w:val="24"/>
          <w:lang w:val="en-US" w:eastAsia="zh-CN"/>
        </w:rPr>
        <w:drawing>
          <wp:inline distT="0" distB="0" distL="114300" distR="114300">
            <wp:extent cx="5001895" cy="3763645"/>
            <wp:effectExtent l="4445" t="4445" r="22860" b="22860"/>
            <wp:docPr id="3" name="图表 3" descr="7b0a202020202263686172745265734964223a20223230343734373338220a7d0a"/>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i/>
          <w:iCs/>
          <w:caps w:val="0"/>
          <w:sz w:val="24"/>
          <w:szCs w:val="24"/>
          <w:lang w:val="en-US" w:eastAsia="zh-CN"/>
        </w:rPr>
      </w:pPr>
      <w:r>
        <w:rPr>
          <w:rFonts w:hint="default" w:ascii="Times New Roman" w:hAnsi="Times New Roman"/>
          <w:i/>
          <w:iCs/>
          <w:caps w:val="0"/>
          <w:sz w:val="24"/>
          <w:szCs w:val="24"/>
          <w:lang w:val="en-US" w:eastAsia="zh-CN"/>
        </w:rPr>
        <w:t xml:space="preserve"> Photo source: According to the relevant data of the first Electric Research Institute.</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Most new energy automobile producers do not now have the entire vehicle supporting production capability, and the fundamental components are all sourced from suppliers. Overall, suppliers have great bargaining power for ordinary new energy automotive makers. Because the motor technology is relatively mature,electric drive system competition is more intense,even though China's motor market TOP10 companies accounted for more than 60%,but byd,tesla,wei ran power head enterprise motor mainly for brand use,for the third party suppliers living space is still larger,the market share leads to fierce competition,so most drive motor suppliers,particularly the market share of small suppliers,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The power battery business is the most concentrated, with battery system head suppliers wielding considerable bargaining power. The competition between high-end products in the power lithium battery business is relatively concentrated, whether on a global or domestic scale, with the majority of market share concentrated in a few enterprises, which can be characterised as a monopolistic competition pattern.</w:t>
      </w:r>
      <w:r>
        <w:rPr>
          <w:rFonts w:hint="eastAsia" w:ascii="Times New Roman" w:hAnsi="Times New Roman"/>
          <w:caps w:val="0"/>
          <w:sz w:val="24"/>
          <w:szCs w:val="24"/>
          <w:lang w:val="en-US" w:eastAsia="zh-CN"/>
        </w:rPr>
        <w:t>1</w:t>
      </w:r>
      <w:r>
        <w:rPr>
          <w:rFonts w:hint="default" w:ascii="Times New Roman" w:hAnsi="Times New Roman"/>
          <w:caps w:val="0"/>
          <w:sz w:val="24"/>
          <w:szCs w:val="24"/>
          <w:lang w:val="en-US" w:eastAsia="zh-CN"/>
        </w:rPr>
        <w:t xml:space="preserve"> GWh battery production line requires an investment of between 3 and 400 million yuan, and more than 5 GWh of production capacity is typically required to achieve good scale effects. The current global mainstream battery enterprises, such as Ningde era, byd, lg chemical, Samsung SDI, and Panasonic, have reached more than lOOGWh production capacity planning scale. Due to the new energy vehicle industry's increased demand for power lithium battery products as well as the sector's own capital- and technology-intensive characteristics, the top businesses will gradually gain more and more market share, which will also increase the bargaining power of battery suppliers.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In terms of the electronic control system, suppliers' overall bargaining power is broad, but the intermediate and upper ranges of the industrial chain are distinct. With the rapid expansion of the new energy vehicle sector, the market has placed ever-increasing demands on the efficiency and technology of the electronic control system, and integration of the electronic control system has become a Times trend.In recent years, China's electronic control system integration technology breakthrough, rapid development,in addition to byd,BeiKong independent host manufacturers use the electronic control system,the industrial chain of the third party electronic control system integrators dominated by Shanghai electric drive domestic manufacturers,such as the second echelon giant an automation,Shenzhen earth and huichuan technology,etc,and ji Thai,refined electric,hin sharp technology,etc,and ji Thai,refined electric, However, in the industrial chain's upstream, China's high- and high-end IGBT chips are still significantly reliant on imports. International behemoths like Mitsubishi and Infineon control more than 90% of China's high-end IGBT chips. As a result, suppliers have significant bargaining power in the electronic control system industrial chain.</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15" w:name="_Toc27679"/>
      <w:r>
        <w:rPr>
          <w:rFonts w:hint="default"/>
          <w:lang w:val="en-US" w:eastAsia="zh-CN"/>
        </w:rPr>
        <w:t>3.5 Bargaining power of the buyers</w:t>
      </w:r>
      <w:bookmarkEnd w:id="15"/>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After years of development, China's new energy vehicle sector has shifted from policy-driven to market-driven, progressively becoming a buyer's market with significant negotiating power for buyers. Individual consumers are the primary market for conventional new energy passenger automobiles.Unlike early market optional models, the current domestic sale of new energy vehicles price range covers 30000 yuan to one million yuan of above almost all range,can meet the different from low walking to high-end luxury demand,and similar price range of competing goods,different products,manufacturers give the warranty policy is sincerity,consumers can choose a lot. The industry concentration impact is pretty big for new energy commercial vehicles, huge buses, and so on, but the target customer group of such models is largely single, and the majority of purchasers are companies, government agencies, and so on. A single customer has a big purchase volume, and purchasers have significant bargaining power.</w:t>
      </w:r>
    </w:p>
    <w:p>
      <w:pPr>
        <w:pStyle w:val="2"/>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16" w:name="_Toc30806"/>
      <w:r>
        <w:rPr>
          <w:rFonts w:hint="eastAsia"/>
          <w:lang w:val="en-US" w:eastAsia="zh-CN"/>
        </w:rPr>
        <w:t>4 Internal enterprise analysis based on the SWOT model</w:t>
      </w:r>
      <w:bookmarkEnd w:id="16"/>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17" w:name="_Toc2283"/>
      <w:r>
        <w:rPr>
          <w:rFonts w:hint="eastAsia"/>
          <w:lang w:val="en-US" w:eastAsia="zh-CN"/>
        </w:rPr>
        <w:t>4.1 Advantage S</w:t>
      </w:r>
      <w:bookmarkEnd w:id="17"/>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eastAsia"/>
          <w:caps w:val="0"/>
          <w:sz w:val="24"/>
          <w:szCs w:val="24"/>
          <w:lang w:val="en-US" w:eastAsia="zh-CN"/>
        </w:rPr>
        <w:t>The first is that China leads in production and research and development technology. Mastering technology entails mastering the right to speak. BYD has always pushed the growth of China's new energy vehicle industry with high technology as a new energy vehicle firm that masters the three basic technologies of battery electronics and electronic control. BYD broke through the worldwide technical barrier and produced IGBT technology as early as 2006.</w:t>
      </w:r>
      <w:r>
        <w:rPr>
          <w:rFonts w:hint="default" w:ascii="Times New Roman" w:hAnsi="Times New Roman"/>
          <w:caps w:val="0"/>
          <w:sz w:val="24"/>
          <w:szCs w:val="24"/>
          <w:lang w:val="en-US" w:eastAsia="zh-CN"/>
        </w:rPr>
        <w:t>Furthermore, BYD's "542" technology is well ahead of the competition in China's domestic new energy vehicle market. By the end of 2019, BYD has applied for 28,000 patents worldwide, with nearly 20,000 awarded. Furthermore, BYD, along with other significant technology companies such as Apple, was named "The Most Changing World Company" by Fortune in 2019. This actually validates BYD's philosophy of "technology is king" from the standpoint of technology quantification.</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eastAsia"/>
          <w:sz w:val="24"/>
          <w:szCs w:val="24"/>
          <w:lang w:val="en-US" w:eastAsia="zh-CN"/>
        </w:rPr>
      </w:pPr>
      <w:r>
        <w:rPr>
          <w:rFonts w:hint="eastAsia"/>
          <w:sz w:val="24"/>
          <w:szCs w:val="24"/>
          <w:lang w:val="en-US" w:eastAsia="zh-CN"/>
        </w:rPr>
        <w:t>Second, vertical integration significantly reduces production costs. The new energy vehicle industry chain is extremely complicated and extensive, frequently with a clear division of labour. Byd will vertically integrate batteries, IT, and cars, independently develop electric motor control and even parts, independently have a huge space, utilise its own battery, and innovate with its own IT technology. Adhering to the vertical integration plan reduces production costs while increasing production efficiency.</w:t>
      </w:r>
    </w:p>
    <w:p>
      <w:pPr>
        <w:bidi w:val="0"/>
        <w:ind w:left="0" w:leftChars="0" w:firstLine="0" w:firstLineChars="0"/>
        <w:rPr>
          <w:rFonts w:hint="eastAsia"/>
          <w:lang w:val="en-US" w:eastAsia="zh-CN"/>
        </w:rPr>
      </w:pPr>
      <w:bookmarkStart w:id="18" w:name="_Toc32169"/>
      <w:r>
        <w:rPr>
          <w:rFonts w:hint="eastAsia"/>
          <w:lang w:val="en-US" w:eastAsia="zh-CN"/>
        </w:rPr>
        <w:t>Third, a strong brand with a high market share. Byd has traditionally focused on the middle and lower end of the market, with a large customer base and potential customers, and began with battery manufacture. One of its selling factors is the endurance of its new energy vehicle battery, which is liked by consumers and is very appealing in the market.</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eastAsia"/>
          <w:lang w:val="en-US" w:eastAsia="zh-CN"/>
        </w:rPr>
        <w:t>4.2 Disstrength W</w:t>
      </w:r>
      <w:bookmarkEnd w:id="18"/>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First, technical development has reached a stumbling block. Although the technical level of BYD new energy vehicles in China's domestic research and development is quite high, there is still a technology gap with foreign advanced new energy vehicle firms. Furthermore, the size of the enormous volume,durability, and safety degree of the battery remains a significant space for technological improvement, and how to prevent cold weather caused by endurance shrinkage,battery spontaneous combustion, and other situations remains a major technical difficulty.</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Second, the infrastructural construction is not up to standard. At the moment, China has a tiny number of charging heaps. As of 2019, China has 516,000 charging piles, with a vehicle-pile ratio of 3.4:1. The issue of charging difficulties is becoming more prevalent, and as a result of the hassle of charging automobiles, many consumers prefer to forego new energy vehicles in favour of traditional fuel vehicles. Objectively, the construction of supporting facilities such as charging sites has not kept pace with the development rate of the new energy vehicle industry, which will have a significant impact on new energy vehicle sales volume. Furthermore, after-sales maintenance is a big issue impeding BYD's future growth, with few outlets, high battery maintenance prices, extended car maintenance cycles, and so on.</w:t>
      </w:r>
    </w:p>
    <w:p>
      <w:pPr>
        <w:bidi w:val="0"/>
        <w:ind w:left="0" w:leftChars="0" w:firstLine="0" w:firstLineChars="0"/>
        <w:rPr>
          <w:rFonts w:hint="default"/>
          <w:lang w:val="en-US" w:eastAsia="zh-CN"/>
        </w:rPr>
      </w:pPr>
      <w:bookmarkStart w:id="19" w:name="_Toc6505"/>
      <w:r>
        <w:rPr>
          <w:rFonts w:hint="default"/>
          <w:lang w:val="en-US" w:eastAsia="zh-CN"/>
        </w:rPr>
        <w:t>Third, there is no immediate cost advantage over typical gasoline vehicles. Although byd's new energy vehicle cost is cheap in comparison to other brands of new energy cars, the fact that Tesla just reduced its global pricing, and byd's car price grew, means that they cannot build their own price advantage.</w:t>
      </w:r>
    </w:p>
    <w:p>
      <w:pPr>
        <w:bidi w:val="0"/>
        <w:ind w:left="0" w:leftChars="0" w:firstLine="0" w:firstLineChars="0"/>
        <w:rPr>
          <w:rFonts w:hint="default"/>
          <w:lang w:val="en-US" w:eastAsia="zh-CN"/>
        </w:rPr>
      </w:pPr>
      <w:r>
        <w:rPr>
          <w:rFonts w:hint="default"/>
          <w:lang w:val="en-US" w:eastAsia="zh-CN"/>
        </w:rPr>
        <w:t>Fourth, it is increasingly reliant on government subsidies.In 2018, government subsidies accounted for three-quarters of BYD's net profit excluding other expenses.It is clear that any modifications to the government's subsidy programme will have a significant negative impact on BYD.</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eastAsia"/>
          <w:lang w:val="en-US" w:eastAsia="zh-CN"/>
        </w:rPr>
        <w:t>4.3 Opportunity O</w:t>
      </w:r>
      <w:bookmarkEnd w:id="19"/>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First, the market potential is enormous with the assistance of national policy. To promote green sustainable development, optimise and upgrade industrial structure, and change the mode of production, the Chinese government launched a series of supporting policies for the development of new energy vehicles, including subsidies, relaxation of restrictions to stimulate consumption, exemption from vehicle purchase tax, opening of the green channel, and so on. The Hainan provincial government even stated that in the next ten years,</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Second, there is tremendous international demand. Foreign countries have also implemented measures to encourage the development of new energy vehicles. The Zero Emission Vehicle Alliance has announced that Germany, the United States, Britain, and the other 18 alliance members will ban the sale of traditional fuel cars by 2050. Southeast Asian governments, Malaysia, and India, as well as other countries, have introduced policies to encourage the purchase of new energy vehicles, vigorously reduce carbon emissions, and promote green travel. Furthermore, as China's "One Belt and One Road" programme is implemented, BYD's export volume in many developing nations is gradually expanding. Foreign demand for China's superb new energy vehicles grows year after year.</w:t>
      </w:r>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Third, the opportunities created by environmental contamination issues. The main disadvantage of standard fuel cars is that the exhaust pollutants produced by burning gasoline contribute to increased air pollution. As a result, energetically developing new energy cars is the necessity of the times, and BYD is in the rigid demand period of the new energy vehicle industry's development. The price of oil is significantly higher when compared to the electricity used by new energy cars. Therefore,people tend to select new energy vehicles for price factors.</w:t>
      </w:r>
    </w:p>
    <w:p>
      <w:pPr>
        <w:bidi w:val="0"/>
        <w:ind w:left="0" w:leftChars="0" w:firstLine="0" w:firstLineChars="0"/>
        <w:rPr>
          <w:rFonts w:hint="default"/>
          <w:lang w:val="en-US" w:eastAsia="zh-CN"/>
        </w:rPr>
      </w:pPr>
      <w:bookmarkStart w:id="20" w:name="_Toc20458"/>
      <w:r>
        <w:rPr>
          <w:rFonts w:hint="default"/>
          <w:lang w:val="en-US" w:eastAsia="zh-CN"/>
        </w:rPr>
        <w:t>Fourth, the new energy vehicle business requires a significant investment and has a long payback period. The essential competitiveness of the new energy vehicle sector is technology. This industry has been characterised by big investment,long return cycle and high entry threshold. As a result, in general, it is difficult for small and medium-sized firms to exit this market, and the competitors are relatively limited, with a lower possibility of "black swan" competitors emerging.</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eastAsia"/>
          <w:lang w:val="en-US" w:eastAsia="zh-CN"/>
        </w:rPr>
        <w:t>4.4 Threat T</w:t>
      </w:r>
      <w:bookmarkEnd w:id="20"/>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First, there is competition from inside the same industry both at home and abroad. Because of the good development prospects of the new energy vehicle sector, combined with national policy backing, causing all types of capital to pour in, sales of Nio Automobile, Xiaopeng Automobile, and other rising stars are popular, posing a danger to BYD firm. At the same time,foreign new energy vehicles in the Chinese market,Toyota,Honda,tesla and other well-known brands are trying to open the Chinese market,and for the different needs of Chinese customers,create personalised customer service,and mainly provide high-end and high-end products,but at the moment,when people mention byd,often the first time,think of low-end products.</w:t>
      </w:r>
    </w:p>
    <w:p>
      <w:pPr>
        <w:bidi w:val="0"/>
        <w:ind w:left="0" w:leftChars="0" w:firstLine="0" w:firstLineChars="0"/>
        <w:rPr>
          <w:rFonts w:hint="default"/>
          <w:lang w:val="en-US" w:eastAsia="zh-CN"/>
        </w:rPr>
      </w:pPr>
      <w:bookmarkStart w:id="21" w:name="_Toc26643"/>
      <w:r>
        <w:rPr>
          <w:rFonts w:hint="default"/>
          <w:lang w:val="en-US" w:eastAsia="zh-CN"/>
        </w:rPr>
        <w:t>Second, it will not be able to outperform traditional fuel vehicles in the immediate run. Traditional fuel vehicles have a long history of development; people have long relied on the path dependence of fuel vehicles, and we do not fully grasp new energy vehicles; consequently, it is difficult for new energy vehicles to outperform or even replace fuel vehicles in the short run.</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4.5 Conclusion of the SWOT analysis</w:t>
      </w:r>
      <w:bookmarkEnd w:id="21"/>
    </w:p>
    <w:p>
      <w:pPr>
        <w:bidi w:val="0"/>
        <w:ind w:left="0" w:leftChars="0" w:firstLine="0" w:firstLineChars="0"/>
        <w:rPr>
          <w:rFonts w:hint="default"/>
          <w:lang w:val="en-US" w:eastAsia="zh-CN"/>
        </w:rPr>
      </w:pPr>
      <w:bookmarkStart w:id="22" w:name="_Toc8647"/>
      <w:r>
        <w:rPr>
          <w:rFonts w:hint="default"/>
          <w:lang w:val="en-US" w:eastAsia="zh-CN"/>
        </w:rPr>
        <w:t>After analysing the four factors of advantages, disadvantages, opportunities, and threats of BYD's internal and external environment, we can divide S,W,O, and T into four groups, and S+O strategy,W+O strategy,S+T strategy, and W+T strategy, in order to maximise the advantages, make full use of the existing opportunities, and minimise the external threats and their own disadvantages.</w:t>
      </w:r>
    </w:p>
    <w:p>
      <w:pPr>
        <w:bidi w:val="0"/>
        <w:ind w:left="0" w:leftChars="0" w:firstLine="0" w:firstLineChars="0"/>
        <w:rPr>
          <w:rFonts w:hint="default"/>
          <w:lang w:val="en-US" w:eastAsia="zh-CN"/>
        </w:rPr>
      </w:pPr>
      <w:r>
        <w:rPr>
          <w:rFonts w:hint="default"/>
          <w:lang w:val="en-US" w:eastAsia="zh-CN"/>
        </w:rPr>
        <w:t xml:space="preserve">The specific material of the four-factor analysis and the four types of strategies are shown in Table </w:t>
      </w:r>
      <w:r>
        <w:rPr>
          <w:rFonts w:hint="eastAsia"/>
          <w:lang w:val="en-US" w:eastAsia="zh-CN"/>
        </w:rPr>
        <w:t>4-</w:t>
      </w:r>
      <w:r>
        <w:rPr>
          <w:rFonts w:hint="default"/>
          <w:lang w:val="en-US" w:eastAsia="zh-CN"/>
        </w:rPr>
        <w:t>1.</w:t>
      </w:r>
    </w:p>
    <w:p>
      <w:pPr>
        <w:pStyle w:val="4"/>
        <w:pageBreakBefore w:val="0"/>
        <w:widowControl/>
        <w:kinsoku/>
        <w:overflowPunct/>
        <w:topLinePunct w:val="0"/>
        <w:autoSpaceDE/>
        <w:autoSpaceDN/>
        <w:bidi w:val="0"/>
        <w:adjustRightInd/>
        <w:snapToGrid/>
        <w:spacing w:line="480" w:lineRule="auto"/>
        <w:jc w:val="center"/>
        <w:textAlignment w:val="auto"/>
        <w:rPr>
          <w:rFonts w:hint="default"/>
          <w:sz w:val="24"/>
          <w:szCs w:val="24"/>
          <w:lang w:val="en-US" w:eastAsia="zh-CN"/>
        </w:rPr>
      </w:pPr>
      <w:r>
        <w:rPr>
          <w:rFonts w:hint="default"/>
          <w:sz w:val="24"/>
          <w:szCs w:val="24"/>
          <w:lang w:val="en-US" w:eastAsia="zh-CN"/>
        </w:rPr>
        <w:t>Table 4-1 SWOT analysis structure</w:t>
      </w:r>
      <w:bookmarkEnd w:id="22"/>
    </w:p>
    <w:tbl>
      <w:tblPr>
        <w:tblStyle w:val="19"/>
        <w:tblpPr w:leftFromText="180" w:rightFromText="180" w:vertAnchor="text" w:tblpXSpec="center" w:tblpY="1"/>
        <w:tblOverlap w:val="never"/>
        <w:tblW w:w="8559" w:type="dxa"/>
        <w:tblInd w:w="0" w:type="dxa"/>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Layout w:type="fixed"/>
        <w:tblCellMar>
          <w:top w:w="0" w:type="dxa"/>
          <w:left w:w="108" w:type="dxa"/>
          <w:bottom w:w="0" w:type="dxa"/>
          <w:right w:w="108" w:type="dxa"/>
        </w:tblCellMar>
      </w:tblPr>
      <w:tblGrid>
        <w:gridCol w:w="2894"/>
        <w:gridCol w:w="2799"/>
        <w:gridCol w:w="2866"/>
      </w:tblGrid>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90" w:hRule="atLeast"/>
        </w:trPr>
        <w:tc>
          <w:tcPr>
            <w:tcW w:w="2894" w:type="dxa"/>
            <w:tcBorders>
              <w:insideV w:val="single" w:sz="4" w:space="0"/>
              <w:tl2br w:val="nil"/>
              <w:tr2bl w:val="nil"/>
            </w:tcBorders>
            <w:shd w:val="clear" w:color="auto" w:fill="auto"/>
            <w:vAlign w:val="top"/>
          </w:tcPr>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default" w:ascii="Times New Roman" w:hAnsi="Times New Roman"/>
                <w:b w:val="0"/>
                <w:bCs w:val="0"/>
                <w:caps w:val="0"/>
                <w:kern w:val="0"/>
                <w:sz w:val="24"/>
                <w:szCs w:val="24"/>
              </w:rPr>
            </w:pPr>
          </w:p>
        </w:tc>
        <w:tc>
          <w:tcPr>
            <w:tcW w:w="2799" w:type="dxa"/>
            <w:tcBorders>
              <w:tl2br w:val="nil"/>
              <w:tr2bl w:val="nil"/>
            </w:tcBorders>
            <w:shd w:val="clear" w:color="auto" w:fill="auto"/>
            <w:vAlign w:val="top"/>
          </w:tcPr>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superiority S</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left"/>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Production and research and development technology is leading in China</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left"/>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Vertical integration reduces production costs</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left"/>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3</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High brand awareness and a large market share</w:t>
            </w:r>
          </w:p>
        </w:tc>
        <w:tc>
          <w:tcPr>
            <w:tcW w:w="2866" w:type="dxa"/>
            <w:tcBorders>
              <w:tl2br w:val="nil"/>
              <w:tr2bl w:val="nil"/>
            </w:tcBorders>
            <w:shd w:val="clear" w:color="auto" w:fill="auto"/>
            <w:vAlign w:val="top"/>
          </w:tcPr>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inferior strength or position W</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left"/>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Bottlenecks in technology development</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left"/>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Imperfect infrastructure construction</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left"/>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3</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The price has no advantage over traditional fuel cars</w:t>
            </w:r>
          </w:p>
        </w:tc>
      </w:tr>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1922" w:hRule="atLeast"/>
        </w:trPr>
        <w:tc>
          <w:tcPr>
            <w:tcW w:w="2894" w:type="dxa"/>
            <w:tcBorders>
              <w:insideV w:val="single" w:sz="4" w:space="0"/>
              <w:tl2br w:val="nil"/>
              <w:tr2bl w:val="nil"/>
            </w:tcBorders>
            <w:shd w:val="clear" w:color="auto" w:fill="auto"/>
            <w:vAlign w:val="top"/>
          </w:tcPr>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chance O</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International policy support</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Environmental pollution problem brings opportunities</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3</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The new energy vehicle industry has a large investment and a long return period</w:t>
            </w:r>
          </w:p>
        </w:tc>
        <w:tc>
          <w:tcPr>
            <w:tcW w:w="2799" w:type="dxa"/>
            <w:tcBorders>
              <w:tl2br w:val="nil"/>
              <w:tr2bl w:val="nil"/>
            </w:tcBorders>
            <w:shd w:val="clear" w:color="auto" w:fill="auto"/>
            <w:vAlign w:val="top"/>
          </w:tcPr>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Advantage+opportunity: the S+O strategy</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Increase investment in research and development</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and actively innovate</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Timely adjust the company's strategy according to national policies</w:t>
            </w:r>
          </w:p>
        </w:tc>
        <w:tc>
          <w:tcPr>
            <w:tcW w:w="2866" w:type="dxa"/>
            <w:tcBorders>
              <w:tl2br w:val="nil"/>
              <w:tr2bl w:val="nil"/>
            </w:tcBorders>
            <w:shd w:val="clear" w:color="auto" w:fill="auto"/>
            <w:vAlign w:val="top"/>
          </w:tcPr>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Disadvantages+opportunity W+O strategy</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Invest in the construction of infrastructure and improve the after-sales service</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Break through technical bottlenecks and reduce production costs with scientific and technological progress</w:t>
            </w:r>
          </w:p>
        </w:tc>
      </w:tr>
      <w:tr>
        <w:tblPrEx>
          <w:tblBorders>
            <w:top w:val="thinThickSmallGap" w:color="auto" w:sz="12" w:space="0"/>
            <w:left w:val="none" w:color="auto" w:sz="0" w:space="0"/>
            <w:bottom w:val="thinThickSmallGap" w:color="auto" w:sz="12" w:space="0"/>
            <w:right w:val="none" w:color="auto" w:sz="0" w:space="0"/>
            <w:insideH w:val="single" w:color="auto" w:sz="12" w:space="0"/>
            <w:insideV w:val="single" w:color="auto" w:sz="12" w:space="0"/>
          </w:tblBorders>
          <w:tblCellMar>
            <w:top w:w="0" w:type="dxa"/>
            <w:left w:w="108" w:type="dxa"/>
            <w:bottom w:w="0" w:type="dxa"/>
            <w:right w:w="108" w:type="dxa"/>
          </w:tblCellMar>
        </w:tblPrEx>
        <w:trPr>
          <w:trHeight w:val="2592" w:hRule="atLeast"/>
        </w:trPr>
        <w:tc>
          <w:tcPr>
            <w:tcW w:w="2894" w:type="dxa"/>
            <w:tcBorders>
              <w:insideV w:val="single" w:sz="4" w:space="0"/>
              <w:tl2br w:val="nil"/>
              <w:tr2bl w:val="nil"/>
            </w:tcBorders>
            <w:shd w:val="clear" w:color="auto" w:fill="auto"/>
            <w:vAlign w:val="top"/>
          </w:tcPr>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threaten T</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Competition from the domestic peers</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Competition from the international automotive industry</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3</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Can not surpass the fuel vehicles in the short term</w:t>
            </w:r>
          </w:p>
        </w:tc>
        <w:tc>
          <w:tcPr>
            <w:tcW w:w="2799" w:type="dxa"/>
            <w:tcBorders>
              <w:tl2br w:val="nil"/>
              <w:tr2bl w:val="nil"/>
            </w:tcBorders>
            <w:shd w:val="clear" w:color="auto" w:fill="auto"/>
            <w:vAlign w:val="top"/>
          </w:tcPr>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Advantage</w:t>
            </w:r>
            <w:r>
              <w:rPr>
                <w:rFonts w:hint="eastAsia" w:eastAsia="等线" w:cs="Times New Roman"/>
                <w:b/>
                <w:bCs/>
                <w:caps w:val="0"/>
                <w:kern w:val="0"/>
                <w:sz w:val="24"/>
                <w:szCs w:val="24"/>
                <w:lang w:eastAsia="zh-CN" w:bidi="ar"/>
              </w:rPr>
              <w:t>+</w:t>
            </w:r>
            <w:r>
              <w:rPr>
                <w:rFonts w:hint="eastAsia" w:ascii="Times New Roman" w:hAnsi="Times New Roman" w:eastAsia="等线" w:cs="Times New Roman"/>
                <w:b/>
                <w:bCs/>
                <w:caps w:val="0"/>
                <w:kern w:val="0"/>
                <w:sz w:val="24"/>
                <w:szCs w:val="24"/>
                <w:lang w:bidi="ar"/>
              </w:rPr>
              <w:t>threat:S+T strategy</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Make full use of your own battery technology advantages</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Constantly enhance product quality and narrow the quality gap</w:t>
            </w:r>
          </w:p>
        </w:tc>
        <w:tc>
          <w:tcPr>
            <w:tcW w:w="2866" w:type="dxa"/>
            <w:tcBorders>
              <w:tl2br w:val="nil"/>
              <w:tr2bl w:val="nil"/>
            </w:tcBorders>
            <w:shd w:val="clear" w:color="auto" w:fill="auto"/>
            <w:vAlign w:val="top"/>
          </w:tcPr>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center"/>
              <w:textAlignment w:val="auto"/>
              <w:rPr>
                <w:rFonts w:hint="eastAsia" w:ascii="Times New Roman" w:hAnsi="Times New Roman" w:eastAsia="等线" w:cs="Times New Roman"/>
                <w:b/>
                <w:bCs/>
                <w:caps w:val="0"/>
                <w:kern w:val="0"/>
                <w:sz w:val="24"/>
                <w:szCs w:val="24"/>
                <w:lang w:bidi="ar"/>
              </w:rPr>
            </w:pPr>
            <w:r>
              <w:rPr>
                <w:rFonts w:hint="eastAsia" w:ascii="Times New Roman" w:hAnsi="Times New Roman" w:eastAsia="等线" w:cs="Times New Roman"/>
                <w:b/>
                <w:bCs/>
                <w:caps w:val="0"/>
                <w:kern w:val="0"/>
                <w:sz w:val="24"/>
                <w:szCs w:val="24"/>
                <w:lang w:bidi="ar"/>
              </w:rPr>
              <w:t>Disadvantage</w:t>
            </w:r>
            <w:r>
              <w:rPr>
                <w:rFonts w:hint="eastAsia" w:eastAsia="等线" w:cs="Times New Roman"/>
                <w:b/>
                <w:bCs/>
                <w:caps w:val="0"/>
                <w:kern w:val="0"/>
                <w:sz w:val="24"/>
                <w:szCs w:val="24"/>
                <w:lang w:eastAsia="zh-CN" w:bidi="ar"/>
              </w:rPr>
              <w:t>+</w:t>
            </w:r>
            <w:r>
              <w:rPr>
                <w:rFonts w:hint="eastAsia" w:ascii="Times New Roman" w:hAnsi="Times New Roman" w:eastAsia="等线" w:cs="Times New Roman"/>
                <w:b/>
                <w:bCs/>
                <w:caps w:val="0"/>
                <w:kern w:val="0"/>
                <w:sz w:val="24"/>
                <w:szCs w:val="24"/>
                <w:lang w:bidi="ar"/>
              </w:rPr>
              <w:t>threat W</w:t>
            </w:r>
            <w:r>
              <w:rPr>
                <w:rFonts w:hint="eastAsia" w:eastAsia="等线" w:cs="Times New Roman"/>
                <w:b/>
                <w:bCs/>
                <w:caps w:val="0"/>
                <w:kern w:val="0"/>
                <w:sz w:val="24"/>
                <w:szCs w:val="24"/>
                <w:lang w:eastAsia="zh-CN" w:bidi="ar"/>
              </w:rPr>
              <w:t>+</w:t>
            </w:r>
            <w:r>
              <w:rPr>
                <w:rFonts w:hint="eastAsia" w:ascii="Times New Roman" w:hAnsi="Times New Roman" w:eastAsia="等线" w:cs="Times New Roman"/>
                <w:b/>
                <w:bCs/>
                <w:caps w:val="0"/>
                <w:kern w:val="0"/>
                <w:sz w:val="24"/>
                <w:szCs w:val="24"/>
                <w:lang w:bidi="ar"/>
              </w:rPr>
              <w:t>T strategy</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eastAsia" w:ascii="Times New Roman" w:hAnsi="Times New Roman" w:eastAsia="等线" w:cs="Times New Roman"/>
                <w:b w:val="0"/>
                <w:bCs w:val="0"/>
                <w:caps w:val="0"/>
                <w:kern w:val="0"/>
                <w:sz w:val="24"/>
                <w:szCs w:val="24"/>
                <w:lang w:bidi="ar"/>
              </w:rPr>
            </w:pPr>
            <w:r>
              <w:rPr>
                <w:rFonts w:hint="eastAsia" w:ascii="Times New Roman" w:hAnsi="Times New Roman" w:eastAsia="等线" w:cs="Times New Roman"/>
                <w:b w:val="0"/>
                <w:bCs w:val="0"/>
                <w:caps w:val="0"/>
                <w:kern w:val="0"/>
                <w:sz w:val="24"/>
                <w:szCs w:val="24"/>
                <w:lang w:bidi="ar"/>
              </w:rPr>
              <w:t>1</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Cooperate with other new energy-related industries</w:t>
            </w:r>
          </w:p>
          <w:p>
            <w:pPr>
              <w:keepNext w:val="0"/>
              <w:keepLines w:val="0"/>
              <w:pageBreakBefore w:val="0"/>
              <w:widowControl/>
              <w:numPr>
                <w:ilvl w:val="0"/>
                <w:numId w:val="0"/>
              </w:numPr>
              <w:kinsoku/>
              <w:wordWrap/>
              <w:overflowPunct/>
              <w:topLinePunct w:val="0"/>
              <w:autoSpaceDE/>
              <w:autoSpaceDN/>
              <w:bidi w:val="0"/>
              <w:adjustRightInd/>
              <w:snapToGrid/>
              <w:spacing w:line="240" w:lineRule="auto"/>
              <w:ind w:leftChars="0" w:firstLine="0" w:firstLineChars="0"/>
              <w:jc w:val="both"/>
              <w:textAlignment w:val="auto"/>
              <w:rPr>
                <w:rFonts w:hint="default" w:ascii="Times New Roman" w:hAnsi="Times New Roman"/>
                <w:b w:val="0"/>
                <w:bCs w:val="0"/>
                <w:caps w:val="0"/>
                <w:kern w:val="0"/>
                <w:sz w:val="24"/>
                <w:szCs w:val="24"/>
              </w:rPr>
            </w:pPr>
            <w:r>
              <w:rPr>
                <w:rFonts w:hint="eastAsia" w:ascii="Times New Roman" w:hAnsi="Times New Roman" w:eastAsia="等线" w:cs="Times New Roman"/>
                <w:b w:val="0"/>
                <w:bCs w:val="0"/>
                <w:caps w:val="0"/>
                <w:kern w:val="0"/>
                <w:sz w:val="24"/>
                <w:szCs w:val="24"/>
                <w:lang w:bidi="ar"/>
              </w:rPr>
              <w:t>2</w:t>
            </w:r>
            <w:r>
              <w:rPr>
                <w:rFonts w:hint="eastAsia" w:eastAsia="等线" w:cs="Times New Roman"/>
                <w:b w:val="0"/>
                <w:bCs w:val="0"/>
                <w:caps w:val="0"/>
                <w:kern w:val="0"/>
                <w:sz w:val="24"/>
                <w:szCs w:val="24"/>
                <w:lang w:eastAsia="zh-CN" w:bidi="ar"/>
              </w:rPr>
              <w:t>.</w:t>
            </w:r>
            <w:r>
              <w:rPr>
                <w:rFonts w:hint="eastAsia" w:ascii="Times New Roman" w:hAnsi="Times New Roman" w:eastAsia="等线" w:cs="Times New Roman"/>
                <w:b w:val="0"/>
                <w:bCs w:val="0"/>
                <w:caps w:val="0"/>
                <w:kern w:val="0"/>
                <w:sz w:val="24"/>
                <w:szCs w:val="24"/>
                <w:lang w:bidi="ar"/>
              </w:rPr>
              <w:t>Strengthen cooperation with other automobile brands to reduce costs</w:t>
            </w:r>
          </w:p>
        </w:tc>
      </w:tr>
    </w:tbl>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The S+O strategy, or advantage+opportunity strategy, is the best combination of the four types of strategies since it fully integrates both external and internal elements. With the release of China's "14th Five-Year Plan," environmental protection has become a prominent topic in the country. BYD should embrace the chance, combine its own internal advantages, increase research and development and aggressively innovate new technologies, increase market share and actively participate in it, and actively explore the overseas market in order to fully execute green development.</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W+O strategy, that is, disadvantage+opportunity strategy, should invest appropriate funds to adopt the PPP mode with the government to carry out the construction of supporting infrastructure for the operation of new energy vehicles, such as increasing the number of charging piles installed, improving the quality of automobile after-sales service, and increasing the density of after-sales service points. Byd should grab the chances presented by global environmental protection and China's industrial transformation, adapt to market developments in a flexible and proactive manner, and immediately alter strategic planning to take full use of the benefits provided by state legislation.</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The advantage+threat approach, or S+T strategy, focuses on exploiting its own advantages to turn the threat into a driving force for development. Byd should fully utilise its own advantages in battery technology, expand investment in research and development, and raise the quality of cars, from the qualitative beyond the competition, in order to obtain consumer awareness. Technological innovation is the initial productive force in worldwide rivalry.</w:t>
      </w:r>
    </w:p>
    <w:p>
      <w:pPr>
        <w:bidi w:val="0"/>
        <w:ind w:left="0" w:leftChars="0" w:firstLine="0" w:firstLineChars="0"/>
        <w:rPr>
          <w:rFonts w:hint="default"/>
          <w:lang w:val="en-US" w:eastAsia="zh-CN"/>
        </w:rPr>
      </w:pPr>
      <w:bookmarkStart w:id="23" w:name="_Toc3732"/>
      <w:r>
        <w:rPr>
          <w:rFonts w:hint="default"/>
          <w:lang w:val="en-US" w:eastAsia="zh-CN"/>
        </w:rPr>
        <w:t>W+T strategy, or disadvantage+threat strategy, requires BYD to actively cooperate with new energy related industries, stabilise the industrial chain, help improve infrastructure construction, strengthen cooperation with related high-tech enterprises, and research and develop technology to reduce costs.</w:t>
      </w:r>
    </w:p>
    <w:p>
      <w:pPr>
        <w:pStyle w:val="2"/>
        <w:keepNext/>
        <w:keepLines/>
        <w:pageBreakBefore w:val="0"/>
        <w:widowControl/>
        <w:kinsoku/>
        <w:wordWrap w:val="0"/>
        <w:overflowPunct/>
        <w:topLinePunct w:val="0"/>
        <w:autoSpaceDE/>
        <w:autoSpaceDN/>
        <w:bidi w:val="0"/>
        <w:adjustRightInd/>
        <w:snapToGrid/>
        <w:spacing w:line="480" w:lineRule="auto"/>
        <w:textAlignment w:val="auto"/>
        <w:rPr>
          <w:rFonts w:hint="default"/>
          <w:b/>
          <w:snapToGrid w:val="0"/>
          <w:lang w:val="en-US" w:eastAsia="zh-CN"/>
        </w:rPr>
      </w:pPr>
      <w:r>
        <w:rPr>
          <w:rFonts w:hint="default"/>
          <w:b/>
          <w:snapToGrid w:val="0"/>
          <w:lang w:val="en-US" w:eastAsia="zh-CN"/>
        </w:rPr>
        <w:t>5</w:t>
      </w:r>
      <w:r>
        <w:rPr>
          <w:rFonts w:hint="eastAsia"/>
          <w:b/>
          <w:snapToGrid w:val="0"/>
          <w:lang w:val="en-US" w:eastAsia="zh-CN"/>
        </w:rPr>
        <w:t>.</w:t>
      </w:r>
      <w:r>
        <w:rPr>
          <w:rFonts w:hint="default"/>
          <w:b/>
          <w:snapToGrid w:val="0"/>
          <w:lang w:val="en-US" w:eastAsia="zh-CN"/>
        </w:rPr>
        <w:t>Conclusion: Selection of competitive strategy plan</w:t>
      </w:r>
      <w:bookmarkEnd w:id="23"/>
    </w:p>
    <w:p>
      <w:pPr>
        <w:pageBreakBefore w:val="0"/>
        <w:widowControl/>
        <w:kinsoku/>
        <w:overflowPunct/>
        <w:topLinePunct w:val="0"/>
        <w:autoSpaceDE/>
        <w:autoSpaceDN/>
        <w:bidi w:val="0"/>
        <w:adjustRightInd/>
        <w:snapToGrid/>
        <w:spacing w:line="480" w:lineRule="auto"/>
        <w:ind w:left="0" w:leftChars="0" w:firstLine="0" w:firstLineChars="0"/>
        <w:textAlignment w:val="auto"/>
        <w:rPr>
          <w:rFonts w:hint="default"/>
          <w:sz w:val="24"/>
          <w:szCs w:val="24"/>
          <w:lang w:val="en-US" w:eastAsia="zh-CN"/>
        </w:rPr>
      </w:pPr>
      <w:r>
        <w:rPr>
          <w:rFonts w:hint="default"/>
          <w:sz w:val="24"/>
          <w:szCs w:val="24"/>
          <w:lang w:val="en-US" w:eastAsia="zh-CN"/>
        </w:rPr>
        <w:t>Following the investigation, BYD can select the competitive strategy of cost priority approach supplemented by differentiation strategy.</w:t>
      </w:r>
    </w:p>
    <w:p>
      <w:pPr>
        <w:pageBreakBefore w:val="0"/>
        <w:widowControl/>
        <w:kinsoku/>
        <w:overflowPunct/>
        <w:topLinePunct w:val="0"/>
        <w:autoSpaceDE/>
        <w:autoSpaceDN/>
        <w:bidi w:val="0"/>
        <w:adjustRightInd/>
        <w:snapToGrid/>
        <w:spacing w:line="480" w:lineRule="auto"/>
        <w:ind w:left="0" w:leftChars="0" w:firstLine="0" w:firstLineChars="0"/>
        <w:textAlignment w:val="auto"/>
        <w:rPr>
          <w:rFonts w:hint="default"/>
          <w:sz w:val="24"/>
          <w:szCs w:val="24"/>
          <w:lang w:val="en-US" w:eastAsia="zh-CN"/>
        </w:rPr>
      </w:pPr>
      <w:r>
        <w:rPr>
          <w:rFonts w:hint="default"/>
          <w:sz w:val="24"/>
          <w:szCs w:val="24"/>
          <w:lang w:val="en-US" w:eastAsia="zh-CN"/>
        </w:rPr>
        <w:t>Cost leadership may generally be obtained by the scale effect, the experience impact, the full utilisation of production capacity, and the selection of the market entry opportunity.Byd's Power Battery, new energy vehicle capacity to achieve scale effect, reduce cost, more than 10 years of new energy industry accumulation can fully exploit the experience effect, competitive vehicle capacity utilisation also provides conditions for its cost reduction, early firm layout of new energy vehicles market opportunities make it don't have to waste more cost, and improve brand recognition in the new energy sector.Additionally, the vertical integration of the industry chain is a recurring theme for byd. Through early mergers and acquisitions integration and late enormous R&amp;D, byd gradually mastered the manufacturing of most of the key components and technologies for vehicles, including the core "SanDian" system for new energy vehicles, which also gives byd an advantage in terms of cost savings. Overall, the cost-leading strategy has a good chance of succeeding for BYD's new energy vehicle company.</w:t>
      </w:r>
    </w:p>
    <w:p>
      <w:pPr>
        <w:pageBreakBefore w:val="0"/>
        <w:widowControl/>
        <w:kinsoku/>
        <w:overflowPunct/>
        <w:topLinePunct w:val="0"/>
        <w:autoSpaceDE/>
        <w:autoSpaceDN/>
        <w:bidi w:val="0"/>
        <w:adjustRightInd/>
        <w:snapToGrid/>
        <w:spacing w:line="480" w:lineRule="auto"/>
        <w:ind w:left="0" w:leftChars="0" w:firstLine="0" w:firstLineChars="0"/>
        <w:textAlignment w:val="auto"/>
        <w:rPr>
          <w:rFonts w:hint="default"/>
          <w:sz w:val="24"/>
          <w:szCs w:val="24"/>
          <w:lang w:val="en-US" w:eastAsia="zh-CN"/>
        </w:rPr>
      </w:pPr>
      <w:r>
        <w:rPr>
          <w:rFonts w:hint="default"/>
          <w:sz w:val="24"/>
          <w:szCs w:val="24"/>
          <w:lang w:val="en-US" w:eastAsia="zh-CN"/>
        </w:rPr>
        <w:t>Product differentiation, marketing differentiation, technology differentiation, and quality differentiation are all parts of the differentiation strategy. Realizing the perceived value of customer differentiation in a way that the competition cannot readily copy and learn from them is the most important component. BYD is a well-known manufacturer of new energy vehicles in China, and among its various models are the Dynasty and Star series. To meet the various needs of various clients, the corporation must also provide differentiated items at various price points. By analysing consumer group photographs, BYD can work with database analysis firms to offer customers customised product selections. In terms of publicity, it's important to take active measures, grasp the customer resources, and create new consumer groups.To establish a distinct technology brand with BYD, technology differentiation and quality differentiation are primarily expressed in technical innovation. The China Economic Times poll found that most consumers are more inclined to purchase "sedan" and "hybrid automobile" types. As a result, it should be dedicated to increasing the hybrid electric vehicle market share while also increasing investment in research and development at the level of electric range. Immediately address the flaws in electric vehicles and any consumer complaints.</w:t>
      </w:r>
    </w:p>
    <w:p>
      <w:pPr>
        <w:pStyle w:val="2"/>
        <w:pageBreakBefore w:val="0"/>
        <w:widowControl/>
        <w:kinsoku/>
        <w:overflowPunct/>
        <w:topLinePunct w:val="0"/>
        <w:autoSpaceDE/>
        <w:autoSpaceDN/>
        <w:bidi w:val="0"/>
        <w:adjustRightInd/>
        <w:snapToGrid/>
        <w:spacing w:line="480" w:lineRule="auto"/>
        <w:textAlignment w:val="auto"/>
        <w:rPr>
          <w:rFonts w:hint="eastAsia"/>
          <w:lang w:val="en-US" w:eastAsia="zh-CN"/>
        </w:rPr>
      </w:pPr>
      <w:bookmarkStart w:id="24" w:name="_Toc22821"/>
      <w:r>
        <w:rPr>
          <w:rFonts w:hint="eastAsia"/>
          <w:lang w:val="en-US" w:eastAsia="zh-CN"/>
        </w:rPr>
        <w:t>6.Recommendations</w:t>
      </w:r>
      <w:bookmarkEnd w:id="24"/>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25" w:name="_Toc27257"/>
      <w:r>
        <w:rPr>
          <w:rFonts w:hint="default"/>
          <w:lang w:val="en-US" w:eastAsia="zh-CN"/>
        </w:rPr>
        <w:t>6.1</w:t>
      </w:r>
      <w:r>
        <w:rPr>
          <w:rFonts w:hint="eastAsia"/>
          <w:lang w:val="en-US" w:eastAsia="zh-CN"/>
        </w:rPr>
        <w:t>.</w:t>
      </w:r>
      <w:r>
        <w:rPr>
          <w:rFonts w:hint="default"/>
          <w:lang w:val="en-US" w:eastAsia="zh-CN"/>
        </w:rPr>
        <w:t>Integrate the industrial chain upward</w:t>
      </w:r>
      <w:bookmarkEnd w:id="25"/>
    </w:p>
    <w:p>
      <w:pPr>
        <w:bidi w:val="0"/>
        <w:ind w:left="0" w:leftChars="0" w:firstLine="0" w:firstLineChars="0"/>
        <w:rPr>
          <w:rFonts w:hint="default"/>
          <w:lang w:val="en-US" w:eastAsia="zh-CN"/>
        </w:rPr>
      </w:pPr>
      <w:bookmarkStart w:id="26" w:name="_Toc14231"/>
      <w:r>
        <w:rPr>
          <w:rFonts w:hint="default"/>
          <w:lang w:val="en-US" w:eastAsia="zh-CN"/>
        </w:rPr>
        <w:t>The industrial chain's vertical integration can maximise cost savings while simultaneously fostering integrated innovation. Some of the upstream raw materials in the industrial chain are progressively becoming scarce due to the current growth of the new energy vehicle industry and rising prosperity. Although BYD has a new energy vehicle industry chain that is comparatively complete, there is not much in the upstream raw materials layout, particularly in recent years where the upstream price fluctuations of non-ferrous metals and other raw materials have resulted in a significant increase in costs and profit compression. More should continue to integrate the upstream industry chain, to ensure that the cost leading.</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eastAsia"/>
          <w:lang w:val="en-US" w:eastAsia="zh-CN"/>
        </w:rPr>
        <w:t>6.2.Optimize the sales model</w:t>
      </w:r>
      <w:bookmarkEnd w:id="26"/>
    </w:p>
    <w:p>
      <w:pPr>
        <w:pageBreakBefore w:val="0"/>
        <w:widowControl/>
        <w:numPr>
          <w:ilvl w:val="0"/>
          <w:numId w:val="0"/>
        </w:numPr>
        <w:kinsoku/>
        <w:wordWrap/>
        <w:overflowPunct/>
        <w:topLinePunct w:val="0"/>
        <w:autoSpaceDE/>
        <w:autoSpaceDN/>
        <w:bidi w:val="0"/>
        <w:adjustRightInd/>
        <w:snapToGrid/>
        <w:spacing w:line="480" w:lineRule="auto"/>
        <w:ind w:firstLine="0" w:firstLineChars="0"/>
        <w:jc w:val="both"/>
        <w:textAlignment w:val="auto"/>
        <w:rPr>
          <w:rFonts w:hint="default" w:ascii="Times New Roman" w:hAnsi="Times New Roman"/>
          <w:caps w:val="0"/>
          <w:sz w:val="24"/>
          <w:szCs w:val="24"/>
          <w:lang w:val="en-US" w:eastAsia="zh-CN"/>
        </w:rPr>
      </w:pPr>
      <w:r>
        <w:rPr>
          <w:rFonts w:hint="default" w:ascii="Times New Roman" w:hAnsi="Times New Roman"/>
          <w:caps w:val="0"/>
          <w:sz w:val="24"/>
          <w:szCs w:val="24"/>
          <w:lang w:val="en-US" w:eastAsia="zh-CN"/>
        </w:rPr>
        <w:t>Although Byd claims to use both online and offline sales channels, its offline channel proportion is very high. As a result of the Internet's influence on the auto industry, disadvantages such as high sales costs, poor customer service, and consumer information distortion gradually became apparent. Byd is one of the older domestic auto industry enterprises. Its sales have continued to use many traditional distribution channels. To achieve order information monitoring, Byd should apply the "sales flat" strategy, gradually transition to direct sales, online and other models, and enhance online mall features.Utilize the existing urban exposition hall to implement the "online vehicle purchase+offline car pickup" technique, which will help to further minimise the number of intermediary points of sale, effectively lower the cost of sales, and raise the level and quality of service. Adopt customised, individualised client services, such as a membership system, which rewards members with little gifts on their birthdays, exclusive, one-on-one customer support, more ideal, unique car modifications, etc.</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bookmarkStart w:id="27" w:name="_Toc4190"/>
      <w:r>
        <w:rPr>
          <w:rFonts w:hint="default"/>
          <w:lang w:val="en-US" w:eastAsia="zh-CN"/>
        </w:rPr>
        <w:t>6.3</w:t>
      </w:r>
      <w:r>
        <w:rPr>
          <w:rFonts w:hint="eastAsia"/>
          <w:lang w:val="en-US" w:eastAsia="zh-CN"/>
        </w:rPr>
        <w:t>.</w:t>
      </w:r>
      <w:r>
        <w:rPr>
          <w:rFonts w:hint="default"/>
          <w:lang w:val="en-US" w:eastAsia="zh-CN"/>
        </w:rPr>
        <w:t>Clarify product positioning</w:t>
      </w:r>
      <w:r>
        <w:rPr>
          <w:rFonts w:hint="eastAsia"/>
          <w:lang w:val="en-US" w:eastAsia="zh-CN"/>
        </w:rPr>
        <w:t>.</w:t>
      </w:r>
      <w:r>
        <w:rPr>
          <w:rFonts w:hint="default"/>
          <w:lang w:val="en-US" w:eastAsia="zh-CN"/>
        </w:rPr>
        <w:t>Product positioning</w:t>
      </w:r>
      <w:bookmarkEnd w:id="27"/>
    </w:p>
    <w:p>
      <w:pPr>
        <w:bidi w:val="0"/>
        <w:ind w:left="0" w:leftChars="0" w:firstLine="0" w:firstLineChars="0"/>
        <w:rPr>
          <w:rFonts w:hint="default"/>
          <w:lang w:val="en-US" w:eastAsia="zh-CN"/>
        </w:rPr>
      </w:pPr>
      <w:r>
        <w:rPr>
          <w:rFonts w:hint="default"/>
          <w:lang w:val="en-US" w:eastAsia="zh-CN"/>
        </w:rPr>
        <w:t>Product uncertainty has always been a significant hindrance to BYD's brand building. Despite the same series of products having a wide placement range, low-end and mid-range products seldom differ in the brand. Even though byd has started to implement network sales, dynasty net product positioning in the high-end, e net products main low-end, and the network about car market, at the same time the new ocean series products, this is insufficient. Byd needs to continue to comb optimization of its specific model sequence, avoid the twin models with platform of positioning conflict brand "volume."</w:t>
      </w:r>
    </w:p>
    <w:p>
      <w:pPr>
        <w:pStyle w:val="3"/>
        <w:pageBreakBefore w:val="0"/>
        <w:widowControl/>
        <w:kinsoku/>
        <w:overflowPunct/>
        <w:topLinePunct w:val="0"/>
        <w:autoSpaceDE/>
        <w:autoSpaceDN/>
        <w:bidi w:val="0"/>
        <w:adjustRightInd/>
        <w:snapToGrid/>
        <w:spacing w:line="480" w:lineRule="auto"/>
        <w:textAlignment w:val="auto"/>
        <w:rPr>
          <w:rFonts w:hint="default"/>
          <w:lang w:val="en-US" w:eastAsia="zh-CN"/>
        </w:rPr>
      </w:pPr>
      <w:r>
        <w:rPr>
          <w:rFonts w:hint="default"/>
          <w:lang w:val="en-US" w:eastAsia="zh-CN"/>
        </w:rPr>
        <w:t xml:space="preserve">6.4 Strengthen the application of data analysis </w:t>
      </w:r>
    </w:p>
    <w:p>
      <w:pPr>
        <w:bidi w:val="0"/>
        <w:ind w:left="0" w:leftChars="0" w:firstLine="0" w:firstLineChars="0"/>
        <w:rPr>
          <w:rFonts w:hint="default"/>
          <w:lang w:val="en-US" w:eastAsia="zh-CN"/>
        </w:rPr>
      </w:pPr>
      <w:r>
        <w:rPr>
          <w:rFonts w:hint="default"/>
          <w:lang w:val="en-US" w:eastAsia="zh-CN"/>
        </w:rPr>
        <w:t>to improve the capacity for information mining and collection. Information gathering and analysis have grown in importance as a tool for helping businesses run more smoothly. It can offer a decision-making basis for the corresponding policies of organisations through data mining, analysis, and collation. Since big data technology has developed so quickly in recent years, multidimensional data can effectively identify user information and build realistic portraits of consumers, helping companies find potential clients early. So, businesses are beginning to appreciate data more and more. In order to improve the standardised process and support the standardised services, the Group should train dealers in the use of the system and data index analysis. Additionally, the Group should upgrade the software and hardware system.</w:t>
      </w:r>
    </w:p>
    <w:p>
      <w:pPr>
        <w:pStyle w:val="2"/>
        <w:pageBreakBefore w:val="0"/>
        <w:widowControl/>
        <w:kinsoku/>
        <w:overflowPunct/>
        <w:topLinePunct w:val="0"/>
        <w:autoSpaceDE/>
        <w:autoSpaceDN/>
        <w:bidi w:val="0"/>
        <w:adjustRightInd/>
        <w:snapToGrid/>
        <w:spacing w:line="480" w:lineRule="auto"/>
        <w:textAlignment w:val="auto"/>
        <w:rPr>
          <w:rFonts w:hint="eastAsia"/>
          <w:lang w:val="en-US" w:eastAsia="zh-CN"/>
        </w:rPr>
      </w:pPr>
      <w:r>
        <w:rPr>
          <w:rFonts w:hint="eastAsia"/>
          <w:lang w:val="en-US" w:eastAsia="zh-CN"/>
        </w:rPr>
        <w:t>Reference</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Miele, A. et al. (2020) “The role of charging and refuelling infrastructure in supporting zero-emission vehicle sales,” Transportation Research Part D: Transport and Environment, 81, p. 102275. Available at: https://doi.org/10.1016/j.trd.2020.102275.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Fryges, H. and Wagner, J. (2008) “Exports and profitability - first evidence for German manufacturing firms,” SSRN Electronic Journal [Preprint]. Available at: https://doi.org/10.2139/ssrn.1298934.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Santos, G. and Davies, H. (2020) “Incentives for quick penetration of electric vehicles in five European countries: Perceptions from experts and stakeholders,” Transportation Research Part A: Policy and Practice, 137, pp. 326–342. Available at: https://doi.org/10.1016/j.tra.2018.10.034.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Silvia, C. and Krause, R.M. (2016) “Assessing the impact of policy interventions on the adoption of plug-in electric vehicles: An agent-based model,” Energy Policy, 96, pp. 105–118. Available at: https://doi.org/10.1016/j.enpol.2016.05.039.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Dunning, J.H. (2015) “The Eclectic Paradigm of international production: A restatement and some possible extensions,” The Eclectic Paradigm, pp. 50–84. Available at: https://doi.org/10.1007/978-1-137-54471-1_3.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Froot, K., Scharfstein, D. and Stein, J. (1992) “Risk management: coordinating corporate investment and financing policies.” Available at: https://doi.org/10.3386/w4084.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Fryges, H. and Wagner, J. (2008) “Exports and profitability - first evidence for German manufacturing firms,” SSRN Electronic Journal [Preprint]. Available at: https://doi.org/10.2139/ssrn.1298934.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Gupta, H. and Barua, M.K. (2016) “Identifying enablers of technological innovation for Indian msmes using Best–Worst Multi Criteria Decision Making Method,” Technological Forecasting and Social Change, 107, pp. 69–79. Available at: https://doi.org/10.1016/j.techfore.2016.03.028.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Santos, G. and Davies, H. (2020) “Incentives for quick penetration of electric vehicles in five European countries: Perceptions from experts and stakeholders,” Transportation Research Part A: Policy and Practice, 137, pp. 326–342. Available at: https://doi.org/10.1016/j.tra.2018.10.034.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Hu, S. et al. (2021) “Analysis on echelon utilization status of new energy vehicles batteries,” IOP Conference Series: Earth and Environmental Science, 651(2), p. 022035. Available at: https://doi.org/10.1088/1755-1315/651/2/022035.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wang, Y. and Liu, J. (2020) “Research on Wireless Charging Technology based on SSC inNew Energy Vehicles,” Frontiers in Economics and Management, 1(22), pp. 870–884.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Adrienne, S. (2014) “Brazil New Home of BYD's Electric Bus and Battery Plant,” Industry Week, 16(7), pp. 430–434.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Anonymous (2009) “BYD Auto Company Limited:2009 company profile edition 2：Chapter 6 SWOT analysis,” Just-Auto, 1(9), pp. 87–96.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Li, Y. (2020) “Retracted: Research on optimization of Urban Electric bus timetable based on computer technology for energy-saving objectives,” Journal of Physics: Conference Series, 1648(3), p. 032176. Available at: https://doi.org/10.1088/1742-6596/1648/3/032176.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Ma, X. et al. (2021) “Examining influential factors on the energy consumption of electric and diesel buses: A data-driven analysis of large-scale public transit network in Beijing,” Energy, 216, p. 119196. Available at: https://doi.org/10.1016/j.energy.2020.119196.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Thomas, A. and Erickson, J.D. (2021) “Rethinking the geography of Energy Transitions: Low Carbon Energy Pathways through energyshed design,” Energy Research &amp; Social Science, 74, p. 101941. Available at: https://doi.org/10.1016/j.erss.2021.101941.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Johanson, J. and Vahlne, J.-E. (2017) “The internationalization process of the firm—a model of knowledge development and increasing foreign market commitments,” International Business, pp. 145–154. Available at: https://doi.org/10.4324/9781315199689-9.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Kumar, M.S. and Revankar, S.T. (2017) “Development scheme and key technology of an electric vehicle: An overview,” Renewable and Sustainable Energy Reviews, 70, pp. 1266–1285. Available at: https://doi.org/10.1016/j.rser.2016.12.027.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Santos, G. and Davies, H. (2020) “Incentives for quick penetration of electric vehicles in five European countries: Perceptions from experts and stakeholders,” Transportation Research Part A: Policy and Practice, 137, pp. 326–342. Available at: https://doi.org/10.1016/j.tra.2018.10.034.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Sovacool, B.K. and Griffiths, S. (2020) “Culture and low-carbon energy transitions,” Nature Sustainability, 3(9), pp. 685–693. Available at: https://doi.org/10.1038/s41893-020-0519-4.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Wee, S., Coffman, M. and La Croix, S. (2018) “Do electric vehicle incentives matter? evidence from the 50 U.S. states,” Research Policy, 47(9), pp. 1601–1610. Available at: https://doi.org/10.1016/j.respol.2018.05.003.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McKinsey &amp; Company. (2020) The care of one-Hyperpersonalization of customer care. rep. New York: McKinsey &amp; Company, pp. 21–27.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BYD. Official website of BYD, Available at: https://www.byd.com/cn/AboutByd/CompanyIntro.html (Accessed: December 10, 2022).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ICCT (2021) China's New Energy Vehicle Mandate Policy (final rule), International Council on Clean Transportation. Available at: https://theicct.org/publication/chinas-new-energy-vehicle-mandate-policy-final-rule/ (Accessed: December 15, 2022).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ICCT (2021) Literature review on power utility best practices regarding electric vehicles, International Council on Clean Transportation. Available at: https://theicct.org/publication/literature-review-on-power-utility-best-practices-regarding-electric-vehicles/ (Accessed: December 15, 2022).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D1EV （2021） Sales data of China National Passenger Car Market Joint Conference from March 2020 to February 2021.Available at: http://biz.touchev.com/industry_data (Accessed: December 15, 2022).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BYD（2022）BYD: Production and sales report in November 2022. Available at: https://data.eastmoney.com/notices/detail/002594/AN202212021580766000,%E6%AF%94%E4%BA%9A%E8%BF%AA.html (Accessed: December 15, 2022).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WorldBank（2019）WorldBank Datebase.Available at: https://data.worldbank.org.cn/ (Accessed: December 15, 2022). </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Ashley, C. (2020) ‘California approves massive electric vehicle charging program across Southern California’, nation of change, 29th August. Available at: https://www.nationofchange.org/2020/08/29/california-approves-massive-electric-vehicle-charging-program-across-southern-california/ (Accessed: December 15, 2022).</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Zheng,Xin. （2017）.‘State Grid scales up charging’, China Daily，26th January. Available at: http://www.chinadaily.com.cn/kindle/2017-01/26/content_28062214.htm(Accessed: December 15, 2022).</w:t>
      </w:r>
    </w:p>
    <w:p>
      <w:pPr>
        <w:keepNext w:val="0"/>
        <w:keepLines w:val="0"/>
        <w:pageBreakBefore w:val="0"/>
        <w:widowControl/>
        <w:numPr>
          <w:ilvl w:val="0"/>
          <w:numId w:val="2"/>
        </w:numPr>
        <w:kinsoku/>
        <w:wordWrap w:val="0"/>
        <w:overflowPunct/>
        <w:topLinePunct w:val="0"/>
        <w:autoSpaceDE/>
        <w:autoSpaceDN/>
        <w:bidi w:val="0"/>
        <w:adjustRightInd/>
        <w:snapToGrid/>
        <w:spacing w:line="480" w:lineRule="auto"/>
        <w:ind w:left="425" w:leftChars="0" w:hanging="425" w:firstLineChars="0"/>
        <w:textAlignment w:val="auto"/>
        <w:rPr>
          <w:rFonts w:hint="default"/>
          <w:sz w:val="24"/>
          <w:szCs w:val="24"/>
          <w:lang w:val="en-US" w:eastAsia="zh-CN"/>
        </w:rPr>
      </w:pPr>
      <w:r>
        <w:rPr>
          <w:rFonts w:hint="default"/>
          <w:sz w:val="24"/>
          <w:szCs w:val="24"/>
          <w:lang w:val="en-US" w:eastAsia="zh-CN"/>
        </w:rPr>
        <w:t xml:space="preserve">Buckley, P.J. and Casson, M. (2016) The future of the multinational enterprise. Basingstoke: Palgrave Macmillan. </w:t>
      </w:r>
    </w:p>
    <w:sectPr>
      <w:footerReference r:id="rId6" w:type="default"/>
      <w:pgSz w:w="11906" w:h="16838"/>
      <w:pgMar w:top="1440" w:right="1800" w:bottom="1440" w:left="1800" w:header="851" w:footer="992" w:gutter="0"/>
      <w:pgBorders>
        <w:top w:val="none" w:sz="0" w:space="0"/>
        <w:left w:val="none" w:sz="0" w:space="0"/>
        <w:bottom w:val="none" w:sz="0" w:space="0"/>
        <w:right w:val="none" w:sz="0" w:space="0"/>
      </w:pgBorders>
      <w:pgNumType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480"/>
      </w:pPr>
      <w:r>
        <w:separator/>
      </w:r>
    </w:p>
  </w:endnote>
  <w:endnote w:type="continuationSeparator" w:id="1">
    <w:p>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楷体_GB2312">
    <w:panose1 w:val="02010609030101010101"/>
    <w:charset w:val="86"/>
    <w:family w:val="auto"/>
    <w:pitch w:val="default"/>
    <w:sig w:usb0="00000001" w:usb1="080E0000" w:usb2="00000000" w:usb3="00000000" w:csb0="00040000"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WLh2QyAgAAYQQAAA4AAABkcnMvZTJvRG9jLnhtbK1UzY7TMBC+I/EO&#10;lu80aRG7Vd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9YuHZDICAABhBAAADgAAAAAAAAABACAAAAAfAQAAZHJzL2Uyb0RvYy54bWxQSwUG&#10;AAAAAAYABgBZAQAAwwU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ind w:firstLine="480"/>
      </w:pPr>
      <w:r>
        <w:separator/>
      </w:r>
    </w:p>
  </w:footnote>
  <w:footnote w:type="continuationSeparator" w:id="1">
    <w:p>
      <w:pPr>
        <w:spacing w:line="480" w:lineRule="auto"/>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D20B27"/>
    <w:multiLevelType w:val="singleLevel"/>
    <w:tmpl w:val="94D20B27"/>
    <w:lvl w:ilvl="0" w:tentative="0">
      <w:start w:val="1"/>
      <w:numFmt w:val="decimal"/>
      <w:lvlText w:val="[%1]"/>
      <w:lvlJc w:val="left"/>
      <w:pPr>
        <w:tabs>
          <w:tab w:val="left" w:pos="420"/>
        </w:tabs>
        <w:ind w:left="425" w:hanging="425"/>
      </w:pPr>
      <w:rPr>
        <w:rFonts w:hint="default"/>
      </w:rPr>
    </w:lvl>
  </w:abstractNum>
  <w:abstractNum w:abstractNumId="1">
    <w:nsid w:val="6BE4BF9E"/>
    <w:multiLevelType w:val="singleLevel"/>
    <w:tmpl w:val="6BE4BF9E"/>
    <w:lvl w:ilvl="0" w:tentative="0">
      <w:start w:val="3"/>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2"/>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c0YzAxZDYzYzkyZTM2Y2QxNjhlZjM1YjM4MWE5NjUifQ=="/>
    <w:docVar w:name="KSO_WPS_MARK_KEY" w:val="c2f35442-d147-4329-8bdf-b17f6015547c"/>
  </w:docVars>
  <w:rsids>
    <w:rsidRoot w:val="00172A27"/>
    <w:rsid w:val="00F5778F"/>
    <w:rsid w:val="04E13A54"/>
    <w:rsid w:val="05623BFE"/>
    <w:rsid w:val="07967DD6"/>
    <w:rsid w:val="093D1B68"/>
    <w:rsid w:val="0A93759F"/>
    <w:rsid w:val="0B516CFE"/>
    <w:rsid w:val="0D104282"/>
    <w:rsid w:val="0EAC4F1C"/>
    <w:rsid w:val="158D7A98"/>
    <w:rsid w:val="15A274F3"/>
    <w:rsid w:val="15AD33B7"/>
    <w:rsid w:val="173C4B1A"/>
    <w:rsid w:val="18023FB5"/>
    <w:rsid w:val="1A41539A"/>
    <w:rsid w:val="1A501685"/>
    <w:rsid w:val="1A6018CB"/>
    <w:rsid w:val="1EC45B21"/>
    <w:rsid w:val="2378337E"/>
    <w:rsid w:val="237A2E51"/>
    <w:rsid w:val="243F41A0"/>
    <w:rsid w:val="256961FF"/>
    <w:rsid w:val="25C428AA"/>
    <w:rsid w:val="272954BC"/>
    <w:rsid w:val="27B065FC"/>
    <w:rsid w:val="27FF08F8"/>
    <w:rsid w:val="2BF832AE"/>
    <w:rsid w:val="303411F9"/>
    <w:rsid w:val="32AB107A"/>
    <w:rsid w:val="33E31B49"/>
    <w:rsid w:val="35695BB6"/>
    <w:rsid w:val="36A226B0"/>
    <w:rsid w:val="392C52D2"/>
    <w:rsid w:val="3A4952BC"/>
    <w:rsid w:val="3A4E51D1"/>
    <w:rsid w:val="3A7B0277"/>
    <w:rsid w:val="3BB0423B"/>
    <w:rsid w:val="3D817513"/>
    <w:rsid w:val="3E4B1963"/>
    <w:rsid w:val="3F137A2D"/>
    <w:rsid w:val="3F2C36DD"/>
    <w:rsid w:val="3F2F3033"/>
    <w:rsid w:val="3F9E2415"/>
    <w:rsid w:val="41720889"/>
    <w:rsid w:val="43900E34"/>
    <w:rsid w:val="43B6787E"/>
    <w:rsid w:val="45EC6491"/>
    <w:rsid w:val="4678706D"/>
    <w:rsid w:val="49423962"/>
    <w:rsid w:val="4C1C493F"/>
    <w:rsid w:val="4D1B2ED2"/>
    <w:rsid w:val="4D5A3970"/>
    <w:rsid w:val="4E013DEC"/>
    <w:rsid w:val="4E296E9F"/>
    <w:rsid w:val="50414974"/>
    <w:rsid w:val="520B6FE7"/>
    <w:rsid w:val="5697709C"/>
    <w:rsid w:val="579445C5"/>
    <w:rsid w:val="57AC67BD"/>
    <w:rsid w:val="589B16D6"/>
    <w:rsid w:val="59A65848"/>
    <w:rsid w:val="5AC4067B"/>
    <w:rsid w:val="5D5C334F"/>
    <w:rsid w:val="5FA55E83"/>
    <w:rsid w:val="62033D80"/>
    <w:rsid w:val="63763028"/>
    <w:rsid w:val="652838E6"/>
    <w:rsid w:val="65EA2327"/>
    <w:rsid w:val="67C526CE"/>
    <w:rsid w:val="68703BF0"/>
    <w:rsid w:val="68EC0C84"/>
    <w:rsid w:val="6A7B6EC7"/>
    <w:rsid w:val="6B642DD9"/>
    <w:rsid w:val="7002534E"/>
    <w:rsid w:val="73C117A4"/>
    <w:rsid w:val="753E4F5B"/>
    <w:rsid w:val="78363AFC"/>
    <w:rsid w:val="784B5AE0"/>
    <w:rsid w:val="78C1031A"/>
    <w:rsid w:val="78D44497"/>
    <w:rsid w:val="79A27982"/>
    <w:rsid w:val="7A1B7E60"/>
    <w:rsid w:val="7AAB1199"/>
    <w:rsid w:val="7C2F53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643" w:firstLineChars="200"/>
      <w:jc w:val="both"/>
    </w:pPr>
    <w:rPr>
      <w:rFonts w:ascii="Times New Roman" w:hAnsi="Times New Roman" w:eastAsia="宋体" w:cs="Times New Roman"/>
      <w:kern w:val="2"/>
      <w:sz w:val="24"/>
    </w:rPr>
  </w:style>
  <w:style w:type="paragraph" w:styleId="2">
    <w:name w:val="heading 1"/>
    <w:basedOn w:val="1"/>
    <w:next w:val="1"/>
    <w:link w:val="18"/>
    <w:qFormat/>
    <w:uiPriority w:val="0"/>
    <w:pPr>
      <w:keepNext/>
      <w:keepLines/>
      <w:spacing w:before="200" w:beforeLines="0" w:beforeAutospacing="0" w:after="200" w:afterLines="0" w:afterAutospacing="0" w:line="240" w:lineRule="auto"/>
      <w:ind w:firstLine="0" w:firstLineChars="0"/>
      <w:jc w:val="left"/>
      <w:outlineLvl w:val="0"/>
    </w:pPr>
    <w:rPr>
      <w:rFonts w:ascii="Times New Roman" w:hAnsi="Times New Roman" w:eastAsia="楷体_GB2312" w:cstheme="minorBidi"/>
      <w:b/>
      <w:kern w:val="44"/>
      <w:sz w:val="28"/>
      <w:szCs w:val="22"/>
      <w:lang w:val="en-US" w:eastAsia="zh-CN" w:bidi="ar-SA"/>
    </w:rPr>
  </w:style>
  <w:style w:type="paragraph" w:styleId="3">
    <w:name w:val="heading 2"/>
    <w:basedOn w:val="1"/>
    <w:next w:val="1"/>
    <w:link w:val="17"/>
    <w:unhideWhenUsed/>
    <w:qFormat/>
    <w:uiPriority w:val="0"/>
    <w:pPr>
      <w:keepNext/>
      <w:keepLines/>
      <w:ind w:firstLine="0" w:firstLineChars="0"/>
      <w:jc w:val="left"/>
      <w:outlineLvl w:val="1"/>
    </w:pPr>
    <w:rPr>
      <w:rFonts w:ascii="Times New Roman" w:hAnsi="Times New Roman" w:eastAsia="楷体_GB2312" w:cstheme="minorBidi"/>
      <w:b/>
      <w:sz w:val="28"/>
      <w:szCs w:val="22"/>
      <w:lang w:val="en-US" w:eastAsia="zh-CN" w:bidi="ar-SA"/>
    </w:rPr>
  </w:style>
  <w:style w:type="paragraph" w:styleId="4">
    <w:name w:val="heading 3"/>
    <w:basedOn w:val="1"/>
    <w:next w:val="1"/>
    <w:unhideWhenUsed/>
    <w:qFormat/>
    <w:uiPriority w:val="0"/>
    <w:pPr>
      <w:keepNext/>
      <w:keepLines/>
      <w:ind w:firstLine="0" w:firstLineChars="0"/>
      <w:jc w:val="left"/>
      <w:outlineLvl w:val="2"/>
    </w:pPr>
    <w:rPr>
      <w:rFonts w:ascii="Times New Roman" w:hAnsi="Times New Roman" w:eastAsia="楷体_GB2312"/>
      <w:b/>
      <w:sz w:val="28"/>
      <w:szCs w:val="22"/>
      <w:lang w:val="en-US" w:eastAsia="zh-CN" w:bidi="ar-SA"/>
    </w:rPr>
  </w:style>
  <w:style w:type="paragraph" w:styleId="5">
    <w:name w:val="heading 4"/>
    <w:basedOn w:val="1"/>
    <w:next w:val="1"/>
    <w:semiHidden/>
    <w:unhideWhenUsed/>
    <w:qFormat/>
    <w:uiPriority w:val="0"/>
    <w:pPr>
      <w:keepNext/>
      <w:keepLines/>
      <w:spacing w:before="200" w:after="200" w:line="240" w:lineRule="auto"/>
      <w:outlineLvl w:val="3"/>
    </w:pPr>
    <w:rPr>
      <w:rFonts w:ascii="Arial" w:hAnsi="Arial" w:eastAsia="黑体"/>
      <w:b/>
      <w:sz w:val="28"/>
      <w:lang w:val="en-US" w:eastAsia="zh-CN" w:bidi="ar-SA"/>
    </w:rPr>
  </w:style>
  <w:style w:type="character" w:default="1" w:styleId="13">
    <w:name w:val="Default Paragraph Font"/>
    <w:semiHidden/>
    <w:unhideWhenUsed/>
    <w:qFormat/>
    <w:uiPriority w:val="1"/>
  </w:style>
  <w:style w:type="table" w:default="1" w:styleId="11">
    <w:name w:val="Normal Table"/>
    <w:semiHidden/>
    <w:qFormat/>
    <w:uiPriority w:val="0"/>
    <w:tblPr>
      <w:tblCellMar>
        <w:top w:w="0" w:type="dxa"/>
        <w:left w:w="108" w:type="dxa"/>
        <w:bottom w:w="0" w:type="dxa"/>
        <w:right w:w="108" w:type="dxa"/>
      </w:tblCellMar>
    </w:tbl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footnote text"/>
    <w:basedOn w:val="1"/>
    <w:link w:val="16"/>
    <w:qFormat/>
    <w:uiPriority w:val="0"/>
    <w:pPr>
      <w:snapToGrid w:val="0"/>
      <w:jc w:val="left"/>
    </w:pPr>
    <w:rPr>
      <w:rFonts w:asciiTheme="minorAscii" w:hAnsiTheme="minorAscii" w:cstheme="minorBidi"/>
      <w:sz w:val="18"/>
      <w:szCs w:val="24"/>
      <w:lang w:val="en-US" w:eastAsia="zh-CN" w:bidi="ar-SA"/>
    </w:rPr>
  </w:style>
  <w:style w:type="paragraph" w:styleId="10">
    <w:name w:val="toc 2"/>
    <w:basedOn w:val="1"/>
    <w:next w:val="1"/>
    <w:qFormat/>
    <w:uiPriority w:val="0"/>
    <w:pPr>
      <w:ind w:left="420" w:leftChars="200"/>
    </w:pPr>
  </w:style>
  <w:style w:type="table" w:styleId="12">
    <w:name w:val="Table Grid"/>
    <w:basedOn w:val="11"/>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Hyperlink"/>
    <w:basedOn w:val="13"/>
    <w:qFormat/>
    <w:uiPriority w:val="0"/>
    <w:rPr>
      <w:color w:val="0000FF"/>
      <w:u w:val="single"/>
    </w:rPr>
  </w:style>
  <w:style w:type="character" w:styleId="15">
    <w:name w:val="footnote reference"/>
    <w:basedOn w:val="13"/>
    <w:qFormat/>
    <w:uiPriority w:val="0"/>
    <w:rPr>
      <w:vertAlign w:val="superscript"/>
    </w:rPr>
  </w:style>
  <w:style w:type="character" w:customStyle="1" w:styleId="16">
    <w:name w:val="脚注文本 Char"/>
    <w:basedOn w:val="13"/>
    <w:link w:val="9"/>
    <w:qFormat/>
    <w:uiPriority w:val="0"/>
    <w:rPr>
      <w:rFonts w:eastAsia="宋体" w:asciiTheme="minorAscii" w:hAnsiTheme="minorAscii" w:cstheme="minorBidi"/>
      <w:sz w:val="18"/>
      <w:szCs w:val="24"/>
      <w:lang w:val="en-US" w:eastAsia="zh-CN" w:bidi="ar-SA"/>
    </w:rPr>
  </w:style>
  <w:style w:type="character" w:customStyle="1" w:styleId="17">
    <w:name w:val="标题 2 Char"/>
    <w:link w:val="3"/>
    <w:qFormat/>
    <w:uiPriority w:val="0"/>
    <w:rPr>
      <w:rFonts w:ascii="Times New Roman" w:hAnsi="Times New Roman" w:eastAsia="楷体_GB2312" w:cstheme="minorBidi"/>
      <w:b/>
      <w:sz w:val="28"/>
      <w:szCs w:val="22"/>
      <w:lang w:val="en-US" w:eastAsia="zh-CN" w:bidi="ar-SA"/>
    </w:rPr>
  </w:style>
  <w:style w:type="character" w:customStyle="1" w:styleId="18">
    <w:name w:val="标题 1 Char"/>
    <w:link w:val="2"/>
    <w:qFormat/>
    <w:uiPriority w:val="0"/>
    <w:rPr>
      <w:rFonts w:ascii="Times New Roman" w:hAnsi="Times New Roman" w:eastAsia="楷体_GB2312" w:cstheme="minorBidi"/>
      <w:b/>
      <w:kern w:val="44"/>
      <w:sz w:val="28"/>
      <w:szCs w:val="22"/>
      <w:lang w:val="en-US" w:eastAsia="zh-CN" w:bidi="ar-SA"/>
    </w:rPr>
  </w:style>
  <w:style w:type="table" w:customStyle="1" w:styleId="19">
    <w:name w:val="无格式表格 31"/>
    <w:basedOn w:val="11"/>
    <w:qFormat/>
    <w:uiPriority w:val="0"/>
    <w:rPr>
      <w:rFonts w:hint="eastAsia"/>
    </w:rPr>
    <w:tblStylePr w:type="firstRow">
      <w:rPr>
        <w:b/>
        <w:bCs/>
        <w:caps/>
      </w:rPr>
      <w:tcPr>
        <w:tcBorders>
          <w:bottom w:val="single" w:color="7F7F7F" w:sz="4" w:space="0"/>
        </w:tcBorders>
      </w:tcPr>
    </w:tblStylePr>
    <w:tblStylePr w:type="lastRow">
      <w:rPr>
        <w:b/>
        <w:bCs/>
        <w:caps/>
      </w:rPr>
      <w:tcPr>
        <w:tcBorders>
          <w:top w:val="nil"/>
        </w:tcBorders>
      </w:tcPr>
    </w:tblStylePr>
    <w:tblStylePr w:type="firstCol">
      <w:rPr>
        <w:b/>
        <w:bCs/>
        <w:caps/>
      </w:rPr>
      <w:tcPr>
        <w:tcBorders>
          <w:right w:val="single" w:color="7F7F7F" w:sz="4" w:space="0"/>
        </w:tcBorders>
      </w:tcPr>
    </w:tblStylePr>
    <w:tblStylePr w:type="lastCol">
      <w:rPr>
        <w:b/>
        <w:bCs/>
        <w:caps/>
      </w:rPr>
      <w:tcPr>
        <w:tcBorders>
          <w:left w:val="nil"/>
        </w:tcBorders>
      </w:tcPr>
    </w:tblStylePr>
    <w:tblStylePr w:type="band1Vert">
      <w:tcPr>
        <w:shd w:val="clear" w:color="auto" w:fill="F2F2F2"/>
      </w:tcPr>
    </w:tblStylePr>
    <w:tblStylePr w:type="band1Horz">
      <w:tcPr>
        <w:shd w:val="clear" w:color="auto" w:fill="F2F2F2"/>
      </w:tcPr>
    </w:tblStylePr>
    <w:tblStylePr w:type="neCell">
      <w:tcPr>
        <w:tcBorders>
          <w:left w:val="nil"/>
        </w:tcBorders>
      </w:tcPr>
    </w:tblStylePr>
    <w:tblStylePr w:type="nwCell">
      <w:tcPr>
        <w:tcBorders>
          <w:right w:val="nil"/>
        </w:tcBorders>
      </w:tcPr>
    </w:tblStylePr>
  </w:style>
  <w:style w:type="paragraph" w:customStyle="1" w:styleId="20">
    <w:name w:val="WPSOffice手动目录 1"/>
    <w:qFormat/>
    <w:uiPriority w:val="0"/>
    <w:pPr>
      <w:ind w:leftChars="0"/>
    </w:pPr>
    <w:rPr>
      <w:rFonts w:ascii="Times New Roman" w:hAnsi="Times New Roman" w:eastAsia="宋体" w:cs="Times New Roman"/>
      <w:sz w:val="20"/>
      <w:szCs w:val="20"/>
    </w:rPr>
  </w:style>
  <w:style w:type="paragraph" w:customStyle="1" w:styleId="21">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t>Market share of Chinese new energy vehicle drive motor enterprises in 2021</a:t>
            </a:r>
          </a:p>
        </c:rich>
      </c:tx>
      <c:layout/>
      <c:overlay val="0"/>
      <c:spPr>
        <a:noFill/>
        <a:ln>
          <a:noFill/>
        </a:ln>
        <a:effectLst/>
      </c:spPr>
    </c:title>
    <c:autoTitleDeleted val="0"/>
    <c:plotArea>
      <c:layout/>
      <c:pieChart>
        <c:varyColors val="1"/>
        <c:ser>
          <c:idx val="0"/>
          <c:order val="0"/>
          <c:tx>
            <c:strRef>
              <c:f>Sheet1!$B$1</c:f>
              <c:strCache>
                <c:ptCount val="1"/>
                <c:pt idx="0">
                  <c:v>Market share of Chinese new energy vehicle drive motor enterprises in 2021</c:v>
                </c:pt>
              </c:strCache>
            </c:strRef>
          </c:tx>
          <c:spPr/>
          <c:explosion val="0"/>
          <c:dPt>
            <c:idx val="0"/>
            <c:bubble3D val="0"/>
            <c:explosion val="8"/>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Pt>
            <c:idx val="6"/>
            <c:bubble3D val="0"/>
            <c:spPr>
              <a:solidFill>
                <a:schemeClr val="accent1">
                  <a:lumMod val="60000"/>
                </a:schemeClr>
              </a:solidFill>
              <a:ln w="19050">
                <a:solidFill>
                  <a:schemeClr val="lt1"/>
                </a:solidFill>
              </a:ln>
              <a:effectLst/>
            </c:spPr>
          </c:dPt>
          <c:dPt>
            <c:idx val="7"/>
            <c:bubble3D val="0"/>
            <c:spPr>
              <a:solidFill>
                <a:schemeClr val="accent2">
                  <a:lumMod val="60000"/>
                </a:schemeClr>
              </a:solidFill>
              <a:ln w="19050">
                <a:solidFill>
                  <a:schemeClr val="lt1"/>
                </a:solidFill>
              </a:ln>
              <a:effectLst/>
            </c:spPr>
          </c:dPt>
          <c:dPt>
            <c:idx val="8"/>
            <c:bubble3D val="0"/>
            <c:spPr>
              <a:solidFill>
                <a:schemeClr val="accent3">
                  <a:lumMod val="60000"/>
                </a:schemeClr>
              </a:solidFill>
              <a:ln w="19050">
                <a:solidFill>
                  <a:schemeClr val="lt1"/>
                </a:solidFill>
              </a:ln>
              <a:effectLst/>
            </c:spPr>
          </c:dPt>
          <c:dPt>
            <c:idx val="9"/>
            <c:bubble3D val="0"/>
            <c:spPr>
              <a:solidFill>
                <a:schemeClr val="accent4">
                  <a:lumMod val="60000"/>
                </a:schemeClr>
              </a:solidFill>
              <a:ln w="19050">
                <a:solidFill>
                  <a:schemeClr val="lt1"/>
                </a:solidFill>
              </a:ln>
              <a:effectLst/>
            </c:spPr>
          </c:dPt>
          <c:dPt>
            <c:idx val="10"/>
            <c:bubble3D val="0"/>
            <c:spPr>
              <a:solidFill>
                <a:schemeClr val="accent5">
                  <a:lumMod val="60000"/>
                </a:schemeClr>
              </a:solidFill>
              <a:ln w="19050">
                <a:solidFill>
                  <a:schemeClr val="lt1"/>
                </a:solidFill>
              </a:ln>
              <a:effectLst/>
            </c:spPr>
          </c:dPt>
          <c:dPt>
            <c:idx val="11"/>
            <c:bubble3D val="0"/>
            <c:spPr>
              <a:solidFill>
                <a:schemeClr val="accent6">
                  <a:lumMod val="60000"/>
                </a:schemeClr>
              </a:solidFill>
              <a:ln w="19050">
                <a:solidFill>
                  <a:schemeClr val="lt1"/>
                </a:solidFill>
              </a:ln>
              <a:effectLst/>
            </c:spPr>
          </c:dPt>
          <c:dPt>
            <c:idx val="12"/>
            <c:bubble3D val="0"/>
            <c:spPr>
              <a:solidFill>
                <a:schemeClr val="accent1">
                  <a:lumMod val="80000"/>
                  <a:lumOff val="20000"/>
                </a:schemeClr>
              </a:solidFill>
              <a:ln w="19050">
                <a:solidFill>
                  <a:schemeClr val="lt1"/>
                </a:solidFill>
              </a:ln>
              <a:effectLst/>
            </c:spPr>
          </c:dPt>
          <c:dLbls>
            <c:numFmt formatCode="General" sourceLinked="1"/>
            <c:spPr>
              <a:solidFill>
                <a:schemeClr val="bg1">
                  <a:lumMod val="95000"/>
                </a:schemeClr>
              </a:solid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inEnd"/>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Sheet1!$A$2:$A$14</c:f>
              <c:strCache>
                <c:ptCount val="13"/>
                <c:pt idx="0">
                  <c:v>BYD</c:v>
                </c:pt>
                <c:pt idx="1">
                  <c:v>tesla</c:v>
                </c:pt>
                <c:pt idx="2">
                  <c:v>ZHEJIANG FOUNDER MOTOR CO., LTD.</c:v>
                </c:pt>
                <c:pt idx="3">
                  <c:v> SHUANGLIN GROUP</c:v>
                </c:pt>
                <c:pt idx="4">
                  <c:v>XPT</c:v>
                </c:pt>
                <c:pt idx="5">
                  <c:v>NIDEC CORPORATION</c:v>
                </c:pt>
                <c:pt idx="6">
                  <c:v>UAES</c:v>
                </c:pt>
                <c:pt idx="7">
                  <c:v>SHANGHAI E-DRIVE</c:v>
                </c:pt>
                <c:pt idx="8">
                  <c:v>Jing-Jin Electric(JJE)</c:v>
                </c:pt>
                <c:pt idx="9">
                  <c:v>VW</c:v>
                </c:pt>
                <c:pt idx="10">
                  <c:v>others</c:v>
                </c:pt>
              </c:strCache>
            </c:strRef>
          </c:cat>
          <c:val>
            <c:numRef>
              <c:f>Sheet1!$B$2:$B$14</c:f>
              <c:numCache>
                <c:formatCode>0.00%</c:formatCode>
                <c:ptCount val="13"/>
                <c:pt idx="0">
                  <c:v>0.182</c:v>
                </c:pt>
                <c:pt idx="1">
                  <c:v>0.116</c:v>
                </c:pt>
                <c:pt idx="2">
                  <c:v>0.074</c:v>
                </c:pt>
                <c:pt idx="3">
                  <c:v>0.059</c:v>
                </c:pt>
                <c:pt idx="4">
                  <c:v>0.043</c:v>
                </c:pt>
                <c:pt idx="5">
                  <c:v>0.049</c:v>
                </c:pt>
                <c:pt idx="6">
                  <c:v>0.053</c:v>
                </c:pt>
                <c:pt idx="7">
                  <c:v>0.041</c:v>
                </c:pt>
                <c:pt idx="8">
                  <c:v>0.035</c:v>
                </c:pt>
                <c:pt idx="9">
                  <c:v>0.032</c:v>
                </c:pt>
                <c:pt idx="10">
                  <c:v>0.31</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r"/>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37</Pages>
  <Words>7093</Words>
  <Characters>43112</Characters>
  <Lines>0</Lines>
  <Paragraphs>0</Paragraphs>
  <TotalTime>236</TotalTime>
  <ScaleCrop>false</ScaleCrop>
  <LinksUpToDate>false</LinksUpToDate>
  <CharactersWithSpaces>50248</CharactersWithSpaces>
  <Application>WPS Office_11.1.0.12651_F1E327BC-269C-435d-A152-05C5408002CA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2022-12-12T08:18:00Z</dcterms:created>
  <dc:creator>无关风月</dc:creator>
  <cp:lastModifiedBy>无关风月</cp:lastModifiedBy>
  <dcterms:modified xsi:type="dcterms:W3CDTF">2022-12-15T13:30:13Z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2052-11.1.0.12651</vt:lpwstr>
  </property>
  <property fmtid="{D5CDD505-2E9C-101B-9397-08002B2CF9AE}" pid="3" name="ICV">
    <vt:lpwstr>8464A835F03C4DECA463C79A3FCFA0B4</vt:lpwstr>
  </property>
</Properties>
</file>