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5E067A" w14:textId="34BFA757" w:rsidR="005E07B9" w:rsidRPr="005E07B9" w:rsidRDefault="005E07B9" w:rsidP="00FD40A1">
      <w:pPr>
        <w:jc w:val="center"/>
        <w:rPr>
          <w:rFonts w:cs="Arial"/>
        </w:rPr>
      </w:pPr>
      <w:bookmarkStart w:id="0" w:name="_GoBack"/>
      <w:r w:rsidRPr="005E07B9">
        <w:rPr>
          <w:rFonts w:cs="Arial"/>
          <w:noProof/>
          <w:lang w:eastAsia="en-IN"/>
        </w:rPr>
        <w:drawing>
          <wp:inline distT="0" distB="0" distL="0" distR="0" wp14:anchorId="25FD9251" wp14:editId="1DF40063">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CCE1E1E" w14:textId="77777777" w:rsidR="00EF15CD" w:rsidRDefault="00EF15CD" w:rsidP="005E07B9">
      <w:pPr>
        <w:jc w:val="center"/>
        <w:rPr>
          <w:rFonts w:cs="Arial"/>
          <w:b/>
          <w:bCs/>
          <w:sz w:val="28"/>
          <w:szCs w:val="28"/>
        </w:rPr>
      </w:pPr>
    </w:p>
    <w:p w14:paraId="4D907F3D" w14:textId="48B2C220" w:rsidR="005E07B9" w:rsidRPr="005E07B9" w:rsidRDefault="005E07B9" w:rsidP="005E07B9">
      <w:pPr>
        <w:jc w:val="center"/>
        <w:rPr>
          <w:rFonts w:cs="Arial"/>
          <w:b/>
          <w:bCs/>
          <w:sz w:val="28"/>
          <w:szCs w:val="28"/>
        </w:rPr>
      </w:pPr>
      <w:r w:rsidRPr="005E07B9">
        <w:rPr>
          <w:rFonts w:cs="Arial"/>
          <w:b/>
          <w:bCs/>
          <w:sz w:val="28"/>
          <w:szCs w:val="28"/>
        </w:rPr>
        <w:t>Programme: Master of Business Administration</w:t>
      </w:r>
    </w:p>
    <w:p w14:paraId="51C3FE97" w14:textId="14C66C14" w:rsidR="005E07B9" w:rsidRPr="005E07B9" w:rsidRDefault="005E07B9" w:rsidP="005E07B9">
      <w:pPr>
        <w:jc w:val="center"/>
        <w:rPr>
          <w:rFonts w:cs="Arial"/>
          <w:b/>
          <w:bCs/>
          <w:sz w:val="28"/>
          <w:szCs w:val="28"/>
        </w:rPr>
      </w:pPr>
      <w:r w:rsidRPr="005E07B9">
        <w:rPr>
          <w:rFonts w:cs="Arial"/>
          <w:b/>
          <w:bCs/>
          <w:sz w:val="28"/>
          <w:szCs w:val="28"/>
        </w:rPr>
        <w:t>Module: Financial Management</w:t>
      </w:r>
    </w:p>
    <w:p w14:paraId="7FE9040F" w14:textId="1080E323" w:rsidR="005E07B9" w:rsidRPr="005E07B9" w:rsidRDefault="005E07B9" w:rsidP="005E07B9">
      <w:pPr>
        <w:jc w:val="center"/>
        <w:rPr>
          <w:rFonts w:cs="Arial"/>
          <w:b/>
          <w:bCs/>
          <w:sz w:val="28"/>
          <w:szCs w:val="28"/>
        </w:rPr>
      </w:pPr>
      <w:r w:rsidRPr="005E07B9">
        <w:rPr>
          <w:rFonts w:cs="Arial"/>
          <w:b/>
          <w:bCs/>
          <w:sz w:val="28"/>
          <w:szCs w:val="28"/>
        </w:rPr>
        <w:t>Module code: LCMB7002</w:t>
      </w:r>
    </w:p>
    <w:p w14:paraId="669A1D28" w14:textId="77777777" w:rsidR="005E07B9" w:rsidRPr="005E07B9" w:rsidRDefault="005E07B9" w:rsidP="005E07B9">
      <w:pPr>
        <w:rPr>
          <w:rFonts w:cs="Arial"/>
        </w:rPr>
      </w:pPr>
    </w:p>
    <w:p w14:paraId="37D1BB26" w14:textId="3B966E70" w:rsidR="005E07B9" w:rsidRPr="005E07B9" w:rsidRDefault="005E07B9" w:rsidP="005E07B9">
      <w:pPr>
        <w:jc w:val="center"/>
        <w:rPr>
          <w:rFonts w:cs="Arial"/>
          <w:b/>
          <w:bCs/>
        </w:rPr>
      </w:pPr>
      <w:r w:rsidRPr="005E07B9">
        <w:rPr>
          <w:rFonts w:cs="Arial"/>
          <w:b/>
          <w:bCs/>
        </w:rPr>
        <w:t>Lecturer: Patrick Yeboah (Birmingham)</w:t>
      </w:r>
    </w:p>
    <w:p w14:paraId="5F563399" w14:textId="77777777" w:rsidR="005E07B9" w:rsidRPr="005E07B9" w:rsidRDefault="005E07B9" w:rsidP="005E07B9">
      <w:pPr>
        <w:rPr>
          <w:rFonts w:cs="Arial"/>
        </w:rPr>
      </w:pPr>
    </w:p>
    <w:p w14:paraId="426645B1" w14:textId="77777777" w:rsidR="005E07B9" w:rsidRPr="005E07B9" w:rsidRDefault="005E07B9" w:rsidP="005E07B9">
      <w:pPr>
        <w:rPr>
          <w:rFonts w:cs="Arial"/>
        </w:rPr>
      </w:pPr>
    </w:p>
    <w:p w14:paraId="710DCA87" w14:textId="77777777" w:rsidR="005E07B9" w:rsidRPr="005E07B9" w:rsidRDefault="005E07B9" w:rsidP="005E07B9">
      <w:pPr>
        <w:rPr>
          <w:rFonts w:cs="Arial"/>
        </w:rPr>
      </w:pPr>
    </w:p>
    <w:p w14:paraId="0A340BAA" w14:textId="273AFCE2" w:rsidR="005E07B9" w:rsidRPr="005E07B9" w:rsidRDefault="005E07B9" w:rsidP="005E07B9">
      <w:pPr>
        <w:jc w:val="center"/>
        <w:rPr>
          <w:rFonts w:cs="Arial"/>
        </w:rPr>
      </w:pPr>
      <w:r w:rsidRPr="005E07B9">
        <w:rPr>
          <w:rFonts w:cs="Arial"/>
        </w:rPr>
        <w:t>Student name:</w:t>
      </w:r>
      <w:r w:rsidR="000B41B8" w:rsidRPr="000B41B8">
        <w:t xml:space="preserve"> </w:t>
      </w:r>
      <w:r w:rsidR="000B41B8" w:rsidRPr="000B41B8">
        <w:rPr>
          <w:rFonts w:cs="Arial"/>
        </w:rPr>
        <w:t>MANIKANDAN GOPALAKRISHNAN</w:t>
      </w:r>
    </w:p>
    <w:p w14:paraId="1F86360B" w14:textId="6196CFCF" w:rsidR="005E07B9" w:rsidRPr="005E07B9" w:rsidRDefault="005E07B9" w:rsidP="005E07B9">
      <w:pPr>
        <w:jc w:val="center"/>
        <w:rPr>
          <w:rFonts w:cs="Arial"/>
        </w:rPr>
      </w:pPr>
      <w:r w:rsidRPr="005E07B9">
        <w:rPr>
          <w:rFonts w:cs="Arial"/>
        </w:rPr>
        <w:t xml:space="preserve">Student ID number: </w:t>
      </w:r>
      <w:r w:rsidR="000B41B8" w:rsidRPr="000B41B8">
        <w:rPr>
          <w:rFonts w:cs="Arial"/>
        </w:rPr>
        <w:t>2507423</w:t>
      </w:r>
    </w:p>
    <w:p w14:paraId="35F9B2E2" w14:textId="77777777" w:rsidR="005E07B9" w:rsidRPr="00AE65A5" w:rsidRDefault="005E07B9" w:rsidP="005E07B9">
      <w:pPr>
        <w:jc w:val="center"/>
        <w:rPr>
          <w:rFonts w:cs="Arial"/>
          <w:lang w:val="en-GB"/>
        </w:rPr>
      </w:pPr>
    </w:p>
    <w:p w14:paraId="6E1B56A4" w14:textId="77777777" w:rsidR="005E07B9" w:rsidRPr="005E07B9" w:rsidRDefault="005E07B9" w:rsidP="005E07B9">
      <w:pPr>
        <w:jc w:val="center"/>
        <w:rPr>
          <w:rFonts w:cs="Arial"/>
        </w:rPr>
      </w:pPr>
    </w:p>
    <w:p w14:paraId="283D15E1" w14:textId="71AF1675" w:rsidR="005E07B9" w:rsidRPr="005E07B9" w:rsidRDefault="005E07B9" w:rsidP="005E07B9">
      <w:pPr>
        <w:jc w:val="center"/>
        <w:rPr>
          <w:rFonts w:cs="Arial"/>
          <w:sz w:val="26"/>
          <w:szCs w:val="26"/>
          <w:lang w:val="en-GB"/>
        </w:rPr>
      </w:pPr>
      <w:r w:rsidRPr="005E07B9">
        <w:rPr>
          <w:rFonts w:cs="Arial"/>
        </w:rPr>
        <w:t>Word</w:t>
      </w:r>
      <w:r w:rsidR="00BE6690">
        <w:rPr>
          <w:rFonts w:cs="Arial"/>
        </w:rPr>
        <w:t xml:space="preserve"> </w:t>
      </w:r>
      <w:r w:rsidRPr="005E07B9">
        <w:rPr>
          <w:rFonts w:cs="Arial"/>
        </w:rPr>
        <w:t xml:space="preserve">count: </w:t>
      </w:r>
      <w:r w:rsidR="000B41B8">
        <w:rPr>
          <w:rFonts w:cs="Arial"/>
        </w:rPr>
        <w:t>5100</w:t>
      </w:r>
      <w:r w:rsidRPr="005E07B9">
        <w:rPr>
          <w:rFonts w:cs="Arial"/>
        </w:rPr>
        <w:br w:type="page"/>
      </w:r>
    </w:p>
    <w:sdt>
      <w:sdtPr>
        <w:rPr>
          <w:rFonts w:ascii="Arial" w:eastAsiaTheme="minorHAnsi" w:hAnsi="Arial" w:cs="Arial"/>
          <w:b/>
          <w:color w:val="auto"/>
          <w:kern w:val="2"/>
          <w:sz w:val="24"/>
          <w:szCs w:val="24"/>
          <w:lang w:val="en-IN"/>
          <w14:ligatures w14:val="standardContextual"/>
        </w:rPr>
        <w:id w:val="1498227600"/>
        <w:docPartObj>
          <w:docPartGallery w:val="Table of Contents"/>
          <w:docPartUnique/>
        </w:docPartObj>
      </w:sdtPr>
      <w:sdtEndPr>
        <w:rPr>
          <w:bCs/>
          <w:noProof/>
          <w:color w:val="000000" w:themeColor="text1"/>
        </w:rPr>
      </w:sdtEndPr>
      <w:sdtContent>
        <w:p w14:paraId="69A27211" w14:textId="7AA90DAB" w:rsidR="005E07B9" w:rsidRPr="003E37F3" w:rsidRDefault="005E07B9" w:rsidP="003E37F3">
          <w:pPr>
            <w:pStyle w:val="TOCHeading"/>
            <w:spacing w:line="360" w:lineRule="auto"/>
            <w:jc w:val="center"/>
            <w:rPr>
              <w:rFonts w:ascii="Arial" w:hAnsi="Arial" w:cs="Arial"/>
              <w:b/>
              <w:color w:val="auto"/>
              <w:sz w:val="28"/>
              <w:szCs w:val="24"/>
            </w:rPr>
          </w:pPr>
          <w:r w:rsidRPr="003E37F3">
            <w:rPr>
              <w:rFonts w:ascii="Arial" w:hAnsi="Arial" w:cs="Arial"/>
              <w:b/>
              <w:color w:val="auto"/>
              <w:sz w:val="28"/>
              <w:szCs w:val="24"/>
            </w:rPr>
            <w:t>Table of Contents</w:t>
          </w:r>
        </w:p>
        <w:p w14:paraId="255E1297" w14:textId="53FFD703" w:rsidR="00B63654" w:rsidRDefault="005E07B9">
          <w:pPr>
            <w:pStyle w:val="TOC1"/>
            <w:tabs>
              <w:tab w:val="right" w:leader="dot" w:pos="9016"/>
            </w:tabs>
            <w:rPr>
              <w:rFonts w:asciiTheme="minorHAnsi" w:eastAsiaTheme="minorEastAsia" w:hAnsiTheme="minorHAnsi" w:cstheme="minorBidi"/>
              <w:noProof/>
              <w:color w:val="auto"/>
              <w:kern w:val="0"/>
              <w:sz w:val="22"/>
              <w:szCs w:val="22"/>
              <w:lang w:eastAsia="en-IN"/>
              <w14:ligatures w14:val="none"/>
            </w:rPr>
          </w:pPr>
          <w:r w:rsidRPr="00BE6690">
            <w:rPr>
              <w:rFonts w:cs="Arial"/>
            </w:rPr>
            <w:fldChar w:fldCharType="begin"/>
          </w:r>
          <w:r w:rsidRPr="00BE6690">
            <w:rPr>
              <w:rFonts w:cs="Arial"/>
            </w:rPr>
            <w:instrText xml:space="preserve"> TOC \o "1-3" \h \z \u </w:instrText>
          </w:r>
          <w:r w:rsidRPr="00BE6690">
            <w:rPr>
              <w:rFonts w:cs="Arial"/>
            </w:rPr>
            <w:fldChar w:fldCharType="separate"/>
          </w:r>
          <w:hyperlink w:anchor="_Toc214732258" w:history="1">
            <w:r w:rsidR="00B63654" w:rsidRPr="00001456">
              <w:rPr>
                <w:rStyle w:val="Hyperlink"/>
                <w:noProof/>
              </w:rPr>
              <w:t>Introduction</w:t>
            </w:r>
            <w:r w:rsidR="00B63654">
              <w:rPr>
                <w:noProof/>
                <w:webHidden/>
              </w:rPr>
              <w:tab/>
            </w:r>
            <w:r w:rsidR="00B63654">
              <w:rPr>
                <w:noProof/>
                <w:webHidden/>
              </w:rPr>
              <w:fldChar w:fldCharType="begin"/>
            </w:r>
            <w:r w:rsidR="00B63654">
              <w:rPr>
                <w:noProof/>
                <w:webHidden/>
              </w:rPr>
              <w:instrText xml:space="preserve"> PAGEREF _Toc214732258 \h </w:instrText>
            </w:r>
            <w:r w:rsidR="00B63654">
              <w:rPr>
                <w:noProof/>
                <w:webHidden/>
              </w:rPr>
            </w:r>
            <w:r w:rsidR="00B63654">
              <w:rPr>
                <w:noProof/>
                <w:webHidden/>
              </w:rPr>
              <w:fldChar w:fldCharType="separate"/>
            </w:r>
            <w:r w:rsidR="00B63654">
              <w:rPr>
                <w:noProof/>
                <w:webHidden/>
              </w:rPr>
              <w:t>2</w:t>
            </w:r>
            <w:r w:rsidR="00B63654">
              <w:rPr>
                <w:noProof/>
                <w:webHidden/>
              </w:rPr>
              <w:fldChar w:fldCharType="end"/>
            </w:r>
          </w:hyperlink>
        </w:p>
        <w:p w14:paraId="24FBF842" w14:textId="6EB70A29" w:rsidR="00B63654" w:rsidRDefault="0081285B">
          <w:pPr>
            <w:pStyle w:val="TOC1"/>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59" w:history="1">
            <w:r w:rsidR="00B63654" w:rsidRPr="00001456">
              <w:rPr>
                <w:rStyle w:val="Hyperlink"/>
                <w:noProof/>
              </w:rPr>
              <w:t>1. Financial Health Check</w:t>
            </w:r>
            <w:r w:rsidR="00B63654">
              <w:rPr>
                <w:noProof/>
                <w:webHidden/>
              </w:rPr>
              <w:tab/>
            </w:r>
            <w:r w:rsidR="00B63654">
              <w:rPr>
                <w:noProof/>
                <w:webHidden/>
              </w:rPr>
              <w:fldChar w:fldCharType="begin"/>
            </w:r>
            <w:r w:rsidR="00B63654">
              <w:rPr>
                <w:noProof/>
                <w:webHidden/>
              </w:rPr>
              <w:instrText xml:space="preserve"> PAGEREF _Toc214732259 \h </w:instrText>
            </w:r>
            <w:r w:rsidR="00B63654">
              <w:rPr>
                <w:noProof/>
                <w:webHidden/>
              </w:rPr>
            </w:r>
            <w:r w:rsidR="00B63654">
              <w:rPr>
                <w:noProof/>
                <w:webHidden/>
              </w:rPr>
              <w:fldChar w:fldCharType="separate"/>
            </w:r>
            <w:r w:rsidR="00B63654">
              <w:rPr>
                <w:noProof/>
                <w:webHidden/>
              </w:rPr>
              <w:t>2</w:t>
            </w:r>
            <w:r w:rsidR="00B63654">
              <w:rPr>
                <w:noProof/>
                <w:webHidden/>
              </w:rPr>
              <w:fldChar w:fldCharType="end"/>
            </w:r>
          </w:hyperlink>
        </w:p>
        <w:p w14:paraId="716FC7CD" w14:textId="373107AB" w:rsidR="00B63654" w:rsidRDefault="0081285B">
          <w:pPr>
            <w:pStyle w:val="TOC2"/>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60" w:history="1">
            <w:r w:rsidR="00B63654" w:rsidRPr="00001456">
              <w:rPr>
                <w:rStyle w:val="Hyperlink"/>
                <w:noProof/>
              </w:rPr>
              <w:t>1.1 Analysis of financial statement of the business</w:t>
            </w:r>
            <w:r w:rsidR="00B63654">
              <w:rPr>
                <w:noProof/>
                <w:webHidden/>
              </w:rPr>
              <w:tab/>
            </w:r>
            <w:r w:rsidR="00B63654">
              <w:rPr>
                <w:noProof/>
                <w:webHidden/>
              </w:rPr>
              <w:fldChar w:fldCharType="begin"/>
            </w:r>
            <w:r w:rsidR="00B63654">
              <w:rPr>
                <w:noProof/>
                <w:webHidden/>
              </w:rPr>
              <w:instrText xml:space="preserve"> PAGEREF _Toc214732260 \h </w:instrText>
            </w:r>
            <w:r w:rsidR="00B63654">
              <w:rPr>
                <w:noProof/>
                <w:webHidden/>
              </w:rPr>
            </w:r>
            <w:r w:rsidR="00B63654">
              <w:rPr>
                <w:noProof/>
                <w:webHidden/>
              </w:rPr>
              <w:fldChar w:fldCharType="separate"/>
            </w:r>
            <w:r w:rsidR="00B63654">
              <w:rPr>
                <w:noProof/>
                <w:webHidden/>
              </w:rPr>
              <w:t>2</w:t>
            </w:r>
            <w:r w:rsidR="00B63654">
              <w:rPr>
                <w:noProof/>
                <w:webHidden/>
              </w:rPr>
              <w:fldChar w:fldCharType="end"/>
            </w:r>
          </w:hyperlink>
        </w:p>
        <w:p w14:paraId="6850FCC8" w14:textId="1A09D07A" w:rsidR="00B63654" w:rsidRDefault="0081285B">
          <w:pPr>
            <w:pStyle w:val="TOC2"/>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61" w:history="1">
            <w:r w:rsidR="00B63654" w:rsidRPr="00001456">
              <w:rPr>
                <w:rStyle w:val="Hyperlink"/>
                <w:noProof/>
              </w:rPr>
              <w:t>1.2 Ratio analysis</w:t>
            </w:r>
            <w:r w:rsidR="00B63654">
              <w:rPr>
                <w:noProof/>
                <w:webHidden/>
              </w:rPr>
              <w:tab/>
            </w:r>
            <w:r w:rsidR="00B63654">
              <w:rPr>
                <w:noProof/>
                <w:webHidden/>
              </w:rPr>
              <w:fldChar w:fldCharType="begin"/>
            </w:r>
            <w:r w:rsidR="00B63654">
              <w:rPr>
                <w:noProof/>
                <w:webHidden/>
              </w:rPr>
              <w:instrText xml:space="preserve"> PAGEREF _Toc214732261 \h </w:instrText>
            </w:r>
            <w:r w:rsidR="00B63654">
              <w:rPr>
                <w:noProof/>
                <w:webHidden/>
              </w:rPr>
            </w:r>
            <w:r w:rsidR="00B63654">
              <w:rPr>
                <w:noProof/>
                <w:webHidden/>
              </w:rPr>
              <w:fldChar w:fldCharType="separate"/>
            </w:r>
            <w:r w:rsidR="00B63654">
              <w:rPr>
                <w:noProof/>
                <w:webHidden/>
              </w:rPr>
              <w:t>3</w:t>
            </w:r>
            <w:r w:rsidR="00B63654">
              <w:rPr>
                <w:noProof/>
                <w:webHidden/>
              </w:rPr>
              <w:fldChar w:fldCharType="end"/>
            </w:r>
          </w:hyperlink>
        </w:p>
        <w:p w14:paraId="05FE617F" w14:textId="5767BDE1" w:rsidR="00B63654" w:rsidRDefault="0081285B">
          <w:pPr>
            <w:pStyle w:val="TOC2"/>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62" w:history="1">
            <w:r w:rsidR="00B63654" w:rsidRPr="00001456">
              <w:rPr>
                <w:rStyle w:val="Hyperlink"/>
                <w:noProof/>
              </w:rPr>
              <w:t>1.3 Identify trends, strengths and threats</w:t>
            </w:r>
            <w:r w:rsidR="00B63654">
              <w:rPr>
                <w:noProof/>
                <w:webHidden/>
              </w:rPr>
              <w:tab/>
            </w:r>
            <w:r w:rsidR="00B63654">
              <w:rPr>
                <w:noProof/>
                <w:webHidden/>
              </w:rPr>
              <w:fldChar w:fldCharType="begin"/>
            </w:r>
            <w:r w:rsidR="00B63654">
              <w:rPr>
                <w:noProof/>
                <w:webHidden/>
              </w:rPr>
              <w:instrText xml:space="preserve"> PAGEREF _Toc214732262 \h </w:instrText>
            </w:r>
            <w:r w:rsidR="00B63654">
              <w:rPr>
                <w:noProof/>
                <w:webHidden/>
              </w:rPr>
            </w:r>
            <w:r w:rsidR="00B63654">
              <w:rPr>
                <w:noProof/>
                <w:webHidden/>
              </w:rPr>
              <w:fldChar w:fldCharType="separate"/>
            </w:r>
            <w:r w:rsidR="00B63654">
              <w:rPr>
                <w:noProof/>
                <w:webHidden/>
              </w:rPr>
              <w:t>5</w:t>
            </w:r>
            <w:r w:rsidR="00B63654">
              <w:rPr>
                <w:noProof/>
                <w:webHidden/>
              </w:rPr>
              <w:fldChar w:fldCharType="end"/>
            </w:r>
          </w:hyperlink>
        </w:p>
        <w:p w14:paraId="0AEEFAA4" w14:textId="7190D22A" w:rsidR="00B63654" w:rsidRDefault="0081285B">
          <w:pPr>
            <w:pStyle w:val="TOC2"/>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63" w:history="1">
            <w:r w:rsidR="00B63654" w:rsidRPr="00001456">
              <w:rPr>
                <w:rStyle w:val="Hyperlink"/>
                <w:noProof/>
              </w:rPr>
              <w:t>1.4 Application of Altman Z-Score</w:t>
            </w:r>
            <w:r w:rsidR="00B63654">
              <w:rPr>
                <w:noProof/>
                <w:webHidden/>
              </w:rPr>
              <w:tab/>
            </w:r>
            <w:r w:rsidR="00B63654">
              <w:rPr>
                <w:noProof/>
                <w:webHidden/>
              </w:rPr>
              <w:fldChar w:fldCharType="begin"/>
            </w:r>
            <w:r w:rsidR="00B63654">
              <w:rPr>
                <w:noProof/>
                <w:webHidden/>
              </w:rPr>
              <w:instrText xml:space="preserve"> PAGEREF _Toc214732263 \h </w:instrText>
            </w:r>
            <w:r w:rsidR="00B63654">
              <w:rPr>
                <w:noProof/>
                <w:webHidden/>
              </w:rPr>
            </w:r>
            <w:r w:rsidR="00B63654">
              <w:rPr>
                <w:noProof/>
                <w:webHidden/>
              </w:rPr>
              <w:fldChar w:fldCharType="separate"/>
            </w:r>
            <w:r w:rsidR="00B63654">
              <w:rPr>
                <w:noProof/>
                <w:webHidden/>
              </w:rPr>
              <w:t>6</w:t>
            </w:r>
            <w:r w:rsidR="00B63654">
              <w:rPr>
                <w:noProof/>
                <w:webHidden/>
              </w:rPr>
              <w:fldChar w:fldCharType="end"/>
            </w:r>
          </w:hyperlink>
        </w:p>
        <w:p w14:paraId="0D120D38" w14:textId="0E0F2F94" w:rsidR="00B63654" w:rsidRDefault="0081285B">
          <w:pPr>
            <w:pStyle w:val="TOC1"/>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64" w:history="1">
            <w:r w:rsidR="00B63654" w:rsidRPr="00001456">
              <w:rPr>
                <w:rStyle w:val="Hyperlink"/>
                <w:noProof/>
              </w:rPr>
              <w:t>2. Working Capital Management Analysis</w:t>
            </w:r>
            <w:r w:rsidR="00B63654">
              <w:rPr>
                <w:noProof/>
                <w:webHidden/>
              </w:rPr>
              <w:tab/>
            </w:r>
            <w:r w:rsidR="00B63654">
              <w:rPr>
                <w:noProof/>
                <w:webHidden/>
              </w:rPr>
              <w:fldChar w:fldCharType="begin"/>
            </w:r>
            <w:r w:rsidR="00B63654">
              <w:rPr>
                <w:noProof/>
                <w:webHidden/>
              </w:rPr>
              <w:instrText xml:space="preserve"> PAGEREF _Toc214732264 \h </w:instrText>
            </w:r>
            <w:r w:rsidR="00B63654">
              <w:rPr>
                <w:noProof/>
                <w:webHidden/>
              </w:rPr>
            </w:r>
            <w:r w:rsidR="00B63654">
              <w:rPr>
                <w:noProof/>
                <w:webHidden/>
              </w:rPr>
              <w:fldChar w:fldCharType="separate"/>
            </w:r>
            <w:r w:rsidR="00B63654">
              <w:rPr>
                <w:noProof/>
                <w:webHidden/>
              </w:rPr>
              <w:t>8</w:t>
            </w:r>
            <w:r w:rsidR="00B63654">
              <w:rPr>
                <w:noProof/>
                <w:webHidden/>
              </w:rPr>
              <w:fldChar w:fldCharType="end"/>
            </w:r>
          </w:hyperlink>
        </w:p>
        <w:p w14:paraId="0891D432" w14:textId="5074F0D4" w:rsidR="00B63654" w:rsidRDefault="0081285B">
          <w:pPr>
            <w:pStyle w:val="TOC2"/>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65" w:history="1">
            <w:r w:rsidR="00B63654" w:rsidRPr="00001456">
              <w:rPr>
                <w:rStyle w:val="Hyperlink"/>
                <w:noProof/>
              </w:rPr>
              <w:t>2.1 Assessment of the cash operating cycle</w:t>
            </w:r>
            <w:r w:rsidR="00B63654">
              <w:rPr>
                <w:noProof/>
                <w:webHidden/>
              </w:rPr>
              <w:tab/>
            </w:r>
            <w:r w:rsidR="00B63654">
              <w:rPr>
                <w:noProof/>
                <w:webHidden/>
              </w:rPr>
              <w:fldChar w:fldCharType="begin"/>
            </w:r>
            <w:r w:rsidR="00B63654">
              <w:rPr>
                <w:noProof/>
                <w:webHidden/>
              </w:rPr>
              <w:instrText xml:space="preserve"> PAGEREF _Toc214732265 \h </w:instrText>
            </w:r>
            <w:r w:rsidR="00B63654">
              <w:rPr>
                <w:noProof/>
                <w:webHidden/>
              </w:rPr>
            </w:r>
            <w:r w:rsidR="00B63654">
              <w:rPr>
                <w:noProof/>
                <w:webHidden/>
              </w:rPr>
              <w:fldChar w:fldCharType="separate"/>
            </w:r>
            <w:r w:rsidR="00B63654">
              <w:rPr>
                <w:noProof/>
                <w:webHidden/>
              </w:rPr>
              <w:t>8</w:t>
            </w:r>
            <w:r w:rsidR="00B63654">
              <w:rPr>
                <w:noProof/>
                <w:webHidden/>
              </w:rPr>
              <w:fldChar w:fldCharType="end"/>
            </w:r>
          </w:hyperlink>
        </w:p>
        <w:p w14:paraId="5D863424" w14:textId="16F18214" w:rsidR="00B63654" w:rsidRDefault="0081285B">
          <w:pPr>
            <w:pStyle w:val="TOC2"/>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66" w:history="1">
            <w:r w:rsidR="00B63654" w:rsidRPr="00001456">
              <w:rPr>
                <w:rStyle w:val="Hyperlink"/>
                <w:noProof/>
              </w:rPr>
              <w:t>2.2 Recommendation of strategies for improving the liquidity through working capital reforms</w:t>
            </w:r>
            <w:r w:rsidR="00B63654">
              <w:rPr>
                <w:noProof/>
                <w:webHidden/>
              </w:rPr>
              <w:tab/>
            </w:r>
            <w:r w:rsidR="00B63654">
              <w:rPr>
                <w:noProof/>
                <w:webHidden/>
              </w:rPr>
              <w:fldChar w:fldCharType="begin"/>
            </w:r>
            <w:r w:rsidR="00B63654">
              <w:rPr>
                <w:noProof/>
                <w:webHidden/>
              </w:rPr>
              <w:instrText xml:space="preserve"> PAGEREF _Toc214732266 \h </w:instrText>
            </w:r>
            <w:r w:rsidR="00B63654">
              <w:rPr>
                <w:noProof/>
                <w:webHidden/>
              </w:rPr>
            </w:r>
            <w:r w:rsidR="00B63654">
              <w:rPr>
                <w:noProof/>
                <w:webHidden/>
              </w:rPr>
              <w:fldChar w:fldCharType="separate"/>
            </w:r>
            <w:r w:rsidR="00B63654">
              <w:rPr>
                <w:noProof/>
                <w:webHidden/>
              </w:rPr>
              <w:t>9</w:t>
            </w:r>
            <w:r w:rsidR="00B63654">
              <w:rPr>
                <w:noProof/>
                <w:webHidden/>
              </w:rPr>
              <w:fldChar w:fldCharType="end"/>
            </w:r>
          </w:hyperlink>
        </w:p>
        <w:p w14:paraId="008B28D7" w14:textId="583A51EA" w:rsidR="00B63654" w:rsidRDefault="0081285B">
          <w:pPr>
            <w:pStyle w:val="TOC2"/>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67" w:history="1">
            <w:r w:rsidR="00B63654" w:rsidRPr="00001456">
              <w:rPr>
                <w:rStyle w:val="Hyperlink"/>
                <w:noProof/>
              </w:rPr>
              <w:t>2.3 Comparing short-term and long-term financing options</w:t>
            </w:r>
            <w:r w:rsidR="00B63654">
              <w:rPr>
                <w:noProof/>
                <w:webHidden/>
              </w:rPr>
              <w:tab/>
            </w:r>
            <w:r w:rsidR="00B63654">
              <w:rPr>
                <w:noProof/>
                <w:webHidden/>
              </w:rPr>
              <w:fldChar w:fldCharType="begin"/>
            </w:r>
            <w:r w:rsidR="00B63654">
              <w:rPr>
                <w:noProof/>
                <w:webHidden/>
              </w:rPr>
              <w:instrText xml:space="preserve"> PAGEREF _Toc214732267 \h </w:instrText>
            </w:r>
            <w:r w:rsidR="00B63654">
              <w:rPr>
                <w:noProof/>
                <w:webHidden/>
              </w:rPr>
            </w:r>
            <w:r w:rsidR="00B63654">
              <w:rPr>
                <w:noProof/>
                <w:webHidden/>
              </w:rPr>
              <w:fldChar w:fldCharType="separate"/>
            </w:r>
            <w:r w:rsidR="00B63654">
              <w:rPr>
                <w:noProof/>
                <w:webHidden/>
              </w:rPr>
              <w:t>10</w:t>
            </w:r>
            <w:r w:rsidR="00B63654">
              <w:rPr>
                <w:noProof/>
                <w:webHidden/>
              </w:rPr>
              <w:fldChar w:fldCharType="end"/>
            </w:r>
          </w:hyperlink>
        </w:p>
        <w:p w14:paraId="75AA78D3" w14:textId="659CB752" w:rsidR="00B63654" w:rsidRDefault="0081285B">
          <w:pPr>
            <w:pStyle w:val="TOC1"/>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68" w:history="1">
            <w:r w:rsidR="00B63654" w:rsidRPr="00001456">
              <w:rPr>
                <w:rStyle w:val="Hyperlink"/>
                <w:noProof/>
              </w:rPr>
              <w:t>3. Strategic Financial Restructuring Plan</w:t>
            </w:r>
            <w:r w:rsidR="00B63654">
              <w:rPr>
                <w:noProof/>
                <w:webHidden/>
              </w:rPr>
              <w:tab/>
            </w:r>
            <w:r w:rsidR="00B63654">
              <w:rPr>
                <w:noProof/>
                <w:webHidden/>
              </w:rPr>
              <w:fldChar w:fldCharType="begin"/>
            </w:r>
            <w:r w:rsidR="00B63654">
              <w:rPr>
                <w:noProof/>
                <w:webHidden/>
              </w:rPr>
              <w:instrText xml:space="preserve"> PAGEREF _Toc214732268 \h </w:instrText>
            </w:r>
            <w:r w:rsidR="00B63654">
              <w:rPr>
                <w:noProof/>
                <w:webHidden/>
              </w:rPr>
            </w:r>
            <w:r w:rsidR="00B63654">
              <w:rPr>
                <w:noProof/>
                <w:webHidden/>
              </w:rPr>
              <w:fldChar w:fldCharType="separate"/>
            </w:r>
            <w:r w:rsidR="00B63654">
              <w:rPr>
                <w:noProof/>
                <w:webHidden/>
              </w:rPr>
              <w:t>11</w:t>
            </w:r>
            <w:r w:rsidR="00B63654">
              <w:rPr>
                <w:noProof/>
                <w:webHidden/>
              </w:rPr>
              <w:fldChar w:fldCharType="end"/>
            </w:r>
          </w:hyperlink>
        </w:p>
        <w:p w14:paraId="27EA23C0" w14:textId="7BF51680" w:rsidR="00B63654" w:rsidRDefault="0081285B">
          <w:pPr>
            <w:pStyle w:val="TOC2"/>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69" w:history="1">
            <w:r w:rsidR="00B63654" w:rsidRPr="00001456">
              <w:rPr>
                <w:rStyle w:val="Hyperlink"/>
                <w:noProof/>
              </w:rPr>
              <w:t>3.1 Recommended financial restructuring options for General Electronics</w:t>
            </w:r>
            <w:r w:rsidR="00B63654">
              <w:rPr>
                <w:noProof/>
                <w:webHidden/>
              </w:rPr>
              <w:tab/>
            </w:r>
            <w:r w:rsidR="00B63654">
              <w:rPr>
                <w:noProof/>
                <w:webHidden/>
              </w:rPr>
              <w:fldChar w:fldCharType="begin"/>
            </w:r>
            <w:r w:rsidR="00B63654">
              <w:rPr>
                <w:noProof/>
                <w:webHidden/>
              </w:rPr>
              <w:instrText xml:space="preserve"> PAGEREF _Toc214732269 \h </w:instrText>
            </w:r>
            <w:r w:rsidR="00B63654">
              <w:rPr>
                <w:noProof/>
                <w:webHidden/>
              </w:rPr>
            </w:r>
            <w:r w:rsidR="00B63654">
              <w:rPr>
                <w:noProof/>
                <w:webHidden/>
              </w:rPr>
              <w:fldChar w:fldCharType="separate"/>
            </w:r>
            <w:r w:rsidR="00B63654">
              <w:rPr>
                <w:noProof/>
                <w:webHidden/>
              </w:rPr>
              <w:t>11</w:t>
            </w:r>
            <w:r w:rsidR="00B63654">
              <w:rPr>
                <w:noProof/>
                <w:webHidden/>
              </w:rPr>
              <w:fldChar w:fldCharType="end"/>
            </w:r>
          </w:hyperlink>
        </w:p>
        <w:p w14:paraId="5C6A4DBF" w14:textId="6B745AF0" w:rsidR="00B63654" w:rsidRDefault="0081285B">
          <w:pPr>
            <w:pStyle w:val="TOC2"/>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70" w:history="1">
            <w:r w:rsidR="00B63654" w:rsidRPr="00001456">
              <w:rPr>
                <w:rStyle w:val="Hyperlink"/>
                <w:noProof/>
              </w:rPr>
              <w:t>3.2 Impact of shareholder value, debt structure and operational flexibility</w:t>
            </w:r>
            <w:r w:rsidR="00B63654">
              <w:rPr>
                <w:noProof/>
                <w:webHidden/>
              </w:rPr>
              <w:tab/>
            </w:r>
            <w:r w:rsidR="00B63654">
              <w:rPr>
                <w:noProof/>
                <w:webHidden/>
              </w:rPr>
              <w:fldChar w:fldCharType="begin"/>
            </w:r>
            <w:r w:rsidR="00B63654">
              <w:rPr>
                <w:noProof/>
                <w:webHidden/>
              </w:rPr>
              <w:instrText xml:space="preserve"> PAGEREF _Toc214732270 \h </w:instrText>
            </w:r>
            <w:r w:rsidR="00B63654">
              <w:rPr>
                <w:noProof/>
                <w:webHidden/>
              </w:rPr>
            </w:r>
            <w:r w:rsidR="00B63654">
              <w:rPr>
                <w:noProof/>
                <w:webHidden/>
              </w:rPr>
              <w:fldChar w:fldCharType="separate"/>
            </w:r>
            <w:r w:rsidR="00B63654">
              <w:rPr>
                <w:noProof/>
                <w:webHidden/>
              </w:rPr>
              <w:t>12</w:t>
            </w:r>
            <w:r w:rsidR="00B63654">
              <w:rPr>
                <w:noProof/>
                <w:webHidden/>
              </w:rPr>
              <w:fldChar w:fldCharType="end"/>
            </w:r>
          </w:hyperlink>
        </w:p>
        <w:p w14:paraId="75357FC9" w14:textId="5A291D11" w:rsidR="00B63654" w:rsidRDefault="0081285B">
          <w:pPr>
            <w:pStyle w:val="TOC2"/>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71" w:history="1">
            <w:r w:rsidR="00B63654" w:rsidRPr="00001456">
              <w:rPr>
                <w:rStyle w:val="Hyperlink"/>
                <w:noProof/>
              </w:rPr>
              <w:t>3.3 International and ethical considerations in financial restructuring &amp; investment strategy</w:t>
            </w:r>
            <w:r w:rsidR="00B63654">
              <w:rPr>
                <w:noProof/>
                <w:webHidden/>
              </w:rPr>
              <w:tab/>
            </w:r>
            <w:r w:rsidR="00B63654">
              <w:rPr>
                <w:noProof/>
                <w:webHidden/>
              </w:rPr>
              <w:fldChar w:fldCharType="begin"/>
            </w:r>
            <w:r w:rsidR="00B63654">
              <w:rPr>
                <w:noProof/>
                <w:webHidden/>
              </w:rPr>
              <w:instrText xml:space="preserve"> PAGEREF _Toc214732271 \h </w:instrText>
            </w:r>
            <w:r w:rsidR="00B63654">
              <w:rPr>
                <w:noProof/>
                <w:webHidden/>
              </w:rPr>
            </w:r>
            <w:r w:rsidR="00B63654">
              <w:rPr>
                <w:noProof/>
                <w:webHidden/>
              </w:rPr>
              <w:fldChar w:fldCharType="separate"/>
            </w:r>
            <w:r w:rsidR="00B63654">
              <w:rPr>
                <w:noProof/>
                <w:webHidden/>
              </w:rPr>
              <w:t>13</w:t>
            </w:r>
            <w:r w:rsidR="00B63654">
              <w:rPr>
                <w:noProof/>
                <w:webHidden/>
              </w:rPr>
              <w:fldChar w:fldCharType="end"/>
            </w:r>
          </w:hyperlink>
        </w:p>
        <w:p w14:paraId="20743556" w14:textId="0DB8DA40" w:rsidR="00B63654" w:rsidRDefault="0081285B">
          <w:pPr>
            <w:pStyle w:val="TOC1"/>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72" w:history="1">
            <w:r w:rsidR="00B63654" w:rsidRPr="00001456">
              <w:rPr>
                <w:rStyle w:val="Hyperlink"/>
                <w:noProof/>
              </w:rPr>
              <w:t>4. Investment Appraisal and Capital Budgeting</w:t>
            </w:r>
            <w:r w:rsidR="00B63654">
              <w:rPr>
                <w:noProof/>
                <w:webHidden/>
              </w:rPr>
              <w:tab/>
            </w:r>
            <w:r w:rsidR="00B63654">
              <w:rPr>
                <w:noProof/>
                <w:webHidden/>
              </w:rPr>
              <w:fldChar w:fldCharType="begin"/>
            </w:r>
            <w:r w:rsidR="00B63654">
              <w:rPr>
                <w:noProof/>
                <w:webHidden/>
              </w:rPr>
              <w:instrText xml:space="preserve"> PAGEREF _Toc214732272 \h </w:instrText>
            </w:r>
            <w:r w:rsidR="00B63654">
              <w:rPr>
                <w:noProof/>
                <w:webHidden/>
              </w:rPr>
            </w:r>
            <w:r w:rsidR="00B63654">
              <w:rPr>
                <w:noProof/>
                <w:webHidden/>
              </w:rPr>
              <w:fldChar w:fldCharType="separate"/>
            </w:r>
            <w:r w:rsidR="00B63654">
              <w:rPr>
                <w:noProof/>
                <w:webHidden/>
              </w:rPr>
              <w:t>14</w:t>
            </w:r>
            <w:r w:rsidR="00B63654">
              <w:rPr>
                <w:noProof/>
                <w:webHidden/>
              </w:rPr>
              <w:fldChar w:fldCharType="end"/>
            </w:r>
          </w:hyperlink>
        </w:p>
        <w:p w14:paraId="252EECB3" w14:textId="67110952" w:rsidR="00B63654" w:rsidRDefault="0081285B">
          <w:pPr>
            <w:pStyle w:val="TOC2"/>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73" w:history="1">
            <w:r w:rsidR="00B63654" w:rsidRPr="00001456">
              <w:rPr>
                <w:rStyle w:val="Hyperlink"/>
                <w:noProof/>
              </w:rPr>
              <w:t>4.1 Investment Appraisal</w:t>
            </w:r>
            <w:r w:rsidR="00B63654">
              <w:rPr>
                <w:noProof/>
                <w:webHidden/>
              </w:rPr>
              <w:tab/>
            </w:r>
            <w:r w:rsidR="00B63654">
              <w:rPr>
                <w:noProof/>
                <w:webHidden/>
              </w:rPr>
              <w:fldChar w:fldCharType="begin"/>
            </w:r>
            <w:r w:rsidR="00B63654">
              <w:rPr>
                <w:noProof/>
                <w:webHidden/>
              </w:rPr>
              <w:instrText xml:space="preserve"> PAGEREF _Toc214732273 \h </w:instrText>
            </w:r>
            <w:r w:rsidR="00B63654">
              <w:rPr>
                <w:noProof/>
                <w:webHidden/>
              </w:rPr>
            </w:r>
            <w:r w:rsidR="00B63654">
              <w:rPr>
                <w:noProof/>
                <w:webHidden/>
              </w:rPr>
              <w:fldChar w:fldCharType="separate"/>
            </w:r>
            <w:r w:rsidR="00B63654">
              <w:rPr>
                <w:noProof/>
                <w:webHidden/>
              </w:rPr>
              <w:t>14</w:t>
            </w:r>
            <w:r w:rsidR="00B63654">
              <w:rPr>
                <w:noProof/>
                <w:webHidden/>
              </w:rPr>
              <w:fldChar w:fldCharType="end"/>
            </w:r>
          </w:hyperlink>
        </w:p>
        <w:p w14:paraId="143B5B4F" w14:textId="7408301F" w:rsidR="00B63654" w:rsidRDefault="0081285B">
          <w:pPr>
            <w:pStyle w:val="TOC3"/>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74" w:history="1">
            <w:r w:rsidR="00B63654" w:rsidRPr="00001456">
              <w:rPr>
                <w:rStyle w:val="Hyperlink"/>
                <w:rFonts w:cs="Arial"/>
                <w:noProof/>
              </w:rPr>
              <w:t>4.1.1 Project A</w:t>
            </w:r>
            <w:r w:rsidR="00B63654">
              <w:rPr>
                <w:noProof/>
                <w:webHidden/>
              </w:rPr>
              <w:tab/>
            </w:r>
            <w:r w:rsidR="00B63654">
              <w:rPr>
                <w:noProof/>
                <w:webHidden/>
              </w:rPr>
              <w:fldChar w:fldCharType="begin"/>
            </w:r>
            <w:r w:rsidR="00B63654">
              <w:rPr>
                <w:noProof/>
                <w:webHidden/>
              </w:rPr>
              <w:instrText xml:space="preserve"> PAGEREF _Toc214732274 \h </w:instrText>
            </w:r>
            <w:r w:rsidR="00B63654">
              <w:rPr>
                <w:noProof/>
                <w:webHidden/>
              </w:rPr>
            </w:r>
            <w:r w:rsidR="00B63654">
              <w:rPr>
                <w:noProof/>
                <w:webHidden/>
              </w:rPr>
              <w:fldChar w:fldCharType="separate"/>
            </w:r>
            <w:r w:rsidR="00B63654">
              <w:rPr>
                <w:noProof/>
                <w:webHidden/>
              </w:rPr>
              <w:t>14</w:t>
            </w:r>
            <w:r w:rsidR="00B63654">
              <w:rPr>
                <w:noProof/>
                <w:webHidden/>
              </w:rPr>
              <w:fldChar w:fldCharType="end"/>
            </w:r>
          </w:hyperlink>
        </w:p>
        <w:p w14:paraId="442A95BA" w14:textId="4620BF4A" w:rsidR="00B63654" w:rsidRDefault="0081285B">
          <w:pPr>
            <w:pStyle w:val="TOC3"/>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75" w:history="1">
            <w:r w:rsidR="00B63654" w:rsidRPr="00001456">
              <w:rPr>
                <w:rStyle w:val="Hyperlink"/>
                <w:rFonts w:cs="Arial"/>
                <w:noProof/>
              </w:rPr>
              <w:t>4.1.2 Project B</w:t>
            </w:r>
            <w:r w:rsidR="00B63654">
              <w:rPr>
                <w:noProof/>
                <w:webHidden/>
              </w:rPr>
              <w:tab/>
            </w:r>
            <w:r w:rsidR="00B63654">
              <w:rPr>
                <w:noProof/>
                <w:webHidden/>
              </w:rPr>
              <w:fldChar w:fldCharType="begin"/>
            </w:r>
            <w:r w:rsidR="00B63654">
              <w:rPr>
                <w:noProof/>
                <w:webHidden/>
              </w:rPr>
              <w:instrText xml:space="preserve"> PAGEREF _Toc214732275 \h </w:instrText>
            </w:r>
            <w:r w:rsidR="00B63654">
              <w:rPr>
                <w:noProof/>
                <w:webHidden/>
              </w:rPr>
            </w:r>
            <w:r w:rsidR="00B63654">
              <w:rPr>
                <w:noProof/>
                <w:webHidden/>
              </w:rPr>
              <w:fldChar w:fldCharType="separate"/>
            </w:r>
            <w:r w:rsidR="00B63654">
              <w:rPr>
                <w:noProof/>
                <w:webHidden/>
              </w:rPr>
              <w:t>15</w:t>
            </w:r>
            <w:r w:rsidR="00B63654">
              <w:rPr>
                <w:noProof/>
                <w:webHidden/>
              </w:rPr>
              <w:fldChar w:fldCharType="end"/>
            </w:r>
          </w:hyperlink>
        </w:p>
        <w:p w14:paraId="30BEEAF8" w14:textId="67AB4800" w:rsidR="00B63654" w:rsidRDefault="0081285B">
          <w:pPr>
            <w:pStyle w:val="TOC3"/>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76" w:history="1">
            <w:r w:rsidR="00B63654" w:rsidRPr="00001456">
              <w:rPr>
                <w:rStyle w:val="Hyperlink"/>
                <w:rFonts w:cs="Arial"/>
                <w:noProof/>
              </w:rPr>
              <w:t>4.1.3 Project C</w:t>
            </w:r>
            <w:r w:rsidR="00B63654">
              <w:rPr>
                <w:noProof/>
                <w:webHidden/>
              </w:rPr>
              <w:tab/>
            </w:r>
            <w:r w:rsidR="00B63654">
              <w:rPr>
                <w:noProof/>
                <w:webHidden/>
              </w:rPr>
              <w:fldChar w:fldCharType="begin"/>
            </w:r>
            <w:r w:rsidR="00B63654">
              <w:rPr>
                <w:noProof/>
                <w:webHidden/>
              </w:rPr>
              <w:instrText xml:space="preserve"> PAGEREF _Toc214732276 \h </w:instrText>
            </w:r>
            <w:r w:rsidR="00B63654">
              <w:rPr>
                <w:noProof/>
                <w:webHidden/>
              </w:rPr>
            </w:r>
            <w:r w:rsidR="00B63654">
              <w:rPr>
                <w:noProof/>
                <w:webHidden/>
              </w:rPr>
              <w:fldChar w:fldCharType="separate"/>
            </w:r>
            <w:r w:rsidR="00B63654">
              <w:rPr>
                <w:noProof/>
                <w:webHidden/>
              </w:rPr>
              <w:t>16</w:t>
            </w:r>
            <w:r w:rsidR="00B63654">
              <w:rPr>
                <w:noProof/>
                <w:webHidden/>
              </w:rPr>
              <w:fldChar w:fldCharType="end"/>
            </w:r>
          </w:hyperlink>
        </w:p>
        <w:p w14:paraId="2749033D" w14:textId="4D6211C5" w:rsidR="00B63654" w:rsidRDefault="0081285B">
          <w:pPr>
            <w:pStyle w:val="TOC1"/>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77" w:history="1">
            <w:r w:rsidR="00B63654" w:rsidRPr="00001456">
              <w:rPr>
                <w:rStyle w:val="Hyperlink"/>
                <w:noProof/>
              </w:rPr>
              <w:t>Reference List</w:t>
            </w:r>
            <w:r w:rsidR="00B63654">
              <w:rPr>
                <w:noProof/>
                <w:webHidden/>
              </w:rPr>
              <w:tab/>
            </w:r>
            <w:r w:rsidR="00B63654">
              <w:rPr>
                <w:noProof/>
                <w:webHidden/>
              </w:rPr>
              <w:fldChar w:fldCharType="begin"/>
            </w:r>
            <w:r w:rsidR="00B63654">
              <w:rPr>
                <w:noProof/>
                <w:webHidden/>
              </w:rPr>
              <w:instrText xml:space="preserve"> PAGEREF _Toc214732277 \h </w:instrText>
            </w:r>
            <w:r w:rsidR="00B63654">
              <w:rPr>
                <w:noProof/>
                <w:webHidden/>
              </w:rPr>
            </w:r>
            <w:r w:rsidR="00B63654">
              <w:rPr>
                <w:noProof/>
                <w:webHidden/>
              </w:rPr>
              <w:fldChar w:fldCharType="separate"/>
            </w:r>
            <w:r w:rsidR="00B63654">
              <w:rPr>
                <w:noProof/>
                <w:webHidden/>
              </w:rPr>
              <w:t>20</w:t>
            </w:r>
            <w:r w:rsidR="00B63654">
              <w:rPr>
                <w:noProof/>
                <w:webHidden/>
              </w:rPr>
              <w:fldChar w:fldCharType="end"/>
            </w:r>
          </w:hyperlink>
        </w:p>
        <w:p w14:paraId="370DF827" w14:textId="0004E389" w:rsidR="00B63654" w:rsidRDefault="0081285B">
          <w:pPr>
            <w:pStyle w:val="TOC2"/>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78" w:history="1">
            <w:r w:rsidR="00B63654" w:rsidRPr="00001456">
              <w:rPr>
                <w:rStyle w:val="Hyperlink"/>
                <w:noProof/>
              </w:rPr>
              <w:t>Appendices</w:t>
            </w:r>
            <w:r w:rsidR="00B63654">
              <w:rPr>
                <w:noProof/>
                <w:webHidden/>
              </w:rPr>
              <w:tab/>
            </w:r>
            <w:r w:rsidR="00B63654">
              <w:rPr>
                <w:noProof/>
                <w:webHidden/>
              </w:rPr>
              <w:fldChar w:fldCharType="begin"/>
            </w:r>
            <w:r w:rsidR="00B63654">
              <w:rPr>
                <w:noProof/>
                <w:webHidden/>
              </w:rPr>
              <w:instrText xml:space="preserve"> PAGEREF _Toc214732278 \h </w:instrText>
            </w:r>
            <w:r w:rsidR="00B63654">
              <w:rPr>
                <w:noProof/>
                <w:webHidden/>
              </w:rPr>
            </w:r>
            <w:r w:rsidR="00B63654">
              <w:rPr>
                <w:noProof/>
                <w:webHidden/>
              </w:rPr>
              <w:fldChar w:fldCharType="separate"/>
            </w:r>
            <w:r w:rsidR="00B63654">
              <w:rPr>
                <w:noProof/>
                <w:webHidden/>
              </w:rPr>
              <w:t>23</w:t>
            </w:r>
            <w:r w:rsidR="00B63654">
              <w:rPr>
                <w:noProof/>
                <w:webHidden/>
              </w:rPr>
              <w:fldChar w:fldCharType="end"/>
            </w:r>
          </w:hyperlink>
        </w:p>
        <w:p w14:paraId="2DF5C477" w14:textId="168A7CB6" w:rsidR="00B63654" w:rsidRDefault="0081285B">
          <w:pPr>
            <w:pStyle w:val="TOC2"/>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79" w:history="1">
            <w:r w:rsidR="00B63654" w:rsidRPr="00001456">
              <w:rPr>
                <w:rStyle w:val="Hyperlink"/>
                <w:noProof/>
              </w:rPr>
              <w:t>Appendix 1: Ratio analysis</w:t>
            </w:r>
            <w:r w:rsidR="00B63654">
              <w:rPr>
                <w:noProof/>
                <w:webHidden/>
              </w:rPr>
              <w:tab/>
            </w:r>
            <w:r w:rsidR="00B63654">
              <w:rPr>
                <w:noProof/>
                <w:webHidden/>
              </w:rPr>
              <w:fldChar w:fldCharType="begin"/>
            </w:r>
            <w:r w:rsidR="00B63654">
              <w:rPr>
                <w:noProof/>
                <w:webHidden/>
              </w:rPr>
              <w:instrText xml:space="preserve"> PAGEREF _Toc214732279 \h </w:instrText>
            </w:r>
            <w:r w:rsidR="00B63654">
              <w:rPr>
                <w:noProof/>
                <w:webHidden/>
              </w:rPr>
            </w:r>
            <w:r w:rsidR="00B63654">
              <w:rPr>
                <w:noProof/>
                <w:webHidden/>
              </w:rPr>
              <w:fldChar w:fldCharType="separate"/>
            </w:r>
            <w:r w:rsidR="00B63654">
              <w:rPr>
                <w:noProof/>
                <w:webHidden/>
              </w:rPr>
              <w:t>23</w:t>
            </w:r>
            <w:r w:rsidR="00B63654">
              <w:rPr>
                <w:noProof/>
                <w:webHidden/>
              </w:rPr>
              <w:fldChar w:fldCharType="end"/>
            </w:r>
          </w:hyperlink>
        </w:p>
        <w:p w14:paraId="487EC9F8" w14:textId="20415634" w:rsidR="00B63654" w:rsidRDefault="0081285B">
          <w:pPr>
            <w:pStyle w:val="TOC2"/>
            <w:tabs>
              <w:tab w:val="right" w:leader="dot" w:pos="9016"/>
            </w:tabs>
            <w:rPr>
              <w:rFonts w:asciiTheme="minorHAnsi" w:eastAsiaTheme="minorEastAsia" w:hAnsiTheme="minorHAnsi" w:cstheme="minorBidi"/>
              <w:noProof/>
              <w:color w:val="auto"/>
              <w:kern w:val="0"/>
              <w:sz w:val="22"/>
              <w:szCs w:val="22"/>
              <w:lang w:eastAsia="en-IN"/>
              <w14:ligatures w14:val="none"/>
            </w:rPr>
          </w:pPr>
          <w:hyperlink w:anchor="_Toc214732280" w:history="1">
            <w:r w:rsidR="00B63654" w:rsidRPr="00001456">
              <w:rPr>
                <w:rStyle w:val="Hyperlink"/>
                <w:noProof/>
              </w:rPr>
              <w:t>Appendix 2: Project Appraisal</w:t>
            </w:r>
            <w:r w:rsidR="00B63654">
              <w:rPr>
                <w:noProof/>
                <w:webHidden/>
              </w:rPr>
              <w:tab/>
            </w:r>
            <w:r w:rsidR="00B63654">
              <w:rPr>
                <w:noProof/>
                <w:webHidden/>
              </w:rPr>
              <w:fldChar w:fldCharType="begin"/>
            </w:r>
            <w:r w:rsidR="00B63654">
              <w:rPr>
                <w:noProof/>
                <w:webHidden/>
              </w:rPr>
              <w:instrText xml:space="preserve"> PAGEREF _Toc214732280 \h </w:instrText>
            </w:r>
            <w:r w:rsidR="00B63654">
              <w:rPr>
                <w:noProof/>
                <w:webHidden/>
              </w:rPr>
            </w:r>
            <w:r w:rsidR="00B63654">
              <w:rPr>
                <w:noProof/>
                <w:webHidden/>
              </w:rPr>
              <w:fldChar w:fldCharType="separate"/>
            </w:r>
            <w:r w:rsidR="00B63654">
              <w:rPr>
                <w:noProof/>
                <w:webHidden/>
              </w:rPr>
              <w:t>25</w:t>
            </w:r>
            <w:r w:rsidR="00B63654">
              <w:rPr>
                <w:noProof/>
                <w:webHidden/>
              </w:rPr>
              <w:fldChar w:fldCharType="end"/>
            </w:r>
          </w:hyperlink>
        </w:p>
        <w:p w14:paraId="23373F4B" w14:textId="4A226A8A" w:rsidR="00741947" w:rsidRPr="00B63654" w:rsidRDefault="005E07B9" w:rsidP="00B63654">
          <w:pPr>
            <w:rPr>
              <w:rFonts w:cs="Arial"/>
            </w:rPr>
          </w:pPr>
          <w:r w:rsidRPr="00BE6690">
            <w:rPr>
              <w:rFonts w:cs="Arial"/>
              <w:b/>
              <w:bCs/>
              <w:noProof/>
            </w:rPr>
            <w:fldChar w:fldCharType="end"/>
          </w:r>
        </w:p>
      </w:sdtContent>
    </w:sdt>
    <w:p w14:paraId="1DB5E9AE" w14:textId="6DC46A84" w:rsidR="00A36096" w:rsidRPr="00C97E51" w:rsidRDefault="00A36096" w:rsidP="00C97E51">
      <w:pPr>
        <w:pStyle w:val="Heading1"/>
      </w:pPr>
      <w:bookmarkStart w:id="1" w:name="_Toc214732258"/>
      <w:r w:rsidRPr="00C97E51">
        <w:t>Introduction</w:t>
      </w:r>
      <w:bookmarkEnd w:id="1"/>
      <w:r w:rsidRPr="00C97E51">
        <w:t xml:space="preserve"> </w:t>
      </w:r>
    </w:p>
    <w:p w14:paraId="66D26A7C" w14:textId="2B1B42A4" w:rsidR="00A36096" w:rsidRPr="00A36096" w:rsidRDefault="00A36096" w:rsidP="00C97E51">
      <w:r w:rsidRPr="00A36096">
        <w:t>The following report assesses financial performance of General Electronics</w:t>
      </w:r>
      <w:r w:rsidR="00555D9C">
        <w:t xml:space="preserve"> </w:t>
      </w:r>
      <w:r w:rsidRPr="00A36096">
        <w:t>over the last 5 years. The research identifies different weaknesses</w:t>
      </w:r>
      <w:r w:rsidR="008D6D8C">
        <w:t xml:space="preserve">, which </w:t>
      </w:r>
      <w:r w:rsidRPr="00A36096">
        <w:t>affect</w:t>
      </w:r>
      <w:r w:rsidR="00074685">
        <w:t xml:space="preserve"> </w:t>
      </w:r>
      <w:r w:rsidR="00074685" w:rsidRPr="00A36096">
        <w:t>the organi</w:t>
      </w:r>
      <w:r w:rsidR="00074685">
        <w:t>s</w:t>
      </w:r>
      <w:r w:rsidR="00074685" w:rsidRPr="00A36096">
        <w:t>ation</w:t>
      </w:r>
      <w:r w:rsidR="00074685">
        <w:t xml:space="preserve">’s </w:t>
      </w:r>
      <w:r w:rsidR="009D0E46">
        <w:t>both</w:t>
      </w:r>
      <w:r w:rsidRPr="00A36096">
        <w:t xml:space="preserve"> profitability and liquidity while evaluating the strategic investment options, and progress</w:t>
      </w:r>
      <w:r w:rsidR="00962130">
        <w:t>. This</w:t>
      </w:r>
      <w:r w:rsidRPr="00A36096">
        <w:t xml:space="preserve"> can financially justify the recommendations to support corporate turnaround and long-term financial sustainability.</w:t>
      </w:r>
      <w:r w:rsidR="008B0378">
        <w:t xml:space="preserve"> </w:t>
      </w:r>
    </w:p>
    <w:p w14:paraId="314C12AE" w14:textId="77777777" w:rsidR="00A36096" w:rsidRPr="00C97E51" w:rsidRDefault="00A36096" w:rsidP="00C97E51">
      <w:pPr>
        <w:pStyle w:val="Heading1"/>
      </w:pPr>
      <w:bookmarkStart w:id="2" w:name="_Toc214732259"/>
      <w:r w:rsidRPr="00C97E51">
        <w:t>1. Financial Health Check</w:t>
      </w:r>
      <w:bookmarkEnd w:id="2"/>
    </w:p>
    <w:p w14:paraId="4E756BCF" w14:textId="77777777" w:rsidR="00A36096" w:rsidRPr="00A36096" w:rsidRDefault="00A36096" w:rsidP="00BB7C35">
      <w:pPr>
        <w:pStyle w:val="Heading2"/>
      </w:pPr>
      <w:bookmarkStart w:id="3" w:name="_Toc214732260"/>
      <w:r w:rsidRPr="00A36096">
        <w:t>1.1 Analysis of financial statement of the business</w:t>
      </w:r>
      <w:bookmarkEnd w:id="3"/>
      <w:r w:rsidRPr="00A36096">
        <w:t xml:space="preserve"> </w:t>
      </w:r>
    </w:p>
    <w:p w14:paraId="347F320D" w14:textId="77777777" w:rsidR="00B22B61" w:rsidRDefault="00A36096" w:rsidP="00A36096">
      <w:pPr>
        <w:rPr>
          <w:rFonts w:cs="Arial"/>
        </w:rPr>
      </w:pPr>
      <w:r w:rsidRPr="00A36096">
        <w:rPr>
          <w:rFonts w:cs="Arial"/>
        </w:rPr>
        <w:t>General electronics’ financial performance during the last five years has shown a clear and sustained deteriorations, while addressing a serious structural and operational weakness. The income statement has addressed a continuous decline of net sales, which fallen from £614,680m in 2020 to £394,879m in 2024</w:t>
      </w:r>
      <w:r w:rsidR="00AB44B3">
        <w:rPr>
          <w:rFonts w:cs="Arial"/>
        </w:rPr>
        <w:t xml:space="preserve"> </w:t>
      </w:r>
      <w:r w:rsidR="00AB44B3" w:rsidRPr="00AB44B3">
        <w:rPr>
          <w:rFonts w:cs="Arial"/>
        </w:rPr>
        <w:t>(</w:t>
      </w:r>
      <w:proofErr w:type="spellStart"/>
      <w:r w:rsidR="00AB44B3" w:rsidRPr="00AB44B3">
        <w:rPr>
          <w:rFonts w:cs="Arial"/>
        </w:rPr>
        <w:t>Winoker</w:t>
      </w:r>
      <w:proofErr w:type="spellEnd"/>
      <w:r w:rsidR="00AB44B3" w:rsidRPr="00AB44B3">
        <w:rPr>
          <w:rFonts w:cs="Arial"/>
        </w:rPr>
        <w:t xml:space="preserve"> 2024)</w:t>
      </w:r>
      <w:r w:rsidRPr="00AB44B3">
        <w:rPr>
          <w:rFonts w:cs="Arial"/>
        </w:rPr>
        <w:t xml:space="preserve">. This </w:t>
      </w:r>
      <w:r w:rsidRPr="00A36096">
        <w:rPr>
          <w:rFonts w:cs="Arial"/>
        </w:rPr>
        <w:t>represents a total revenue contract of more than 35%, and addressed a loss of the market, reduced demand and ineffective competitive positioning in the industry of consumer electronics. Also, the profitability has been severely affected over the timeframe.</w:t>
      </w:r>
    </w:p>
    <w:p w14:paraId="09B5D2CC" w14:textId="7DF0B5BD" w:rsidR="00A36096" w:rsidRPr="00A36096" w:rsidRDefault="00A36096" w:rsidP="00A36096">
      <w:pPr>
        <w:rPr>
          <w:rFonts w:cs="Arial"/>
        </w:rPr>
      </w:pPr>
      <w:r w:rsidRPr="00A36096">
        <w:rPr>
          <w:rFonts w:cs="Arial"/>
        </w:rPr>
        <w:t>As the organi</w:t>
      </w:r>
      <w:r w:rsidR="00613F0F">
        <w:rPr>
          <w:rFonts w:cs="Arial"/>
        </w:rPr>
        <w:t>s</w:t>
      </w:r>
      <w:r w:rsidRPr="00A36096">
        <w:rPr>
          <w:rFonts w:cs="Arial"/>
        </w:rPr>
        <w:t>ation has been strongly profitable in 2020</w:t>
      </w:r>
      <w:r w:rsidR="00101612">
        <w:rPr>
          <w:rFonts w:cs="Arial"/>
        </w:rPr>
        <w:t xml:space="preserve"> and</w:t>
      </w:r>
      <w:r w:rsidRPr="00A36096">
        <w:rPr>
          <w:rFonts w:cs="Arial"/>
        </w:rPr>
        <w:t xml:space="preserve"> with having a net income of £38572 million, it has moved into the persistent losses during the last two years, and recorded a net loss of £98238</w:t>
      </w:r>
      <w:r w:rsidR="00233A93">
        <w:rPr>
          <w:rFonts w:cs="Arial"/>
        </w:rPr>
        <w:t xml:space="preserve"> </w:t>
      </w:r>
      <w:r w:rsidRPr="00A36096">
        <w:rPr>
          <w:rFonts w:cs="Arial"/>
        </w:rPr>
        <w:t>million in 2023 and £24029 in FY2024</w:t>
      </w:r>
      <w:r w:rsidR="0075445B">
        <w:rPr>
          <w:rFonts w:cs="Arial"/>
        </w:rPr>
        <w:t xml:space="preserve"> (</w:t>
      </w:r>
      <w:proofErr w:type="spellStart"/>
      <w:r w:rsidR="0075445B" w:rsidRPr="00AB44B3">
        <w:rPr>
          <w:rFonts w:cs="Arial"/>
        </w:rPr>
        <w:t>Winoker</w:t>
      </w:r>
      <w:proofErr w:type="spellEnd"/>
      <w:r w:rsidR="0075445B" w:rsidRPr="00AB44B3">
        <w:rPr>
          <w:rFonts w:cs="Arial"/>
        </w:rPr>
        <w:t xml:space="preserve"> 2024</w:t>
      </w:r>
      <w:r w:rsidR="0075445B">
        <w:rPr>
          <w:rFonts w:cs="Arial"/>
        </w:rPr>
        <w:t>)</w:t>
      </w:r>
      <w:r w:rsidRPr="00A36096">
        <w:rPr>
          <w:rFonts w:cs="Arial"/>
        </w:rPr>
        <w:t>. The gross profit margins also declined</w:t>
      </w:r>
      <w:r w:rsidR="00101612">
        <w:rPr>
          <w:rFonts w:cs="Arial"/>
        </w:rPr>
        <w:t xml:space="preserve"> </w:t>
      </w:r>
      <w:r w:rsidRPr="00A36096">
        <w:rPr>
          <w:rFonts w:cs="Arial"/>
        </w:rPr>
        <w:t>while being driven by the high cost of sales and poor pricing power. Even though the operating expenses has decreased on 2024, they still exceeded the gross profit and caused a negative operating income. This addressed cost structures are</w:t>
      </w:r>
      <w:r w:rsidR="00D73DFB">
        <w:rPr>
          <w:rFonts w:cs="Arial"/>
        </w:rPr>
        <w:t xml:space="preserve"> not</w:t>
      </w:r>
      <w:r w:rsidRPr="00A36096">
        <w:rPr>
          <w:rFonts w:cs="Arial"/>
        </w:rPr>
        <w:t xml:space="preserve"> properly aligned with the current scale of operations.</w:t>
      </w:r>
    </w:p>
    <w:p w14:paraId="707AB870" w14:textId="582DD52D" w:rsidR="00A36096" w:rsidRPr="00A36096" w:rsidRDefault="00A36096" w:rsidP="00A36096">
      <w:pPr>
        <w:rPr>
          <w:rFonts w:cs="Arial"/>
        </w:rPr>
      </w:pPr>
      <w:r w:rsidRPr="00A36096">
        <w:rPr>
          <w:rFonts w:cs="Arial"/>
        </w:rPr>
        <w:t xml:space="preserve">From the balance sheet statement, total assets </w:t>
      </w:r>
      <w:r w:rsidR="00685688" w:rsidRPr="00A36096">
        <w:rPr>
          <w:rFonts w:cs="Arial"/>
        </w:rPr>
        <w:t>have</w:t>
      </w:r>
      <w:r w:rsidRPr="00A36096">
        <w:rPr>
          <w:rFonts w:cs="Arial"/>
        </w:rPr>
        <w:t xml:space="preserve"> declined from being; £510,290m in 2020 to £323,354m in 2024, while addressing asset-write-downs, disposals and impairment charges. The shareholder equity also fells sharply from being £313,301m to £153,105m, due to the accumulated losses and treasury stock buybacks</w:t>
      </w:r>
      <w:r w:rsidR="0075445B">
        <w:rPr>
          <w:rFonts w:cs="Arial"/>
        </w:rPr>
        <w:t xml:space="preserve"> (</w:t>
      </w:r>
      <w:proofErr w:type="spellStart"/>
      <w:r w:rsidR="0075445B" w:rsidRPr="00AB44B3">
        <w:rPr>
          <w:rFonts w:cs="Arial"/>
        </w:rPr>
        <w:t>Winoker</w:t>
      </w:r>
      <w:proofErr w:type="spellEnd"/>
      <w:r w:rsidR="0075445B" w:rsidRPr="00AB44B3">
        <w:rPr>
          <w:rFonts w:cs="Arial"/>
        </w:rPr>
        <w:t xml:space="preserve"> 2024</w:t>
      </w:r>
      <w:r w:rsidR="0075445B">
        <w:rPr>
          <w:rFonts w:cs="Arial"/>
        </w:rPr>
        <w:t>)</w:t>
      </w:r>
      <w:r w:rsidRPr="00A36096">
        <w:rPr>
          <w:rFonts w:cs="Arial"/>
        </w:rPr>
        <w:t>. Erosion of the equity weakens the financial stability of the organization and confidence of the investors. Even though the total liabilities have reduced, where the decline in the equity has been severe while increasing the financial risks. As per the financial statement</w:t>
      </w:r>
      <w:r w:rsidR="00632369">
        <w:rPr>
          <w:rFonts w:cs="Arial"/>
        </w:rPr>
        <w:t>,</w:t>
      </w:r>
      <w:r w:rsidRPr="00A36096">
        <w:rPr>
          <w:rFonts w:cs="Arial"/>
        </w:rPr>
        <w:t xml:space="preserve"> it can be understood that liquidity remained as a major concern</w:t>
      </w:r>
      <w:r w:rsidR="00632369">
        <w:rPr>
          <w:rFonts w:cs="Arial"/>
        </w:rPr>
        <w:t>. W</w:t>
      </w:r>
      <w:r w:rsidRPr="00A36096">
        <w:rPr>
          <w:rFonts w:cs="Arial"/>
        </w:rPr>
        <w:t xml:space="preserve">hen the current assets </w:t>
      </w:r>
      <w:r w:rsidR="00632369" w:rsidRPr="00A36096">
        <w:rPr>
          <w:rFonts w:cs="Arial"/>
        </w:rPr>
        <w:t>have</w:t>
      </w:r>
      <w:r w:rsidRPr="00A36096">
        <w:rPr>
          <w:rFonts w:cs="Arial"/>
        </w:rPr>
        <w:t xml:space="preserve"> dropped from £326,843m in 2020 to £242,494m in 2024, the current liabilities remained higher at £158,291m. This places an immense pressure on the short-term solvency, where the </w:t>
      </w:r>
      <w:r w:rsidR="008672BC" w:rsidRPr="00A36096">
        <w:rPr>
          <w:rFonts w:cs="Arial"/>
        </w:rPr>
        <w:t>organisation</w:t>
      </w:r>
      <w:r w:rsidRPr="00A36096">
        <w:rPr>
          <w:rFonts w:cs="Arial"/>
        </w:rPr>
        <w:t xml:space="preserve"> is dependent on the short-term credit lines that has increased across the earlier years. Finally, the cash flow statement assessment confirms higher operational stress being faced by the business. Even though the operating cash flow has been positive in FY2024 at £14,822m, this has been supported by the non-cash adjustment besides strong core profitability. The cash reserves dropped consistently from being £66,740m in 2022 to £26,783m in 2024. </w:t>
      </w:r>
    </w:p>
    <w:p w14:paraId="2F0289F7" w14:textId="77777777" w:rsidR="00A36096" w:rsidRPr="00A36096" w:rsidRDefault="00A36096" w:rsidP="00BB7C35">
      <w:pPr>
        <w:pStyle w:val="Heading2"/>
      </w:pPr>
      <w:bookmarkStart w:id="4" w:name="_Toc214732261"/>
      <w:r w:rsidRPr="00A36096">
        <w:t>1.2 Ratio analysis</w:t>
      </w:r>
      <w:bookmarkEnd w:id="4"/>
      <w:r w:rsidRPr="00A36096">
        <w:t xml:space="preserve">     </w:t>
      </w:r>
    </w:p>
    <w:tbl>
      <w:tblPr>
        <w:tblW w:w="5000" w:type="pct"/>
        <w:tblLook w:val="04A0" w:firstRow="1" w:lastRow="0" w:firstColumn="1" w:lastColumn="0" w:noHBand="0" w:noVBand="1"/>
      </w:tblPr>
      <w:tblGrid>
        <w:gridCol w:w="1028"/>
        <w:gridCol w:w="1620"/>
        <w:gridCol w:w="1252"/>
        <w:gridCol w:w="1252"/>
        <w:gridCol w:w="1288"/>
        <w:gridCol w:w="1288"/>
        <w:gridCol w:w="1288"/>
      </w:tblGrid>
      <w:tr w:rsidR="00A36096" w:rsidRPr="008D718E" w14:paraId="5DA18137" w14:textId="77777777" w:rsidTr="008D718E">
        <w:trPr>
          <w:trHeight w:val="73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738427" w14:textId="77777777" w:rsidR="00A36096" w:rsidRPr="008D718E" w:rsidRDefault="00A36096" w:rsidP="008D718E">
            <w:pPr>
              <w:spacing w:after="0"/>
              <w:jc w:val="center"/>
              <w:rPr>
                <w:rFonts w:eastAsia="Times New Roman" w:cs="Arial"/>
                <w:b/>
                <w:color w:val="000000"/>
              </w:rPr>
            </w:pPr>
            <w:r w:rsidRPr="008D718E">
              <w:rPr>
                <w:rFonts w:eastAsia="Times New Roman" w:cs="Arial"/>
                <w:b/>
                <w:color w:val="000000"/>
              </w:rPr>
              <w:t>Profitability Ratios</w:t>
            </w:r>
          </w:p>
        </w:tc>
      </w:tr>
      <w:tr w:rsidR="00A36096" w:rsidRPr="008D718E" w14:paraId="6F4B1D05" w14:textId="77777777" w:rsidTr="008D718E">
        <w:trPr>
          <w:trHeight w:val="737"/>
        </w:trPr>
        <w:tc>
          <w:tcPr>
            <w:tcW w:w="570" w:type="pct"/>
            <w:tcBorders>
              <w:top w:val="nil"/>
              <w:left w:val="single" w:sz="4" w:space="0" w:color="auto"/>
              <w:bottom w:val="single" w:sz="4" w:space="0" w:color="auto"/>
              <w:right w:val="single" w:sz="4" w:space="0" w:color="auto"/>
            </w:tcBorders>
            <w:shd w:val="clear" w:color="auto" w:fill="auto"/>
            <w:noWrap/>
            <w:vAlign w:val="bottom"/>
            <w:hideMark/>
          </w:tcPr>
          <w:p w14:paraId="17E70BE6"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Ratio</w:t>
            </w:r>
          </w:p>
        </w:tc>
        <w:tc>
          <w:tcPr>
            <w:tcW w:w="898" w:type="pct"/>
            <w:tcBorders>
              <w:top w:val="nil"/>
              <w:left w:val="nil"/>
              <w:bottom w:val="single" w:sz="4" w:space="0" w:color="auto"/>
              <w:right w:val="single" w:sz="4" w:space="0" w:color="auto"/>
            </w:tcBorders>
            <w:shd w:val="clear" w:color="auto" w:fill="auto"/>
            <w:noWrap/>
            <w:vAlign w:val="bottom"/>
            <w:hideMark/>
          </w:tcPr>
          <w:p w14:paraId="15C04622"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Formula</w:t>
            </w:r>
          </w:p>
        </w:tc>
        <w:tc>
          <w:tcPr>
            <w:tcW w:w="694" w:type="pct"/>
            <w:tcBorders>
              <w:top w:val="nil"/>
              <w:left w:val="nil"/>
              <w:bottom w:val="single" w:sz="4" w:space="0" w:color="auto"/>
              <w:right w:val="single" w:sz="4" w:space="0" w:color="auto"/>
            </w:tcBorders>
            <w:shd w:val="clear" w:color="auto" w:fill="auto"/>
            <w:noWrap/>
            <w:vAlign w:val="bottom"/>
            <w:hideMark/>
          </w:tcPr>
          <w:p w14:paraId="0C4F3616"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2024 (Amount &amp; Result)</w:t>
            </w:r>
          </w:p>
        </w:tc>
        <w:tc>
          <w:tcPr>
            <w:tcW w:w="694" w:type="pct"/>
            <w:tcBorders>
              <w:top w:val="nil"/>
              <w:left w:val="nil"/>
              <w:bottom w:val="single" w:sz="4" w:space="0" w:color="auto"/>
              <w:right w:val="single" w:sz="4" w:space="0" w:color="auto"/>
            </w:tcBorders>
            <w:shd w:val="clear" w:color="auto" w:fill="auto"/>
            <w:noWrap/>
            <w:vAlign w:val="bottom"/>
            <w:hideMark/>
          </w:tcPr>
          <w:p w14:paraId="55DA9227"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2023</w:t>
            </w:r>
          </w:p>
        </w:tc>
        <w:tc>
          <w:tcPr>
            <w:tcW w:w="714" w:type="pct"/>
            <w:tcBorders>
              <w:top w:val="nil"/>
              <w:left w:val="nil"/>
              <w:bottom w:val="single" w:sz="4" w:space="0" w:color="auto"/>
              <w:right w:val="single" w:sz="4" w:space="0" w:color="auto"/>
            </w:tcBorders>
            <w:shd w:val="clear" w:color="auto" w:fill="auto"/>
            <w:noWrap/>
            <w:vAlign w:val="bottom"/>
            <w:hideMark/>
          </w:tcPr>
          <w:p w14:paraId="3D25C9CB"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2022</w:t>
            </w:r>
          </w:p>
        </w:tc>
        <w:tc>
          <w:tcPr>
            <w:tcW w:w="714" w:type="pct"/>
            <w:tcBorders>
              <w:top w:val="nil"/>
              <w:left w:val="nil"/>
              <w:bottom w:val="single" w:sz="4" w:space="0" w:color="auto"/>
              <w:right w:val="single" w:sz="4" w:space="0" w:color="auto"/>
            </w:tcBorders>
            <w:shd w:val="clear" w:color="auto" w:fill="auto"/>
            <w:noWrap/>
            <w:vAlign w:val="bottom"/>
            <w:hideMark/>
          </w:tcPr>
          <w:p w14:paraId="6DBB529A"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2021</w:t>
            </w:r>
          </w:p>
        </w:tc>
        <w:tc>
          <w:tcPr>
            <w:tcW w:w="714" w:type="pct"/>
            <w:tcBorders>
              <w:top w:val="nil"/>
              <w:left w:val="nil"/>
              <w:bottom w:val="single" w:sz="4" w:space="0" w:color="auto"/>
              <w:right w:val="single" w:sz="4" w:space="0" w:color="auto"/>
            </w:tcBorders>
            <w:shd w:val="clear" w:color="auto" w:fill="auto"/>
            <w:noWrap/>
            <w:vAlign w:val="bottom"/>
            <w:hideMark/>
          </w:tcPr>
          <w:p w14:paraId="465CC053"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2020</w:t>
            </w:r>
          </w:p>
        </w:tc>
      </w:tr>
      <w:tr w:rsidR="00A36096" w:rsidRPr="008D718E" w14:paraId="31660C8E" w14:textId="77777777" w:rsidTr="008D718E">
        <w:trPr>
          <w:trHeight w:val="737"/>
        </w:trPr>
        <w:tc>
          <w:tcPr>
            <w:tcW w:w="570" w:type="pct"/>
            <w:tcBorders>
              <w:top w:val="nil"/>
              <w:left w:val="single" w:sz="4" w:space="0" w:color="auto"/>
              <w:bottom w:val="single" w:sz="4" w:space="0" w:color="auto"/>
              <w:right w:val="single" w:sz="4" w:space="0" w:color="auto"/>
            </w:tcBorders>
            <w:shd w:val="clear" w:color="auto" w:fill="auto"/>
            <w:noWrap/>
            <w:vAlign w:val="bottom"/>
            <w:hideMark/>
          </w:tcPr>
          <w:p w14:paraId="2FA54619" w14:textId="77777777" w:rsidR="00A36096" w:rsidRPr="008D718E" w:rsidRDefault="00A36096" w:rsidP="008D718E">
            <w:pPr>
              <w:spacing w:after="0"/>
              <w:jc w:val="left"/>
              <w:rPr>
                <w:rFonts w:eastAsia="Times New Roman" w:cs="Arial"/>
                <w:b/>
                <w:i/>
                <w:color w:val="000000"/>
              </w:rPr>
            </w:pPr>
            <w:r w:rsidRPr="008D718E">
              <w:rPr>
                <w:rFonts w:eastAsia="Times New Roman" w:cs="Arial"/>
                <w:b/>
                <w:i/>
                <w:color w:val="000000"/>
              </w:rPr>
              <w:t>Gross Profit Margin (%)</w:t>
            </w:r>
          </w:p>
        </w:tc>
        <w:tc>
          <w:tcPr>
            <w:tcW w:w="898" w:type="pct"/>
            <w:tcBorders>
              <w:top w:val="nil"/>
              <w:left w:val="nil"/>
              <w:bottom w:val="single" w:sz="4" w:space="0" w:color="auto"/>
              <w:right w:val="single" w:sz="4" w:space="0" w:color="auto"/>
            </w:tcBorders>
            <w:shd w:val="clear" w:color="auto" w:fill="auto"/>
            <w:noWrap/>
            <w:vAlign w:val="bottom"/>
            <w:hideMark/>
          </w:tcPr>
          <w:p w14:paraId="727EFB87"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Gross Profit ÷ Net Sales × 100</w:t>
            </w:r>
          </w:p>
        </w:tc>
        <w:tc>
          <w:tcPr>
            <w:tcW w:w="694" w:type="pct"/>
            <w:tcBorders>
              <w:top w:val="nil"/>
              <w:left w:val="nil"/>
              <w:bottom w:val="single" w:sz="4" w:space="0" w:color="auto"/>
              <w:right w:val="single" w:sz="4" w:space="0" w:color="auto"/>
            </w:tcBorders>
            <w:shd w:val="clear" w:color="auto" w:fill="auto"/>
            <w:noWrap/>
            <w:vAlign w:val="bottom"/>
            <w:hideMark/>
          </w:tcPr>
          <w:p w14:paraId="0C847111"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113,994 ÷ 394,879 = 28.87%</w:t>
            </w:r>
          </w:p>
        </w:tc>
        <w:tc>
          <w:tcPr>
            <w:tcW w:w="694" w:type="pct"/>
            <w:tcBorders>
              <w:top w:val="nil"/>
              <w:left w:val="nil"/>
              <w:bottom w:val="single" w:sz="4" w:space="0" w:color="auto"/>
              <w:right w:val="single" w:sz="4" w:space="0" w:color="auto"/>
            </w:tcBorders>
            <w:shd w:val="clear" w:color="auto" w:fill="auto"/>
            <w:noWrap/>
            <w:vAlign w:val="bottom"/>
            <w:hideMark/>
          </w:tcPr>
          <w:p w14:paraId="4FF258F0"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97,560 ÷ 420,457 = 23.20%</w:t>
            </w:r>
          </w:p>
        </w:tc>
        <w:tc>
          <w:tcPr>
            <w:tcW w:w="714" w:type="pct"/>
            <w:tcBorders>
              <w:top w:val="nil"/>
              <w:left w:val="nil"/>
              <w:bottom w:val="single" w:sz="4" w:space="0" w:color="auto"/>
              <w:right w:val="single" w:sz="4" w:space="0" w:color="auto"/>
            </w:tcBorders>
            <w:shd w:val="clear" w:color="auto" w:fill="auto"/>
            <w:noWrap/>
            <w:vAlign w:val="bottom"/>
            <w:hideMark/>
          </w:tcPr>
          <w:p w14:paraId="1F4ADF22"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152,292 ÷ 542,751 = 28.06%</w:t>
            </w:r>
          </w:p>
        </w:tc>
        <w:tc>
          <w:tcPr>
            <w:tcW w:w="714" w:type="pct"/>
            <w:tcBorders>
              <w:top w:val="nil"/>
              <w:left w:val="nil"/>
              <w:bottom w:val="single" w:sz="4" w:space="0" w:color="auto"/>
              <w:right w:val="single" w:sz="4" w:space="0" w:color="auto"/>
            </w:tcBorders>
            <w:shd w:val="clear" w:color="auto" w:fill="auto"/>
            <w:noWrap/>
            <w:vAlign w:val="bottom"/>
            <w:hideMark/>
          </w:tcPr>
          <w:p w14:paraId="165EDD11"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173,016 ÷ 601,602 = 28.76%</w:t>
            </w:r>
          </w:p>
        </w:tc>
        <w:tc>
          <w:tcPr>
            <w:tcW w:w="714" w:type="pct"/>
            <w:tcBorders>
              <w:top w:val="nil"/>
              <w:left w:val="nil"/>
              <w:bottom w:val="single" w:sz="4" w:space="0" w:color="auto"/>
              <w:right w:val="single" w:sz="4" w:space="0" w:color="auto"/>
            </w:tcBorders>
            <w:shd w:val="clear" w:color="auto" w:fill="auto"/>
            <w:noWrap/>
            <w:vAlign w:val="bottom"/>
            <w:hideMark/>
          </w:tcPr>
          <w:p w14:paraId="5053941D"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176,256 ÷ 614,680 = 28.67%</w:t>
            </w:r>
          </w:p>
        </w:tc>
      </w:tr>
      <w:tr w:rsidR="00A36096" w:rsidRPr="008D718E" w14:paraId="79D56AF4" w14:textId="77777777" w:rsidTr="008D718E">
        <w:trPr>
          <w:trHeight w:val="737"/>
        </w:trPr>
        <w:tc>
          <w:tcPr>
            <w:tcW w:w="570" w:type="pct"/>
            <w:tcBorders>
              <w:top w:val="nil"/>
              <w:left w:val="single" w:sz="4" w:space="0" w:color="auto"/>
              <w:bottom w:val="single" w:sz="4" w:space="0" w:color="auto"/>
              <w:right w:val="single" w:sz="4" w:space="0" w:color="auto"/>
            </w:tcBorders>
            <w:shd w:val="clear" w:color="auto" w:fill="auto"/>
            <w:noWrap/>
            <w:vAlign w:val="bottom"/>
            <w:hideMark/>
          </w:tcPr>
          <w:p w14:paraId="32FC6C44" w14:textId="77777777" w:rsidR="00A36096" w:rsidRPr="008D718E" w:rsidRDefault="00A36096" w:rsidP="008D718E">
            <w:pPr>
              <w:spacing w:after="0"/>
              <w:jc w:val="left"/>
              <w:rPr>
                <w:rFonts w:eastAsia="Times New Roman" w:cs="Arial"/>
                <w:b/>
                <w:i/>
                <w:color w:val="000000"/>
              </w:rPr>
            </w:pPr>
            <w:r w:rsidRPr="008D718E">
              <w:rPr>
                <w:rFonts w:eastAsia="Times New Roman" w:cs="Arial"/>
                <w:b/>
                <w:i/>
                <w:color w:val="000000"/>
              </w:rPr>
              <w:t>Net Profit Margin (%)</w:t>
            </w:r>
          </w:p>
        </w:tc>
        <w:tc>
          <w:tcPr>
            <w:tcW w:w="898" w:type="pct"/>
            <w:tcBorders>
              <w:top w:val="nil"/>
              <w:left w:val="nil"/>
              <w:bottom w:val="single" w:sz="4" w:space="0" w:color="auto"/>
              <w:right w:val="single" w:sz="4" w:space="0" w:color="auto"/>
            </w:tcBorders>
            <w:shd w:val="clear" w:color="auto" w:fill="auto"/>
            <w:noWrap/>
            <w:vAlign w:val="bottom"/>
            <w:hideMark/>
          </w:tcPr>
          <w:p w14:paraId="18D24DE3"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Net Income ÷ Net Sales × 100</w:t>
            </w:r>
          </w:p>
        </w:tc>
        <w:tc>
          <w:tcPr>
            <w:tcW w:w="694" w:type="pct"/>
            <w:tcBorders>
              <w:top w:val="nil"/>
              <w:left w:val="nil"/>
              <w:bottom w:val="single" w:sz="4" w:space="0" w:color="auto"/>
              <w:right w:val="single" w:sz="4" w:space="0" w:color="auto"/>
            </w:tcBorders>
            <w:shd w:val="clear" w:color="auto" w:fill="auto"/>
            <w:noWrap/>
            <w:vAlign w:val="bottom"/>
            <w:hideMark/>
          </w:tcPr>
          <w:p w14:paraId="5702C77E"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(24,029) ÷ 394,879 = -6.09%</w:t>
            </w:r>
          </w:p>
        </w:tc>
        <w:tc>
          <w:tcPr>
            <w:tcW w:w="694" w:type="pct"/>
            <w:tcBorders>
              <w:top w:val="nil"/>
              <w:left w:val="nil"/>
              <w:bottom w:val="single" w:sz="4" w:space="0" w:color="auto"/>
              <w:right w:val="single" w:sz="4" w:space="0" w:color="auto"/>
            </w:tcBorders>
            <w:shd w:val="clear" w:color="auto" w:fill="auto"/>
            <w:noWrap/>
            <w:vAlign w:val="bottom"/>
            <w:hideMark/>
          </w:tcPr>
          <w:p w14:paraId="20AC184C"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(98,238) ÷ 420,457 = -23.37%</w:t>
            </w:r>
          </w:p>
        </w:tc>
        <w:tc>
          <w:tcPr>
            <w:tcW w:w="714" w:type="pct"/>
            <w:tcBorders>
              <w:top w:val="nil"/>
              <w:left w:val="nil"/>
              <w:bottom w:val="single" w:sz="4" w:space="0" w:color="auto"/>
              <w:right w:val="single" w:sz="4" w:space="0" w:color="auto"/>
            </w:tcBorders>
            <w:shd w:val="clear" w:color="auto" w:fill="auto"/>
            <w:noWrap/>
            <w:vAlign w:val="bottom"/>
            <w:hideMark/>
          </w:tcPr>
          <w:p w14:paraId="052CE831"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407 ÷ 542,751 = 0.07%</w:t>
            </w:r>
          </w:p>
        </w:tc>
        <w:tc>
          <w:tcPr>
            <w:tcW w:w="714" w:type="pct"/>
            <w:tcBorders>
              <w:top w:val="nil"/>
              <w:left w:val="nil"/>
              <w:bottom w:val="single" w:sz="4" w:space="0" w:color="auto"/>
              <w:right w:val="single" w:sz="4" w:space="0" w:color="auto"/>
            </w:tcBorders>
            <w:shd w:val="clear" w:color="auto" w:fill="auto"/>
            <w:noWrap/>
            <w:vAlign w:val="bottom"/>
            <w:hideMark/>
          </w:tcPr>
          <w:p w14:paraId="26D44557"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5,301 ÷ 601,602 = 0.88%</w:t>
            </w:r>
          </w:p>
        </w:tc>
        <w:tc>
          <w:tcPr>
            <w:tcW w:w="714" w:type="pct"/>
            <w:tcBorders>
              <w:top w:val="nil"/>
              <w:left w:val="nil"/>
              <w:bottom w:val="single" w:sz="4" w:space="0" w:color="auto"/>
              <w:right w:val="single" w:sz="4" w:space="0" w:color="auto"/>
            </w:tcBorders>
            <w:shd w:val="clear" w:color="auto" w:fill="auto"/>
            <w:noWrap/>
            <w:vAlign w:val="bottom"/>
            <w:hideMark/>
          </w:tcPr>
          <w:p w14:paraId="3874F485"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38,572 ÷ 614,680 = 6.28%</w:t>
            </w:r>
          </w:p>
        </w:tc>
      </w:tr>
      <w:tr w:rsidR="00A36096" w:rsidRPr="008D718E" w14:paraId="02C8AD21" w14:textId="77777777" w:rsidTr="008D718E">
        <w:trPr>
          <w:trHeight w:val="737"/>
        </w:trPr>
        <w:tc>
          <w:tcPr>
            <w:tcW w:w="570" w:type="pct"/>
            <w:tcBorders>
              <w:top w:val="nil"/>
              <w:left w:val="single" w:sz="4" w:space="0" w:color="auto"/>
              <w:bottom w:val="single" w:sz="4" w:space="0" w:color="auto"/>
              <w:right w:val="single" w:sz="4" w:space="0" w:color="auto"/>
            </w:tcBorders>
            <w:shd w:val="clear" w:color="auto" w:fill="auto"/>
            <w:noWrap/>
            <w:vAlign w:val="bottom"/>
            <w:hideMark/>
          </w:tcPr>
          <w:p w14:paraId="0B750E47" w14:textId="77777777" w:rsidR="00A36096" w:rsidRPr="008D718E" w:rsidRDefault="00A36096" w:rsidP="008D718E">
            <w:pPr>
              <w:spacing w:after="0"/>
              <w:jc w:val="left"/>
              <w:rPr>
                <w:rFonts w:eastAsia="Times New Roman" w:cs="Arial"/>
                <w:b/>
                <w:i/>
                <w:color w:val="000000"/>
              </w:rPr>
            </w:pPr>
            <w:r w:rsidRPr="008D718E">
              <w:rPr>
                <w:rFonts w:eastAsia="Times New Roman" w:cs="Arial"/>
                <w:b/>
                <w:i/>
                <w:color w:val="000000"/>
              </w:rPr>
              <w:t>ROA (%)</w:t>
            </w:r>
          </w:p>
        </w:tc>
        <w:tc>
          <w:tcPr>
            <w:tcW w:w="898" w:type="pct"/>
            <w:tcBorders>
              <w:top w:val="nil"/>
              <w:left w:val="nil"/>
              <w:bottom w:val="single" w:sz="4" w:space="0" w:color="auto"/>
              <w:right w:val="single" w:sz="4" w:space="0" w:color="auto"/>
            </w:tcBorders>
            <w:shd w:val="clear" w:color="auto" w:fill="auto"/>
            <w:noWrap/>
            <w:vAlign w:val="bottom"/>
            <w:hideMark/>
          </w:tcPr>
          <w:p w14:paraId="24B1622E"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Net Income ÷ Total Assets × 100</w:t>
            </w:r>
          </w:p>
        </w:tc>
        <w:tc>
          <w:tcPr>
            <w:tcW w:w="694" w:type="pct"/>
            <w:tcBorders>
              <w:top w:val="nil"/>
              <w:left w:val="nil"/>
              <w:bottom w:val="single" w:sz="4" w:space="0" w:color="auto"/>
              <w:right w:val="single" w:sz="4" w:space="0" w:color="auto"/>
            </w:tcBorders>
            <w:shd w:val="clear" w:color="auto" w:fill="auto"/>
            <w:noWrap/>
            <w:vAlign w:val="bottom"/>
            <w:hideMark/>
          </w:tcPr>
          <w:p w14:paraId="441054E1"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(24,029) ÷ 323,354 = -7.43%</w:t>
            </w:r>
          </w:p>
        </w:tc>
        <w:tc>
          <w:tcPr>
            <w:tcW w:w="694" w:type="pct"/>
            <w:tcBorders>
              <w:top w:val="nil"/>
              <w:left w:val="nil"/>
              <w:bottom w:val="single" w:sz="4" w:space="0" w:color="auto"/>
              <w:right w:val="single" w:sz="4" w:space="0" w:color="auto"/>
            </w:tcBorders>
            <w:shd w:val="clear" w:color="auto" w:fill="auto"/>
            <w:noWrap/>
            <w:vAlign w:val="bottom"/>
            <w:hideMark/>
          </w:tcPr>
          <w:p w14:paraId="4195113B"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(98,238) ÷ 355,872 = -27.61%</w:t>
            </w:r>
          </w:p>
        </w:tc>
        <w:tc>
          <w:tcPr>
            <w:tcW w:w="714" w:type="pct"/>
            <w:tcBorders>
              <w:top w:val="nil"/>
              <w:left w:val="nil"/>
              <w:bottom w:val="single" w:sz="4" w:space="0" w:color="auto"/>
              <w:right w:val="single" w:sz="4" w:space="0" w:color="auto"/>
            </w:tcBorders>
            <w:shd w:val="clear" w:color="auto" w:fill="auto"/>
            <w:noWrap/>
            <w:vAlign w:val="bottom"/>
            <w:hideMark/>
          </w:tcPr>
          <w:p w14:paraId="0EC2E7F1"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407 ÷ 504,163 = 0.08%</w:t>
            </w:r>
          </w:p>
        </w:tc>
        <w:tc>
          <w:tcPr>
            <w:tcW w:w="714" w:type="pct"/>
            <w:tcBorders>
              <w:top w:val="nil"/>
              <w:left w:val="nil"/>
              <w:bottom w:val="single" w:sz="4" w:space="0" w:color="auto"/>
              <w:right w:val="single" w:sz="4" w:space="0" w:color="auto"/>
            </w:tcBorders>
            <w:shd w:val="clear" w:color="auto" w:fill="auto"/>
            <w:noWrap/>
            <w:vAlign w:val="bottom"/>
            <w:hideMark/>
          </w:tcPr>
          <w:p w14:paraId="6648C46B"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5,301 ÷ 510,348 = 1.04%</w:t>
            </w:r>
          </w:p>
        </w:tc>
        <w:tc>
          <w:tcPr>
            <w:tcW w:w="714" w:type="pct"/>
            <w:tcBorders>
              <w:top w:val="nil"/>
              <w:left w:val="nil"/>
              <w:bottom w:val="single" w:sz="4" w:space="0" w:color="auto"/>
              <w:right w:val="single" w:sz="4" w:space="0" w:color="auto"/>
            </w:tcBorders>
            <w:shd w:val="clear" w:color="auto" w:fill="auto"/>
            <w:noWrap/>
            <w:vAlign w:val="bottom"/>
            <w:hideMark/>
          </w:tcPr>
          <w:p w14:paraId="10A41BBC"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38,572 ÷ 510,290 = 7.56%</w:t>
            </w:r>
          </w:p>
        </w:tc>
      </w:tr>
      <w:tr w:rsidR="00A36096" w:rsidRPr="008D718E" w14:paraId="7FD5130A" w14:textId="77777777" w:rsidTr="008D718E">
        <w:trPr>
          <w:trHeight w:val="737"/>
        </w:trPr>
        <w:tc>
          <w:tcPr>
            <w:tcW w:w="570" w:type="pct"/>
            <w:tcBorders>
              <w:top w:val="nil"/>
              <w:left w:val="single" w:sz="4" w:space="0" w:color="auto"/>
              <w:bottom w:val="single" w:sz="4" w:space="0" w:color="auto"/>
              <w:right w:val="single" w:sz="4" w:space="0" w:color="auto"/>
            </w:tcBorders>
            <w:shd w:val="clear" w:color="auto" w:fill="auto"/>
            <w:noWrap/>
            <w:vAlign w:val="bottom"/>
            <w:hideMark/>
          </w:tcPr>
          <w:p w14:paraId="67A67672" w14:textId="77777777" w:rsidR="00A36096" w:rsidRPr="008D718E" w:rsidRDefault="00A36096" w:rsidP="008D718E">
            <w:pPr>
              <w:spacing w:after="0"/>
              <w:jc w:val="left"/>
              <w:rPr>
                <w:rFonts w:eastAsia="Times New Roman" w:cs="Arial"/>
                <w:b/>
                <w:i/>
                <w:color w:val="000000"/>
              </w:rPr>
            </w:pPr>
            <w:r w:rsidRPr="008D718E">
              <w:rPr>
                <w:rFonts w:eastAsia="Times New Roman" w:cs="Arial"/>
                <w:b/>
                <w:i/>
                <w:color w:val="000000"/>
              </w:rPr>
              <w:t>ROE (%)</w:t>
            </w:r>
          </w:p>
        </w:tc>
        <w:tc>
          <w:tcPr>
            <w:tcW w:w="898" w:type="pct"/>
            <w:tcBorders>
              <w:top w:val="nil"/>
              <w:left w:val="nil"/>
              <w:bottom w:val="single" w:sz="4" w:space="0" w:color="auto"/>
              <w:right w:val="single" w:sz="4" w:space="0" w:color="auto"/>
            </w:tcBorders>
            <w:shd w:val="clear" w:color="auto" w:fill="auto"/>
            <w:noWrap/>
            <w:vAlign w:val="bottom"/>
            <w:hideMark/>
          </w:tcPr>
          <w:p w14:paraId="781ADABD"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Net Income ÷ Shareholders’ Equity × 100</w:t>
            </w:r>
          </w:p>
        </w:tc>
        <w:tc>
          <w:tcPr>
            <w:tcW w:w="694" w:type="pct"/>
            <w:tcBorders>
              <w:top w:val="nil"/>
              <w:left w:val="nil"/>
              <w:bottom w:val="single" w:sz="4" w:space="0" w:color="auto"/>
              <w:right w:val="single" w:sz="4" w:space="0" w:color="auto"/>
            </w:tcBorders>
            <w:shd w:val="clear" w:color="auto" w:fill="auto"/>
            <w:noWrap/>
            <w:vAlign w:val="bottom"/>
            <w:hideMark/>
          </w:tcPr>
          <w:p w14:paraId="39468803"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(24,029) ÷ 153,105 = -15.69%</w:t>
            </w:r>
          </w:p>
        </w:tc>
        <w:tc>
          <w:tcPr>
            <w:tcW w:w="694" w:type="pct"/>
            <w:tcBorders>
              <w:top w:val="nil"/>
              <w:left w:val="nil"/>
              <w:bottom w:val="single" w:sz="4" w:space="0" w:color="auto"/>
              <w:right w:val="single" w:sz="4" w:space="0" w:color="auto"/>
            </w:tcBorders>
            <w:shd w:val="clear" w:color="auto" w:fill="auto"/>
            <w:noWrap/>
            <w:vAlign w:val="bottom"/>
            <w:hideMark/>
          </w:tcPr>
          <w:p w14:paraId="61DC9E99"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(98,238) ÷ 178,920 = -54.91%</w:t>
            </w:r>
          </w:p>
        </w:tc>
        <w:tc>
          <w:tcPr>
            <w:tcW w:w="714" w:type="pct"/>
            <w:tcBorders>
              <w:top w:val="nil"/>
              <w:left w:val="nil"/>
              <w:bottom w:val="single" w:sz="4" w:space="0" w:color="auto"/>
              <w:right w:val="single" w:sz="4" w:space="0" w:color="auto"/>
            </w:tcBorders>
            <w:shd w:val="clear" w:color="auto" w:fill="auto"/>
            <w:noWrap/>
            <w:vAlign w:val="bottom"/>
            <w:hideMark/>
          </w:tcPr>
          <w:p w14:paraId="67BD46AB"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407 ÷ 268,406 = 0.15%</w:t>
            </w:r>
          </w:p>
        </w:tc>
        <w:tc>
          <w:tcPr>
            <w:tcW w:w="714" w:type="pct"/>
            <w:tcBorders>
              <w:top w:val="nil"/>
              <w:left w:val="nil"/>
              <w:bottom w:val="single" w:sz="4" w:space="0" w:color="auto"/>
              <w:right w:val="single" w:sz="4" w:space="0" w:color="auto"/>
            </w:tcBorders>
            <w:shd w:val="clear" w:color="auto" w:fill="auto"/>
            <w:noWrap/>
            <w:vAlign w:val="bottom"/>
            <w:hideMark/>
          </w:tcPr>
          <w:p w14:paraId="634D0E52"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5,301 ÷ 275,949 = 1.92%</w:t>
            </w:r>
          </w:p>
        </w:tc>
        <w:tc>
          <w:tcPr>
            <w:tcW w:w="714" w:type="pct"/>
            <w:tcBorders>
              <w:top w:val="nil"/>
              <w:left w:val="nil"/>
              <w:bottom w:val="single" w:sz="4" w:space="0" w:color="auto"/>
              <w:right w:val="single" w:sz="4" w:space="0" w:color="auto"/>
            </w:tcBorders>
            <w:shd w:val="clear" w:color="auto" w:fill="auto"/>
            <w:noWrap/>
            <w:vAlign w:val="bottom"/>
            <w:hideMark/>
          </w:tcPr>
          <w:p w14:paraId="1E2B57D4"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38,572 ÷ 313,301 = 12.31%</w:t>
            </w:r>
          </w:p>
        </w:tc>
      </w:tr>
      <w:tr w:rsidR="00A36096" w:rsidRPr="008D718E" w14:paraId="1A52B086" w14:textId="77777777" w:rsidTr="008D718E">
        <w:trPr>
          <w:trHeight w:val="73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78C60D"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Liquidity Ratios</w:t>
            </w:r>
          </w:p>
        </w:tc>
      </w:tr>
      <w:tr w:rsidR="00A36096" w:rsidRPr="008D718E" w14:paraId="1D5192FD" w14:textId="77777777" w:rsidTr="008D718E">
        <w:trPr>
          <w:trHeight w:val="737"/>
        </w:trPr>
        <w:tc>
          <w:tcPr>
            <w:tcW w:w="570" w:type="pct"/>
            <w:tcBorders>
              <w:top w:val="nil"/>
              <w:left w:val="single" w:sz="4" w:space="0" w:color="auto"/>
              <w:bottom w:val="single" w:sz="4" w:space="0" w:color="auto"/>
              <w:right w:val="single" w:sz="4" w:space="0" w:color="auto"/>
            </w:tcBorders>
            <w:shd w:val="clear" w:color="auto" w:fill="auto"/>
            <w:noWrap/>
            <w:vAlign w:val="bottom"/>
            <w:hideMark/>
          </w:tcPr>
          <w:p w14:paraId="714AC950" w14:textId="77777777" w:rsidR="00A36096" w:rsidRPr="008D718E" w:rsidRDefault="00A36096" w:rsidP="008D718E">
            <w:pPr>
              <w:spacing w:after="0"/>
              <w:jc w:val="left"/>
              <w:rPr>
                <w:rFonts w:eastAsia="Times New Roman" w:cs="Arial"/>
                <w:b/>
                <w:bCs/>
                <w:color w:val="000000"/>
              </w:rPr>
            </w:pPr>
            <w:r w:rsidRPr="008D718E">
              <w:rPr>
                <w:rFonts w:eastAsia="Times New Roman" w:cs="Arial"/>
                <w:b/>
                <w:bCs/>
                <w:color w:val="000000"/>
              </w:rPr>
              <w:t>Ratio</w:t>
            </w:r>
          </w:p>
        </w:tc>
        <w:tc>
          <w:tcPr>
            <w:tcW w:w="898" w:type="pct"/>
            <w:tcBorders>
              <w:top w:val="nil"/>
              <w:left w:val="nil"/>
              <w:bottom w:val="single" w:sz="4" w:space="0" w:color="auto"/>
              <w:right w:val="single" w:sz="4" w:space="0" w:color="auto"/>
            </w:tcBorders>
            <w:shd w:val="clear" w:color="auto" w:fill="auto"/>
            <w:noWrap/>
            <w:vAlign w:val="bottom"/>
            <w:hideMark/>
          </w:tcPr>
          <w:p w14:paraId="5D19EA96" w14:textId="77777777" w:rsidR="00A36096" w:rsidRPr="008D718E" w:rsidRDefault="00A36096" w:rsidP="008D718E">
            <w:pPr>
              <w:spacing w:after="0"/>
              <w:jc w:val="left"/>
              <w:rPr>
                <w:rFonts w:eastAsia="Times New Roman" w:cs="Arial"/>
                <w:b/>
                <w:bCs/>
                <w:color w:val="000000"/>
              </w:rPr>
            </w:pPr>
            <w:r w:rsidRPr="008D718E">
              <w:rPr>
                <w:rFonts w:eastAsia="Times New Roman" w:cs="Arial"/>
                <w:b/>
                <w:bCs/>
                <w:color w:val="000000"/>
              </w:rPr>
              <w:t>Formula</w:t>
            </w:r>
          </w:p>
        </w:tc>
        <w:tc>
          <w:tcPr>
            <w:tcW w:w="694" w:type="pct"/>
            <w:tcBorders>
              <w:top w:val="nil"/>
              <w:left w:val="nil"/>
              <w:bottom w:val="single" w:sz="4" w:space="0" w:color="auto"/>
              <w:right w:val="single" w:sz="4" w:space="0" w:color="auto"/>
            </w:tcBorders>
            <w:shd w:val="clear" w:color="auto" w:fill="auto"/>
            <w:noWrap/>
            <w:vAlign w:val="bottom"/>
            <w:hideMark/>
          </w:tcPr>
          <w:p w14:paraId="46496551" w14:textId="77777777" w:rsidR="00A36096" w:rsidRPr="008D718E" w:rsidRDefault="00A36096" w:rsidP="008D718E">
            <w:pPr>
              <w:spacing w:after="0"/>
              <w:jc w:val="right"/>
              <w:rPr>
                <w:rFonts w:eastAsia="Times New Roman" w:cs="Arial"/>
                <w:b/>
                <w:bCs/>
                <w:color w:val="000000"/>
              </w:rPr>
            </w:pPr>
            <w:r w:rsidRPr="008D718E">
              <w:rPr>
                <w:rFonts w:eastAsia="Times New Roman" w:cs="Arial"/>
                <w:b/>
                <w:bCs/>
                <w:color w:val="000000"/>
              </w:rPr>
              <w:t>2024</w:t>
            </w:r>
          </w:p>
        </w:tc>
        <w:tc>
          <w:tcPr>
            <w:tcW w:w="694" w:type="pct"/>
            <w:tcBorders>
              <w:top w:val="nil"/>
              <w:left w:val="nil"/>
              <w:bottom w:val="single" w:sz="4" w:space="0" w:color="auto"/>
              <w:right w:val="single" w:sz="4" w:space="0" w:color="auto"/>
            </w:tcBorders>
            <w:shd w:val="clear" w:color="auto" w:fill="auto"/>
            <w:noWrap/>
            <w:vAlign w:val="bottom"/>
            <w:hideMark/>
          </w:tcPr>
          <w:p w14:paraId="08C0B2B0" w14:textId="77777777" w:rsidR="00A36096" w:rsidRPr="008D718E" w:rsidRDefault="00A36096" w:rsidP="008D718E">
            <w:pPr>
              <w:spacing w:after="0"/>
              <w:jc w:val="right"/>
              <w:rPr>
                <w:rFonts w:eastAsia="Times New Roman" w:cs="Arial"/>
                <w:b/>
                <w:bCs/>
                <w:color w:val="000000"/>
              </w:rPr>
            </w:pPr>
            <w:r w:rsidRPr="008D718E">
              <w:rPr>
                <w:rFonts w:eastAsia="Times New Roman" w:cs="Arial"/>
                <w:b/>
                <w:bCs/>
                <w:color w:val="000000"/>
              </w:rPr>
              <w:t>2023</w:t>
            </w:r>
          </w:p>
        </w:tc>
        <w:tc>
          <w:tcPr>
            <w:tcW w:w="714" w:type="pct"/>
            <w:tcBorders>
              <w:top w:val="nil"/>
              <w:left w:val="nil"/>
              <w:bottom w:val="single" w:sz="4" w:space="0" w:color="auto"/>
              <w:right w:val="single" w:sz="4" w:space="0" w:color="auto"/>
            </w:tcBorders>
            <w:shd w:val="clear" w:color="auto" w:fill="auto"/>
            <w:noWrap/>
            <w:vAlign w:val="bottom"/>
            <w:hideMark/>
          </w:tcPr>
          <w:p w14:paraId="6393D0BE" w14:textId="77777777" w:rsidR="00A36096" w:rsidRPr="008D718E" w:rsidRDefault="00A36096" w:rsidP="008D718E">
            <w:pPr>
              <w:spacing w:after="0"/>
              <w:jc w:val="right"/>
              <w:rPr>
                <w:rFonts w:eastAsia="Times New Roman" w:cs="Arial"/>
                <w:b/>
                <w:bCs/>
                <w:color w:val="000000"/>
              </w:rPr>
            </w:pPr>
            <w:r w:rsidRPr="008D718E">
              <w:rPr>
                <w:rFonts w:eastAsia="Times New Roman" w:cs="Arial"/>
                <w:b/>
                <w:bCs/>
                <w:color w:val="000000"/>
              </w:rPr>
              <w:t>2022</w:t>
            </w:r>
          </w:p>
        </w:tc>
        <w:tc>
          <w:tcPr>
            <w:tcW w:w="714" w:type="pct"/>
            <w:tcBorders>
              <w:top w:val="nil"/>
              <w:left w:val="nil"/>
              <w:bottom w:val="single" w:sz="4" w:space="0" w:color="auto"/>
              <w:right w:val="single" w:sz="4" w:space="0" w:color="auto"/>
            </w:tcBorders>
            <w:shd w:val="clear" w:color="auto" w:fill="auto"/>
            <w:noWrap/>
            <w:vAlign w:val="bottom"/>
            <w:hideMark/>
          </w:tcPr>
          <w:p w14:paraId="38BBFBD0" w14:textId="77777777" w:rsidR="00A36096" w:rsidRPr="008D718E" w:rsidRDefault="00A36096" w:rsidP="008D718E">
            <w:pPr>
              <w:spacing w:after="0"/>
              <w:jc w:val="right"/>
              <w:rPr>
                <w:rFonts w:eastAsia="Times New Roman" w:cs="Arial"/>
                <w:b/>
                <w:bCs/>
                <w:color w:val="000000"/>
              </w:rPr>
            </w:pPr>
            <w:r w:rsidRPr="008D718E">
              <w:rPr>
                <w:rFonts w:eastAsia="Times New Roman" w:cs="Arial"/>
                <w:b/>
                <w:bCs/>
                <w:color w:val="000000"/>
              </w:rPr>
              <w:t>2021</w:t>
            </w:r>
          </w:p>
        </w:tc>
        <w:tc>
          <w:tcPr>
            <w:tcW w:w="714" w:type="pct"/>
            <w:tcBorders>
              <w:top w:val="nil"/>
              <w:left w:val="nil"/>
              <w:bottom w:val="single" w:sz="4" w:space="0" w:color="auto"/>
              <w:right w:val="single" w:sz="4" w:space="0" w:color="auto"/>
            </w:tcBorders>
            <w:shd w:val="clear" w:color="auto" w:fill="auto"/>
            <w:noWrap/>
            <w:vAlign w:val="bottom"/>
            <w:hideMark/>
          </w:tcPr>
          <w:p w14:paraId="1EB83EE5" w14:textId="77777777" w:rsidR="00A36096" w:rsidRPr="008D718E" w:rsidRDefault="00A36096" w:rsidP="008D718E">
            <w:pPr>
              <w:spacing w:after="0"/>
              <w:jc w:val="right"/>
              <w:rPr>
                <w:rFonts w:eastAsia="Times New Roman" w:cs="Arial"/>
                <w:b/>
                <w:bCs/>
                <w:color w:val="000000"/>
              </w:rPr>
            </w:pPr>
            <w:r w:rsidRPr="008D718E">
              <w:rPr>
                <w:rFonts w:eastAsia="Times New Roman" w:cs="Arial"/>
                <w:b/>
                <w:bCs/>
                <w:color w:val="000000"/>
              </w:rPr>
              <w:t>2020</w:t>
            </w:r>
          </w:p>
        </w:tc>
      </w:tr>
      <w:tr w:rsidR="00A36096" w:rsidRPr="008D718E" w14:paraId="14572F5E" w14:textId="77777777" w:rsidTr="008D718E">
        <w:trPr>
          <w:trHeight w:val="737"/>
        </w:trPr>
        <w:tc>
          <w:tcPr>
            <w:tcW w:w="570" w:type="pct"/>
            <w:tcBorders>
              <w:top w:val="nil"/>
              <w:left w:val="single" w:sz="4" w:space="0" w:color="auto"/>
              <w:bottom w:val="single" w:sz="4" w:space="0" w:color="auto"/>
              <w:right w:val="single" w:sz="4" w:space="0" w:color="auto"/>
            </w:tcBorders>
            <w:shd w:val="clear" w:color="auto" w:fill="auto"/>
            <w:noWrap/>
            <w:vAlign w:val="bottom"/>
            <w:hideMark/>
          </w:tcPr>
          <w:p w14:paraId="5D80A570" w14:textId="77777777" w:rsidR="00A36096" w:rsidRPr="008D718E" w:rsidRDefault="00A36096" w:rsidP="008D718E">
            <w:pPr>
              <w:spacing w:after="0"/>
              <w:jc w:val="left"/>
              <w:rPr>
                <w:rFonts w:eastAsia="Times New Roman" w:cs="Arial"/>
                <w:b/>
                <w:i/>
                <w:color w:val="000000"/>
              </w:rPr>
            </w:pPr>
            <w:r w:rsidRPr="008D718E">
              <w:rPr>
                <w:rFonts w:eastAsia="Times New Roman" w:cs="Arial"/>
                <w:b/>
                <w:i/>
                <w:color w:val="000000"/>
              </w:rPr>
              <w:t>Current Ratio</w:t>
            </w:r>
          </w:p>
        </w:tc>
        <w:tc>
          <w:tcPr>
            <w:tcW w:w="898" w:type="pct"/>
            <w:tcBorders>
              <w:top w:val="nil"/>
              <w:left w:val="nil"/>
              <w:bottom w:val="single" w:sz="4" w:space="0" w:color="auto"/>
              <w:right w:val="single" w:sz="4" w:space="0" w:color="auto"/>
            </w:tcBorders>
            <w:shd w:val="clear" w:color="auto" w:fill="auto"/>
            <w:noWrap/>
            <w:vAlign w:val="bottom"/>
            <w:hideMark/>
          </w:tcPr>
          <w:p w14:paraId="2B579600"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Current Assets ÷ Current Liabilities</w:t>
            </w:r>
          </w:p>
        </w:tc>
        <w:tc>
          <w:tcPr>
            <w:tcW w:w="694" w:type="pct"/>
            <w:tcBorders>
              <w:top w:val="nil"/>
              <w:left w:val="nil"/>
              <w:bottom w:val="single" w:sz="4" w:space="0" w:color="auto"/>
              <w:right w:val="single" w:sz="4" w:space="0" w:color="auto"/>
            </w:tcBorders>
            <w:shd w:val="clear" w:color="auto" w:fill="auto"/>
            <w:noWrap/>
            <w:vAlign w:val="bottom"/>
            <w:hideMark/>
          </w:tcPr>
          <w:p w14:paraId="5A224F72"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242,494 ÷ 158,291 = 1.53</w:t>
            </w:r>
          </w:p>
        </w:tc>
        <w:tc>
          <w:tcPr>
            <w:tcW w:w="694" w:type="pct"/>
            <w:tcBorders>
              <w:top w:val="nil"/>
              <w:left w:val="nil"/>
              <w:bottom w:val="single" w:sz="4" w:space="0" w:color="auto"/>
              <w:right w:val="single" w:sz="4" w:space="0" w:color="auto"/>
            </w:tcBorders>
            <w:shd w:val="clear" w:color="auto" w:fill="auto"/>
            <w:noWrap/>
            <w:vAlign w:val="bottom"/>
            <w:hideMark/>
          </w:tcPr>
          <w:p w14:paraId="714EB342"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258,851 ÷ 161,148 = 1.61</w:t>
            </w:r>
          </w:p>
        </w:tc>
        <w:tc>
          <w:tcPr>
            <w:tcW w:w="714" w:type="pct"/>
            <w:tcBorders>
              <w:top w:val="nil"/>
              <w:left w:val="nil"/>
              <w:bottom w:val="single" w:sz="4" w:space="0" w:color="auto"/>
              <w:right w:val="single" w:sz="4" w:space="0" w:color="auto"/>
            </w:tcBorders>
            <w:shd w:val="clear" w:color="auto" w:fill="auto"/>
            <w:noWrap/>
            <w:vAlign w:val="bottom"/>
            <w:hideMark/>
          </w:tcPr>
          <w:p w14:paraId="733FEBED"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338,040 ÷ 216,473 = 1.56</w:t>
            </w:r>
          </w:p>
        </w:tc>
        <w:tc>
          <w:tcPr>
            <w:tcW w:w="714" w:type="pct"/>
            <w:tcBorders>
              <w:top w:val="nil"/>
              <w:left w:val="nil"/>
              <w:bottom w:val="single" w:sz="4" w:space="0" w:color="auto"/>
              <w:right w:val="single" w:sz="4" w:space="0" w:color="auto"/>
            </w:tcBorders>
            <w:shd w:val="clear" w:color="auto" w:fill="auto"/>
            <w:noWrap/>
            <w:vAlign w:val="bottom"/>
            <w:hideMark/>
          </w:tcPr>
          <w:p w14:paraId="764AD429"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337,146 ÷ 216,787 = 1.56</w:t>
            </w:r>
          </w:p>
        </w:tc>
        <w:tc>
          <w:tcPr>
            <w:tcW w:w="714" w:type="pct"/>
            <w:tcBorders>
              <w:top w:val="nil"/>
              <w:left w:val="nil"/>
              <w:bottom w:val="single" w:sz="4" w:space="0" w:color="auto"/>
              <w:right w:val="single" w:sz="4" w:space="0" w:color="auto"/>
            </w:tcBorders>
            <w:shd w:val="clear" w:color="auto" w:fill="auto"/>
            <w:noWrap/>
            <w:vAlign w:val="bottom"/>
            <w:hideMark/>
          </w:tcPr>
          <w:p w14:paraId="2FBA2CD8"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326,843 ÷ 179,510 = 1.82</w:t>
            </w:r>
          </w:p>
        </w:tc>
      </w:tr>
      <w:tr w:rsidR="00A36096" w:rsidRPr="008D718E" w14:paraId="0DEF5670" w14:textId="77777777" w:rsidTr="008D718E">
        <w:trPr>
          <w:trHeight w:val="737"/>
        </w:trPr>
        <w:tc>
          <w:tcPr>
            <w:tcW w:w="570" w:type="pct"/>
            <w:tcBorders>
              <w:top w:val="nil"/>
              <w:left w:val="single" w:sz="4" w:space="0" w:color="auto"/>
              <w:bottom w:val="single" w:sz="4" w:space="0" w:color="auto"/>
              <w:right w:val="single" w:sz="4" w:space="0" w:color="auto"/>
            </w:tcBorders>
            <w:shd w:val="clear" w:color="auto" w:fill="auto"/>
            <w:noWrap/>
            <w:vAlign w:val="bottom"/>
            <w:hideMark/>
          </w:tcPr>
          <w:p w14:paraId="6FC0D4E7" w14:textId="77777777" w:rsidR="00A36096" w:rsidRPr="008D718E" w:rsidRDefault="00A36096" w:rsidP="008D718E">
            <w:pPr>
              <w:spacing w:after="0"/>
              <w:jc w:val="left"/>
              <w:rPr>
                <w:rFonts w:eastAsia="Times New Roman" w:cs="Arial"/>
                <w:b/>
                <w:i/>
                <w:color w:val="000000"/>
              </w:rPr>
            </w:pPr>
            <w:r w:rsidRPr="008D718E">
              <w:rPr>
                <w:rFonts w:eastAsia="Times New Roman" w:cs="Arial"/>
                <w:b/>
                <w:i/>
                <w:color w:val="000000"/>
              </w:rPr>
              <w:t>Quick Ratio</w:t>
            </w:r>
          </w:p>
        </w:tc>
        <w:tc>
          <w:tcPr>
            <w:tcW w:w="898" w:type="pct"/>
            <w:tcBorders>
              <w:top w:val="nil"/>
              <w:left w:val="nil"/>
              <w:bottom w:val="single" w:sz="4" w:space="0" w:color="auto"/>
              <w:right w:val="single" w:sz="4" w:space="0" w:color="auto"/>
            </w:tcBorders>
            <w:shd w:val="clear" w:color="auto" w:fill="auto"/>
            <w:noWrap/>
            <w:vAlign w:val="bottom"/>
            <w:hideMark/>
          </w:tcPr>
          <w:p w14:paraId="53B4A51E"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(Current Assets – Inventories) ÷ Current Liabilities</w:t>
            </w:r>
          </w:p>
        </w:tc>
        <w:tc>
          <w:tcPr>
            <w:tcW w:w="694" w:type="pct"/>
            <w:tcBorders>
              <w:top w:val="nil"/>
              <w:left w:val="nil"/>
              <w:bottom w:val="single" w:sz="4" w:space="0" w:color="auto"/>
              <w:right w:val="single" w:sz="4" w:space="0" w:color="auto"/>
            </w:tcBorders>
            <w:shd w:val="clear" w:color="auto" w:fill="auto"/>
            <w:noWrap/>
            <w:vAlign w:val="bottom"/>
            <w:hideMark/>
          </w:tcPr>
          <w:p w14:paraId="542F4BD6"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(242,494 − 79,355) ÷ 158,291 = 1.03</w:t>
            </w:r>
          </w:p>
        </w:tc>
        <w:tc>
          <w:tcPr>
            <w:tcW w:w="694" w:type="pct"/>
            <w:tcBorders>
              <w:top w:val="nil"/>
              <w:left w:val="nil"/>
              <w:bottom w:val="single" w:sz="4" w:space="0" w:color="auto"/>
              <w:right w:val="single" w:sz="4" w:space="0" w:color="auto"/>
            </w:tcBorders>
            <w:shd w:val="clear" w:color="auto" w:fill="auto"/>
            <w:noWrap/>
            <w:vAlign w:val="bottom"/>
            <w:hideMark/>
          </w:tcPr>
          <w:p w14:paraId="357D25B6"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(258,851 − 88,273) ÷ 161,148 = 1.06</w:t>
            </w:r>
          </w:p>
        </w:tc>
        <w:tc>
          <w:tcPr>
            <w:tcW w:w="714" w:type="pct"/>
            <w:tcBorders>
              <w:top w:val="nil"/>
              <w:left w:val="nil"/>
              <w:bottom w:val="single" w:sz="4" w:space="0" w:color="auto"/>
              <w:right w:val="single" w:sz="4" w:space="0" w:color="auto"/>
            </w:tcBorders>
            <w:shd w:val="clear" w:color="auto" w:fill="auto"/>
            <w:noWrap/>
            <w:vAlign w:val="bottom"/>
            <w:hideMark/>
          </w:tcPr>
          <w:p w14:paraId="1D1C9036"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(338,040 − 140,181) ÷ 216,473 = 0.91</w:t>
            </w:r>
          </w:p>
        </w:tc>
        <w:tc>
          <w:tcPr>
            <w:tcW w:w="714" w:type="pct"/>
            <w:tcBorders>
              <w:top w:val="nil"/>
              <w:left w:val="nil"/>
              <w:bottom w:val="single" w:sz="4" w:space="0" w:color="auto"/>
              <w:right w:val="single" w:sz="4" w:space="0" w:color="auto"/>
            </w:tcBorders>
            <w:shd w:val="clear" w:color="auto" w:fill="auto"/>
            <w:noWrap/>
            <w:vAlign w:val="bottom"/>
            <w:hideMark/>
          </w:tcPr>
          <w:p w14:paraId="6BD519F7"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(337,146 − 134,469) ÷ 216,787 = 0.94</w:t>
            </w:r>
          </w:p>
        </w:tc>
        <w:tc>
          <w:tcPr>
            <w:tcW w:w="714" w:type="pct"/>
            <w:tcBorders>
              <w:top w:val="nil"/>
              <w:left w:val="nil"/>
              <w:bottom w:val="single" w:sz="4" w:space="0" w:color="auto"/>
              <w:right w:val="single" w:sz="4" w:space="0" w:color="auto"/>
            </w:tcBorders>
            <w:shd w:val="clear" w:color="auto" w:fill="auto"/>
            <w:noWrap/>
            <w:vAlign w:val="bottom"/>
            <w:hideMark/>
          </w:tcPr>
          <w:p w14:paraId="69521B54"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(326,843 − 120,430) ÷ 179,510 = 1.15</w:t>
            </w:r>
          </w:p>
        </w:tc>
      </w:tr>
      <w:tr w:rsidR="00A36096" w:rsidRPr="008D718E" w14:paraId="3C782023" w14:textId="77777777" w:rsidTr="008D718E">
        <w:trPr>
          <w:trHeight w:val="737"/>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5C61DF6"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Efficiency Ratios</w:t>
            </w:r>
          </w:p>
        </w:tc>
      </w:tr>
      <w:tr w:rsidR="00A36096" w:rsidRPr="008D718E" w14:paraId="6DF4AC48" w14:textId="77777777" w:rsidTr="008D718E">
        <w:trPr>
          <w:trHeight w:val="737"/>
        </w:trPr>
        <w:tc>
          <w:tcPr>
            <w:tcW w:w="570" w:type="pct"/>
            <w:tcBorders>
              <w:top w:val="nil"/>
              <w:left w:val="single" w:sz="4" w:space="0" w:color="auto"/>
              <w:bottom w:val="single" w:sz="4" w:space="0" w:color="auto"/>
              <w:right w:val="single" w:sz="4" w:space="0" w:color="auto"/>
            </w:tcBorders>
            <w:shd w:val="clear" w:color="auto" w:fill="auto"/>
            <w:noWrap/>
            <w:vAlign w:val="bottom"/>
            <w:hideMark/>
          </w:tcPr>
          <w:p w14:paraId="6775BA46"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Ratio</w:t>
            </w:r>
          </w:p>
        </w:tc>
        <w:tc>
          <w:tcPr>
            <w:tcW w:w="898" w:type="pct"/>
            <w:tcBorders>
              <w:top w:val="nil"/>
              <w:left w:val="nil"/>
              <w:bottom w:val="single" w:sz="4" w:space="0" w:color="auto"/>
              <w:right w:val="single" w:sz="4" w:space="0" w:color="auto"/>
            </w:tcBorders>
            <w:shd w:val="clear" w:color="auto" w:fill="auto"/>
            <w:noWrap/>
            <w:vAlign w:val="bottom"/>
            <w:hideMark/>
          </w:tcPr>
          <w:p w14:paraId="2A780E49"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Formula</w:t>
            </w:r>
          </w:p>
        </w:tc>
        <w:tc>
          <w:tcPr>
            <w:tcW w:w="694" w:type="pct"/>
            <w:tcBorders>
              <w:top w:val="nil"/>
              <w:left w:val="nil"/>
              <w:bottom w:val="single" w:sz="4" w:space="0" w:color="auto"/>
              <w:right w:val="single" w:sz="4" w:space="0" w:color="auto"/>
            </w:tcBorders>
            <w:shd w:val="clear" w:color="auto" w:fill="auto"/>
            <w:noWrap/>
            <w:vAlign w:val="bottom"/>
            <w:hideMark/>
          </w:tcPr>
          <w:p w14:paraId="5AC8CDDA"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2024</w:t>
            </w:r>
          </w:p>
        </w:tc>
        <w:tc>
          <w:tcPr>
            <w:tcW w:w="694" w:type="pct"/>
            <w:tcBorders>
              <w:top w:val="nil"/>
              <w:left w:val="nil"/>
              <w:bottom w:val="single" w:sz="4" w:space="0" w:color="auto"/>
              <w:right w:val="single" w:sz="4" w:space="0" w:color="auto"/>
            </w:tcBorders>
            <w:shd w:val="clear" w:color="auto" w:fill="auto"/>
            <w:noWrap/>
            <w:vAlign w:val="bottom"/>
            <w:hideMark/>
          </w:tcPr>
          <w:p w14:paraId="648DFB09"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2023</w:t>
            </w:r>
          </w:p>
        </w:tc>
        <w:tc>
          <w:tcPr>
            <w:tcW w:w="714" w:type="pct"/>
            <w:tcBorders>
              <w:top w:val="nil"/>
              <w:left w:val="nil"/>
              <w:bottom w:val="single" w:sz="4" w:space="0" w:color="auto"/>
              <w:right w:val="single" w:sz="4" w:space="0" w:color="auto"/>
            </w:tcBorders>
            <w:shd w:val="clear" w:color="auto" w:fill="auto"/>
            <w:noWrap/>
            <w:vAlign w:val="bottom"/>
            <w:hideMark/>
          </w:tcPr>
          <w:p w14:paraId="35E4761E"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2022</w:t>
            </w:r>
          </w:p>
        </w:tc>
        <w:tc>
          <w:tcPr>
            <w:tcW w:w="714" w:type="pct"/>
            <w:tcBorders>
              <w:top w:val="nil"/>
              <w:left w:val="nil"/>
              <w:bottom w:val="single" w:sz="4" w:space="0" w:color="auto"/>
              <w:right w:val="single" w:sz="4" w:space="0" w:color="auto"/>
            </w:tcBorders>
            <w:shd w:val="clear" w:color="auto" w:fill="auto"/>
            <w:noWrap/>
            <w:vAlign w:val="bottom"/>
            <w:hideMark/>
          </w:tcPr>
          <w:p w14:paraId="18941B51"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2021</w:t>
            </w:r>
          </w:p>
        </w:tc>
        <w:tc>
          <w:tcPr>
            <w:tcW w:w="714" w:type="pct"/>
            <w:tcBorders>
              <w:top w:val="nil"/>
              <w:left w:val="nil"/>
              <w:bottom w:val="single" w:sz="4" w:space="0" w:color="auto"/>
              <w:right w:val="single" w:sz="4" w:space="0" w:color="auto"/>
            </w:tcBorders>
            <w:shd w:val="clear" w:color="auto" w:fill="auto"/>
            <w:noWrap/>
            <w:vAlign w:val="bottom"/>
            <w:hideMark/>
          </w:tcPr>
          <w:p w14:paraId="04E8B1AB"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2020</w:t>
            </w:r>
          </w:p>
        </w:tc>
      </w:tr>
      <w:tr w:rsidR="00A36096" w:rsidRPr="008D718E" w14:paraId="275E454A" w14:textId="77777777" w:rsidTr="008D718E">
        <w:trPr>
          <w:trHeight w:val="737"/>
        </w:trPr>
        <w:tc>
          <w:tcPr>
            <w:tcW w:w="570" w:type="pct"/>
            <w:tcBorders>
              <w:top w:val="nil"/>
              <w:left w:val="single" w:sz="4" w:space="0" w:color="auto"/>
              <w:bottom w:val="single" w:sz="4" w:space="0" w:color="auto"/>
              <w:right w:val="single" w:sz="4" w:space="0" w:color="auto"/>
            </w:tcBorders>
            <w:shd w:val="clear" w:color="auto" w:fill="auto"/>
            <w:noWrap/>
            <w:vAlign w:val="bottom"/>
            <w:hideMark/>
          </w:tcPr>
          <w:p w14:paraId="5E824B14" w14:textId="77777777" w:rsidR="00A36096" w:rsidRPr="008D718E" w:rsidRDefault="00A36096" w:rsidP="008D718E">
            <w:pPr>
              <w:spacing w:after="0"/>
              <w:jc w:val="left"/>
              <w:rPr>
                <w:rFonts w:eastAsia="Times New Roman" w:cs="Arial"/>
                <w:b/>
                <w:i/>
                <w:color w:val="000000"/>
              </w:rPr>
            </w:pPr>
            <w:r w:rsidRPr="008D718E">
              <w:rPr>
                <w:rFonts w:eastAsia="Times New Roman" w:cs="Arial"/>
                <w:b/>
                <w:i/>
                <w:color w:val="000000"/>
              </w:rPr>
              <w:t>Asset Turnover</w:t>
            </w:r>
          </w:p>
        </w:tc>
        <w:tc>
          <w:tcPr>
            <w:tcW w:w="898" w:type="pct"/>
            <w:tcBorders>
              <w:top w:val="nil"/>
              <w:left w:val="nil"/>
              <w:bottom w:val="single" w:sz="4" w:space="0" w:color="auto"/>
              <w:right w:val="single" w:sz="4" w:space="0" w:color="auto"/>
            </w:tcBorders>
            <w:shd w:val="clear" w:color="auto" w:fill="auto"/>
            <w:noWrap/>
            <w:vAlign w:val="bottom"/>
            <w:hideMark/>
          </w:tcPr>
          <w:p w14:paraId="47872119"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Net Sales ÷ Total Assets</w:t>
            </w:r>
          </w:p>
        </w:tc>
        <w:tc>
          <w:tcPr>
            <w:tcW w:w="694" w:type="pct"/>
            <w:tcBorders>
              <w:top w:val="nil"/>
              <w:left w:val="nil"/>
              <w:bottom w:val="single" w:sz="4" w:space="0" w:color="auto"/>
              <w:right w:val="single" w:sz="4" w:space="0" w:color="auto"/>
            </w:tcBorders>
            <w:shd w:val="clear" w:color="auto" w:fill="auto"/>
            <w:noWrap/>
            <w:vAlign w:val="bottom"/>
            <w:hideMark/>
          </w:tcPr>
          <w:p w14:paraId="260D85F7"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394,879 ÷ 323,354 = 1.22</w:t>
            </w:r>
          </w:p>
        </w:tc>
        <w:tc>
          <w:tcPr>
            <w:tcW w:w="694" w:type="pct"/>
            <w:tcBorders>
              <w:top w:val="nil"/>
              <w:left w:val="nil"/>
              <w:bottom w:val="single" w:sz="4" w:space="0" w:color="auto"/>
              <w:right w:val="single" w:sz="4" w:space="0" w:color="auto"/>
            </w:tcBorders>
            <w:shd w:val="clear" w:color="auto" w:fill="auto"/>
            <w:noWrap/>
            <w:vAlign w:val="bottom"/>
            <w:hideMark/>
          </w:tcPr>
          <w:p w14:paraId="6FD90BF3"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420,457 ÷ 355,872 = 1.18</w:t>
            </w:r>
          </w:p>
        </w:tc>
        <w:tc>
          <w:tcPr>
            <w:tcW w:w="714" w:type="pct"/>
            <w:tcBorders>
              <w:top w:val="nil"/>
              <w:left w:val="nil"/>
              <w:bottom w:val="single" w:sz="4" w:space="0" w:color="auto"/>
              <w:right w:val="single" w:sz="4" w:space="0" w:color="auto"/>
            </w:tcBorders>
            <w:shd w:val="clear" w:color="auto" w:fill="auto"/>
            <w:noWrap/>
            <w:vAlign w:val="bottom"/>
            <w:hideMark/>
          </w:tcPr>
          <w:p w14:paraId="74AC6475"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542,751 ÷ 504,163 = 1.08</w:t>
            </w:r>
          </w:p>
        </w:tc>
        <w:tc>
          <w:tcPr>
            <w:tcW w:w="714" w:type="pct"/>
            <w:tcBorders>
              <w:top w:val="nil"/>
              <w:left w:val="nil"/>
              <w:bottom w:val="single" w:sz="4" w:space="0" w:color="auto"/>
              <w:right w:val="single" w:sz="4" w:space="0" w:color="auto"/>
            </w:tcBorders>
            <w:shd w:val="clear" w:color="auto" w:fill="auto"/>
            <w:noWrap/>
            <w:vAlign w:val="bottom"/>
            <w:hideMark/>
          </w:tcPr>
          <w:p w14:paraId="1496CE06"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601,602 ÷ 510,348 = 1.18</w:t>
            </w:r>
          </w:p>
        </w:tc>
        <w:tc>
          <w:tcPr>
            <w:tcW w:w="714" w:type="pct"/>
            <w:tcBorders>
              <w:top w:val="nil"/>
              <w:left w:val="nil"/>
              <w:bottom w:val="single" w:sz="4" w:space="0" w:color="auto"/>
              <w:right w:val="single" w:sz="4" w:space="0" w:color="auto"/>
            </w:tcBorders>
            <w:shd w:val="clear" w:color="auto" w:fill="auto"/>
            <w:noWrap/>
            <w:vAlign w:val="bottom"/>
            <w:hideMark/>
          </w:tcPr>
          <w:p w14:paraId="786A76D8"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614,680 ÷ 510,290 = 1.21</w:t>
            </w:r>
          </w:p>
        </w:tc>
      </w:tr>
      <w:tr w:rsidR="00A36096" w:rsidRPr="008D718E" w14:paraId="227BE655" w14:textId="77777777" w:rsidTr="008D718E">
        <w:trPr>
          <w:trHeight w:val="73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AFAC90"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Gearing / Leverage Ratios</w:t>
            </w:r>
          </w:p>
        </w:tc>
      </w:tr>
      <w:tr w:rsidR="00A36096" w:rsidRPr="008D718E" w14:paraId="719CE713" w14:textId="77777777" w:rsidTr="008D718E">
        <w:trPr>
          <w:trHeight w:val="737"/>
        </w:trPr>
        <w:tc>
          <w:tcPr>
            <w:tcW w:w="570" w:type="pct"/>
            <w:tcBorders>
              <w:top w:val="nil"/>
              <w:left w:val="single" w:sz="4" w:space="0" w:color="auto"/>
              <w:bottom w:val="single" w:sz="4" w:space="0" w:color="auto"/>
              <w:right w:val="single" w:sz="4" w:space="0" w:color="auto"/>
            </w:tcBorders>
            <w:shd w:val="clear" w:color="auto" w:fill="auto"/>
            <w:noWrap/>
            <w:vAlign w:val="bottom"/>
            <w:hideMark/>
          </w:tcPr>
          <w:p w14:paraId="06401270"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Ratio</w:t>
            </w:r>
          </w:p>
        </w:tc>
        <w:tc>
          <w:tcPr>
            <w:tcW w:w="898" w:type="pct"/>
            <w:tcBorders>
              <w:top w:val="nil"/>
              <w:left w:val="nil"/>
              <w:bottom w:val="single" w:sz="4" w:space="0" w:color="auto"/>
              <w:right w:val="single" w:sz="4" w:space="0" w:color="auto"/>
            </w:tcBorders>
            <w:shd w:val="clear" w:color="auto" w:fill="auto"/>
            <w:noWrap/>
            <w:vAlign w:val="bottom"/>
            <w:hideMark/>
          </w:tcPr>
          <w:p w14:paraId="63101812"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Formula</w:t>
            </w:r>
          </w:p>
        </w:tc>
        <w:tc>
          <w:tcPr>
            <w:tcW w:w="694" w:type="pct"/>
            <w:tcBorders>
              <w:top w:val="nil"/>
              <w:left w:val="nil"/>
              <w:bottom w:val="single" w:sz="4" w:space="0" w:color="auto"/>
              <w:right w:val="single" w:sz="4" w:space="0" w:color="auto"/>
            </w:tcBorders>
            <w:shd w:val="clear" w:color="auto" w:fill="auto"/>
            <w:noWrap/>
            <w:vAlign w:val="bottom"/>
            <w:hideMark/>
          </w:tcPr>
          <w:p w14:paraId="7B784C04"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2024</w:t>
            </w:r>
          </w:p>
        </w:tc>
        <w:tc>
          <w:tcPr>
            <w:tcW w:w="694" w:type="pct"/>
            <w:tcBorders>
              <w:top w:val="nil"/>
              <w:left w:val="nil"/>
              <w:bottom w:val="single" w:sz="4" w:space="0" w:color="auto"/>
              <w:right w:val="single" w:sz="4" w:space="0" w:color="auto"/>
            </w:tcBorders>
            <w:shd w:val="clear" w:color="auto" w:fill="auto"/>
            <w:noWrap/>
            <w:vAlign w:val="bottom"/>
            <w:hideMark/>
          </w:tcPr>
          <w:p w14:paraId="510941B8"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2023</w:t>
            </w:r>
          </w:p>
        </w:tc>
        <w:tc>
          <w:tcPr>
            <w:tcW w:w="714" w:type="pct"/>
            <w:tcBorders>
              <w:top w:val="nil"/>
              <w:left w:val="nil"/>
              <w:bottom w:val="single" w:sz="4" w:space="0" w:color="auto"/>
              <w:right w:val="single" w:sz="4" w:space="0" w:color="auto"/>
            </w:tcBorders>
            <w:shd w:val="clear" w:color="auto" w:fill="auto"/>
            <w:noWrap/>
            <w:vAlign w:val="bottom"/>
            <w:hideMark/>
          </w:tcPr>
          <w:p w14:paraId="6B2B0AE1"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2022</w:t>
            </w:r>
          </w:p>
        </w:tc>
        <w:tc>
          <w:tcPr>
            <w:tcW w:w="714" w:type="pct"/>
            <w:tcBorders>
              <w:top w:val="nil"/>
              <w:left w:val="nil"/>
              <w:bottom w:val="single" w:sz="4" w:space="0" w:color="auto"/>
              <w:right w:val="single" w:sz="4" w:space="0" w:color="auto"/>
            </w:tcBorders>
            <w:shd w:val="clear" w:color="auto" w:fill="auto"/>
            <w:noWrap/>
            <w:vAlign w:val="bottom"/>
            <w:hideMark/>
          </w:tcPr>
          <w:p w14:paraId="6D4D4E2D"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2021</w:t>
            </w:r>
          </w:p>
        </w:tc>
        <w:tc>
          <w:tcPr>
            <w:tcW w:w="714" w:type="pct"/>
            <w:tcBorders>
              <w:top w:val="nil"/>
              <w:left w:val="nil"/>
              <w:bottom w:val="single" w:sz="4" w:space="0" w:color="auto"/>
              <w:right w:val="single" w:sz="4" w:space="0" w:color="auto"/>
            </w:tcBorders>
            <w:shd w:val="clear" w:color="auto" w:fill="auto"/>
            <w:noWrap/>
            <w:vAlign w:val="bottom"/>
            <w:hideMark/>
          </w:tcPr>
          <w:p w14:paraId="49BCF8AD"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2020</w:t>
            </w:r>
          </w:p>
        </w:tc>
      </w:tr>
      <w:tr w:rsidR="00A36096" w:rsidRPr="008D718E" w14:paraId="17983AA7" w14:textId="77777777" w:rsidTr="008D718E">
        <w:trPr>
          <w:trHeight w:val="737"/>
        </w:trPr>
        <w:tc>
          <w:tcPr>
            <w:tcW w:w="570" w:type="pct"/>
            <w:tcBorders>
              <w:top w:val="nil"/>
              <w:left w:val="single" w:sz="4" w:space="0" w:color="auto"/>
              <w:bottom w:val="single" w:sz="4" w:space="0" w:color="auto"/>
              <w:right w:val="single" w:sz="4" w:space="0" w:color="auto"/>
            </w:tcBorders>
            <w:shd w:val="clear" w:color="auto" w:fill="auto"/>
            <w:noWrap/>
            <w:vAlign w:val="bottom"/>
            <w:hideMark/>
          </w:tcPr>
          <w:p w14:paraId="2B59C920" w14:textId="77777777" w:rsidR="00A36096" w:rsidRPr="008D718E" w:rsidRDefault="00A36096" w:rsidP="008D718E">
            <w:pPr>
              <w:spacing w:after="0"/>
              <w:jc w:val="center"/>
              <w:rPr>
                <w:rFonts w:eastAsia="Times New Roman" w:cs="Arial"/>
                <w:b/>
                <w:i/>
                <w:color w:val="000000"/>
              </w:rPr>
            </w:pPr>
            <w:r w:rsidRPr="008D718E">
              <w:rPr>
                <w:rFonts w:eastAsia="Times New Roman" w:cs="Arial"/>
                <w:b/>
                <w:i/>
                <w:color w:val="000000"/>
              </w:rPr>
              <w:t>Debt-to-Equity</w:t>
            </w:r>
          </w:p>
        </w:tc>
        <w:tc>
          <w:tcPr>
            <w:tcW w:w="898" w:type="pct"/>
            <w:tcBorders>
              <w:top w:val="nil"/>
              <w:left w:val="nil"/>
              <w:bottom w:val="single" w:sz="4" w:space="0" w:color="auto"/>
              <w:right w:val="single" w:sz="4" w:space="0" w:color="auto"/>
            </w:tcBorders>
            <w:shd w:val="clear" w:color="auto" w:fill="auto"/>
            <w:noWrap/>
            <w:vAlign w:val="bottom"/>
            <w:hideMark/>
          </w:tcPr>
          <w:p w14:paraId="2E85A8F8" w14:textId="77777777" w:rsidR="00A36096" w:rsidRPr="008D718E" w:rsidRDefault="00A36096" w:rsidP="008D718E">
            <w:pPr>
              <w:spacing w:after="0"/>
              <w:jc w:val="center"/>
              <w:rPr>
                <w:rFonts w:eastAsia="Times New Roman" w:cs="Arial"/>
                <w:color w:val="000000"/>
              </w:rPr>
            </w:pPr>
            <w:r w:rsidRPr="008D718E">
              <w:rPr>
                <w:rFonts w:eastAsia="Times New Roman" w:cs="Arial"/>
                <w:color w:val="000000"/>
              </w:rPr>
              <w:t>Total Liabilities ÷ Shareholders’ Equity</w:t>
            </w:r>
          </w:p>
        </w:tc>
        <w:tc>
          <w:tcPr>
            <w:tcW w:w="694" w:type="pct"/>
            <w:tcBorders>
              <w:top w:val="nil"/>
              <w:left w:val="nil"/>
              <w:bottom w:val="single" w:sz="4" w:space="0" w:color="auto"/>
              <w:right w:val="single" w:sz="4" w:space="0" w:color="auto"/>
            </w:tcBorders>
            <w:shd w:val="clear" w:color="auto" w:fill="auto"/>
            <w:noWrap/>
            <w:vAlign w:val="bottom"/>
            <w:hideMark/>
          </w:tcPr>
          <w:p w14:paraId="58AFEB7D" w14:textId="77777777" w:rsidR="00A36096" w:rsidRPr="008D718E" w:rsidRDefault="00A36096" w:rsidP="008D718E">
            <w:pPr>
              <w:spacing w:after="0"/>
              <w:jc w:val="center"/>
              <w:rPr>
                <w:rFonts w:eastAsia="Times New Roman" w:cs="Arial"/>
                <w:color w:val="000000"/>
              </w:rPr>
            </w:pPr>
            <w:r w:rsidRPr="008D718E">
              <w:rPr>
                <w:rFonts w:eastAsia="Times New Roman" w:cs="Arial"/>
                <w:color w:val="000000"/>
              </w:rPr>
              <w:t>170,249 ÷ 153,105 = 1.11</w:t>
            </w:r>
          </w:p>
        </w:tc>
        <w:tc>
          <w:tcPr>
            <w:tcW w:w="694" w:type="pct"/>
            <w:tcBorders>
              <w:top w:val="nil"/>
              <w:left w:val="nil"/>
              <w:bottom w:val="single" w:sz="4" w:space="0" w:color="auto"/>
              <w:right w:val="single" w:sz="4" w:space="0" w:color="auto"/>
            </w:tcBorders>
            <w:shd w:val="clear" w:color="auto" w:fill="auto"/>
            <w:noWrap/>
            <w:vAlign w:val="bottom"/>
            <w:hideMark/>
          </w:tcPr>
          <w:p w14:paraId="6FE9F97E" w14:textId="77777777" w:rsidR="00A36096" w:rsidRPr="008D718E" w:rsidRDefault="00A36096" w:rsidP="008D718E">
            <w:pPr>
              <w:spacing w:after="0"/>
              <w:jc w:val="center"/>
              <w:rPr>
                <w:rFonts w:eastAsia="Times New Roman" w:cs="Arial"/>
                <w:color w:val="000000"/>
              </w:rPr>
            </w:pPr>
            <w:r w:rsidRPr="008D718E">
              <w:rPr>
                <w:rFonts w:eastAsia="Times New Roman" w:cs="Arial"/>
                <w:color w:val="000000"/>
              </w:rPr>
              <w:t>176,952 ÷ 178,920 = 0.99</w:t>
            </w:r>
          </w:p>
        </w:tc>
        <w:tc>
          <w:tcPr>
            <w:tcW w:w="714" w:type="pct"/>
            <w:tcBorders>
              <w:top w:val="nil"/>
              <w:left w:val="nil"/>
              <w:bottom w:val="single" w:sz="4" w:space="0" w:color="auto"/>
              <w:right w:val="single" w:sz="4" w:space="0" w:color="auto"/>
            </w:tcBorders>
            <w:shd w:val="clear" w:color="auto" w:fill="auto"/>
            <w:noWrap/>
            <w:vAlign w:val="bottom"/>
            <w:hideMark/>
          </w:tcPr>
          <w:p w14:paraId="7E1543DE" w14:textId="77777777" w:rsidR="00A36096" w:rsidRPr="008D718E" w:rsidRDefault="00A36096" w:rsidP="008D718E">
            <w:pPr>
              <w:spacing w:after="0"/>
              <w:jc w:val="center"/>
              <w:rPr>
                <w:rFonts w:eastAsia="Times New Roman" w:cs="Arial"/>
                <w:color w:val="000000"/>
              </w:rPr>
            </w:pPr>
            <w:r w:rsidRPr="008D718E">
              <w:rPr>
                <w:rFonts w:eastAsia="Times New Roman" w:cs="Arial"/>
                <w:color w:val="000000"/>
              </w:rPr>
              <w:t>235,757 ÷ 268,406 = 0.88</w:t>
            </w:r>
          </w:p>
        </w:tc>
        <w:tc>
          <w:tcPr>
            <w:tcW w:w="714" w:type="pct"/>
            <w:tcBorders>
              <w:top w:val="nil"/>
              <w:left w:val="nil"/>
              <w:bottom w:val="single" w:sz="4" w:space="0" w:color="auto"/>
              <w:right w:val="single" w:sz="4" w:space="0" w:color="auto"/>
            </w:tcBorders>
            <w:shd w:val="clear" w:color="auto" w:fill="auto"/>
            <w:noWrap/>
            <w:vAlign w:val="bottom"/>
            <w:hideMark/>
          </w:tcPr>
          <w:p w14:paraId="10D98779" w14:textId="77777777" w:rsidR="00A36096" w:rsidRPr="008D718E" w:rsidRDefault="00A36096" w:rsidP="008D718E">
            <w:pPr>
              <w:spacing w:after="0"/>
              <w:jc w:val="center"/>
              <w:rPr>
                <w:rFonts w:eastAsia="Times New Roman" w:cs="Arial"/>
                <w:color w:val="000000"/>
              </w:rPr>
            </w:pPr>
            <w:r w:rsidRPr="008D718E">
              <w:rPr>
                <w:rFonts w:eastAsia="Times New Roman" w:cs="Arial"/>
                <w:color w:val="000000"/>
              </w:rPr>
              <w:t>234,399 ÷ 275,949 = 0.85</w:t>
            </w:r>
          </w:p>
        </w:tc>
        <w:tc>
          <w:tcPr>
            <w:tcW w:w="714" w:type="pct"/>
            <w:tcBorders>
              <w:top w:val="nil"/>
              <w:left w:val="nil"/>
              <w:bottom w:val="single" w:sz="4" w:space="0" w:color="auto"/>
              <w:right w:val="single" w:sz="4" w:space="0" w:color="auto"/>
            </w:tcBorders>
            <w:shd w:val="clear" w:color="auto" w:fill="auto"/>
            <w:noWrap/>
            <w:vAlign w:val="bottom"/>
            <w:hideMark/>
          </w:tcPr>
          <w:p w14:paraId="042EEF1F" w14:textId="77777777" w:rsidR="00A36096" w:rsidRPr="008D718E" w:rsidRDefault="00A36096" w:rsidP="008D718E">
            <w:pPr>
              <w:spacing w:after="0"/>
              <w:jc w:val="center"/>
              <w:rPr>
                <w:rFonts w:eastAsia="Times New Roman" w:cs="Arial"/>
                <w:color w:val="000000"/>
              </w:rPr>
            </w:pPr>
            <w:r w:rsidRPr="008D718E">
              <w:rPr>
                <w:rFonts w:eastAsia="Times New Roman" w:cs="Arial"/>
                <w:color w:val="000000"/>
              </w:rPr>
              <w:t>196,989 ÷ 313,301 = 0.63</w:t>
            </w:r>
          </w:p>
        </w:tc>
      </w:tr>
      <w:tr w:rsidR="00A36096" w:rsidRPr="008D718E" w14:paraId="3191600F" w14:textId="77777777" w:rsidTr="008D718E">
        <w:trPr>
          <w:trHeight w:val="737"/>
        </w:trPr>
        <w:tc>
          <w:tcPr>
            <w:tcW w:w="570" w:type="pct"/>
            <w:tcBorders>
              <w:top w:val="nil"/>
              <w:left w:val="single" w:sz="4" w:space="0" w:color="auto"/>
              <w:bottom w:val="single" w:sz="4" w:space="0" w:color="auto"/>
              <w:right w:val="single" w:sz="4" w:space="0" w:color="auto"/>
            </w:tcBorders>
            <w:shd w:val="clear" w:color="auto" w:fill="auto"/>
            <w:noWrap/>
            <w:vAlign w:val="bottom"/>
            <w:hideMark/>
          </w:tcPr>
          <w:p w14:paraId="460EC999" w14:textId="77777777" w:rsidR="00A36096" w:rsidRPr="008D718E" w:rsidRDefault="00A36096" w:rsidP="008D718E">
            <w:pPr>
              <w:spacing w:after="0"/>
              <w:jc w:val="center"/>
              <w:rPr>
                <w:rFonts w:eastAsia="Times New Roman" w:cs="Arial"/>
                <w:b/>
                <w:i/>
                <w:color w:val="000000"/>
              </w:rPr>
            </w:pPr>
            <w:r w:rsidRPr="008D718E">
              <w:rPr>
                <w:rFonts w:eastAsia="Times New Roman" w:cs="Arial"/>
                <w:b/>
                <w:i/>
                <w:color w:val="000000"/>
              </w:rPr>
              <w:t>Debt Ratio</w:t>
            </w:r>
          </w:p>
        </w:tc>
        <w:tc>
          <w:tcPr>
            <w:tcW w:w="898" w:type="pct"/>
            <w:tcBorders>
              <w:top w:val="nil"/>
              <w:left w:val="nil"/>
              <w:bottom w:val="single" w:sz="4" w:space="0" w:color="auto"/>
              <w:right w:val="single" w:sz="4" w:space="0" w:color="auto"/>
            </w:tcBorders>
            <w:shd w:val="clear" w:color="auto" w:fill="auto"/>
            <w:noWrap/>
            <w:vAlign w:val="bottom"/>
            <w:hideMark/>
          </w:tcPr>
          <w:p w14:paraId="4058BD83" w14:textId="77777777" w:rsidR="00A36096" w:rsidRPr="008D718E" w:rsidRDefault="00A36096" w:rsidP="008D718E">
            <w:pPr>
              <w:spacing w:after="0"/>
              <w:jc w:val="center"/>
              <w:rPr>
                <w:rFonts w:eastAsia="Times New Roman" w:cs="Arial"/>
                <w:color w:val="000000"/>
              </w:rPr>
            </w:pPr>
            <w:r w:rsidRPr="008D718E">
              <w:rPr>
                <w:rFonts w:eastAsia="Times New Roman" w:cs="Arial"/>
                <w:color w:val="000000"/>
              </w:rPr>
              <w:t>Total Liabilities ÷ Total Assets</w:t>
            </w:r>
          </w:p>
        </w:tc>
        <w:tc>
          <w:tcPr>
            <w:tcW w:w="694" w:type="pct"/>
            <w:tcBorders>
              <w:top w:val="nil"/>
              <w:left w:val="nil"/>
              <w:bottom w:val="single" w:sz="4" w:space="0" w:color="auto"/>
              <w:right w:val="single" w:sz="4" w:space="0" w:color="auto"/>
            </w:tcBorders>
            <w:shd w:val="clear" w:color="auto" w:fill="auto"/>
            <w:noWrap/>
            <w:vAlign w:val="bottom"/>
            <w:hideMark/>
          </w:tcPr>
          <w:p w14:paraId="276B16A5" w14:textId="77777777" w:rsidR="00A36096" w:rsidRPr="008D718E" w:rsidRDefault="00A36096" w:rsidP="008D718E">
            <w:pPr>
              <w:spacing w:after="0"/>
              <w:jc w:val="center"/>
              <w:rPr>
                <w:rFonts w:eastAsia="Times New Roman" w:cs="Arial"/>
                <w:color w:val="000000"/>
              </w:rPr>
            </w:pPr>
            <w:r w:rsidRPr="008D718E">
              <w:rPr>
                <w:rFonts w:eastAsia="Times New Roman" w:cs="Arial"/>
                <w:color w:val="000000"/>
              </w:rPr>
              <w:t>170,249 ÷ 323,354 = 0.53</w:t>
            </w:r>
          </w:p>
        </w:tc>
        <w:tc>
          <w:tcPr>
            <w:tcW w:w="694" w:type="pct"/>
            <w:tcBorders>
              <w:top w:val="nil"/>
              <w:left w:val="nil"/>
              <w:bottom w:val="single" w:sz="4" w:space="0" w:color="auto"/>
              <w:right w:val="single" w:sz="4" w:space="0" w:color="auto"/>
            </w:tcBorders>
            <w:shd w:val="clear" w:color="auto" w:fill="auto"/>
            <w:noWrap/>
            <w:vAlign w:val="bottom"/>
            <w:hideMark/>
          </w:tcPr>
          <w:p w14:paraId="5250796E" w14:textId="77777777" w:rsidR="00A36096" w:rsidRPr="008D718E" w:rsidRDefault="00A36096" w:rsidP="008D718E">
            <w:pPr>
              <w:spacing w:after="0"/>
              <w:jc w:val="center"/>
              <w:rPr>
                <w:rFonts w:eastAsia="Times New Roman" w:cs="Arial"/>
                <w:color w:val="000000"/>
              </w:rPr>
            </w:pPr>
            <w:r w:rsidRPr="008D718E">
              <w:rPr>
                <w:rFonts w:eastAsia="Times New Roman" w:cs="Arial"/>
                <w:color w:val="000000"/>
              </w:rPr>
              <w:t>176,952 ÷ 355,872 = 0.50</w:t>
            </w:r>
          </w:p>
        </w:tc>
        <w:tc>
          <w:tcPr>
            <w:tcW w:w="714" w:type="pct"/>
            <w:tcBorders>
              <w:top w:val="nil"/>
              <w:left w:val="nil"/>
              <w:bottom w:val="single" w:sz="4" w:space="0" w:color="auto"/>
              <w:right w:val="single" w:sz="4" w:space="0" w:color="auto"/>
            </w:tcBorders>
            <w:shd w:val="clear" w:color="auto" w:fill="auto"/>
            <w:noWrap/>
            <w:vAlign w:val="bottom"/>
            <w:hideMark/>
          </w:tcPr>
          <w:p w14:paraId="744F415B" w14:textId="77777777" w:rsidR="00A36096" w:rsidRPr="008D718E" w:rsidRDefault="00A36096" w:rsidP="008D718E">
            <w:pPr>
              <w:spacing w:after="0"/>
              <w:jc w:val="center"/>
              <w:rPr>
                <w:rFonts w:eastAsia="Times New Roman" w:cs="Arial"/>
                <w:color w:val="000000"/>
              </w:rPr>
            </w:pPr>
            <w:r w:rsidRPr="008D718E">
              <w:rPr>
                <w:rFonts w:eastAsia="Times New Roman" w:cs="Arial"/>
                <w:color w:val="000000"/>
              </w:rPr>
              <w:t>235,757 ÷ 504,163 = 0.47</w:t>
            </w:r>
          </w:p>
        </w:tc>
        <w:tc>
          <w:tcPr>
            <w:tcW w:w="714" w:type="pct"/>
            <w:tcBorders>
              <w:top w:val="nil"/>
              <w:left w:val="nil"/>
              <w:bottom w:val="single" w:sz="4" w:space="0" w:color="auto"/>
              <w:right w:val="single" w:sz="4" w:space="0" w:color="auto"/>
            </w:tcBorders>
            <w:shd w:val="clear" w:color="auto" w:fill="auto"/>
            <w:noWrap/>
            <w:vAlign w:val="bottom"/>
            <w:hideMark/>
          </w:tcPr>
          <w:p w14:paraId="1F8B3C71" w14:textId="77777777" w:rsidR="00A36096" w:rsidRPr="008D718E" w:rsidRDefault="00A36096" w:rsidP="008D718E">
            <w:pPr>
              <w:spacing w:after="0"/>
              <w:jc w:val="center"/>
              <w:rPr>
                <w:rFonts w:eastAsia="Times New Roman" w:cs="Arial"/>
                <w:color w:val="000000"/>
              </w:rPr>
            </w:pPr>
            <w:r w:rsidRPr="008D718E">
              <w:rPr>
                <w:rFonts w:eastAsia="Times New Roman" w:cs="Arial"/>
                <w:color w:val="000000"/>
              </w:rPr>
              <w:t>234,399 ÷ 510,348 = 0.46</w:t>
            </w:r>
          </w:p>
        </w:tc>
        <w:tc>
          <w:tcPr>
            <w:tcW w:w="714" w:type="pct"/>
            <w:tcBorders>
              <w:top w:val="nil"/>
              <w:left w:val="nil"/>
              <w:bottom w:val="single" w:sz="4" w:space="0" w:color="auto"/>
              <w:right w:val="single" w:sz="4" w:space="0" w:color="auto"/>
            </w:tcBorders>
            <w:shd w:val="clear" w:color="auto" w:fill="auto"/>
            <w:noWrap/>
            <w:vAlign w:val="bottom"/>
            <w:hideMark/>
          </w:tcPr>
          <w:p w14:paraId="3B9A829C" w14:textId="77777777" w:rsidR="00A36096" w:rsidRPr="008D718E" w:rsidRDefault="00A36096" w:rsidP="008D718E">
            <w:pPr>
              <w:spacing w:after="0"/>
              <w:jc w:val="center"/>
              <w:rPr>
                <w:rFonts w:eastAsia="Times New Roman" w:cs="Arial"/>
                <w:color w:val="000000"/>
              </w:rPr>
            </w:pPr>
            <w:r w:rsidRPr="008D718E">
              <w:rPr>
                <w:rFonts w:eastAsia="Times New Roman" w:cs="Arial"/>
                <w:color w:val="000000"/>
              </w:rPr>
              <w:t>196,989 ÷ 510,290 = 0.39</w:t>
            </w:r>
          </w:p>
        </w:tc>
      </w:tr>
      <w:tr w:rsidR="00A36096" w:rsidRPr="008D718E" w14:paraId="47F042A2" w14:textId="77777777" w:rsidTr="008D718E">
        <w:trPr>
          <w:trHeight w:val="737"/>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0CDF302"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Cash Flow Ratios</w:t>
            </w:r>
          </w:p>
        </w:tc>
      </w:tr>
      <w:tr w:rsidR="00A36096" w:rsidRPr="008D718E" w14:paraId="272CAA76" w14:textId="77777777" w:rsidTr="008D718E">
        <w:trPr>
          <w:trHeight w:val="737"/>
        </w:trPr>
        <w:tc>
          <w:tcPr>
            <w:tcW w:w="570" w:type="pct"/>
            <w:tcBorders>
              <w:top w:val="nil"/>
              <w:left w:val="single" w:sz="4" w:space="0" w:color="auto"/>
              <w:bottom w:val="single" w:sz="4" w:space="0" w:color="auto"/>
              <w:right w:val="single" w:sz="4" w:space="0" w:color="auto"/>
            </w:tcBorders>
            <w:shd w:val="clear" w:color="auto" w:fill="auto"/>
            <w:noWrap/>
            <w:vAlign w:val="bottom"/>
            <w:hideMark/>
          </w:tcPr>
          <w:p w14:paraId="67390F73" w14:textId="77777777" w:rsidR="00A36096" w:rsidRPr="008D718E" w:rsidRDefault="00A36096" w:rsidP="008D718E">
            <w:pPr>
              <w:spacing w:after="0"/>
              <w:jc w:val="left"/>
              <w:rPr>
                <w:rFonts w:eastAsia="Times New Roman" w:cs="Arial"/>
                <w:b/>
                <w:bCs/>
                <w:color w:val="000000"/>
              </w:rPr>
            </w:pPr>
            <w:r w:rsidRPr="008D718E">
              <w:rPr>
                <w:rFonts w:eastAsia="Times New Roman" w:cs="Arial"/>
                <w:b/>
                <w:bCs/>
                <w:color w:val="000000"/>
              </w:rPr>
              <w:t>Ratio</w:t>
            </w:r>
          </w:p>
        </w:tc>
        <w:tc>
          <w:tcPr>
            <w:tcW w:w="898" w:type="pct"/>
            <w:tcBorders>
              <w:top w:val="nil"/>
              <w:left w:val="nil"/>
              <w:bottom w:val="single" w:sz="4" w:space="0" w:color="auto"/>
              <w:right w:val="single" w:sz="4" w:space="0" w:color="auto"/>
            </w:tcBorders>
            <w:shd w:val="clear" w:color="auto" w:fill="auto"/>
            <w:noWrap/>
            <w:vAlign w:val="bottom"/>
            <w:hideMark/>
          </w:tcPr>
          <w:p w14:paraId="13129D60" w14:textId="77777777" w:rsidR="00A36096" w:rsidRPr="008D718E" w:rsidRDefault="00A36096" w:rsidP="008D718E">
            <w:pPr>
              <w:spacing w:after="0"/>
              <w:jc w:val="left"/>
              <w:rPr>
                <w:rFonts w:eastAsia="Times New Roman" w:cs="Arial"/>
                <w:b/>
                <w:bCs/>
                <w:color w:val="000000"/>
              </w:rPr>
            </w:pPr>
            <w:r w:rsidRPr="008D718E">
              <w:rPr>
                <w:rFonts w:eastAsia="Times New Roman" w:cs="Arial"/>
                <w:b/>
                <w:bCs/>
                <w:color w:val="000000"/>
              </w:rPr>
              <w:t>Formula</w:t>
            </w:r>
          </w:p>
        </w:tc>
        <w:tc>
          <w:tcPr>
            <w:tcW w:w="694" w:type="pct"/>
            <w:tcBorders>
              <w:top w:val="nil"/>
              <w:left w:val="nil"/>
              <w:bottom w:val="single" w:sz="4" w:space="0" w:color="auto"/>
              <w:right w:val="single" w:sz="4" w:space="0" w:color="auto"/>
            </w:tcBorders>
            <w:shd w:val="clear" w:color="auto" w:fill="auto"/>
            <w:noWrap/>
            <w:vAlign w:val="bottom"/>
            <w:hideMark/>
          </w:tcPr>
          <w:p w14:paraId="4C2C233F" w14:textId="77777777" w:rsidR="00A36096" w:rsidRPr="008D718E" w:rsidRDefault="00A36096" w:rsidP="008D718E">
            <w:pPr>
              <w:spacing w:after="0"/>
              <w:jc w:val="right"/>
              <w:rPr>
                <w:rFonts w:eastAsia="Times New Roman" w:cs="Arial"/>
                <w:b/>
                <w:bCs/>
                <w:color w:val="000000"/>
              </w:rPr>
            </w:pPr>
            <w:r w:rsidRPr="008D718E">
              <w:rPr>
                <w:rFonts w:eastAsia="Times New Roman" w:cs="Arial"/>
                <w:b/>
                <w:bCs/>
                <w:color w:val="000000"/>
              </w:rPr>
              <w:t>2024</w:t>
            </w:r>
          </w:p>
        </w:tc>
        <w:tc>
          <w:tcPr>
            <w:tcW w:w="694" w:type="pct"/>
            <w:tcBorders>
              <w:top w:val="nil"/>
              <w:left w:val="nil"/>
              <w:bottom w:val="single" w:sz="4" w:space="0" w:color="auto"/>
              <w:right w:val="single" w:sz="4" w:space="0" w:color="auto"/>
            </w:tcBorders>
            <w:shd w:val="clear" w:color="auto" w:fill="auto"/>
            <w:noWrap/>
            <w:vAlign w:val="bottom"/>
            <w:hideMark/>
          </w:tcPr>
          <w:p w14:paraId="54510AA4" w14:textId="77777777" w:rsidR="00A36096" w:rsidRPr="008D718E" w:rsidRDefault="00A36096" w:rsidP="008D718E">
            <w:pPr>
              <w:spacing w:after="0"/>
              <w:jc w:val="right"/>
              <w:rPr>
                <w:rFonts w:eastAsia="Times New Roman" w:cs="Arial"/>
                <w:b/>
                <w:bCs/>
                <w:color w:val="000000"/>
              </w:rPr>
            </w:pPr>
            <w:r w:rsidRPr="008D718E">
              <w:rPr>
                <w:rFonts w:eastAsia="Times New Roman" w:cs="Arial"/>
                <w:b/>
                <w:bCs/>
                <w:color w:val="000000"/>
              </w:rPr>
              <w:t>2023</w:t>
            </w:r>
          </w:p>
        </w:tc>
        <w:tc>
          <w:tcPr>
            <w:tcW w:w="714" w:type="pct"/>
            <w:tcBorders>
              <w:top w:val="nil"/>
              <w:left w:val="nil"/>
              <w:bottom w:val="single" w:sz="4" w:space="0" w:color="auto"/>
              <w:right w:val="single" w:sz="4" w:space="0" w:color="auto"/>
            </w:tcBorders>
            <w:shd w:val="clear" w:color="auto" w:fill="auto"/>
            <w:noWrap/>
            <w:vAlign w:val="bottom"/>
            <w:hideMark/>
          </w:tcPr>
          <w:p w14:paraId="44121EDA" w14:textId="77777777" w:rsidR="00A36096" w:rsidRPr="008D718E" w:rsidRDefault="00A36096" w:rsidP="008D718E">
            <w:pPr>
              <w:spacing w:after="0"/>
              <w:jc w:val="right"/>
              <w:rPr>
                <w:rFonts w:eastAsia="Times New Roman" w:cs="Arial"/>
                <w:b/>
                <w:bCs/>
                <w:color w:val="000000"/>
              </w:rPr>
            </w:pPr>
            <w:r w:rsidRPr="008D718E">
              <w:rPr>
                <w:rFonts w:eastAsia="Times New Roman" w:cs="Arial"/>
                <w:b/>
                <w:bCs/>
                <w:color w:val="000000"/>
              </w:rPr>
              <w:t>2022</w:t>
            </w:r>
          </w:p>
        </w:tc>
        <w:tc>
          <w:tcPr>
            <w:tcW w:w="714" w:type="pct"/>
            <w:tcBorders>
              <w:top w:val="nil"/>
              <w:left w:val="nil"/>
              <w:bottom w:val="single" w:sz="4" w:space="0" w:color="auto"/>
              <w:right w:val="single" w:sz="4" w:space="0" w:color="auto"/>
            </w:tcBorders>
            <w:shd w:val="clear" w:color="auto" w:fill="auto"/>
            <w:noWrap/>
            <w:vAlign w:val="bottom"/>
            <w:hideMark/>
          </w:tcPr>
          <w:p w14:paraId="063672E8" w14:textId="77777777" w:rsidR="00A36096" w:rsidRPr="008D718E" w:rsidRDefault="00A36096" w:rsidP="008D718E">
            <w:pPr>
              <w:spacing w:after="0"/>
              <w:jc w:val="right"/>
              <w:rPr>
                <w:rFonts w:eastAsia="Times New Roman" w:cs="Arial"/>
                <w:b/>
                <w:bCs/>
                <w:color w:val="000000"/>
              </w:rPr>
            </w:pPr>
            <w:r w:rsidRPr="008D718E">
              <w:rPr>
                <w:rFonts w:eastAsia="Times New Roman" w:cs="Arial"/>
                <w:b/>
                <w:bCs/>
                <w:color w:val="000000"/>
              </w:rPr>
              <w:t>2021</w:t>
            </w:r>
          </w:p>
        </w:tc>
        <w:tc>
          <w:tcPr>
            <w:tcW w:w="714" w:type="pct"/>
            <w:tcBorders>
              <w:top w:val="nil"/>
              <w:left w:val="nil"/>
              <w:bottom w:val="single" w:sz="4" w:space="0" w:color="auto"/>
              <w:right w:val="single" w:sz="4" w:space="0" w:color="auto"/>
            </w:tcBorders>
            <w:shd w:val="clear" w:color="auto" w:fill="auto"/>
            <w:noWrap/>
            <w:vAlign w:val="bottom"/>
            <w:hideMark/>
          </w:tcPr>
          <w:p w14:paraId="71E2DC5C" w14:textId="77777777" w:rsidR="00A36096" w:rsidRPr="008D718E" w:rsidRDefault="00A36096" w:rsidP="008D718E">
            <w:pPr>
              <w:spacing w:after="0"/>
              <w:jc w:val="right"/>
              <w:rPr>
                <w:rFonts w:eastAsia="Times New Roman" w:cs="Arial"/>
                <w:b/>
                <w:bCs/>
                <w:color w:val="000000"/>
              </w:rPr>
            </w:pPr>
            <w:r w:rsidRPr="008D718E">
              <w:rPr>
                <w:rFonts w:eastAsia="Times New Roman" w:cs="Arial"/>
                <w:b/>
                <w:bCs/>
                <w:color w:val="000000"/>
              </w:rPr>
              <w:t>2020</w:t>
            </w:r>
          </w:p>
        </w:tc>
      </w:tr>
      <w:tr w:rsidR="00A36096" w:rsidRPr="008D718E" w14:paraId="47E21DD5" w14:textId="77777777" w:rsidTr="008D718E">
        <w:trPr>
          <w:trHeight w:val="737"/>
        </w:trPr>
        <w:tc>
          <w:tcPr>
            <w:tcW w:w="570" w:type="pct"/>
            <w:tcBorders>
              <w:top w:val="nil"/>
              <w:left w:val="single" w:sz="4" w:space="0" w:color="auto"/>
              <w:bottom w:val="single" w:sz="4" w:space="0" w:color="auto"/>
              <w:right w:val="single" w:sz="4" w:space="0" w:color="auto"/>
            </w:tcBorders>
            <w:shd w:val="clear" w:color="auto" w:fill="auto"/>
            <w:noWrap/>
            <w:vAlign w:val="bottom"/>
            <w:hideMark/>
          </w:tcPr>
          <w:p w14:paraId="77944037" w14:textId="77777777" w:rsidR="00A36096" w:rsidRPr="008D718E" w:rsidRDefault="00A36096" w:rsidP="008D718E">
            <w:pPr>
              <w:spacing w:after="0"/>
              <w:jc w:val="left"/>
              <w:rPr>
                <w:rFonts w:eastAsia="Times New Roman" w:cs="Arial"/>
                <w:b/>
                <w:i/>
                <w:color w:val="000000"/>
              </w:rPr>
            </w:pPr>
            <w:r w:rsidRPr="008D718E">
              <w:rPr>
                <w:rFonts w:eastAsia="Times New Roman" w:cs="Arial"/>
                <w:b/>
                <w:i/>
                <w:color w:val="000000"/>
              </w:rPr>
              <w:t>Operating Cash Flow Ratio</w:t>
            </w:r>
          </w:p>
        </w:tc>
        <w:tc>
          <w:tcPr>
            <w:tcW w:w="898" w:type="pct"/>
            <w:tcBorders>
              <w:top w:val="nil"/>
              <w:left w:val="nil"/>
              <w:bottom w:val="single" w:sz="4" w:space="0" w:color="auto"/>
              <w:right w:val="single" w:sz="4" w:space="0" w:color="auto"/>
            </w:tcBorders>
            <w:shd w:val="clear" w:color="auto" w:fill="auto"/>
            <w:noWrap/>
            <w:vAlign w:val="bottom"/>
            <w:hideMark/>
          </w:tcPr>
          <w:p w14:paraId="0D706589"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Operating Cash Flow ÷ Current Liabilities</w:t>
            </w:r>
          </w:p>
        </w:tc>
        <w:tc>
          <w:tcPr>
            <w:tcW w:w="694" w:type="pct"/>
            <w:tcBorders>
              <w:top w:val="nil"/>
              <w:left w:val="nil"/>
              <w:bottom w:val="single" w:sz="4" w:space="0" w:color="auto"/>
              <w:right w:val="single" w:sz="4" w:space="0" w:color="auto"/>
            </w:tcBorders>
            <w:shd w:val="clear" w:color="auto" w:fill="auto"/>
            <w:noWrap/>
            <w:vAlign w:val="bottom"/>
            <w:hideMark/>
          </w:tcPr>
          <w:p w14:paraId="2BF3ED72"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14,822 ÷ 158,291 = 0.09</w:t>
            </w:r>
          </w:p>
        </w:tc>
        <w:tc>
          <w:tcPr>
            <w:tcW w:w="694" w:type="pct"/>
            <w:tcBorders>
              <w:top w:val="nil"/>
              <w:left w:val="nil"/>
              <w:bottom w:val="single" w:sz="4" w:space="0" w:color="auto"/>
              <w:right w:val="single" w:sz="4" w:space="0" w:color="auto"/>
            </w:tcBorders>
            <w:shd w:val="clear" w:color="auto" w:fill="auto"/>
            <w:noWrap/>
            <w:vAlign w:val="bottom"/>
            <w:hideMark/>
          </w:tcPr>
          <w:p w14:paraId="47E8FC7D"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25,190 ÷ 161,148 = 0.16</w:t>
            </w:r>
          </w:p>
        </w:tc>
        <w:tc>
          <w:tcPr>
            <w:tcW w:w="714" w:type="pct"/>
            <w:tcBorders>
              <w:top w:val="nil"/>
              <w:left w:val="nil"/>
              <w:bottom w:val="single" w:sz="4" w:space="0" w:color="auto"/>
              <w:right w:val="single" w:sz="4" w:space="0" w:color="auto"/>
            </w:tcBorders>
            <w:shd w:val="clear" w:color="auto" w:fill="auto"/>
            <w:noWrap/>
            <w:vAlign w:val="bottom"/>
            <w:hideMark/>
          </w:tcPr>
          <w:p w14:paraId="502B2B97"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10,926 ÷ 216,473 = 0.05</w:t>
            </w:r>
          </w:p>
        </w:tc>
        <w:tc>
          <w:tcPr>
            <w:tcW w:w="714" w:type="pct"/>
            <w:tcBorders>
              <w:top w:val="nil"/>
              <w:left w:val="nil"/>
              <w:bottom w:val="single" w:sz="4" w:space="0" w:color="auto"/>
              <w:right w:val="single" w:sz="4" w:space="0" w:color="auto"/>
            </w:tcBorders>
            <w:shd w:val="clear" w:color="auto" w:fill="auto"/>
            <w:noWrap/>
            <w:vAlign w:val="bottom"/>
            <w:hideMark/>
          </w:tcPr>
          <w:p w14:paraId="23341414"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40,283 ÷ 216,787 = 0.19</w:t>
            </w:r>
          </w:p>
        </w:tc>
        <w:tc>
          <w:tcPr>
            <w:tcW w:w="714" w:type="pct"/>
            <w:tcBorders>
              <w:top w:val="nil"/>
              <w:left w:val="nil"/>
              <w:bottom w:val="single" w:sz="4" w:space="0" w:color="auto"/>
              <w:right w:val="single" w:sz="4" w:space="0" w:color="auto"/>
            </w:tcBorders>
            <w:shd w:val="clear" w:color="auto" w:fill="auto"/>
            <w:noWrap/>
            <w:vAlign w:val="bottom"/>
            <w:hideMark/>
          </w:tcPr>
          <w:p w14:paraId="1FF2FD0A"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73,392 ÷ 179,510 = 0.41</w:t>
            </w:r>
          </w:p>
        </w:tc>
      </w:tr>
      <w:tr w:rsidR="00A36096" w:rsidRPr="008D718E" w14:paraId="334C6577" w14:textId="77777777" w:rsidTr="008D718E">
        <w:trPr>
          <w:trHeight w:val="73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2A0D48" w14:textId="77777777" w:rsidR="00A36096" w:rsidRPr="008D718E" w:rsidRDefault="00A36096" w:rsidP="008D718E">
            <w:pPr>
              <w:spacing w:after="0"/>
              <w:jc w:val="center"/>
              <w:rPr>
                <w:rFonts w:eastAsia="Times New Roman" w:cs="Arial"/>
                <w:b/>
                <w:bCs/>
                <w:color w:val="000000"/>
              </w:rPr>
            </w:pPr>
            <w:r w:rsidRPr="008D718E">
              <w:rPr>
                <w:rFonts w:eastAsia="Times New Roman" w:cs="Arial"/>
                <w:b/>
                <w:bCs/>
                <w:color w:val="000000"/>
              </w:rPr>
              <w:t>Investment Ratios</w:t>
            </w:r>
          </w:p>
        </w:tc>
      </w:tr>
      <w:tr w:rsidR="00A36096" w:rsidRPr="008D718E" w14:paraId="1630D7F4" w14:textId="77777777" w:rsidTr="008D718E">
        <w:trPr>
          <w:trHeight w:val="737"/>
        </w:trPr>
        <w:tc>
          <w:tcPr>
            <w:tcW w:w="570" w:type="pct"/>
            <w:tcBorders>
              <w:top w:val="nil"/>
              <w:left w:val="single" w:sz="4" w:space="0" w:color="auto"/>
              <w:bottom w:val="single" w:sz="4" w:space="0" w:color="auto"/>
              <w:right w:val="single" w:sz="4" w:space="0" w:color="auto"/>
            </w:tcBorders>
            <w:shd w:val="clear" w:color="auto" w:fill="auto"/>
            <w:noWrap/>
            <w:vAlign w:val="bottom"/>
            <w:hideMark/>
          </w:tcPr>
          <w:p w14:paraId="14DD45B3" w14:textId="77777777" w:rsidR="00A36096" w:rsidRPr="008D718E" w:rsidRDefault="00A36096" w:rsidP="008D718E">
            <w:pPr>
              <w:spacing w:after="0"/>
              <w:jc w:val="left"/>
              <w:rPr>
                <w:rFonts w:eastAsia="Times New Roman" w:cs="Arial"/>
                <w:b/>
                <w:bCs/>
                <w:color w:val="000000"/>
              </w:rPr>
            </w:pPr>
            <w:r w:rsidRPr="008D718E">
              <w:rPr>
                <w:rFonts w:eastAsia="Times New Roman" w:cs="Arial"/>
                <w:b/>
                <w:bCs/>
                <w:color w:val="000000"/>
              </w:rPr>
              <w:t>Ratio</w:t>
            </w:r>
          </w:p>
        </w:tc>
        <w:tc>
          <w:tcPr>
            <w:tcW w:w="898" w:type="pct"/>
            <w:tcBorders>
              <w:top w:val="nil"/>
              <w:left w:val="nil"/>
              <w:bottom w:val="single" w:sz="4" w:space="0" w:color="auto"/>
              <w:right w:val="single" w:sz="4" w:space="0" w:color="auto"/>
            </w:tcBorders>
            <w:shd w:val="clear" w:color="auto" w:fill="auto"/>
            <w:noWrap/>
            <w:vAlign w:val="bottom"/>
            <w:hideMark/>
          </w:tcPr>
          <w:p w14:paraId="07C791BD" w14:textId="77777777" w:rsidR="00A36096" w:rsidRPr="008D718E" w:rsidRDefault="00A36096" w:rsidP="008D718E">
            <w:pPr>
              <w:spacing w:after="0"/>
              <w:jc w:val="left"/>
              <w:rPr>
                <w:rFonts w:eastAsia="Times New Roman" w:cs="Arial"/>
                <w:b/>
                <w:bCs/>
                <w:color w:val="000000"/>
              </w:rPr>
            </w:pPr>
            <w:r w:rsidRPr="008D718E">
              <w:rPr>
                <w:rFonts w:eastAsia="Times New Roman" w:cs="Arial"/>
                <w:b/>
                <w:bCs/>
                <w:color w:val="000000"/>
              </w:rPr>
              <w:t>Formula</w:t>
            </w:r>
          </w:p>
        </w:tc>
        <w:tc>
          <w:tcPr>
            <w:tcW w:w="694" w:type="pct"/>
            <w:tcBorders>
              <w:top w:val="nil"/>
              <w:left w:val="nil"/>
              <w:bottom w:val="single" w:sz="4" w:space="0" w:color="auto"/>
              <w:right w:val="single" w:sz="4" w:space="0" w:color="auto"/>
            </w:tcBorders>
            <w:shd w:val="clear" w:color="auto" w:fill="auto"/>
            <w:noWrap/>
            <w:vAlign w:val="bottom"/>
            <w:hideMark/>
          </w:tcPr>
          <w:p w14:paraId="0E2EAB7F" w14:textId="77777777" w:rsidR="00A36096" w:rsidRPr="008D718E" w:rsidRDefault="00A36096" w:rsidP="008D718E">
            <w:pPr>
              <w:spacing w:after="0"/>
              <w:jc w:val="right"/>
              <w:rPr>
                <w:rFonts w:eastAsia="Times New Roman" w:cs="Arial"/>
                <w:b/>
                <w:bCs/>
                <w:color w:val="000000"/>
              </w:rPr>
            </w:pPr>
            <w:r w:rsidRPr="008D718E">
              <w:rPr>
                <w:rFonts w:eastAsia="Times New Roman" w:cs="Arial"/>
                <w:b/>
                <w:bCs/>
                <w:color w:val="000000"/>
              </w:rPr>
              <w:t>2024</w:t>
            </w:r>
          </w:p>
        </w:tc>
        <w:tc>
          <w:tcPr>
            <w:tcW w:w="694" w:type="pct"/>
            <w:tcBorders>
              <w:top w:val="nil"/>
              <w:left w:val="nil"/>
              <w:bottom w:val="single" w:sz="4" w:space="0" w:color="auto"/>
              <w:right w:val="single" w:sz="4" w:space="0" w:color="auto"/>
            </w:tcBorders>
            <w:shd w:val="clear" w:color="auto" w:fill="auto"/>
            <w:noWrap/>
            <w:vAlign w:val="bottom"/>
            <w:hideMark/>
          </w:tcPr>
          <w:p w14:paraId="2F75E494" w14:textId="77777777" w:rsidR="00A36096" w:rsidRPr="008D718E" w:rsidRDefault="00A36096" w:rsidP="008D718E">
            <w:pPr>
              <w:spacing w:after="0"/>
              <w:jc w:val="right"/>
              <w:rPr>
                <w:rFonts w:eastAsia="Times New Roman" w:cs="Arial"/>
                <w:b/>
                <w:bCs/>
                <w:color w:val="000000"/>
              </w:rPr>
            </w:pPr>
            <w:r w:rsidRPr="008D718E">
              <w:rPr>
                <w:rFonts w:eastAsia="Times New Roman" w:cs="Arial"/>
                <w:b/>
                <w:bCs/>
                <w:color w:val="000000"/>
              </w:rPr>
              <w:t>2023</w:t>
            </w:r>
          </w:p>
        </w:tc>
        <w:tc>
          <w:tcPr>
            <w:tcW w:w="714" w:type="pct"/>
            <w:tcBorders>
              <w:top w:val="nil"/>
              <w:left w:val="nil"/>
              <w:bottom w:val="single" w:sz="4" w:space="0" w:color="auto"/>
              <w:right w:val="single" w:sz="4" w:space="0" w:color="auto"/>
            </w:tcBorders>
            <w:shd w:val="clear" w:color="auto" w:fill="auto"/>
            <w:noWrap/>
            <w:vAlign w:val="bottom"/>
            <w:hideMark/>
          </w:tcPr>
          <w:p w14:paraId="58CED981" w14:textId="77777777" w:rsidR="00A36096" w:rsidRPr="008D718E" w:rsidRDefault="00A36096" w:rsidP="008D718E">
            <w:pPr>
              <w:spacing w:after="0"/>
              <w:jc w:val="right"/>
              <w:rPr>
                <w:rFonts w:eastAsia="Times New Roman" w:cs="Arial"/>
                <w:b/>
                <w:bCs/>
                <w:color w:val="000000"/>
              </w:rPr>
            </w:pPr>
            <w:r w:rsidRPr="008D718E">
              <w:rPr>
                <w:rFonts w:eastAsia="Times New Roman" w:cs="Arial"/>
                <w:b/>
                <w:bCs/>
                <w:color w:val="000000"/>
              </w:rPr>
              <w:t>2022</w:t>
            </w:r>
          </w:p>
        </w:tc>
        <w:tc>
          <w:tcPr>
            <w:tcW w:w="714" w:type="pct"/>
            <w:tcBorders>
              <w:top w:val="nil"/>
              <w:left w:val="nil"/>
              <w:bottom w:val="single" w:sz="4" w:space="0" w:color="auto"/>
              <w:right w:val="single" w:sz="4" w:space="0" w:color="auto"/>
            </w:tcBorders>
            <w:shd w:val="clear" w:color="auto" w:fill="auto"/>
            <w:noWrap/>
            <w:vAlign w:val="bottom"/>
            <w:hideMark/>
          </w:tcPr>
          <w:p w14:paraId="127B1E9B" w14:textId="77777777" w:rsidR="00A36096" w:rsidRPr="008D718E" w:rsidRDefault="00A36096" w:rsidP="008D718E">
            <w:pPr>
              <w:spacing w:after="0"/>
              <w:jc w:val="right"/>
              <w:rPr>
                <w:rFonts w:eastAsia="Times New Roman" w:cs="Arial"/>
                <w:b/>
                <w:bCs/>
                <w:color w:val="000000"/>
              </w:rPr>
            </w:pPr>
            <w:r w:rsidRPr="008D718E">
              <w:rPr>
                <w:rFonts w:eastAsia="Times New Roman" w:cs="Arial"/>
                <w:b/>
                <w:bCs/>
                <w:color w:val="000000"/>
              </w:rPr>
              <w:t>2021</w:t>
            </w:r>
          </w:p>
        </w:tc>
        <w:tc>
          <w:tcPr>
            <w:tcW w:w="714" w:type="pct"/>
            <w:tcBorders>
              <w:top w:val="nil"/>
              <w:left w:val="nil"/>
              <w:bottom w:val="single" w:sz="4" w:space="0" w:color="auto"/>
              <w:right w:val="single" w:sz="4" w:space="0" w:color="auto"/>
            </w:tcBorders>
            <w:shd w:val="clear" w:color="auto" w:fill="auto"/>
            <w:noWrap/>
            <w:vAlign w:val="bottom"/>
            <w:hideMark/>
          </w:tcPr>
          <w:p w14:paraId="1851D3A3" w14:textId="77777777" w:rsidR="00A36096" w:rsidRPr="008D718E" w:rsidRDefault="00A36096" w:rsidP="008D718E">
            <w:pPr>
              <w:spacing w:after="0"/>
              <w:jc w:val="right"/>
              <w:rPr>
                <w:rFonts w:eastAsia="Times New Roman" w:cs="Arial"/>
                <w:b/>
                <w:bCs/>
                <w:color w:val="000000"/>
              </w:rPr>
            </w:pPr>
            <w:r w:rsidRPr="008D718E">
              <w:rPr>
                <w:rFonts w:eastAsia="Times New Roman" w:cs="Arial"/>
                <w:b/>
                <w:bCs/>
                <w:color w:val="000000"/>
              </w:rPr>
              <w:t>2020</w:t>
            </w:r>
          </w:p>
        </w:tc>
      </w:tr>
      <w:tr w:rsidR="00A36096" w:rsidRPr="008D718E" w14:paraId="1E4A02AF" w14:textId="77777777" w:rsidTr="008D718E">
        <w:trPr>
          <w:trHeight w:val="737"/>
        </w:trPr>
        <w:tc>
          <w:tcPr>
            <w:tcW w:w="570" w:type="pct"/>
            <w:tcBorders>
              <w:top w:val="nil"/>
              <w:left w:val="single" w:sz="4" w:space="0" w:color="auto"/>
              <w:bottom w:val="single" w:sz="4" w:space="0" w:color="auto"/>
              <w:right w:val="single" w:sz="4" w:space="0" w:color="auto"/>
            </w:tcBorders>
            <w:shd w:val="clear" w:color="auto" w:fill="auto"/>
            <w:noWrap/>
            <w:vAlign w:val="bottom"/>
            <w:hideMark/>
          </w:tcPr>
          <w:p w14:paraId="6AD966E8" w14:textId="77777777" w:rsidR="00A36096" w:rsidRPr="008D718E" w:rsidRDefault="00A36096" w:rsidP="008D718E">
            <w:pPr>
              <w:spacing w:after="0"/>
              <w:jc w:val="left"/>
              <w:rPr>
                <w:rFonts w:eastAsia="Times New Roman" w:cs="Arial"/>
                <w:b/>
                <w:i/>
                <w:color w:val="000000"/>
              </w:rPr>
            </w:pPr>
            <w:r w:rsidRPr="008D718E">
              <w:rPr>
                <w:rFonts w:eastAsia="Times New Roman" w:cs="Arial"/>
                <w:b/>
                <w:i/>
                <w:color w:val="000000"/>
              </w:rPr>
              <w:t>Earnings Per Share (EPS)</w:t>
            </w:r>
          </w:p>
        </w:tc>
        <w:tc>
          <w:tcPr>
            <w:tcW w:w="898" w:type="pct"/>
            <w:tcBorders>
              <w:top w:val="nil"/>
              <w:left w:val="nil"/>
              <w:bottom w:val="single" w:sz="4" w:space="0" w:color="auto"/>
              <w:right w:val="single" w:sz="4" w:space="0" w:color="auto"/>
            </w:tcBorders>
            <w:shd w:val="clear" w:color="auto" w:fill="auto"/>
            <w:noWrap/>
            <w:vAlign w:val="bottom"/>
            <w:hideMark/>
          </w:tcPr>
          <w:p w14:paraId="314DC61F"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Net Income ÷ Weighted Avg. Shares</w:t>
            </w:r>
          </w:p>
        </w:tc>
        <w:tc>
          <w:tcPr>
            <w:tcW w:w="694" w:type="pct"/>
            <w:tcBorders>
              <w:top w:val="nil"/>
              <w:left w:val="nil"/>
              <w:bottom w:val="single" w:sz="4" w:space="0" w:color="auto"/>
              <w:right w:val="single" w:sz="4" w:space="0" w:color="auto"/>
            </w:tcBorders>
            <w:shd w:val="clear" w:color="auto" w:fill="auto"/>
            <w:noWrap/>
            <w:vAlign w:val="bottom"/>
            <w:hideMark/>
          </w:tcPr>
          <w:p w14:paraId="0FB66636"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(24,029) ÷ 12,959 = -1.85</w:t>
            </w:r>
          </w:p>
        </w:tc>
        <w:tc>
          <w:tcPr>
            <w:tcW w:w="694" w:type="pct"/>
            <w:tcBorders>
              <w:top w:val="nil"/>
              <w:left w:val="nil"/>
              <w:bottom w:val="single" w:sz="4" w:space="0" w:color="auto"/>
              <w:right w:val="single" w:sz="4" w:space="0" w:color="auto"/>
            </w:tcBorders>
            <w:shd w:val="clear" w:color="auto" w:fill="auto"/>
            <w:noWrap/>
            <w:vAlign w:val="bottom"/>
            <w:hideMark/>
          </w:tcPr>
          <w:p w14:paraId="637BDC03"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(98,238) ÷ 12,855 = -7.64</w:t>
            </w:r>
          </w:p>
        </w:tc>
        <w:tc>
          <w:tcPr>
            <w:tcW w:w="714" w:type="pct"/>
            <w:tcBorders>
              <w:top w:val="nil"/>
              <w:left w:val="nil"/>
              <w:bottom w:val="single" w:sz="4" w:space="0" w:color="auto"/>
              <w:right w:val="single" w:sz="4" w:space="0" w:color="auto"/>
            </w:tcBorders>
            <w:shd w:val="clear" w:color="auto" w:fill="auto"/>
            <w:noWrap/>
            <w:vAlign w:val="bottom"/>
            <w:hideMark/>
          </w:tcPr>
          <w:p w14:paraId="21B45A59"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407 ÷ 12,703 = 0.03</w:t>
            </w:r>
          </w:p>
        </w:tc>
        <w:tc>
          <w:tcPr>
            <w:tcW w:w="714" w:type="pct"/>
            <w:tcBorders>
              <w:top w:val="nil"/>
              <w:left w:val="nil"/>
              <w:bottom w:val="single" w:sz="4" w:space="0" w:color="auto"/>
              <w:right w:val="single" w:sz="4" w:space="0" w:color="auto"/>
            </w:tcBorders>
            <w:shd w:val="clear" w:color="auto" w:fill="auto"/>
            <w:noWrap/>
            <w:vAlign w:val="bottom"/>
            <w:hideMark/>
          </w:tcPr>
          <w:p w14:paraId="1EFADA75"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5,301 ÷ 13,465 = 0.39</w:t>
            </w:r>
          </w:p>
        </w:tc>
        <w:tc>
          <w:tcPr>
            <w:tcW w:w="714" w:type="pct"/>
            <w:tcBorders>
              <w:top w:val="nil"/>
              <w:left w:val="nil"/>
              <w:bottom w:val="single" w:sz="4" w:space="0" w:color="auto"/>
              <w:right w:val="single" w:sz="4" w:space="0" w:color="auto"/>
            </w:tcBorders>
            <w:shd w:val="clear" w:color="auto" w:fill="auto"/>
            <w:noWrap/>
            <w:vAlign w:val="bottom"/>
            <w:hideMark/>
          </w:tcPr>
          <w:p w14:paraId="189B70FB" w14:textId="77777777" w:rsidR="00A36096" w:rsidRPr="008D718E" w:rsidRDefault="00A36096" w:rsidP="008D718E">
            <w:pPr>
              <w:spacing w:after="0"/>
              <w:jc w:val="left"/>
              <w:rPr>
                <w:rFonts w:eastAsia="Times New Roman" w:cs="Arial"/>
                <w:color w:val="000000"/>
              </w:rPr>
            </w:pPr>
            <w:r w:rsidRPr="008D718E">
              <w:rPr>
                <w:rFonts w:eastAsia="Times New Roman" w:cs="Arial"/>
                <w:color w:val="000000"/>
              </w:rPr>
              <w:t>38,572 ÷ 13,893 = 2.78</w:t>
            </w:r>
          </w:p>
        </w:tc>
      </w:tr>
    </w:tbl>
    <w:p w14:paraId="2CF0019D" w14:textId="60752928" w:rsidR="00A36096" w:rsidRPr="00A36096" w:rsidRDefault="00A36096" w:rsidP="00A36096">
      <w:pPr>
        <w:rPr>
          <w:rFonts w:cs="Arial"/>
        </w:rPr>
      </w:pPr>
      <w:r w:rsidRPr="00A36096">
        <w:rPr>
          <w:rFonts w:cs="Arial"/>
        </w:rPr>
        <w:t xml:space="preserve"> </w:t>
      </w:r>
    </w:p>
    <w:p w14:paraId="0E7ABC61" w14:textId="77777777" w:rsidR="00A36096" w:rsidRPr="00A36096" w:rsidRDefault="00A36096" w:rsidP="00BB7C35">
      <w:pPr>
        <w:pStyle w:val="Heading2"/>
      </w:pPr>
      <w:bookmarkStart w:id="5" w:name="_Toc214732262"/>
      <w:r w:rsidRPr="00A36096">
        <w:t>1.3 Identify trends, strengths and threats</w:t>
      </w:r>
      <w:bookmarkEnd w:id="5"/>
    </w:p>
    <w:p w14:paraId="15998EA3" w14:textId="77777777" w:rsidR="00A36096" w:rsidRPr="00A36096" w:rsidRDefault="00A36096" w:rsidP="00A36096">
      <w:pPr>
        <w:rPr>
          <w:rFonts w:cs="Arial"/>
          <w:b/>
          <w:i/>
        </w:rPr>
      </w:pPr>
      <w:r w:rsidRPr="00A36096">
        <w:rPr>
          <w:rFonts w:cs="Arial"/>
          <w:b/>
          <w:i/>
        </w:rPr>
        <w:t xml:space="preserve">Trends </w:t>
      </w:r>
    </w:p>
    <w:p w14:paraId="3F01BBF0" w14:textId="526DC40D" w:rsidR="00A36096" w:rsidRPr="00A36096" w:rsidRDefault="00A36096" w:rsidP="00A36096">
      <w:pPr>
        <w:rPr>
          <w:rFonts w:cs="Arial"/>
        </w:rPr>
      </w:pPr>
      <w:r w:rsidRPr="00A36096">
        <w:rPr>
          <w:rFonts w:cs="Arial"/>
        </w:rPr>
        <w:t>The financial ratios show</w:t>
      </w:r>
      <w:r w:rsidR="00367A8C">
        <w:rPr>
          <w:rFonts w:cs="Arial"/>
        </w:rPr>
        <w:t xml:space="preserve"> </w:t>
      </w:r>
      <w:r w:rsidRPr="00A36096">
        <w:rPr>
          <w:rFonts w:cs="Arial"/>
        </w:rPr>
        <w:t>negative long-term trend</w:t>
      </w:r>
      <w:r w:rsidR="00367A8C">
        <w:rPr>
          <w:rFonts w:cs="Arial"/>
        </w:rPr>
        <w:t>s</w:t>
      </w:r>
      <w:r w:rsidRPr="00A36096">
        <w:rPr>
          <w:rFonts w:cs="Arial"/>
        </w:rPr>
        <w:t xml:space="preserve"> in the General Electronics performance. In this case, the profitability has declined sharply, while gross profit margin, has been stable around 28% in 2020 to 2020, and dropped to 23.2% in 2023, before recovering to 28.9% in 2024, which addressed an inconsistent cost control and unstable pricing strategy</w:t>
      </w:r>
      <w:r w:rsidR="00A25D66">
        <w:rPr>
          <w:rFonts w:cs="Arial"/>
        </w:rPr>
        <w:t xml:space="preserve"> (Cole, </w:t>
      </w:r>
      <w:r w:rsidR="00A25D66" w:rsidRPr="00A25D66">
        <w:rPr>
          <w:rFonts w:cs="Arial"/>
        </w:rPr>
        <w:t>2025</w:t>
      </w:r>
      <w:r w:rsidR="00A25D66">
        <w:rPr>
          <w:rFonts w:cs="Arial"/>
        </w:rPr>
        <w:t>)</w:t>
      </w:r>
      <w:r w:rsidRPr="00A36096">
        <w:rPr>
          <w:rFonts w:cs="Arial"/>
        </w:rPr>
        <w:t xml:space="preserve">. On the other hand, net profit margin has been negative, which stands at –6.08% in 2024 and –23.36% in 2023. This refers that the organization is not capable to convert the revenues into the bottom-line profitability due to the high operating and finance costs. The ROE of </w:t>
      </w:r>
      <w:r w:rsidRPr="00A36096">
        <w:rPr>
          <w:rFonts w:cs="Arial"/>
          <w:i/>
        </w:rPr>
        <w:t xml:space="preserve">return to equity </w:t>
      </w:r>
      <w:r w:rsidRPr="00A36096">
        <w:rPr>
          <w:rFonts w:cs="Arial"/>
        </w:rPr>
        <w:t>has collapsed from being 12.31% to –15.69% in 2024, which reflects a severe erosion of the shareholder values</w:t>
      </w:r>
      <w:r w:rsidR="007B6F58">
        <w:rPr>
          <w:rFonts w:cs="Arial"/>
        </w:rPr>
        <w:t xml:space="preserve"> (</w:t>
      </w:r>
      <w:proofErr w:type="spellStart"/>
      <w:r w:rsidR="007B6F58">
        <w:rPr>
          <w:rFonts w:cs="Arial"/>
        </w:rPr>
        <w:t>Njiru</w:t>
      </w:r>
      <w:proofErr w:type="spellEnd"/>
      <w:r w:rsidR="007B6F58">
        <w:rPr>
          <w:rFonts w:cs="Arial"/>
        </w:rPr>
        <w:t xml:space="preserve">, </w:t>
      </w:r>
      <w:r w:rsidR="007B6F58" w:rsidRPr="007B6F58">
        <w:rPr>
          <w:rFonts w:cs="Arial"/>
        </w:rPr>
        <w:t>2017</w:t>
      </w:r>
      <w:r w:rsidR="007B6F58">
        <w:rPr>
          <w:rFonts w:cs="Arial"/>
        </w:rPr>
        <w:t>)</w:t>
      </w:r>
      <w:r w:rsidRPr="00A36096">
        <w:rPr>
          <w:rFonts w:cs="Arial"/>
        </w:rPr>
        <w:t xml:space="preserve">. The liquidity has shown a declining trend, even though the current ratio remained above 1.5 and it has fallen from 1.82 in 2020 to 1.53 in 2024, while showing the weakening of short-term financial security. The operating cash flow ratio has decreased from 0.41 in 2020 to just 0.09 in 2024, while confirming that the business is generating less cash relative to the short-form obligations. The gearing has also become worsen, with having the debt-to-equity ratio is increasing from 0.63 to 1.11, while addressing a financial risk and reliance on the debt. </w:t>
      </w:r>
    </w:p>
    <w:p w14:paraId="4093ACEC" w14:textId="77777777" w:rsidR="00A36096" w:rsidRPr="00A36096" w:rsidRDefault="00A36096" w:rsidP="00A36096">
      <w:pPr>
        <w:rPr>
          <w:rFonts w:cs="Arial"/>
          <w:b/>
          <w:i/>
        </w:rPr>
      </w:pPr>
      <w:r w:rsidRPr="00A36096">
        <w:rPr>
          <w:rFonts w:cs="Arial"/>
          <w:b/>
          <w:i/>
        </w:rPr>
        <w:t xml:space="preserve">Strengths              </w:t>
      </w:r>
    </w:p>
    <w:p w14:paraId="7C5D9F31" w14:textId="3A71893B" w:rsidR="00A36096" w:rsidRPr="00A36096" w:rsidRDefault="00A36096" w:rsidP="00A36096">
      <w:pPr>
        <w:rPr>
          <w:rFonts w:cs="Arial"/>
        </w:rPr>
      </w:pPr>
      <w:r w:rsidRPr="00A36096">
        <w:rPr>
          <w:rFonts w:cs="Arial"/>
        </w:rPr>
        <w:t>Despite of the financial struggles, the General Electronics holds some major and key strengths. Its gross margin stability has addressed that the organization retains pricing power and relatively strong brand in different product segments. The asset turnover ratio has remained around 1.18 to 1.22, while addressing reasonable efficiency to utilize the assets for generating revenue to utilize the assets and generate revenue in compared to the manufacturing firms</w:t>
      </w:r>
      <w:r w:rsidR="00F51A18">
        <w:rPr>
          <w:rFonts w:cs="Arial"/>
        </w:rPr>
        <w:t xml:space="preserve"> (Hansen, </w:t>
      </w:r>
      <w:r w:rsidR="00F51A18" w:rsidRPr="00F51A18">
        <w:rPr>
          <w:rFonts w:cs="Arial"/>
        </w:rPr>
        <w:t>2025</w:t>
      </w:r>
      <w:r w:rsidR="00F51A18">
        <w:rPr>
          <w:rFonts w:cs="Arial"/>
        </w:rPr>
        <w:t xml:space="preserve">; Cole, </w:t>
      </w:r>
      <w:r w:rsidR="00F51A18" w:rsidRPr="00A25D66">
        <w:rPr>
          <w:rFonts w:cs="Arial"/>
        </w:rPr>
        <w:t>2025</w:t>
      </w:r>
      <w:r w:rsidR="00F51A18">
        <w:rPr>
          <w:rFonts w:cs="Arial"/>
        </w:rPr>
        <w:t xml:space="preserve">; </w:t>
      </w:r>
      <w:proofErr w:type="spellStart"/>
      <w:r w:rsidR="00F51A18">
        <w:rPr>
          <w:rFonts w:cs="Arial"/>
        </w:rPr>
        <w:t>Njiru</w:t>
      </w:r>
      <w:proofErr w:type="spellEnd"/>
      <w:r w:rsidR="00F51A18">
        <w:rPr>
          <w:rFonts w:cs="Arial"/>
        </w:rPr>
        <w:t xml:space="preserve">, </w:t>
      </w:r>
      <w:r w:rsidR="00F51A18" w:rsidRPr="007B6F58">
        <w:rPr>
          <w:rFonts w:cs="Arial"/>
        </w:rPr>
        <w:t>2017</w:t>
      </w:r>
      <w:r w:rsidR="00F51A18">
        <w:rPr>
          <w:rFonts w:cs="Arial"/>
        </w:rPr>
        <w:t>)</w:t>
      </w:r>
      <w:r w:rsidRPr="00A36096">
        <w:rPr>
          <w:rFonts w:cs="Arial"/>
        </w:rPr>
        <w:t>. On the other hand, the liquidity is declining but it not yet falls under the danger zone and current ratio remained above 1.5. At the same time, the quick ratio has rebounded about “1” in 2023 and 2024, which means the organization can meet with short-term obligations without relying heavily on the inventory</w:t>
      </w:r>
      <w:r w:rsidR="00F51A18">
        <w:rPr>
          <w:rFonts w:cs="Arial"/>
        </w:rPr>
        <w:t xml:space="preserve"> (Hansen, </w:t>
      </w:r>
      <w:r w:rsidR="00F51A18" w:rsidRPr="00F51A18">
        <w:rPr>
          <w:rFonts w:cs="Arial"/>
        </w:rPr>
        <w:t>2025</w:t>
      </w:r>
      <w:r w:rsidR="00F51A18">
        <w:rPr>
          <w:rFonts w:cs="Arial"/>
        </w:rPr>
        <w:t xml:space="preserve">; Cole, </w:t>
      </w:r>
      <w:r w:rsidR="00F51A18" w:rsidRPr="00A25D66">
        <w:rPr>
          <w:rFonts w:cs="Arial"/>
        </w:rPr>
        <w:t>2025</w:t>
      </w:r>
      <w:r w:rsidR="00F51A18">
        <w:rPr>
          <w:rFonts w:cs="Arial"/>
        </w:rPr>
        <w:t xml:space="preserve">; </w:t>
      </w:r>
      <w:proofErr w:type="spellStart"/>
      <w:r w:rsidR="00F51A18">
        <w:rPr>
          <w:rFonts w:cs="Arial"/>
        </w:rPr>
        <w:t>Njiru</w:t>
      </w:r>
      <w:proofErr w:type="spellEnd"/>
      <w:r w:rsidR="00F51A18">
        <w:rPr>
          <w:rFonts w:cs="Arial"/>
        </w:rPr>
        <w:t xml:space="preserve">, </w:t>
      </w:r>
      <w:r w:rsidR="00F51A18" w:rsidRPr="007B6F58">
        <w:rPr>
          <w:rFonts w:cs="Arial"/>
        </w:rPr>
        <w:t>2017</w:t>
      </w:r>
      <w:r w:rsidR="00F51A18">
        <w:rPr>
          <w:rFonts w:cs="Arial"/>
        </w:rPr>
        <w:t xml:space="preserve">). </w:t>
      </w:r>
    </w:p>
    <w:p w14:paraId="2EB10341" w14:textId="77777777" w:rsidR="00A36096" w:rsidRPr="00A36096" w:rsidRDefault="00A36096" w:rsidP="00A36096">
      <w:pPr>
        <w:rPr>
          <w:rFonts w:cs="Arial"/>
          <w:b/>
          <w:i/>
        </w:rPr>
      </w:pPr>
      <w:r w:rsidRPr="00A36096">
        <w:rPr>
          <w:rFonts w:cs="Arial"/>
          <w:b/>
          <w:i/>
        </w:rPr>
        <w:t xml:space="preserve">Threats       </w:t>
      </w:r>
    </w:p>
    <w:p w14:paraId="57D6902E" w14:textId="3644498B" w:rsidR="00A36096" w:rsidRPr="00A36096" w:rsidRDefault="00A36096" w:rsidP="00A36096">
      <w:pPr>
        <w:rPr>
          <w:rFonts w:cs="Arial"/>
        </w:rPr>
      </w:pPr>
      <w:r w:rsidRPr="00A36096">
        <w:rPr>
          <w:rFonts w:cs="Arial"/>
        </w:rPr>
        <w:t xml:space="preserve">One of the major </w:t>
      </w:r>
      <w:r w:rsidR="006227B1" w:rsidRPr="00A36096">
        <w:rPr>
          <w:rFonts w:cs="Arial"/>
        </w:rPr>
        <w:t>threats</w:t>
      </w:r>
      <w:r w:rsidRPr="00A36096">
        <w:rPr>
          <w:rFonts w:cs="Arial"/>
        </w:rPr>
        <w:t xml:space="preserve"> is the persistent unprofitability, which is eroding the earnings and shareholder confidence. In this case, continuous losses have caused equity for halving from £313,301m in 2020 to £153,105m in 2024. Apart from that, another major threat is worsening of leverage. Without the debt-equity-ratio has been above “1”, the creditors have a stronger claim than owners.     </w:t>
      </w:r>
    </w:p>
    <w:p w14:paraId="5D661E0F" w14:textId="77777777" w:rsidR="00A36096" w:rsidRPr="00A36096" w:rsidRDefault="00A36096" w:rsidP="00BB7C35">
      <w:pPr>
        <w:pStyle w:val="Heading2"/>
      </w:pPr>
      <w:bookmarkStart w:id="6" w:name="_Toc214732263"/>
      <w:r w:rsidRPr="00A36096">
        <w:t>1.4 Application of Altman Z-Score</w:t>
      </w:r>
      <w:bookmarkEnd w:id="6"/>
      <w:r w:rsidRPr="00A36096">
        <w:t xml:space="preserve">    </w:t>
      </w:r>
    </w:p>
    <w:p w14:paraId="319C0E20" w14:textId="77777777" w:rsidR="00A36096" w:rsidRPr="00A36096" w:rsidRDefault="00A36096" w:rsidP="00A36096">
      <w:pPr>
        <w:rPr>
          <w:rFonts w:cs="Arial"/>
        </w:rPr>
      </w:pPr>
      <w:r w:rsidRPr="00A36096">
        <w:rPr>
          <w:rFonts w:cs="Arial"/>
        </w:rPr>
        <w:t>The Altman Z-Score model for publicly traded manufacturing firms is:</w:t>
      </w:r>
    </w:p>
    <w:p w14:paraId="4AD6B1F3" w14:textId="77777777" w:rsidR="00A36096" w:rsidRPr="00A36096" w:rsidRDefault="00A36096" w:rsidP="00A36096">
      <w:pPr>
        <w:rPr>
          <w:rFonts w:cs="Arial"/>
          <w:b/>
          <w:i/>
          <w:u w:val="single"/>
        </w:rPr>
      </w:pPr>
      <w:r w:rsidRPr="00A36096">
        <w:rPr>
          <w:rFonts w:cs="Arial"/>
          <w:b/>
          <w:i/>
          <w:u w:val="single"/>
        </w:rPr>
        <w:t>Z = 1.2(WC/TA) + 1.4(RE/TA) + 3.3(EBIT/TA) + 0.6(MVE/TL) + 1.0(S/TA)</w:t>
      </w:r>
    </w:p>
    <w:p w14:paraId="29758654" w14:textId="77777777" w:rsidR="00A36096" w:rsidRPr="00A36096" w:rsidRDefault="00A36096" w:rsidP="00A36096">
      <w:pPr>
        <w:rPr>
          <w:rFonts w:cs="Arial"/>
        </w:rPr>
      </w:pPr>
      <w:r w:rsidRPr="00A36096">
        <w:rPr>
          <w:rFonts w:cs="Arial"/>
        </w:rPr>
        <w:t>In the above formula, the following can be understood:</w:t>
      </w:r>
    </w:p>
    <w:p w14:paraId="1CAF1032" w14:textId="77777777" w:rsidR="00A36096" w:rsidRPr="00A36096" w:rsidRDefault="00A36096" w:rsidP="00A36096">
      <w:pPr>
        <w:rPr>
          <w:rFonts w:cs="Arial"/>
        </w:rPr>
      </w:pPr>
      <w:r w:rsidRPr="00A36096">
        <w:rPr>
          <w:rFonts w:cs="Arial"/>
          <w:b/>
        </w:rPr>
        <w:t>WC</w:t>
      </w:r>
      <w:r w:rsidRPr="00A36096">
        <w:rPr>
          <w:rFonts w:cs="Arial"/>
        </w:rPr>
        <w:t xml:space="preserve"> = Working Capital, TA = Total Assets, RE = Retained Earnings, EBIT = Operating Income,</w:t>
      </w:r>
    </w:p>
    <w:p w14:paraId="030D132D" w14:textId="77777777" w:rsidR="00A36096" w:rsidRPr="00A36096" w:rsidRDefault="00A36096" w:rsidP="00A36096">
      <w:pPr>
        <w:rPr>
          <w:rFonts w:cs="Arial"/>
        </w:rPr>
      </w:pPr>
      <w:r w:rsidRPr="00A36096">
        <w:rPr>
          <w:rFonts w:cs="Arial"/>
          <w:b/>
        </w:rPr>
        <w:t>MVE</w:t>
      </w:r>
      <w:r w:rsidRPr="00A36096">
        <w:rPr>
          <w:rFonts w:cs="Arial"/>
        </w:rPr>
        <w:t xml:space="preserve"> = Market Value of Equity, TL = Total Liabilities, S = Sales.</w:t>
      </w:r>
    </w:p>
    <w:p w14:paraId="27A563FD" w14:textId="77777777" w:rsidR="00A36096" w:rsidRPr="00A36096" w:rsidRDefault="00A36096" w:rsidP="00A36096">
      <w:pPr>
        <w:rPr>
          <w:rFonts w:cs="Arial"/>
        </w:rPr>
      </w:pPr>
      <w:r w:rsidRPr="00A36096">
        <w:rPr>
          <w:rFonts w:cs="Arial"/>
        </w:rPr>
        <w:t>As the firms’ market value of equity isn’t available, book value of the equity has been used as a conservative proxy, while using the data from 2024:</w:t>
      </w:r>
    </w:p>
    <w:p w14:paraId="0EF9B50F" w14:textId="77777777" w:rsidR="00A36096" w:rsidRPr="00A36096" w:rsidRDefault="00A36096" w:rsidP="00A36096">
      <w:pPr>
        <w:pStyle w:val="ListParagraph"/>
        <w:numPr>
          <w:ilvl w:val="0"/>
          <w:numId w:val="1"/>
        </w:numPr>
        <w:rPr>
          <w:rFonts w:cs="Arial"/>
        </w:rPr>
      </w:pPr>
      <w:r w:rsidRPr="00A36096">
        <w:rPr>
          <w:rFonts w:cs="Arial"/>
        </w:rPr>
        <w:t xml:space="preserve">Working Capital = 242,494 − 158,291 = </w:t>
      </w:r>
      <w:r w:rsidRPr="00A36096">
        <w:rPr>
          <w:rFonts w:cs="Arial"/>
          <w:b/>
        </w:rPr>
        <w:t>84,203</w:t>
      </w:r>
    </w:p>
    <w:p w14:paraId="1CA3CA42" w14:textId="77777777" w:rsidR="00A36096" w:rsidRPr="00A36096" w:rsidRDefault="00A36096" w:rsidP="00A36096">
      <w:pPr>
        <w:pStyle w:val="ListParagraph"/>
        <w:numPr>
          <w:ilvl w:val="0"/>
          <w:numId w:val="1"/>
        </w:numPr>
        <w:rPr>
          <w:rFonts w:cs="Arial"/>
        </w:rPr>
      </w:pPr>
      <w:r w:rsidRPr="00A36096">
        <w:rPr>
          <w:rFonts w:cs="Arial"/>
        </w:rPr>
        <w:t xml:space="preserve">WC/TA = 84,203 / 323,354 = </w:t>
      </w:r>
      <w:r w:rsidRPr="00A36096">
        <w:rPr>
          <w:rFonts w:cs="Arial"/>
          <w:b/>
        </w:rPr>
        <w:t>0.26</w:t>
      </w:r>
    </w:p>
    <w:p w14:paraId="5292F63B" w14:textId="77777777" w:rsidR="00A36096" w:rsidRPr="00A36096" w:rsidRDefault="00A36096" w:rsidP="00A36096">
      <w:pPr>
        <w:pStyle w:val="ListParagraph"/>
        <w:numPr>
          <w:ilvl w:val="0"/>
          <w:numId w:val="1"/>
        </w:numPr>
        <w:rPr>
          <w:rFonts w:cs="Arial"/>
        </w:rPr>
      </w:pPr>
      <w:r w:rsidRPr="00A36096">
        <w:rPr>
          <w:rFonts w:cs="Arial"/>
        </w:rPr>
        <w:t xml:space="preserve">Retained Earnings/TA = 208,431 / 323,354 = </w:t>
      </w:r>
      <w:r w:rsidRPr="00A36096">
        <w:rPr>
          <w:rFonts w:cs="Arial"/>
          <w:b/>
        </w:rPr>
        <w:t>0.64</w:t>
      </w:r>
    </w:p>
    <w:p w14:paraId="6AFD0E5F" w14:textId="77777777" w:rsidR="00A36096" w:rsidRPr="00A36096" w:rsidRDefault="00A36096" w:rsidP="00A36096">
      <w:pPr>
        <w:pStyle w:val="ListParagraph"/>
        <w:numPr>
          <w:ilvl w:val="0"/>
          <w:numId w:val="1"/>
        </w:numPr>
        <w:rPr>
          <w:rFonts w:cs="Arial"/>
        </w:rPr>
      </w:pPr>
      <w:r w:rsidRPr="00A36096">
        <w:rPr>
          <w:rFonts w:cs="Arial"/>
        </w:rPr>
        <w:t xml:space="preserve">EBIT/TA = (−15,297) / 323,354 = </w:t>
      </w:r>
      <w:r w:rsidRPr="00A36096">
        <w:rPr>
          <w:rFonts w:cs="Arial"/>
          <w:b/>
        </w:rPr>
        <w:t>−0.05</w:t>
      </w:r>
    </w:p>
    <w:p w14:paraId="091D43A8" w14:textId="77777777" w:rsidR="00A36096" w:rsidRPr="00A36096" w:rsidRDefault="00A36096" w:rsidP="00A36096">
      <w:pPr>
        <w:pStyle w:val="ListParagraph"/>
        <w:numPr>
          <w:ilvl w:val="0"/>
          <w:numId w:val="1"/>
        </w:numPr>
        <w:rPr>
          <w:rFonts w:cs="Arial"/>
        </w:rPr>
      </w:pPr>
      <w:r w:rsidRPr="00A36096">
        <w:rPr>
          <w:rFonts w:cs="Arial"/>
        </w:rPr>
        <w:t xml:space="preserve">Equity/TL = 153,105 / 170,249 = </w:t>
      </w:r>
      <w:r w:rsidRPr="00A36096">
        <w:rPr>
          <w:rFonts w:cs="Arial"/>
          <w:b/>
        </w:rPr>
        <w:t>0.90</w:t>
      </w:r>
    </w:p>
    <w:p w14:paraId="42B9424C" w14:textId="77777777" w:rsidR="00A36096" w:rsidRPr="00A36096" w:rsidRDefault="00A36096" w:rsidP="00A36096">
      <w:pPr>
        <w:pStyle w:val="ListParagraph"/>
        <w:numPr>
          <w:ilvl w:val="0"/>
          <w:numId w:val="1"/>
        </w:numPr>
        <w:rPr>
          <w:rFonts w:cs="Arial"/>
        </w:rPr>
      </w:pPr>
      <w:r w:rsidRPr="00A36096">
        <w:rPr>
          <w:rFonts w:cs="Arial"/>
        </w:rPr>
        <w:t xml:space="preserve">Sales/TA = 394,879 / 323,354 = </w:t>
      </w:r>
      <w:r w:rsidRPr="00A36096">
        <w:rPr>
          <w:rFonts w:cs="Arial"/>
          <w:b/>
        </w:rPr>
        <w:t>1.22</w:t>
      </w:r>
    </w:p>
    <w:p w14:paraId="58313546" w14:textId="77777777" w:rsidR="00A36096" w:rsidRPr="00A36096" w:rsidRDefault="00A36096" w:rsidP="00A36096">
      <w:pPr>
        <w:rPr>
          <w:rFonts w:cs="Arial"/>
        </w:rPr>
      </w:pPr>
      <w:r w:rsidRPr="00A36096">
        <w:rPr>
          <w:rFonts w:cs="Arial"/>
        </w:rPr>
        <w:t>On this note,</w:t>
      </w:r>
    </w:p>
    <w:p w14:paraId="72D5AC32" w14:textId="77777777" w:rsidR="00A36096" w:rsidRPr="00A36096" w:rsidRDefault="00A36096" w:rsidP="00A36096">
      <w:pPr>
        <w:rPr>
          <w:rFonts w:cs="Arial"/>
        </w:rPr>
      </w:pPr>
      <w:r w:rsidRPr="00A36096">
        <w:rPr>
          <w:rFonts w:cs="Arial"/>
        </w:rPr>
        <w:t>Z: 1.2(0.26) + 1.4(0.64) + 3.3(−0.05) + 0.6(0.90) + 1.0(1.22)</w:t>
      </w:r>
    </w:p>
    <w:p w14:paraId="0A3BFE57" w14:textId="77777777" w:rsidR="00A36096" w:rsidRPr="00A36096" w:rsidRDefault="00A36096" w:rsidP="00A36096">
      <w:pPr>
        <w:rPr>
          <w:rFonts w:cs="Arial"/>
          <w:b/>
        </w:rPr>
      </w:pPr>
      <w:r w:rsidRPr="00A36096">
        <w:rPr>
          <w:rFonts w:cs="Arial"/>
        </w:rPr>
        <w:t xml:space="preserve">Z: </w:t>
      </w:r>
      <w:r w:rsidRPr="00A36096">
        <w:rPr>
          <w:rFonts w:cs="Arial"/>
          <w:b/>
        </w:rPr>
        <w:t>2.81</w:t>
      </w:r>
    </w:p>
    <w:p w14:paraId="3A9912F7" w14:textId="6FFAD730" w:rsidR="00A36096" w:rsidRPr="00A36096" w:rsidRDefault="00A36096" w:rsidP="00A36096">
      <w:pPr>
        <w:rPr>
          <w:rFonts w:cs="Arial"/>
        </w:rPr>
      </w:pPr>
      <w:r w:rsidRPr="00A36096">
        <w:rPr>
          <w:rFonts w:cs="Arial"/>
        </w:rPr>
        <w:t>According to the Altman’s model, the Z-score has been above 2.</w:t>
      </w:r>
      <w:r w:rsidR="00260CC2">
        <w:rPr>
          <w:rFonts w:cs="Arial"/>
        </w:rPr>
        <w:t>81</w:t>
      </w:r>
      <w:r w:rsidRPr="00A36096">
        <w:rPr>
          <w:rFonts w:cs="Arial"/>
        </w:rPr>
        <w:t xml:space="preserve"> which indicates the safety, between 1.81 – 2.99 has been noted as the “</w:t>
      </w:r>
      <w:r w:rsidRPr="00A36096">
        <w:rPr>
          <w:rFonts w:cs="Arial"/>
          <w:i/>
        </w:rPr>
        <w:t>grey zone</w:t>
      </w:r>
      <w:r w:rsidRPr="00A36096">
        <w:rPr>
          <w:rFonts w:cs="Arial"/>
        </w:rPr>
        <w:t>” and below 1.81 has addressed a distressing situation</w:t>
      </w:r>
      <w:r w:rsidR="00B30A55">
        <w:rPr>
          <w:rFonts w:cs="Arial"/>
        </w:rPr>
        <w:t xml:space="preserve"> (CFI, </w:t>
      </w:r>
      <w:r w:rsidR="00B30A55" w:rsidRPr="00B30A55">
        <w:rPr>
          <w:rFonts w:cs="Arial"/>
        </w:rPr>
        <w:t>2024</w:t>
      </w:r>
      <w:r w:rsidR="00B30A55">
        <w:rPr>
          <w:rFonts w:cs="Arial"/>
        </w:rPr>
        <w:t>a)</w:t>
      </w:r>
      <w:r w:rsidRPr="00A36096">
        <w:rPr>
          <w:rFonts w:cs="Arial"/>
        </w:rPr>
        <w:t xml:space="preserve">.  </w:t>
      </w:r>
    </w:p>
    <w:p w14:paraId="1D7972E3" w14:textId="77777777" w:rsidR="00A36096" w:rsidRPr="00A36096" w:rsidRDefault="00A36096" w:rsidP="00A36096">
      <w:pPr>
        <w:jc w:val="center"/>
        <w:rPr>
          <w:rFonts w:cs="Arial"/>
        </w:rPr>
      </w:pPr>
      <w:r w:rsidRPr="00A36096">
        <w:rPr>
          <w:rFonts w:cs="Arial"/>
          <w:noProof/>
          <w:lang w:eastAsia="en-IN"/>
        </w:rPr>
        <w:drawing>
          <wp:inline distT="0" distB="0" distL="0" distR="0" wp14:anchorId="2C345C7A" wp14:editId="57342114">
            <wp:extent cx="2601595" cy="2441588"/>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17969" cy="2456955"/>
                    </a:xfrm>
                    <a:prstGeom prst="rect">
                      <a:avLst/>
                    </a:prstGeom>
                  </pic:spPr>
                </pic:pic>
              </a:graphicData>
            </a:graphic>
          </wp:inline>
        </w:drawing>
      </w:r>
    </w:p>
    <w:p w14:paraId="57392A2E" w14:textId="77777777" w:rsidR="00A36096" w:rsidRPr="00A36096" w:rsidRDefault="00A36096" w:rsidP="00A36096">
      <w:pPr>
        <w:jc w:val="center"/>
        <w:rPr>
          <w:rFonts w:cs="Arial"/>
          <w:b/>
          <w:i/>
        </w:rPr>
      </w:pPr>
      <w:r w:rsidRPr="00A36096">
        <w:rPr>
          <w:rFonts w:cs="Arial"/>
          <w:b/>
          <w:i/>
        </w:rPr>
        <w:t>Figure 1: Altman Z-Z zones</w:t>
      </w:r>
    </w:p>
    <w:p w14:paraId="4DC47BCB" w14:textId="7355D448" w:rsidR="00F30A05" w:rsidRPr="006227B1" w:rsidRDefault="00A36096" w:rsidP="006227B1">
      <w:pPr>
        <w:jc w:val="center"/>
        <w:rPr>
          <w:rFonts w:cs="Arial"/>
        </w:rPr>
      </w:pPr>
      <w:r w:rsidRPr="00A36096">
        <w:rPr>
          <w:rFonts w:cs="Arial"/>
        </w:rPr>
        <w:t>(Self-created)</w:t>
      </w:r>
    </w:p>
    <w:p w14:paraId="69CFA011" w14:textId="216228D0" w:rsidR="00A36096" w:rsidRPr="00C97E51" w:rsidRDefault="00A36096" w:rsidP="00C97E51">
      <w:pPr>
        <w:pStyle w:val="Heading1"/>
      </w:pPr>
      <w:bookmarkStart w:id="7" w:name="_Toc214732264"/>
      <w:r w:rsidRPr="00C97E51">
        <w:t>2. Working Capital Management Analysis</w:t>
      </w:r>
      <w:bookmarkEnd w:id="7"/>
    </w:p>
    <w:p w14:paraId="5D3CA39C" w14:textId="77777777" w:rsidR="00A36096" w:rsidRPr="00A36096" w:rsidRDefault="00A36096" w:rsidP="00BB7C35">
      <w:pPr>
        <w:pStyle w:val="Heading2"/>
      </w:pPr>
      <w:bookmarkStart w:id="8" w:name="_Toc214732265"/>
      <w:r w:rsidRPr="00A36096">
        <w:t>2.1 Assessment of the cash operating cycle</w:t>
      </w:r>
      <w:bookmarkEnd w:id="8"/>
      <w:r w:rsidRPr="00A36096">
        <w:t xml:space="preserve"> </w:t>
      </w:r>
    </w:p>
    <w:p w14:paraId="7A5D860A" w14:textId="755F8D6F" w:rsidR="00A36096" w:rsidRPr="00A36096" w:rsidRDefault="00A36096" w:rsidP="00A36096">
      <w:pPr>
        <w:rPr>
          <w:rFonts w:cs="Arial"/>
        </w:rPr>
      </w:pPr>
      <w:r w:rsidRPr="00A36096">
        <w:rPr>
          <w:rFonts w:cs="Arial"/>
        </w:rPr>
        <w:t xml:space="preserve">The cash operating cycle is known as the </w:t>
      </w:r>
      <w:r w:rsidRPr="00A36096">
        <w:rPr>
          <w:rFonts w:cs="Arial"/>
          <w:i/>
        </w:rPr>
        <w:t xml:space="preserve">cash conversion cycle </w:t>
      </w:r>
      <w:r w:rsidRPr="00A36096">
        <w:rPr>
          <w:rFonts w:cs="Arial"/>
        </w:rPr>
        <w:t>which measures the way long-term company converts the cash invested in the inventory back into the cash received from customers, it can be calculated as follows:</w:t>
      </w:r>
      <w:r w:rsidR="00751086">
        <w:rPr>
          <w:rFonts w:cs="Arial"/>
        </w:rPr>
        <w:t xml:space="preserve"> (CFI, </w:t>
      </w:r>
      <w:r w:rsidR="00751086" w:rsidRPr="00751086">
        <w:rPr>
          <w:rFonts w:cs="Arial"/>
        </w:rPr>
        <w:t>2024b</w:t>
      </w:r>
      <w:r w:rsidR="00751086">
        <w:rPr>
          <w:rFonts w:cs="Arial"/>
        </w:rPr>
        <w:t>)</w:t>
      </w:r>
    </w:p>
    <w:p w14:paraId="70EC1CD3" w14:textId="77777777" w:rsidR="00A36096" w:rsidRPr="00A36096" w:rsidRDefault="00A36096" w:rsidP="00A36096">
      <w:pPr>
        <w:rPr>
          <w:rFonts w:cs="Arial"/>
        </w:rPr>
      </w:pPr>
      <w:r w:rsidRPr="00A36096">
        <w:rPr>
          <w:rFonts w:cs="Arial"/>
          <w:b/>
          <w:i/>
        </w:rPr>
        <w:t>Cash Operating Cycle</w:t>
      </w:r>
      <w:r w:rsidRPr="00A36096">
        <w:rPr>
          <w:rFonts w:cs="Arial"/>
        </w:rPr>
        <w:t xml:space="preserve"> = Days Sales Outstanding (DSO) + Days Inventory Outstanding (DIO) – Days Payables Outstanding (DPO)  </w:t>
      </w:r>
    </w:p>
    <w:p w14:paraId="2D1AB9C6" w14:textId="77777777" w:rsidR="00A36096" w:rsidRPr="00A36096" w:rsidRDefault="00A36096" w:rsidP="00A36096">
      <w:pPr>
        <w:rPr>
          <w:rFonts w:cs="Arial"/>
          <w:i/>
        </w:rPr>
      </w:pPr>
      <w:r w:rsidRPr="00A36096">
        <w:rPr>
          <w:rFonts w:cs="Arial"/>
        </w:rPr>
        <w:t xml:space="preserve">Therefore, by using the financial data from the statements, of 2024, the </w:t>
      </w:r>
      <w:r w:rsidRPr="00A36096">
        <w:rPr>
          <w:rFonts w:cs="Arial"/>
          <w:i/>
        </w:rPr>
        <w:t xml:space="preserve">cash operating cycle </w:t>
      </w:r>
      <w:r w:rsidRPr="00A36096">
        <w:rPr>
          <w:rFonts w:cs="Arial"/>
        </w:rPr>
        <w:t>has been estimated as follows:</w:t>
      </w:r>
      <w:r w:rsidRPr="00A36096">
        <w:rPr>
          <w:rFonts w:cs="Arial"/>
          <w:i/>
        </w:rPr>
        <w:t xml:space="preserve"> </w:t>
      </w:r>
    </w:p>
    <w:p w14:paraId="7555A2CA" w14:textId="77777777" w:rsidR="00A36096" w:rsidRPr="00A36096" w:rsidRDefault="00A36096" w:rsidP="00A36096">
      <w:pPr>
        <w:rPr>
          <w:rFonts w:cs="Arial"/>
          <w:b/>
          <w:i/>
        </w:rPr>
      </w:pPr>
      <w:r w:rsidRPr="00A36096">
        <w:rPr>
          <w:rFonts w:cs="Arial"/>
          <w:b/>
          <w:i/>
        </w:rPr>
        <w:t>DSO (Receivables Days)</w:t>
      </w:r>
    </w:p>
    <w:p w14:paraId="7153129F" w14:textId="77777777" w:rsidR="00A36096" w:rsidRPr="00A36096" w:rsidRDefault="00A36096" w:rsidP="00A36096">
      <w:pPr>
        <w:rPr>
          <w:rFonts w:cs="Arial"/>
        </w:rPr>
      </w:pPr>
      <w:r w:rsidRPr="00A36096">
        <w:rPr>
          <w:rFonts w:cs="Arial"/>
          <w:b/>
        </w:rPr>
        <w:t>Formula</w:t>
      </w:r>
      <w:r w:rsidRPr="00A36096">
        <w:rPr>
          <w:rFonts w:cs="Arial"/>
        </w:rPr>
        <w:t>: (Accounts Receivable ÷ Net Sales) × 365</w:t>
      </w:r>
    </w:p>
    <w:p w14:paraId="1AFE45B1" w14:textId="77777777" w:rsidR="00A36096" w:rsidRPr="00A36096" w:rsidRDefault="00A36096" w:rsidP="00A36096">
      <w:pPr>
        <w:rPr>
          <w:rFonts w:cs="Arial"/>
          <w:b/>
        </w:rPr>
      </w:pPr>
      <w:r w:rsidRPr="00A36096">
        <w:rPr>
          <w:rFonts w:cs="Arial"/>
        </w:rPr>
        <w:t xml:space="preserve">2024: (114,182 ÷ 394,879) × 365, Or, </w:t>
      </w:r>
      <w:r w:rsidRPr="00A36096">
        <w:rPr>
          <w:rFonts w:cs="Arial"/>
          <w:b/>
        </w:rPr>
        <w:t>105.5 days</w:t>
      </w:r>
    </w:p>
    <w:p w14:paraId="27C44861" w14:textId="5DFA53FA" w:rsidR="00A36096" w:rsidRPr="00A36096" w:rsidRDefault="00A36096" w:rsidP="00A36096">
      <w:pPr>
        <w:rPr>
          <w:rFonts w:cs="Arial"/>
        </w:rPr>
      </w:pPr>
      <w:r w:rsidRPr="00A36096">
        <w:rPr>
          <w:rFonts w:cs="Arial"/>
        </w:rPr>
        <w:t xml:space="preserve">This has addressed that the organization is taking over 105 days for collecting the money from the customers. In compared to the 2020, when it has collected in around 77 days, where it reflects a major deterioration for receivable management. This addressed weaker credit control, risky customers and a poor collection </w:t>
      </w:r>
      <w:r w:rsidR="00260CC2" w:rsidRPr="00A36096">
        <w:rPr>
          <w:rFonts w:cs="Arial"/>
        </w:rPr>
        <w:t>process</w:t>
      </w:r>
      <w:r w:rsidRPr="00A36096">
        <w:rPr>
          <w:rFonts w:cs="Arial"/>
        </w:rPr>
        <w:t xml:space="preserve">. </w:t>
      </w:r>
    </w:p>
    <w:p w14:paraId="30198A1B" w14:textId="77777777" w:rsidR="00A36096" w:rsidRPr="00A36096" w:rsidRDefault="00A36096" w:rsidP="00A36096">
      <w:pPr>
        <w:rPr>
          <w:rFonts w:cs="Arial"/>
          <w:b/>
          <w:i/>
        </w:rPr>
      </w:pPr>
      <w:r w:rsidRPr="00A36096">
        <w:rPr>
          <w:rFonts w:cs="Arial"/>
          <w:b/>
          <w:i/>
        </w:rPr>
        <w:t>DIO (Inventory Days)</w:t>
      </w:r>
    </w:p>
    <w:p w14:paraId="5ED3F19E" w14:textId="77777777" w:rsidR="00A36096" w:rsidRPr="00A36096" w:rsidRDefault="00A36096" w:rsidP="00A36096">
      <w:pPr>
        <w:rPr>
          <w:rFonts w:cs="Arial"/>
        </w:rPr>
      </w:pPr>
      <w:r w:rsidRPr="00A36096">
        <w:rPr>
          <w:rFonts w:cs="Arial"/>
          <w:b/>
        </w:rPr>
        <w:t>Formula</w:t>
      </w:r>
      <w:r w:rsidRPr="00A36096">
        <w:rPr>
          <w:rFonts w:cs="Arial"/>
        </w:rPr>
        <w:t>: (Inventory ÷ Cost of Sales) × 365</w:t>
      </w:r>
    </w:p>
    <w:p w14:paraId="03E92301" w14:textId="77777777" w:rsidR="00A36096" w:rsidRPr="00A36096" w:rsidRDefault="00A36096" w:rsidP="00A36096">
      <w:pPr>
        <w:rPr>
          <w:rFonts w:cs="Arial"/>
          <w:b/>
        </w:rPr>
      </w:pPr>
      <w:r w:rsidRPr="00A36096">
        <w:rPr>
          <w:rFonts w:cs="Arial"/>
        </w:rPr>
        <w:t xml:space="preserve">2024: (79,355 ÷ 280,885) × 365, Or, </w:t>
      </w:r>
      <w:r w:rsidRPr="00A36096">
        <w:rPr>
          <w:rFonts w:cs="Arial"/>
          <w:b/>
        </w:rPr>
        <w:t>103.1 days</w:t>
      </w:r>
    </w:p>
    <w:p w14:paraId="21F0805B" w14:textId="7D442E27" w:rsidR="00A36096" w:rsidRPr="00A36096" w:rsidRDefault="00A36096" w:rsidP="00A36096">
      <w:pPr>
        <w:rPr>
          <w:rFonts w:cs="Arial"/>
        </w:rPr>
      </w:pPr>
      <w:r w:rsidRPr="00A36096">
        <w:rPr>
          <w:rFonts w:cs="Arial"/>
        </w:rPr>
        <w:t>The organization holds the inventory for around 103 days before selling it. This is relatively high for the customer electronics sector, where the products has become obsolete. Even though the levels of inventory have improved from 2022 highs, the rate of turnover remained slow, while addressing weaker demand forecast and excess production or insufficient inventory management</w:t>
      </w:r>
      <w:r w:rsidR="00751086">
        <w:rPr>
          <w:rFonts w:cs="Arial"/>
        </w:rPr>
        <w:t xml:space="preserve"> (CFI, </w:t>
      </w:r>
      <w:r w:rsidR="00751086" w:rsidRPr="00751086">
        <w:rPr>
          <w:rFonts w:cs="Arial"/>
        </w:rPr>
        <w:t>2024c</w:t>
      </w:r>
      <w:r w:rsidR="00751086">
        <w:rPr>
          <w:rFonts w:cs="Arial"/>
        </w:rPr>
        <w:t>)</w:t>
      </w:r>
      <w:r w:rsidRPr="00A36096">
        <w:rPr>
          <w:rFonts w:cs="Arial"/>
        </w:rPr>
        <w:t xml:space="preserve">.      </w:t>
      </w:r>
    </w:p>
    <w:p w14:paraId="2278F63B" w14:textId="77777777" w:rsidR="00A36096" w:rsidRPr="00A36096" w:rsidRDefault="00A36096" w:rsidP="00A36096">
      <w:pPr>
        <w:rPr>
          <w:rFonts w:cs="Arial"/>
          <w:b/>
          <w:i/>
        </w:rPr>
      </w:pPr>
      <w:r w:rsidRPr="00A36096">
        <w:rPr>
          <w:rFonts w:cs="Arial"/>
          <w:b/>
          <w:i/>
        </w:rPr>
        <w:t>DPO (Payables Days)</w:t>
      </w:r>
    </w:p>
    <w:p w14:paraId="158B00BD" w14:textId="77777777" w:rsidR="00A36096" w:rsidRPr="00A36096" w:rsidRDefault="00A36096" w:rsidP="00A36096">
      <w:pPr>
        <w:rPr>
          <w:rFonts w:cs="Arial"/>
        </w:rPr>
      </w:pPr>
      <w:r w:rsidRPr="00A36096">
        <w:rPr>
          <w:rFonts w:cs="Arial"/>
          <w:b/>
        </w:rPr>
        <w:t>Formula</w:t>
      </w:r>
      <w:r w:rsidRPr="00A36096">
        <w:rPr>
          <w:rFonts w:cs="Arial"/>
        </w:rPr>
        <w:t>: (Accounts Payable ÷ Cost of Sales) × 365</w:t>
      </w:r>
    </w:p>
    <w:p w14:paraId="10A81B32" w14:textId="77777777" w:rsidR="00A36096" w:rsidRPr="00A36096" w:rsidRDefault="00A36096" w:rsidP="00A36096">
      <w:pPr>
        <w:rPr>
          <w:rFonts w:cs="Arial"/>
          <w:b/>
        </w:rPr>
      </w:pPr>
      <w:r w:rsidRPr="00A36096">
        <w:rPr>
          <w:rFonts w:cs="Arial"/>
        </w:rPr>
        <w:t xml:space="preserve">2024: (72,031 ÷ 280,885) × 365, Or, </w:t>
      </w:r>
      <w:r w:rsidRPr="00A36096">
        <w:rPr>
          <w:rFonts w:cs="Arial"/>
          <w:b/>
        </w:rPr>
        <w:t>93.6 days</w:t>
      </w:r>
    </w:p>
    <w:p w14:paraId="1C27FA0C" w14:textId="77777777" w:rsidR="00A36096" w:rsidRPr="00A36096" w:rsidRDefault="00A36096" w:rsidP="00A36096">
      <w:pPr>
        <w:rPr>
          <w:rFonts w:cs="Arial"/>
        </w:rPr>
      </w:pPr>
      <w:r w:rsidRPr="00A36096">
        <w:rPr>
          <w:rFonts w:cs="Arial"/>
        </w:rPr>
        <w:t>This refers that the General electronics pays its suppliers roughly 94 days, which is longer than most of the standard supplier terms. While this assists in short-term cash flow, this might damage the supplier terms, while assisting the short-term cash flows. This can damage the supplier relationships and because credit terms in the future times.</w:t>
      </w:r>
    </w:p>
    <w:p w14:paraId="44B070A1" w14:textId="77777777" w:rsidR="00A36096" w:rsidRPr="00A36096" w:rsidRDefault="00A36096" w:rsidP="00A36096">
      <w:pPr>
        <w:rPr>
          <w:rFonts w:cs="Arial"/>
          <w:b/>
          <w:i/>
        </w:rPr>
      </w:pPr>
      <w:r w:rsidRPr="00A36096">
        <w:rPr>
          <w:rFonts w:cs="Arial"/>
          <w:b/>
          <w:i/>
        </w:rPr>
        <w:t>Cash Operating Cycle (2024)</w:t>
      </w:r>
    </w:p>
    <w:p w14:paraId="3FDDBB43" w14:textId="77777777" w:rsidR="00A36096" w:rsidRPr="00A36096" w:rsidRDefault="00A36096" w:rsidP="00A36096">
      <w:pPr>
        <w:rPr>
          <w:rFonts w:cs="Arial"/>
        </w:rPr>
      </w:pPr>
      <w:r w:rsidRPr="00A36096">
        <w:rPr>
          <w:rFonts w:cs="Arial"/>
        </w:rPr>
        <w:t>= 105.5 + 103.1 – 93.6</w:t>
      </w:r>
    </w:p>
    <w:p w14:paraId="3865CCF6" w14:textId="77777777" w:rsidR="00A36096" w:rsidRPr="00A36096" w:rsidRDefault="00A36096" w:rsidP="00A36096">
      <w:pPr>
        <w:rPr>
          <w:rFonts w:cs="Arial"/>
        </w:rPr>
      </w:pPr>
      <w:r w:rsidRPr="00A36096">
        <w:rPr>
          <w:rFonts w:cs="Arial"/>
        </w:rPr>
        <w:t>= 115 days</w:t>
      </w:r>
    </w:p>
    <w:p w14:paraId="3474C81E" w14:textId="77777777" w:rsidR="00A36096" w:rsidRPr="00A36096" w:rsidRDefault="00A36096" w:rsidP="00A36096">
      <w:pPr>
        <w:rPr>
          <w:rFonts w:cs="Arial"/>
        </w:rPr>
      </w:pPr>
      <w:r w:rsidRPr="00A36096">
        <w:rPr>
          <w:rFonts w:cs="Arial"/>
        </w:rPr>
        <w:t xml:space="preserve">This refers that, General electronics takes around 4 months for recovering the cash after the investment in production. In comparison to that, the 2020, cash cycle has been around 108 days, while showing that the cycle has lengthened. This has been a serious concern as longer cycle ties-up more cash for performing the operations, while increasing the pressures of liquidity. </w:t>
      </w:r>
    </w:p>
    <w:p w14:paraId="7F2DFD10" w14:textId="77777777" w:rsidR="00A36096" w:rsidRPr="00A36096" w:rsidRDefault="00A36096" w:rsidP="00BB7C35">
      <w:pPr>
        <w:pStyle w:val="Heading2"/>
      </w:pPr>
      <w:bookmarkStart w:id="9" w:name="_Toc214732266"/>
      <w:r w:rsidRPr="00A36096">
        <w:t>2.2 Recommendation of strategies for improving the liquidity through working capital reforms</w:t>
      </w:r>
      <w:bookmarkEnd w:id="9"/>
      <w:r w:rsidRPr="00A36096">
        <w:t xml:space="preserve">  </w:t>
      </w:r>
    </w:p>
    <w:p w14:paraId="22524AAC" w14:textId="77777777" w:rsidR="00A36096" w:rsidRPr="00A36096" w:rsidRDefault="00A36096" w:rsidP="00A36096">
      <w:pPr>
        <w:rPr>
          <w:rFonts w:cs="Arial"/>
          <w:b/>
        </w:rPr>
      </w:pPr>
      <w:r w:rsidRPr="00A36096">
        <w:rPr>
          <w:rFonts w:cs="Arial"/>
          <w:b/>
        </w:rPr>
        <w:t xml:space="preserve">Accelerating the receivables collections </w:t>
      </w:r>
    </w:p>
    <w:p w14:paraId="4A0765B3" w14:textId="53F494EE" w:rsidR="00A36096" w:rsidRPr="00A36096" w:rsidRDefault="00A36096" w:rsidP="00A36096">
      <w:pPr>
        <w:rPr>
          <w:rFonts w:cs="Arial"/>
        </w:rPr>
      </w:pPr>
      <w:r w:rsidRPr="00A36096">
        <w:rPr>
          <w:rFonts w:cs="Arial"/>
        </w:rPr>
        <w:t>General electronics’ receivables periods of 105 days is long for the consumers electronic sector, where the faster cash cycles are critical due to the higher and rapid product obsolescence. For the improvement of the liquidity levels, the organization need to strengthen the credit control policies</w:t>
      </w:r>
      <w:r w:rsidR="00751086">
        <w:rPr>
          <w:rFonts w:cs="Arial"/>
        </w:rPr>
        <w:t xml:space="preserve"> (</w:t>
      </w:r>
      <w:proofErr w:type="spellStart"/>
      <w:r w:rsidR="00751086">
        <w:rPr>
          <w:rFonts w:cs="Arial"/>
        </w:rPr>
        <w:t>Highradius</w:t>
      </w:r>
      <w:proofErr w:type="spellEnd"/>
      <w:r w:rsidR="00751086">
        <w:rPr>
          <w:rFonts w:cs="Arial"/>
        </w:rPr>
        <w:t xml:space="preserve">, </w:t>
      </w:r>
      <w:r w:rsidR="00751086" w:rsidRPr="00751086">
        <w:rPr>
          <w:rFonts w:cs="Arial"/>
        </w:rPr>
        <w:t>2025</w:t>
      </w:r>
      <w:r w:rsidR="00751086">
        <w:rPr>
          <w:rFonts w:cs="Arial"/>
        </w:rPr>
        <w:t>)</w:t>
      </w:r>
      <w:r w:rsidRPr="00A36096">
        <w:rPr>
          <w:rFonts w:cs="Arial"/>
        </w:rPr>
        <w:t xml:space="preserve">. This includes moving towards the strict credit approval process for the new and existing customers, reduction of the standards credit terms from the extended periods to 30 – 40 days, and reinforcing the standard credit terms from extending periods to 30 to 45 days and enforcing the penalties for overdue accounts. </w:t>
      </w:r>
    </w:p>
    <w:p w14:paraId="18D56D3B" w14:textId="77777777" w:rsidR="00A36096" w:rsidRPr="00A36096" w:rsidRDefault="00A36096" w:rsidP="00A36096">
      <w:pPr>
        <w:rPr>
          <w:rFonts w:cs="Arial"/>
          <w:b/>
        </w:rPr>
      </w:pPr>
      <w:r w:rsidRPr="00A36096">
        <w:rPr>
          <w:rFonts w:cs="Arial"/>
          <w:b/>
        </w:rPr>
        <w:t>Inventory optimization and Stock Reduction</w:t>
      </w:r>
    </w:p>
    <w:p w14:paraId="4ECC24CF" w14:textId="073AF2B5" w:rsidR="00A36096" w:rsidRPr="00A36096" w:rsidRDefault="00A36096" w:rsidP="00A36096">
      <w:pPr>
        <w:rPr>
          <w:rFonts w:cs="Arial"/>
        </w:rPr>
      </w:pPr>
      <w:r w:rsidRPr="00A36096">
        <w:rPr>
          <w:rFonts w:cs="Arial"/>
        </w:rPr>
        <w:t>The current inventory holding period of around 103 days addressed an inefficient stock management and potential over-production and poor demand forecasting. For releasing the cash trapped in the stock, General electronics need to make an investment in the advanced demand forecasting tools and sales data assessment for aligning the production closer to the real-market demand</w:t>
      </w:r>
      <w:r w:rsidR="00AD0BF1">
        <w:rPr>
          <w:rFonts w:cs="Arial"/>
        </w:rPr>
        <w:t xml:space="preserve"> (</w:t>
      </w:r>
      <w:proofErr w:type="spellStart"/>
      <w:r w:rsidR="00AD0BF1">
        <w:rPr>
          <w:rFonts w:cs="Arial"/>
          <w:shd w:val="clear" w:color="auto" w:fill="FFFFFF"/>
        </w:rPr>
        <w:t>Teplická</w:t>
      </w:r>
      <w:proofErr w:type="spellEnd"/>
      <w:r w:rsidR="00AD0BF1">
        <w:rPr>
          <w:rFonts w:cs="Arial"/>
          <w:shd w:val="clear" w:color="auto" w:fill="FFFFFF"/>
        </w:rPr>
        <w:t xml:space="preserve"> and</w:t>
      </w:r>
      <w:r w:rsidR="00AD0BF1" w:rsidRPr="000D39BC">
        <w:rPr>
          <w:rFonts w:cs="Arial"/>
          <w:shd w:val="clear" w:color="auto" w:fill="FFFFFF"/>
        </w:rPr>
        <w:t xml:space="preserve"> </w:t>
      </w:r>
      <w:proofErr w:type="spellStart"/>
      <w:r w:rsidR="00AD0BF1" w:rsidRPr="000D39BC">
        <w:rPr>
          <w:rFonts w:cs="Arial"/>
          <w:shd w:val="clear" w:color="auto" w:fill="FFFFFF"/>
        </w:rPr>
        <w:t>Čulková</w:t>
      </w:r>
      <w:proofErr w:type="spellEnd"/>
      <w:r w:rsidR="00AD0BF1" w:rsidRPr="000D39BC">
        <w:rPr>
          <w:rFonts w:cs="Arial"/>
          <w:shd w:val="clear" w:color="auto" w:fill="FFFFFF"/>
        </w:rPr>
        <w:t>, 2020</w:t>
      </w:r>
      <w:r w:rsidR="00AD0BF1">
        <w:rPr>
          <w:rFonts w:cs="Arial"/>
        </w:rPr>
        <w:t>)</w:t>
      </w:r>
      <w:r w:rsidRPr="00A36096">
        <w:rPr>
          <w:rFonts w:cs="Arial"/>
        </w:rPr>
        <w:t xml:space="preserve">. By introducing the structured just-in-time approach for the components </w:t>
      </w:r>
      <w:r w:rsidR="00422C40">
        <w:rPr>
          <w:rFonts w:cs="Arial"/>
        </w:rPr>
        <w:t>to be</w:t>
      </w:r>
      <w:r w:rsidRPr="00A36096">
        <w:rPr>
          <w:rFonts w:cs="Arial"/>
        </w:rPr>
        <w:t xml:space="preserve"> stable and slow-movin</w:t>
      </w:r>
      <w:r w:rsidR="00422C40">
        <w:rPr>
          <w:rFonts w:cs="Arial"/>
        </w:rPr>
        <w:t>g,</w:t>
      </w:r>
      <w:r w:rsidRPr="00A36096">
        <w:rPr>
          <w:rFonts w:cs="Arial"/>
        </w:rPr>
        <w:t xml:space="preserve"> obsolete inventory needs to be actively identified and liquidated through the discount programs besides being written off</w:t>
      </w:r>
    </w:p>
    <w:p w14:paraId="08ACF1C5" w14:textId="77777777" w:rsidR="00A36096" w:rsidRPr="00A36096" w:rsidRDefault="00A36096" w:rsidP="00A36096">
      <w:pPr>
        <w:rPr>
          <w:rFonts w:cs="Arial"/>
          <w:b/>
        </w:rPr>
      </w:pPr>
      <w:r w:rsidRPr="00A36096">
        <w:rPr>
          <w:rFonts w:cs="Arial"/>
          <w:b/>
        </w:rPr>
        <w:t>Payables Management and Supplier Negotiation</w:t>
      </w:r>
    </w:p>
    <w:p w14:paraId="6DC3BA80" w14:textId="52B3DD32" w:rsidR="00A36096" w:rsidRPr="00A36096" w:rsidRDefault="00A36096" w:rsidP="00A36096">
      <w:pPr>
        <w:rPr>
          <w:rFonts w:cs="Arial"/>
        </w:rPr>
      </w:pPr>
      <w:r w:rsidRPr="00A36096">
        <w:rPr>
          <w:rFonts w:cs="Arial"/>
        </w:rPr>
        <w:t>Even though the organization’s current payables periods has been around 94 days, that supports the short-term cash flow, this needs to be managed carefully for avoiding the damage of supplier relationship. The organization need to renegotiate the structured payment terms with having strategic suppliers and aiming for the extended terms where needed</w:t>
      </w:r>
      <w:r w:rsidR="00AD0BF1">
        <w:rPr>
          <w:rFonts w:cs="Arial"/>
        </w:rPr>
        <w:t xml:space="preserve"> (</w:t>
      </w:r>
      <w:r w:rsidR="00AD0BF1">
        <w:rPr>
          <w:rFonts w:cs="Arial"/>
          <w:shd w:val="clear" w:color="auto" w:fill="FFFFFF"/>
        </w:rPr>
        <w:t xml:space="preserve">Mallick, </w:t>
      </w:r>
      <w:r w:rsidR="00AD0BF1" w:rsidRPr="000D39BC">
        <w:rPr>
          <w:rFonts w:cs="Arial"/>
          <w:shd w:val="clear" w:color="auto" w:fill="FFFFFF"/>
        </w:rPr>
        <w:t>2020</w:t>
      </w:r>
      <w:r w:rsidR="00AD0BF1">
        <w:rPr>
          <w:rFonts w:cs="Arial"/>
        </w:rPr>
        <w:t>)</w:t>
      </w:r>
      <w:r w:rsidRPr="00A36096">
        <w:rPr>
          <w:rFonts w:cs="Arial"/>
        </w:rPr>
        <w:t xml:space="preserve">. These systems </w:t>
      </w:r>
      <w:r w:rsidR="00126492" w:rsidRPr="00A36096">
        <w:rPr>
          <w:rFonts w:cs="Arial"/>
        </w:rPr>
        <w:t>allow</w:t>
      </w:r>
      <w:r w:rsidRPr="00A36096">
        <w:rPr>
          <w:rFonts w:cs="Arial"/>
        </w:rPr>
        <w:t xml:space="preserve"> General Electronics to keep the cash longer while suppliers </w:t>
      </w:r>
      <w:r w:rsidR="00126492" w:rsidRPr="00A36096">
        <w:rPr>
          <w:rFonts w:cs="Arial"/>
        </w:rPr>
        <w:t>receive</w:t>
      </w:r>
      <w:r w:rsidRPr="00A36096">
        <w:rPr>
          <w:rFonts w:cs="Arial"/>
        </w:rPr>
        <w:t xml:space="preserve"> earlier payment through the financial intermediaries. As addressed to the corporate treasury and trade finance studies, supply chain financing process can improve the liquidity without hearing the trust of suppliers while being implemented transparently.</w:t>
      </w:r>
    </w:p>
    <w:p w14:paraId="08D6B996" w14:textId="77777777" w:rsidR="00A36096" w:rsidRPr="00A36096" w:rsidRDefault="00A36096" w:rsidP="00A36096">
      <w:pPr>
        <w:rPr>
          <w:rFonts w:cs="Arial"/>
          <w:b/>
        </w:rPr>
      </w:pPr>
      <w:r w:rsidRPr="00A36096">
        <w:rPr>
          <w:rFonts w:cs="Arial"/>
          <w:b/>
        </w:rPr>
        <w:t>Strengthening Cash Flow Forecasting and Controls</w:t>
      </w:r>
    </w:p>
    <w:p w14:paraId="30E17297" w14:textId="5522DB9D" w:rsidR="00A36096" w:rsidRPr="00A36096" w:rsidRDefault="00A36096" w:rsidP="00A36096">
      <w:pPr>
        <w:rPr>
          <w:rFonts w:cs="Arial"/>
        </w:rPr>
      </w:pPr>
      <w:r w:rsidRPr="00A36096">
        <w:rPr>
          <w:rFonts w:cs="Arial"/>
        </w:rPr>
        <w:t xml:space="preserve">Beyond the operational reforms, the business </w:t>
      </w:r>
      <w:r w:rsidR="00BF75A0" w:rsidRPr="00A36096">
        <w:rPr>
          <w:rFonts w:cs="Arial"/>
        </w:rPr>
        <w:t>needs</w:t>
      </w:r>
      <w:r w:rsidRPr="00A36096">
        <w:rPr>
          <w:rFonts w:cs="Arial"/>
        </w:rPr>
        <w:t xml:space="preserve"> to establish a strong cash monitoring process. The rolling of the 13-week cash flow forecast needs to be applied for anticipating the future cash shortages and plan the financing processes accordingly. Working capital KPIs, including; DSO, DIO and DPO need to monitor on monthly basis at both the senior management and the operational levels. The researches done in the corporate financing management addressed that companies which has integrated cash forecasting system can reflect stronger liquidity resilience during the time of financial distress.    </w:t>
      </w:r>
    </w:p>
    <w:p w14:paraId="53F5DBDA" w14:textId="77777777" w:rsidR="00A36096" w:rsidRPr="00A36096" w:rsidRDefault="00A36096" w:rsidP="00BB7C35">
      <w:pPr>
        <w:pStyle w:val="Heading2"/>
      </w:pPr>
      <w:bookmarkStart w:id="10" w:name="_Toc214732267"/>
      <w:r w:rsidRPr="00A36096">
        <w:t>2.3 Comparing short-term and long-term financing options</w:t>
      </w:r>
      <w:bookmarkEnd w:id="10"/>
      <w:r w:rsidRPr="00A36096">
        <w:t xml:space="preserve">      </w:t>
      </w:r>
    </w:p>
    <w:p w14:paraId="1A002199" w14:textId="180474F0" w:rsidR="00A36096" w:rsidRPr="00A36096" w:rsidRDefault="00A36096" w:rsidP="00A36096">
      <w:pPr>
        <w:rPr>
          <w:rFonts w:cs="Arial"/>
        </w:rPr>
      </w:pPr>
      <w:r w:rsidRPr="00A36096">
        <w:rPr>
          <w:rFonts w:cs="Arial"/>
        </w:rPr>
        <w:t>The short-term financing process refers to the funds which has been raised for less than one year, and typically used for supporting the needs of working capital, including; inventory, payroll, and receivables. The examples might include; bank overdrafts, short-term loans, trade credit, and lines of credit</w:t>
      </w:r>
      <w:r w:rsidR="00AD0BF1">
        <w:rPr>
          <w:rFonts w:cs="Arial"/>
        </w:rPr>
        <w:t xml:space="preserve"> (</w:t>
      </w:r>
      <w:r w:rsidR="00AD0BF1" w:rsidRPr="000D39BC">
        <w:rPr>
          <w:rFonts w:cs="Arial"/>
          <w:color w:val="222222"/>
          <w:shd w:val="clear" w:color="auto" w:fill="FFFFFF"/>
        </w:rPr>
        <w:t>Mustafina</w:t>
      </w:r>
      <w:r w:rsidR="00AD0BF1">
        <w:rPr>
          <w:rFonts w:cs="Arial"/>
          <w:color w:val="222222"/>
          <w:shd w:val="clear" w:color="auto" w:fill="FFFFFF"/>
        </w:rPr>
        <w:t xml:space="preserve"> et al. 2020</w:t>
      </w:r>
      <w:r w:rsidR="00AD0BF1">
        <w:rPr>
          <w:rFonts w:cs="Arial"/>
        </w:rPr>
        <w:t>)</w:t>
      </w:r>
      <w:r w:rsidRPr="00A36096">
        <w:rPr>
          <w:rFonts w:cs="Arial"/>
        </w:rPr>
        <w:t>. For the General Electronics, the short-term financing is visible through the heavy usage of the credit lines. Main advantage is the flexibility and a faster access to the cash and equivalents</w:t>
      </w:r>
      <w:r w:rsidR="00AD0BF1">
        <w:rPr>
          <w:rFonts w:cs="Arial"/>
        </w:rPr>
        <w:t xml:space="preserve"> (</w:t>
      </w:r>
      <w:proofErr w:type="spellStart"/>
      <w:r w:rsidR="00AD0BF1" w:rsidRPr="000D39BC">
        <w:rPr>
          <w:rFonts w:cs="Arial"/>
        </w:rPr>
        <w:t>Winoker</w:t>
      </w:r>
      <w:proofErr w:type="spellEnd"/>
      <w:r w:rsidR="00AD0BF1">
        <w:rPr>
          <w:rFonts w:cs="Arial"/>
        </w:rPr>
        <w:t xml:space="preserve"> </w:t>
      </w:r>
      <w:r w:rsidR="00AD0BF1" w:rsidRPr="000D39BC">
        <w:rPr>
          <w:rFonts w:cs="Arial"/>
        </w:rPr>
        <w:t>2024</w:t>
      </w:r>
      <w:r w:rsidR="00AD0BF1">
        <w:rPr>
          <w:rFonts w:cs="Arial"/>
        </w:rPr>
        <w:t>)</w:t>
      </w:r>
      <w:r w:rsidRPr="00A36096">
        <w:rPr>
          <w:rFonts w:cs="Arial"/>
        </w:rPr>
        <w:t xml:space="preserve">. The risks </w:t>
      </w:r>
      <w:r w:rsidR="00BF75A0" w:rsidRPr="00A36096">
        <w:rPr>
          <w:rFonts w:cs="Arial"/>
        </w:rPr>
        <w:t>include</w:t>
      </w:r>
      <w:r w:rsidRPr="00A36096">
        <w:rPr>
          <w:rFonts w:cs="Arial"/>
        </w:rPr>
        <w:t xml:space="preserve"> high interest costs during the rate hikes and refinancing the risks if lenders have </w:t>
      </w:r>
      <w:r w:rsidR="00BF75A0" w:rsidRPr="00A36096">
        <w:rPr>
          <w:rFonts w:cs="Arial"/>
        </w:rPr>
        <w:t>tightened</w:t>
      </w:r>
      <w:r w:rsidRPr="00A36096">
        <w:rPr>
          <w:rFonts w:cs="Arial"/>
        </w:rPr>
        <w:t xml:space="preserve"> the credit. The over-reliance can worsen the liquidity pressures, specifically while operating cash flows to become weaker. </w:t>
      </w:r>
    </w:p>
    <w:p w14:paraId="1215B789" w14:textId="2E49D3C5" w:rsidR="00A36096" w:rsidRPr="00A36096" w:rsidRDefault="00A36096" w:rsidP="00A36096">
      <w:pPr>
        <w:rPr>
          <w:rFonts w:cs="Arial"/>
        </w:rPr>
      </w:pPr>
      <w:r w:rsidRPr="00A36096">
        <w:rPr>
          <w:rFonts w:cs="Arial"/>
        </w:rPr>
        <w:t>The long-term financing process provides the capital for more than one year and usually supporting the investment in assets, technology and restructuring. The examples might include; term loans, bond issuance, equity financing, and long-term leases. Its advantages is the stability, as the repayment schedules becomes predictable, and it reduces the bankruptcy risk in compared</w:t>
      </w:r>
      <w:r w:rsidR="00AD0BF1">
        <w:rPr>
          <w:rFonts w:cs="Arial"/>
        </w:rPr>
        <w:t xml:space="preserve"> to the short-term borrowings (Cole, </w:t>
      </w:r>
      <w:r w:rsidR="00AD0BF1" w:rsidRPr="000D39BC">
        <w:rPr>
          <w:rFonts w:cs="Arial"/>
        </w:rPr>
        <w:t>2025</w:t>
      </w:r>
      <w:r w:rsidR="00AD0BF1">
        <w:rPr>
          <w:rFonts w:cs="Arial"/>
        </w:rPr>
        <w:t xml:space="preserve">). </w:t>
      </w:r>
    </w:p>
    <w:p w14:paraId="11CA6CA0" w14:textId="25C0441C" w:rsidR="00A36096" w:rsidRDefault="00A36096" w:rsidP="005A5072">
      <w:r w:rsidRPr="00A36096">
        <w:rPr>
          <w:rFonts w:cs="Arial"/>
        </w:rPr>
        <w:t xml:space="preserve">For General electronics, making balance between both is critical, where the short-term facilities are necessary for the operational liquidity and long-term funding options for the strategic recovery without out burdening the cash flow.     </w:t>
      </w:r>
      <w:r>
        <w:t xml:space="preserve">  </w:t>
      </w:r>
    </w:p>
    <w:p w14:paraId="39C1CDD6" w14:textId="55CF8F01" w:rsidR="00DB28E5" w:rsidRPr="00C97E51" w:rsidRDefault="00DB28E5" w:rsidP="00C97E51">
      <w:pPr>
        <w:pStyle w:val="Heading1"/>
      </w:pPr>
      <w:bookmarkStart w:id="11" w:name="_Toc214732268"/>
      <w:r w:rsidRPr="00C97E51">
        <w:t>3. Strategic Financial Restructuring Plan</w:t>
      </w:r>
      <w:bookmarkEnd w:id="11"/>
    </w:p>
    <w:p w14:paraId="16ADEDF6" w14:textId="49F4DAAA" w:rsidR="00DB28E5" w:rsidRDefault="00DB28E5" w:rsidP="00BB7C35">
      <w:pPr>
        <w:pStyle w:val="Heading2"/>
      </w:pPr>
      <w:bookmarkStart w:id="12" w:name="_Toc214732269"/>
      <w:r>
        <w:t xml:space="preserve">3.1 </w:t>
      </w:r>
      <w:r w:rsidR="00BB7C35">
        <w:t>Recommended financial restructuring options for General Electronics</w:t>
      </w:r>
      <w:bookmarkEnd w:id="12"/>
      <w:r w:rsidR="00BB7C35">
        <w:t xml:space="preserve">   </w:t>
      </w:r>
    </w:p>
    <w:p w14:paraId="51758945" w14:textId="6E8454B2" w:rsidR="00BB7C35" w:rsidRDefault="00250C82" w:rsidP="00BB7C35">
      <w:pPr>
        <w:rPr>
          <w:rFonts w:cs="Arial"/>
          <w:lang w:val="en-GB"/>
        </w:rPr>
      </w:pPr>
      <w:r>
        <w:rPr>
          <w:rFonts w:cs="Arial"/>
          <w:lang w:val="en-GB"/>
        </w:rPr>
        <w:t xml:space="preserve">Regarding the General Electronics; weakened profitability, increasing leverage, and pressure on the liquidity, a structured financial </w:t>
      </w:r>
      <w:r w:rsidRPr="00250C82">
        <w:rPr>
          <w:rFonts w:cs="Arial"/>
          <w:lang w:val="en-GB"/>
        </w:rPr>
        <w:t>restructuring</w:t>
      </w:r>
      <w:r>
        <w:rPr>
          <w:rFonts w:cs="Arial"/>
          <w:lang w:val="en-GB"/>
        </w:rPr>
        <w:t xml:space="preserve"> programme is necessary for stabilising the </w:t>
      </w:r>
      <w:r w:rsidR="00B03101">
        <w:rPr>
          <w:rFonts w:cs="Arial"/>
          <w:lang w:val="en-GB"/>
        </w:rPr>
        <w:t xml:space="preserve">operations and restoring the long-term financial health. Three of the realistic and strategic options, which are recommended can be: </w:t>
      </w:r>
      <w:r w:rsidR="00B03101" w:rsidRPr="00B03101">
        <w:rPr>
          <w:rFonts w:cs="Arial"/>
          <w:i/>
          <w:lang w:val="en-GB"/>
        </w:rPr>
        <w:t xml:space="preserve">divestiture of non-core assets, strategic mergers or partnerships, </w:t>
      </w:r>
      <w:r w:rsidR="00B03101" w:rsidRPr="00B03101">
        <w:rPr>
          <w:rFonts w:cs="Arial"/>
          <w:lang w:val="en-GB"/>
        </w:rPr>
        <w:t>and</w:t>
      </w:r>
      <w:r w:rsidR="00B03101" w:rsidRPr="00B03101">
        <w:rPr>
          <w:rFonts w:cs="Arial"/>
          <w:i/>
          <w:lang w:val="en-GB"/>
        </w:rPr>
        <w:t xml:space="preserve"> equity injection</w:t>
      </w:r>
      <w:r w:rsidR="00B03101" w:rsidRPr="00B03101">
        <w:rPr>
          <w:rFonts w:cs="Arial"/>
          <w:lang w:val="en-GB"/>
        </w:rPr>
        <w:t>.</w:t>
      </w:r>
      <w:r w:rsidR="00B03101">
        <w:rPr>
          <w:rFonts w:cs="Arial"/>
          <w:lang w:val="en-GB"/>
        </w:rPr>
        <w:t xml:space="preserve"> </w:t>
      </w:r>
      <w:r>
        <w:rPr>
          <w:rFonts w:cs="Arial"/>
          <w:lang w:val="en-GB"/>
        </w:rPr>
        <w:t xml:space="preserve"> </w:t>
      </w:r>
    </w:p>
    <w:p w14:paraId="7C23F1B2" w14:textId="61EC5EFC" w:rsidR="004926C5" w:rsidRDefault="00B03101" w:rsidP="00BB7C35">
      <w:pPr>
        <w:rPr>
          <w:rFonts w:cs="Arial"/>
          <w:lang w:val="en-GB"/>
        </w:rPr>
      </w:pPr>
      <w:r>
        <w:rPr>
          <w:rFonts w:cs="Arial"/>
          <w:lang w:val="en-GB"/>
        </w:rPr>
        <w:t xml:space="preserve">On the first hand, </w:t>
      </w:r>
      <w:r w:rsidR="00FD7774">
        <w:rPr>
          <w:rFonts w:cs="Arial"/>
          <w:i/>
          <w:lang w:val="en-GB"/>
        </w:rPr>
        <w:t xml:space="preserve">divestiture of the non-core </w:t>
      </w:r>
      <w:r w:rsidR="00FD7774">
        <w:rPr>
          <w:rFonts w:cs="Arial"/>
          <w:lang w:val="en-GB"/>
        </w:rPr>
        <w:t xml:space="preserve">and underperforming business units needs to be </w:t>
      </w:r>
      <w:r w:rsidR="00FD7774" w:rsidRPr="00FD7774">
        <w:rPr>
          <w:rFonts w:cs="Arial"/>
          <w:lang w:val="en-GB"/>
        </w:rPr>
        <w:t>prioritised</w:t>
      </w:r>
      <w:r w:rsidR="00FD7774">
        <w:rPr>
          <w:rFonts w:cs="Arial"/>
          <w:lang w:val="en-GB"/>
        </w:rPr>
        <w:t xml:space="preserve">. The balance sheet has shown major declination of the total assets from being </w:t>
      </w:r>
      <w:r w:rsidR="00FD7774" w:rsidRPr="00FD7774">
        <w:rPr>
          <w:rFonts w:cs="Arial"/>
          <w:lang w:val="en-GB"/>
        </w:rPr>
        <w:t>£510,290m in 2020 to £323,354m in 2024</w:t>
      </w:r>
      <w:r w:rsidR="00FD7774">
        <w:rPr>
          <w:rFonts w:cs="Arial"/>
          <w:lang w:val="en-GB"/>
        </w:rPr>
        <w:t xml:space="preserve">, which addresses the impairment and inefficiencies in the utilisation of assets. On the other hand, there may still be product lines, regional subsidiaries </w:t>
      </w:r>
      <w:r w:rsidR="00903445">
        <w:rPr>
          <w:rFonts w:cs="Arial"/>
          <w:lang w:val="en-GB"/>
        </w:rPr>
        <w:t>and facilities that can generate the low returns and persistent losses</w:t>
      </w:r>
      <w:r w:rsidR="00FA640A">
        <w:rPr>
          <w:rFonts w:cs="Arial"/>
          <w:lang w:val="en-GB"/>
        </w:rPr>
        <w:t xml:space="preserve"> (</w:t>
      </w:r>
      <w:r w:rsidR="00FA640A">
        <w:rPr>
          <w:rFonts w:cs="Arial"/>
        </w:rPr>
        <w:t xml:space="preserve">Hansen, </w:t>
      </w:r>
      <w:r w:rsidR="00FA640A" w:rsidRPr="00F51A18">
        <w:rPr>
          <w:rFonts w:cs="Arial"/>
        </w:rPr>
        <w:t>2025</w:t>
      </w:r>
      <w:r w:rsidR="00FA640A">
        <w:rPr>
          <w:rFonts w:cs="Arial"/>
        </w:rPr>
        <w:t xml:space="preserve">; Cole, </w:t>
      </w:r>
      <w:r w:rsidR="00FA640A" w:rsidRPr="00A25D66">
        <w:rPr>
          <w:rFonts w:cs="Arial"/>
        </w:rPr>
        <w:t>2025</w:t>
      </w:r>
      <w:r w:rsidR="00FA640A">
        <w:rPr>
          <w:rFonts w:cs="Arial"/>
        </w:rPr>
        <w:t xml:space="preserve">; </w:t>
      </w:r>
      <w:proofErr w:type="spellStart"/>
      <w:r w:rsidR="00FA640A">
        <w:rPr>
          <w:rFonts w:cs="Arial"/>
        </w:rPr>
        <w:t>Njiru</w:t>
      </w:r>
      <w:proofErr w:type="spellEnd"/>
      <w:r w:rsidR="00FA640A">
        <w:rPr>
          <w:rFonts w:cs="Arial"/>
        </w:rPr>
        <w:t xml:space="preserve">, </w:t>
      </w:r>
      <w:r w:rsidR="00FA640A" w:rsidRPr="007B6F58">
        <w:rPr>
          <w:rFonts w:cs="Arial"/>
        </w:rPr>
        <w:t>2017</w:t>
      </w:r>
      <w:r w:rsidR="00FA640A">
        <w:rPr>
          <w:rFonts w:cs="Arial"/>
          <w:lang w:val="en-GB"/>
        </w:rPr>
        <w:t>)</w:t>
      </w:r>
      <w:r w:rsidR="00903445">
        <w:rPr>
          <w:rFonts w:cs="Arial"/>
          <w:lang w:val="en-GB"/>
        </w:rPr>
        <w:t>. Selling or spinning-off the divisions can assist in generating an immediate cash inflow, reduce the operational complexity and free management resources for focusing on the profitable core segments such as; high-margin consumer electronics and smart devices</w:t>
      </w:r>
      <w:r w:rsidR="00FA640A">
        <w:rPr>
          <w:rFonts w:cs="Arial"/>
          <w:lang w:val="en-GB"/>
        </w:rPr>
        <w:t xml:space="preserve"> (</w:t>
      </w:r>
      <w:proofErr w:type="spellStart"/>
      <w:r w:rsidR="00FA640A">
        <w:rPr>
          <w:rFonts w:cs="Arial"/>
          <w:shd w:val="clear" w:color="auto" w:fill="FFFFFF"/>
        </w:rPr>
        <w:t>Zaramella</w:t>
      </w:r>
      <w:proofErr w:type="spellEnd"/>
      <w:r w:rsidR="00FA640A">
        <w:rPr>
          <w:rFonts w:cs="Arial"/>
          <w:shd w:val="clear" w:color="auto" w:fill="FFFFFF"/>
        </w:rPr>
        <w:t xml:space="preserve">, </w:t>
      </w:r>
      <w:r w:rsidR="00FA640A" w:rsidRPr="000D39BC">
        <w:rPr>
          <w:rFonts w:cs="Arial"/>
          <w:shd w:val="clear" w:color="auto" w:fill="FFFFFF"/>
        </w:rPr>
        <w:t>2023</w:t>
      </w:r>
      <w:r w:rsidR="00FA640A">
        <w:rPr>
          <w:rFonts w:cs="Arial"/>
          <w:lang w:val="en-GB"/>
        </w:rPr>
        <w:t>)</w:t>
      </w:r>
      <w:r w:rsidR="00903445">
        <w:rPr>
          <w:rFonts w:cs="Arial"/>
          <w:lang w:val="en-GB"/>
        </w:rPr>
        <w:t xml:space="preserve">. </w:t>
      </w:r>
      <w:r w:rsidR="00E00B75">
        <w:rPr>
          <w:rFonts w:cs="Arial"/>
          <w:lang w:val="en-GB"/>
        </w:rPr>
        <w:t xml:space="preserve">Such approach has been used by the organisations, including; </w:t>
      </w:r>
      <w:r w:rsidR="004926C5" w:rsidRPr="004926C5">
        <w:rPr>
          <w:rFonts w:cs="Arial"/>
          <w:lang w:val="en-GB"/>
        </w:rPr>
        <w:t>HP and Toshiba</w:t>
      </w:r>
      <w:r w:rsidR="004926C5">
        <w:rPr>
          <w:rFonts w:cs="Arial"/>
          <w:lang w:val="en-GB"/>
        </w:rPr>
        <w:t xml:space="preserve"> during the time of restructuring phases for the improvement of cash position and the focus on profitability. For the General Electronics, divesting in the low-margin and declining legacy product lines can support the debt reduction and restoration of liquidity volumes. </w:t>
      </w:r>
    </w:p>
    <w:p w14:paraId="0520EA41" w14:textId="77777777" w:rsidR="00E06033" w:rsidRDefault="00CB78C6" w:rsidP="00BB7C35">
      <w:pPr>
        <w:rPr>
          <w:rFonts w:cs="Arial"/>
          <w:lang w:val="en-GB"/>
        </w:rPr>
      </w:pPr>
      <w:r>
        <w:rPr>
          <w:rFonts w:cs="Arial"/>
          <w:lang w:val="en-GB"/>
        </w:rPr>
        <w:t xml:space="preserve">On the other hand, </w:t>
      </w:r>
      <w:r w:rsidRPr="00CB78C6">
        <w:rPr>
          <w:rFonts w:cs="Arial"/>
          <w:i/>
          <w:lang w:val="en-GB"/>
        </w:rPr>
        <w:t>strategic merger, acquisition, or alliance</w:t>
      </w:r>
      <w:r>
        <w:rPr>
          <w:rFonts w:cs="Arial"/>
          <w:lang w:val="en-GB"/>
        </w:rPr>
        <w:t xml:space="preserve"> need to consider strengthening the competitive positioning and reducing the operational costs. Regarding the declining of sales and market pressures, partnering with the complementary electronics firms can provide a proper access to the new markets, shared R&amp;D capabilities and economics of scale. For example; a merger with the regional </w:t>
      </w:r>
      <w:r w:rsidR="00AE06C2">
        <w:rPr>
          <w:rFonts w:cs="Arial"/>
          <w:lang w:val="en-GB"/>
        </w:rPr>
        <w:t>manufacturers and strategic alliance with technology software firm can assist in improving the product innovation while sharing the costs. This is necessary as General Electronics has higher operating expense which exceeds the gross profit in recent times.</w:t>
      </w:r>
      <w:r w:rsidR="008B27D5">
        <w:rPr>
          <w:rFonts w:cs="Arial"/>
          <w:lang w:val="en-GB"/>
        </w:rPr>
        <w:t xml:space="preserve"> A properly structured merger and joint venture can </w:t>
      </w:r>
      <w:r w:rsidR="00E06033">
        <w:rPr>
          <w:rFonts w:cs="Arial"/>
          <w:lang w:val="en-GB"/>
        </w:rPr>
        <w:t xml:space="preserve">assist in reducing the duplicated operating costs, optimise the supply chain systems and bargaining power with the suppliers.   </w:t>
      </w:r>
      <w:r w:rsidR="00AE06C2">
        <w:rPr>
          <w:rFonts w:cs="Arial"/>
          <w:lang w:val="en-GB"/>
        </w:rPr>
        <w:t xml:space="preserve"> </w:t>
      </w:r>
    </w:p>
    <w:p w14:paraId="65B218BD" w14:textId="44FAD705" w:rsidR="00B03101" w:rsidRDefault="00E06033" w:rsidP="00BB7C35">
      <w:pPr>
        <w:rPr>
          <w:rFonts w:cs="Arial"/>
          <w:lang w:val="en-GB"/>
        </w:rPr>
      </w:pPr>
      <w:r>
        <w:rPr>
          <w:rFonts w:cs="Arial"/>
          <w:lang w:val="en-GB"/>
        </w:rPr>
        <w:t xml:space="preserve">Finally, the </w:t>
      </w:r>
      <w:r>
        <w:rPr>
          <w:rFonts w:cs="Arial"/>
          <w:i/>
          <w:lang w:val="en-GB"/>
        </w:rPr>
        <w:t xml:space="preserve">equity injection </w:t>
      </w:r>
      <w:r>
        <w:rPr>
          <w:rFonts w:cs="Arial"/>
          <w:lang w:val="en-GB"/>
        </w:rPr>
        <w:t xml:space="preserve">is necessary for </w:t>
      </w:r>
      <w:r w:rsidRPr="00E06033">
        <w:rPr>
          <w:rFonts w:cs="Arial"/>
          <w:lang w:val="en-GB"/>
        </w:rPr>
        <w:t>restructuring</w:t>
      </w:r>
      <w:r>
        <w:rPr>
          <w:rFonts w:cs="Arial"/>
          <w:lang w:val="en-GB"/>
        </w:rPr>
        <w:t xml:space="preserve"> options for strengthening the capital base. The shareholder’s equity has declined significantly from being </w:t>
      </w:r>
      <w:r w:rsidRPr="00E06033">
        <w:rPr>
          <w:rFonts w:cs="Arial"/>
          <w:lang w:val="en-GB"/>
        </w:rPr>
        <w:t>£313,301m in 2020 to £153,105m</w:t>
      </w:r>
      <w:r>
        <w:rPr>
          <w:rFonts w:cs="Arial"/>
          <w:lang w:val="en-GB"/>
        </w:rPr>
        <w:t xml:space="preserve"> in FY2024, due to the accumulated losses. </w:t>
      </w:r>
      <w:r w:rsidR="00CC2402">
        <w:rPr>
          <w:rFonts w:cs="Arial"/>
          <w:lang w:val="en-GB"/>
        </w:rPr>
        <w:t>The new equity issues and strategic in</w:t>
      </w:r>
      <w:r w:rsidR="00685FBE">
        <w:rPr>
          <w:rFonts w:cs="Arial"/>
          <w:lang w:val="en-GB"/>
        </w:rPr>
        <w:t xml:space="preserve">vestment from the institutional investors, private equity and strategic partners might reduce the reliance on debt and improvement of the debt-to-equity </w:t>
      </w:r>
      <w:r w:rsidR="00BB4346">
        <w:rPr>
          <w:rFonts w:cs="Arial"/>
          <w:lang w:val="en-GB"/>
        </w:rPr>
        <w:t>ratios</w:t>
      </w:r>
      <w:r w:rsidR="00F3741A">
        <w:rPr>
          <w:rFonts w:cs="Arial"/>
          <w:lang w:val="en-GB"/>
        </w:rPr>
        <w:t xml:space="preserve"> that currently stands at a risky situation of 1.11. While this can involve the dilution for existing shareholders, this might provide some necessary long-term capital for </w:t>
      </w:r>
      <w:r w:rsidR="00F3741A" w:rsidRPr="00F3741A">
        <w:rPr>
          <w:rFonts w:cs="Arial"/>
          <w:lang w:val="en-GB"/>
        </w:rPr>
        <w:t>restructuring, technology upg</w:t>
      </w:r>
      <w:r w:rsidR="00392F49">
        <w:rPr>
          <w:rFonts w:cs="Arial"/>
          <w:lang w:val="en-GB"/>
        </w:rPr>
        <w:t>rades, and selected investments (</w:t>
      </w:r>
      <w:proofErr w:type="spellStart"/>
      <w:r w:rsidR="00392F49" w:rsidRPr="000D39BC">
        <w:rPr>
          <w:rFonts w:cs="Arial"/>
          <w:color w:val="222222"/>
          <w:shd w:val="clear" w:color="auto" w:fill="FFFFFF"/>
        </w:rPr>
        <w:t>Mavlutova</w:t>
      </w:r>
      <w:proofErr w:type="spellEnd"/>
      <w:r w:rsidR="00392F49">
        <w:rPr>
          <w:rFonts w:cs="Arial"/>
          <w:color w:val="222222"/>
          <w:shd w:val="clear" w:color="auto" w:fill="FFFFFF"/>
        </w:rPr>
        <w:t xml:space="preserve"> et al. 2021</w:t>
      </w:r>
      <w:r w:rsidR="00392F49">
        <w:rPr>
          <w:rFonts w:cs="Arial"/>
          <w:lang w:val="en-GB"/>
        </w:rPr>
        <w:t xml:space="preserve">). </w:t>
      </w:r>
    </w:p>
    <w:p w14:paraId="3B2246BF" w14:textId="416B48A4" w:rsidR="00F3741A" w:rsidRDefault="00CF5167" w:rsidP="00BB5C1D">
      <w:pPr>
        <w:pStyle w:val="Heading2"/>
      </w:pPr>
      <w:bookmarkStart w:id="13" w:name="_Toc214732270"/>
      <w:r w:rsidRPr="002709C2">
        <w:t xml:space="preserve">3.2 </w:t>
      </w:r>
      <w:r w:rsidR="00034FC8">
        <w:t>I</w:t>
      </w:r>
      <w:r w:rsidR="002709C2" w:rsidRPr="002709C2">
        <w:t>mpact of shareholder value, debt structure and operational flexibility</w:t>
      </w:r>
      <w:bookmarkEnd w:id="13"/>
      <w:r w:rsidR="002709C2" w:rsidRPr="002709C2">
        <w:t xml:space="preserve"> </w:t>
      </w:r>
    </w:p>
    <w:p w14:paraId="34583B47" w14:textId="3C98A3BC" w:rsidR="00392F49" w:rsidRPr="00F95851" w:rsidRDefault="00E85510" w:rsidP="00F95851">
      <w:pPr>
        <w:rPr>
          <w:rFonts w:cs="Arial"/>
          <w:lang w:val="en-GB"/>
        </w:rPr>
      </w:pPr>
      <w:r>
        <w:rPr>
          <w:rFonts w:cs="Arial"/>
          <w:lang w:val="en-GB"/>
        </w:rPr>
        <w:t xml:space="preserve">The proposed financial </w:t>
      </w:r>
      <w:r w:rsidRPr="00E85510">
        <w:rPr>
          <w:rFonts w:cs="Arial"/>
        </w:rPr>
        <w:t>restructuring</w:t>
      </w:r>
      <w:r>
        <w:t xml:space="preserve"> </w:t>
      </w:r>
      <w:r>
        <w:rPr>
          <w:rFonts w:cs="Arial"/>
          <w:lang w:val="en-GB"/>
        </w:rPr>
        <w:t xml:space="preserve">options, includes; </w:t>
      </w:r>
      <w:r w:rsidRPr="00E85510">
        <w:rPr>
          <w:rFonts w:cs="Arial"/>
          <w:lang w:val="en-GB"/>
        </w:rPr>
        <w:t>divestiture, strategic merger/partnership, and equity injection</w:t>
      </w:r>
      <w:r>
        <w:rPr>
          <w:rFonts w:cs="Arial"/>
          <w:lang w:val="en-GB"/>
        </w:rPr>
        <w:t>. These can deliver some major implications for the GE’s shareholder values, capital structures, and operational flexibility. While being carefully managed, such measures can make a shift of the company from the financial distresses towards the sustainable recovery.</w:t>
      </w:r>
      <w:r w:rsidR="00313B2D">
        <w:rPr>
          <w:rFonts w:cs="Arial"/>
          <w:lang w:val="en-GB"/>
        </w:rPr>
        <w:t xml:space="preserve"> </w:t>
      </w:r>
    </w:p>
    <w:p w14:paraId="5018343F" w14:textId="6617A66B" w:rsidR="00313B2D" w:rsidRPr="00313B2D" w:rsidRDefault="00313B2D" w:rsidP="00BB7C35">
      <w:pPr>
        <w:rPr>
          <w:rFonts w:cs="Arial"/>
          <w:b/>
          <w:i/>
          <w:lang w:val="en-GB"/>
        </w:rPr>
      </w:pPr>
      <w:r w:rsidRPr="00313B2D">
        <w:rPr>
          <w:rFonts w:cs="Arial"/>
          <w:b/>
          <w:i/>
          <w:lang w:val="en-GB"/>
        </w:rPr>
        <w:t>Impact of shareholder value</w:t>
      </w:r>
    </w:p>
    <w:p w14:paraId="595DA000" w14:textId="76F96EF0" w:rsidR="002709C2" w:rsidRDefault="00BC4F2C" w:rsidP="00BB7C35">
      <w:pPr>
        <w:rPr>
          <w:rFonts w:cs="Arial"/>
          <w:b/>
          <w:lang w:val="en-GB"/>
        </w:rPr>
      </w:pPr>
      <w:r>
        <w:rPr>
          <w:rFonts w:cs="Arial"/>
          <w:lang w:val="en-GB"/>
        </w:rPr>
        <w:t xml:space="preserve">In short-term, the shareholder value might face a mixed effect, where the diversification of non-core assets can cause temporary revenue reduction if those still generates sales, but might improve the profitability by eliminating the loss-making operations and improvement of margin quality. This </w:t>
      </w:r>
      <w:r w:rsidR="006B6E83">
        <w:rPr>
          <w:rFonts w:cs="Arial"/>
          <w:lang w:val="en-GB"/>
        </w:rPr>
        <w:t>cause</w:t>
      </w:r>
      <w:r>
        <w:rPr>
          <w:rFonts w:cs="Arial"/>
          <w:lang w:val="en-GB"/>
        </w:rPr>
        <w:t xml:space="preserve"> better </w:t>
      </w:r>
      <w:r w:rsidR="00D06599">
        <w:rPr>
          <w:rFonts w:cs="Arial"/>
          <w:lang w:val="en-GB"/>
        </w:rPr>
        <w:t xml:space="preserve">long-term stock </w:t>
      </w:r>
      <w:r w:rsidR="00F934CF">
        <w:rPr>
          <w:rFonts w:cs="Arial"/>
          <w:lang w:val="en-GB"/>
        </w:rPr>
        <w:t>valuation as the investors gives rewards to the focuses and streamlines companies</w:t>
      </w:r>
      <w:r w:rsidR="00392F49">
        <w:rPr>
          <w:rFonts w:cs="Arial"/>
          <w:lang w:val="en-GB"/>
        </w:rPr>
        <w:t xml:space="preserve"> (</w:t>
      </w:r>
      <w:proofErr w:type="spellStart"/>
      <w:r w:rsidR="00392F49">
        <w:rPr>
          <w:rFonts w:cs="Arial"/>
          <w:shd w:val="clear" w:color="auto" w:fill="FFFFFF"/>
        </w:rPr>
        <w:t>Reiff</w:t>
      </w:r>
      <w:proofErr w:type="spellEnd"/>
      <w:r w:rsidR="00392F49">
        <w:rPr>
          <w:rFonts w:cs="Arial"/>
          <w:shd w:val="clear" w:color="auto" w:fill="FFFFFF"/>
        </w:rPr>
        <w:t xml:space="preserve"> and Mansa, 2025</w:t>
      </w:r>
      <w:r w:rsidR="00392F49">
        <w:rPr>
          <w:rFonts w:cs="Arial"/>
          <w:lang w:val="en-GB"/>
        </w:rPr>
        <w:t>)</w:t>
      </w:r>
      <w:r w:rsidR="00F934CF">
        <w:rPr>
          <w:rFonts w:cs="Arial"/>
          <w:lang w:val="en-GB"/>
        </w:rPr>
        <w:t xml:space="preserve">. </w:t>
      </w:r>
      <w:r w:rsidR="00653646">
        <w:rPr>
          <w:rFonts w:cs="Arial"/>
          <w:lang w:val="en-GB"/>
        </w:rPr>
        <w:t>The equity injection, even though it might dilute the current shareholder’s ownership, still necessitates</w:t>
      </w:r>
      <w:r w:rsidR="0091704A">
        <w:rPr>
          <w:rFonts w:cs="Arial"/>
          <w:lang w:val="en-GB"/>
        </w:rPr>
        <w:t xml:space="preserve"> for the prevention of the </w:t>
      </w:r>
      <w:r w:rsidR="009A0A1B">
        <w:rPr>
          <w:rFonts w:cs="Arial"/>
          <w:lang w:val="en-GB"/>
        </w:rPr>
        <w:t xml:space="preserve">further value </w:t>
      </w:r>
      <w:r w:rsidR="009A0A1B" w:rsidRPr="009A0A1B">
        <w:rPr>
          <w:rFonts w:cs="Arial"/>
          <w:lang w:val="en-GB"/>
        </w:rPr>
        <w:t>destruction</w:t>
      </w:r>
      <w:r w:rsidR="009A0A1B">
        <w:rPr>
          <w:rFonts w:cs="Arial"/>
          <w:lang w:val="en-GB"/>
        </w:rPr>
        <w:t xml:space="preserve">. In the current scenario, the organisation’s declining volume of equity (i.e. from </w:t>
      </w:r>
      <w:r w:rsidR="009A0A1B" w:rsidRPr="009A0A1B">
        <w:rPr>
          <w:rFonts w:cs="Arial"/>
          <w:lang w:val="en-GB"/>
        </w:rPr>
        <w:t>£313,301m in 2020 to £153,105m in 2024</w:t>
      </w:r>
      <w:r w:rsidR="009A0A1B">
        <w:rPr>
          <w:rFonts w:cs="Arial"/>
          <w:lang w:val="en-GB"/>
        </w:rPr>
        <w:t xml:space="preserve">) and persistent losses addresses a current erosion of the shareholder’s wealth. The fresh capital </w:t>
      </w:r>
      <w:r w:rsidR="00F511DD">
        <w:rPr>
          <w:rFonts w:cs="Arial"/>
          <w:lang w:val="en-GB"/>
        </w:rPr>
        <w:t>infusion can restore the confidence</w:t>
      </w:r>
      <w:r w:rsidR="00F71C00">
        <w:rPr>
          <w:rFonts w:cs="Arial"/>
          <w:lang w:val="en-GB"/>
        </w:rPr>
        <w:t xml:space="preserve">, strengthen the balance sheet and also support the profitable investments.   </w:t>
      </w:r>
    </w:p>
    <w:p w14:paraId="77CFF9C3" w14:textId="5C50C2D1" w:rsidR="002709C2" w:rsidRDefault="00727FCE" w:rsidP="00BB7C35">
      <w:pPr>
        <w:rPr>
          <w:rFonts w:cs="Arial"/>
          <w:b/>
          <w:i/>
          <w:lang w:val="en-GB"/>
        </w:rPr>
      </w:pPr>
      <w:r w:rsidRPr="00727FCE">
        <w:rPr>
          <w:rFonts w:cs="Arial"/>
          <w:b/>
          <w:i/>
          <w:lang w:val="en-GB"/>
        </w:rPr>
        <w:t xml:space="preserve">Impact on the debt structure </w:t>
      </w:r>
    </w:p>
    <w:p w14:paraId="214EAC36" w14:textId="65FD15D6" w:rsidR="00727FCE" w:rsidRDefault="00BF2BF9" w:rsidP="00BB7C35">
      <w:pPr>
        <w:rPr>
          <w:rFonts w:cs="Arial"/>
          <w:lang w:val="en-GB"/>
        </w:rPr>
      </w:pPr>
      <w:r>
        <w:rPr>
          <w:rFonts w:cs="Arial"/>
          <w:lang w:val="en-GB"/>
        </w:rPr>
        <w:t xml:space="preserve">The General electronics currently shows the rising </w:t>
      </w:r>
      <w:r w:rsidR="00EE5DA5">
        <w:rPr>
          <w:rFonts w:cs="Arial"/>
          <w:lang w:val="en-GB"/>
        </w:rPr>
        <w:t xml:space="preserve">reliance on the debt, with using dent-to-equity ratio is rising to 1.11, and addressed creditors are capable to finance more in the business, in compared to the shareholders. </w:t>
      </w:r>
      <w:r w:rsidR="009B0DBA">
        <w:rPr>
          <w:rFonts w:cs="Arial"/>
          <w:lang w:val="en-GB"/>
        </w:rPr>
        <w:t xml:space="preserve">The equity injection will improve this through lowering the leverage ratio, while making the organisation as more attractive to the lenders and rating agencies. Divesting the loss-making assets and using the proceeds for repaying the lines of credit can improve the coverage of interest and use proceeds to pay the lines of credit for improving interest coverage and reduction of financial risks. The </w:t>
      </w:r>
      <w:r w:rsidR="00F4200B">
        <w:rPr>
          <w:rFonts w:cs="Arial"/>
          <w:lang w:val="en-GB"/>
        </w:rPr>
        <w:t xml:space="preserve">strategic merger and alliance can allow the management to refine the </w:t>
      </w:r>
      <w:r w:rsidR="009D4289">
        <w:rPr>
          <w:rFonts w:cs="Arial"/>
          <w:lang w:val="en-GB"/>
        </w:rPr>
        <w:t xml:space="preserve">expensive short-term debt into the structured long-term debt, by smoothening the cash outflows and reduction of the risks related to refinancing processes.  </w:t>
      </w:r>
      <w:r w:rsidR="009B0DBA">
        <w:rPr>
          <w:rFonts w:cs="Arial"/>
          <w:lang w:val="en-GB"/>
        </w:rPr>
        <w:t xml:space="preserve">          </w:t>
      </w:r>
      <w:r w:rsidR="00EE5DA5">
        <w:rPr>
          <w:rFonts w:cs="Arial"/>
          <w:lang w:val="en-GB"/>
        </w:rPr>
        <w:t xml:space="preserve"> </w:t>
      </w:r>
    </w:p>
    <w:p w14:paraId="58751C60" w14:textId="77777777" w:rsidR="003402CB" w:rsidRDefault="003402CB" w:rsidP="00BB7C35">
      <w:pPr>
        <w:rPr>
          <w:rFonts w:cs="Arial"/>
          <w:b/>
          <w:i/>
          <w:lang w:val="en-GB"/>
        </w:rPr>
      </w:pPr>
      <w:r>
        <w:rPr>
          <w:rFonts w:cs="Arial"/>
          <w:b/>
          <w:i/>
          <w:lang w:val="en-GB"/>
        </w:rPr>
        <w:t xml:space="preserve">Impact on the operational flexibility </w:t>
      </w:r>
    </w:p>
    <w:p w14:paraId="49262F5A" w14:textId="75D585CE" w:rsidR="005D0E61" w:rsidRDefault="00307D0F" w:rsidP="00BB7C35">
      <w:pPr>
        <w:rPr>
          <w:rFonts w:cs="Arial"/>
          <w:lang w:val="en-GB"/>
        </w:rPr>
      </w:pPr>
      <w:r>
        <w:rPr>
          <w:rFonts w:cs="Arial"/>
          <w:lang w:val="en-GB"/>
        </w:rPr>
        <w:t>The operational r</w:t>
      </w:r>
      <w:r w:rsidRPr="00307D0F">
        <w:rPr>
          <w:rFonts w:cs="Arial"/>
          <w:lang w:val="en-GB"/>
        </w:rPr>
        <w:t>estructuring</w:t>
      </w:r>
      <w:r>
        <w:rPr>
          <w:rFonts w:cs="Arial"/>
          <w:lang w:val="en-GB"/>
        </w:rPr>
        <w:t xml:space="preserve"> can improve the operational flexibility, through divesting the non-core </w:t>
      </w:r>
      <w:r w:rsidR="000A709D">
        <w:rPr>
          <w:rFonts w:cs="Arial"/>
          <w:lang w:val="en-GB"/>
        </w:rPr>
        <w:t xml:space="preserve">units, management can focus on few </w:t>
      </w:r>
      <w:r w:rsidR="00C21C68">
        <w:rPr>
          <w:rFonts w:cs="Arial"/>
          <w:lang w:val="en-GB"/>
        </w:rPr>
        <w:t xml:space="preserve">but stronger business segments for enabling quicker </w:t>
      </w:r>
      <w:r w:rsidR="00722BE8">
        <w:rPr>
          <w:rFonts w:cs="Arial"/>
          <w:lang w:val="en-GB"/>
        </w:rPr>
        <w:t xml:space="preserve">strategic decisions and better allocation of resources. The strategic partnerships and mergers </w:t>
      </w:r>
      <w:r w:rsidR="00D6662F">
        <w:rPr>
          <w:rFonts w:cs="Arial"/>
          <w:lang w:val="en-GB"/>
        </w:rPr>
        <w:t xml:space="preserve">might provide </w:t>
      </w:r>
      <w:r w:rsidR="003F0C68">
        <w:rPr>
          <w:rFonts w:cs="Arial"/>
          <w:lang w:val="en-GB"/>
        </w:rPr>
        <w:t xml:space="preserve">an access to shared technologies, supply chain systems and market </w:t>
      </w:r>
      <w:r w:rsidR="00851889">
        <w:rPr>
          <w:rFonts w:cs="Arial"/>
          <w:lang w:val="en-GB"/>
        </w:rPr>
        <w:t xml:space="preserve">channels, for reducing the fixed costs while improving the operational efficiency. In addition to that, an improved level of liquidity position from the equity injection and asset sales can increase the ability of firm to make equity-injection and asset sales to increase the firm’s </w:t>
      </w:r>
      <w:r w:rsidR="001517C6">
        <w:rPr>
          <w:rFonts w:cs="Arial"/>
          <w:lang w:val="en-GB"/>
        </w:rPr>
        <w:t xml:space="preserve">ability in responding against market changes and investment in the innovations. </w:t>
      </w:r>
      <w:r w:rsidR="00F369F9">
        <w:rPr>
          <w:rFonts w:cs="Arial"/>
          <w:lang w:val="en-GB"/>
        </w:rPr>
        <w:t xml:space="preserve">With having stronger cash flows and lower financial stress, GE will have </w:t>
      </w:r>
      <w:r w:rsidR="000011A8">
        <w:rPr>
          <w:rFonts w:cs="Arial"/>
          <w:lang w:val="en-GB"/>
        </w:rPr>
        <w:t xml:space="preserve">greater freedom for applying the long-term strategies besides focusing on the short-term </w:t>
      </w:r>
      <w:r w:rsidR="0064482F">
        <w:rPr>
          <w:rFonts w:cs="Arial"/>
          <w:lang w:val="en-GB"/>
        </w:rPr>
        <w:t>survival of the business.</w:t>
      </w:r>
      <w:r w:rsidR="00F369F9">
        <w:rPr>
          <w:rFonts w:cs="Arial"/>
          <w:lang w:val="en-GB"/>
        </w:rPr>
        <w:t xml:space="preserve">  </w:t>
      </w:r>
    </w:p>
    <w:p w14:paraId="47DD5D69" w14:textId="5AFDC112" w:rsidR="003402CB" w:rsidRDefault="005D0E61" w:rsidP="00BB5C1D">
      <w:pPr>
        <w:pStyle w:val="Heading2"/>
      </w:pPr>
      <w:bookmarkStart w:id="14" w:name="_Toc214732271"/>
      <w:r w:rsidRPr="005D0E61">
        <w:t>3.3 International and ethical considerations in financial restructuring &amp; investment strategy</w:t>
      </w:r>
      <w:bookmarkEnd w:id="14"/>
      <w:r w:rsidRPr="005D0E61">
        <w:t xml:space="preserve"> </w:t>
      </w:r>
    </w:p>
    <w:p w14:paraId="53E4A34F" w14:textId="1B7B13B8" w:rsidR="005D0E61" w:rsidRDefault="00BA74EB" w:rsidP="00BB7C35">
      <w:pPr>
        <w:rPr>
          <w:rFonts w:cs="Arial"/>
          <w:lang w:val="en-GB"/>
        </w:rPr>
      </w:pPr>
      <w:r>
        <w:rPr>
          <w:rFonts w:cs="Arial"/>
          <w:lang w:val="en-GB"/>
        </w:rPr>
        <w:t>Being a multinational consumer electronic organisation, GE need</w:t>
      </w:r>
      <w:r w:rsidR="007F3867">
        <w:rPr>
          <w:rFonts w:cs="Arial"/>
          <w:lang w:val="en-GB"/>
        </w:rPr>
        <w:t>s</w:t>
      </w:r>
      <w:r>
        <w:rPr>
          <w:rFonts w:cs="Arial"/>
          <w:lang w:val="en-GB"/>
        </w:rPr>
        <w:t xml:space="preserve"> to consider both international financial factors and ethical responsibilities while applying </w:t>
      </w:r>
      <w:r w:rsidR="003A4923">
        <w:rPr>
          <w:rFonts w:cs="Arial"/>
          <w:lang w:val="en-GB"/>
        </w:rPr>
        <w:t>its</w:t>
      </w:r>
      <w:r>
        <w:rPr>
          <w:rFonts w:cs="Arial"/>
          <w:lang w:val="en-GB"/>
        </w:rPr>
        <w:t xml:space="preserve"> </w:t>
      </w:r>
      <w:r w:rsidRPr="00BA74EB">
        <w:rPr>
          <w:rFonts w:cs="Arial"/>
          <w:lang w:val="en-GB"/>
        </w:rPr>
        <w:t>restructuring</w:t>
      </w:r>
      <w:r>
        <w:rPr>
          <w:rFonts w:cs="Arial"/>
          <w:lang w:val="en-GB"/>
        </w:rPr>
        <w:t xml:space="preserve"> and investment decisions.  </w:t>
      </w:r>
    </w:p>
    <w:p w14:paraId="0F334817" w14:textId="72A774C3" w:rsidR="00AC4A09" w:rsidRDefault="0025679E" w:rsidP="00BB7C35">
      <w:pPr>
        <w:rPr>
          <w:rFonts w:cs="Arial"/>
          <w:lang w:val="en-GB"/>
        </w:rPr>
      </w:pPr>
      <w:r>
        <w:rPr>
          <w:rFonts w:cs="Arial"/>
          <w:lang w:val="en-GB"/>
        </w:rPr>
        <w:t xml:space="preserve">From the international perspective, taxation differences across the operating nations, can affect the profitability. The corporate tax rates, import duties and transfer pricing regulations might different widely between the regions namely; </w:t>
      </w:r>
      <w:r w:rsidRPr="0025679E">
        <w:rPr>
          <w:rFonts w:cs="Arial"/>
          <w:lang w:val="en-GB"/>
        </w:rPr>
        <w:t>Asia, Europe, and North America</w:t>
      </w:r>
      <w:r w:rsidR="0040660E">
        <w:rPr>
          <w:rFonts w:cs="Arial"/>
          <w:lang w:val="en-GB"/>
        </w:rPr>
        <w:t xml:space="preserve"> (</w:t>
      </w:r>
      <w:proofErr w:type="spellStart"/>
      <w:r w:rsidR="0040660E">
        <w:rPr>
          <w:rFonts w:cs="Arial"/>
          <w:color w:val="222222"/>
          <w:shd w:val="clear" w:color="auto" w:fill="FFFFFF"/>
        </w:rPr>
        <w:t>Tanasić</w:t>
      </w:r>
      <w:proofErr w:type="spellEnd"/>
      <w:r w:rsidR="0040660E">
        <w:rPr>
          <w:rFonts w:cs="Arial"/>
          <w:color w:val="222222"/>
          <w:shd w:val="clear" w:color="auto" w:fill="FFFFFF"/>
        </w:rPr>
        <w:t xml:space="preserve">, </w:t>
      </w:r>
      <w:r w:rsidR="0040660E" w:rsidRPr="000D39BC">
        <w:rPr>
          <w:rFonts w:cs="Arial"/>
          <w:color w:val="222222"/>
          <w:shd w:val="clear" w:color="auto" w:fill="FFFFFF"/>
        </w:rPr>
        <w:t>2019</w:t>
      </w:r>
      <w:r w:rsidR="0040660E">
        <w:rPr>
          <w:rFonts w:cs="Arial"/>
          <w:lang w:val="en-GB"/>
        </w:rPr>
        <w:t>)</w:t>
      </w:r>
      <w:r w:rsidRPr="0025679E">
        <w:rPr>
          <w:rFonts w:cs="Arial"/>
          <w:lang w:val="en-GB"/>
        </w:rPr>
        <w:t>.</w:t>
      </w:r>
      <w:r>
        <w:rPr>
          <w:rFonts w:cs="Arial"/>
          <w:lang w:val="en-GB"/>
        </w:rPr>
        <w:t xml:space="preserve"> If </w:t>
      </w:r>
      <w:r w:rsidR="00FC574E">
        <w:rPr>
          <w:rFonts w:cs="Arial"/>
          <w:lang w:val="en-GB"/>
        </w:rPr>
        <w:t xml:space="preserve">the business relocates production or headquarters or sells the subsidiaries, including; </w:t>
      </w:r>
      <w:r w:rsidR="00FC574E" w:rsidRPr="00FC574E">
        <w:rPr>
          <w:rFonts w:cs="Arial"/>
          <w:lang w:val="en-GB"/>
        </w:rPr>
        <w:t>tax implications</w:t>
      </w:r>
      <w:r w:rsidR="00FC574E">
        <w:rPr>
          <w:rFonts w:cs="Arial"/>
          <w:lang w:val="en-GB"/>
        </w:rPr>
        <w:t xml:space="preserve"> (</w:t>
      </w:r>
      <w:r w:rsidR="00FC574E" w:rsidRPr="00FC574E">
        <w:rPr>
          <w:rFonts w:cs="Arial"/>
          <w:lang w:val="en-GB"/>
        </w:rPr>
        <w:t>capital gains tax and withholding tax on dividends</w:t>
      </w:r>
      <w:r w:rsidR="00FC574E">
        <w:rPr>
          <w:rFonts w:cs="Arial"/>
          <w:lang w:val="en-GB"/>
        </w:rPr>
        <w:t xml:space="preserve">), it </w:t>
      </w:r>
      <w:r w:rsidR="00820119">
        <w:rPr>
          <w:rFonts w:cs="Arial"/>
          <w:lang w:val="en-GB"/>
        </w:rPr>
        <w:t>requires</w:t>
      </w:r>
      <w:r w:rsidR="00FC574E">
        <w:rPr>
          <w:rFonts w:cs="Arial"/>
          <w:lang w:val="en-GB"/>
        </w:rPr>
        <w:t xml:space="preserve"> to </w:t>
      </w:r>
      <w:r w:rsidR="00244164">
        <w:rPr>
          <w:rFonts w:cs="Arial"/>
          <w:lang w:val="en-GB"/>
        </w:rPr>
        <w:t xml:space="preserve">carefully assess the dividends. </w:t>
      </w:r>
      <w:r w:rsidR="00B64596">
        <w:rPr>
          <w:rFonts w:cs="Arial"/>
          <w:lang w:val="en-GB"/>
        </w:rPr>
        <w:t>The p</w:t>
      </w:r>
      <w:r w:rsidR="00BA645B">
        <w:rPr>
          <w:rFonts w:cs="Arial"/>
          <w:lang w:val="en-GB"/>
        </w:rPr>
        <w:t>o</w:t>
      </w:r>
      <w:r w:rsidR="00B64596">
        <w:rPr>
          <w:rFonts w:cs="Arial"/>
          <w:lang w:val="en-GB"/>
        </w:rPr>
        <w:t xml:space="preserve">or tax </w:t>
      </w:r>
      <w:r w:rsidR="00BA645B">
        <w:rPr>
          <w:rFonts w:cs="Arial"/>
          <w:lang w:val="en-GB"/>
        </w:rPr>
        <w:t xml:space="preserve">planning can reduce </w:t>
      </w:r>
      <w:r w:rsidR="00D63444">
        <w:rPr>
          <w:rFonts w:cs="Arial"/>
          <w:lang w:val="en-GB"/>
        </w:rPr>
        <w:t xml:space="preserve">the net benefits of the mergers, it becomes necessary for the organisation to adopt an efficient ethical tax </w:t>
      </w:r>
      <w:r w:rsidR="00233F30">
        <w:rPr>
          <w:rFonts w:cs="Arial"/>
          <w:lang w:val="en-GB"/>
        </w:rPr>
        <w:t xml:space="preserve">avoidance that can damage the corporate reputation. </w:t>
      </w:r>
      <w:r w:rsidR="00475A4C">
        <w:rPr>
          <w:rFonts w:cs="Arial"/>
          <w:lang w:val="en-GB"/>
        </w:rPr>
        <w:t xml:space="preserve">The currency risks can be noted as another major area of concern, as the business earns revenues and incurs costs in different currencies. </w:t>
      </w:r>
      <w:r w:rsidR="007D1160">
        <w:rPr>
          <w:rFonts w:cs="Arial"/>
          <w:lang w:val="en-GB"/>
        </w:rPr>
        <w:t>The volatility of the exchange rate can create a significant impact on the profit margins and cash flows, specifically if the major production facilities are located in low-cost nations.</w:t>
      </w:r>
    </w:p>
    <w:p w14:paraId="7692A6F5" w14:textId="40AE3BB0" w:rsidR="0040660E" w:rsidRPr="00133B62" w:rsidRDefault="00AC4A09" w:rsidP="00133B62">
      <w:pPr>
        <w:rPr>
          <w:rFonts w:cs="Arial"/>
          <w:lang w:val="en-GB"/>
        </w:rPr>
      </w:pPr>
      <w:r>
        <w:rPr>
          <w:rFonts w:cs="Arial"/>
          <w:lang w:val="en-GB"/>
        </w:rPr>
        <w:t xml:space="preserve">On the other hand, the inflationary pressures across the emerging nations can affect the cost of raw materials, labour and cost of logistics. The increasing global inflation increases cost of production and squeezes the weaker margins. As a response of this, GE need to consider the long-term supplier contracts, local </w:t>
      </w:r>
      <w:r w:rsidR="00ED2C86">
        <w:rPr>
          <w:rFonts w:cs="Arial"/>
          <w:lang w:val="en-GB"/>
        </w:rPr>
        <w:t>sourcing strategies and making selective price adjustments in the international markets for maintaining the competitiveness while protecting the price margins.</w:t>
      </w:r>
    </w:p>
    <w:p w14:paraId="7DE92F07" w14:textId="4C626A3E" w:rsidR="005E07B9" w:rsidRPr="00C97E51" w:rsidRDefault="005A5072" w:rsidP="00C97E51">
      <w:pPr>
        <w:pStyle w:val="Heading1"/>
      </w:pPr>
      <w:bookmarkStart w:id="15" w:name="_Toc214732272"/>
      <w:r w:rsidRPr="00C97E51">
        <w:t>4</w:t>
      </w:r>
      <w:r w:rsidR="005E07B9" w:rsidRPr="00C97E51">
        <w:t>. Investment Appraisal and Capital Budgeting</w:t>
      </w:r>
      <w:bookmarkEnd w:id="15"/>
      <w:r w:rsidR="005E07B9" w:rsidRPr="00C97E51">
        <w:t xml:space="preserve">  </w:t>
      </w:r>
    </w:p>
    <w:p w14:paraId="5C98F731" w14:textId="24BB0F9B" w:rsidR="0039291E" w:rsidRPr="005E07B9" w:rsidRDefault="005A5072" w:rsidP="0081010F">
      <w:pPr>
        <w:pStyle w:val="Heading2"/>
      </w:pPr>
      <w:bookmarkStart w:id="16" w:name="_Toc214732273"/>
      <w:r>
        <w:t>4</w:t>
      </w:r>
      <w:r w:rsidR="0039291E" w:rsidRPr="005E07B9">
        <w:t>.1 Investment Appraisal</w:t>
      </w:r>
      <w:bookmarkEnd w:id="16"/>
      <w:r w:rsidR="0039291E" w:rsidRPr="005E07B9">
        <w:t xml:space="preserve"> </w:t>
      </w:r>
    </w:p>
    <w:p w14:paraId="7F9F6ACF" w14:textId="7109B1A7" w:rsidR="00E25A50" w:rsidRPr="005E07B9" w:rsidRDefault="005A5072" w:rsidP="005E07B9">
      <w:pPr>
        <w:pStyle w:val="Heading3"/>
        <w:rPr>
          <w:rFonts w:cs="Arial"/>
        </w:rPr>
      </w:pPr>
      <w:bookmarkStart w:id="17" w:name="_Toc214732274"/>
      <w:r>
        <w:rPr>
          <w:rFonts w:cs="Arial"/>
        </w:rPr>
        <w:t>4</w:t>
      </w:r>
      <w:r w:rsidR="0039291E" w:rsidRPr="005E07B9">
        <w:rPr>
          <w:rFonts w:cs="Arial"/>
        </w:rPr>
        <w:t xml:space="preserve">.1.1 </w:t>
      </w:r>
      <w:r w:rsidR="0083744D" w:rsidRPr="005E07B9">
        <w:rPr>
          <w:rFonts w:cs="Arial"/>
        </w:rPr>
        <w:t>Project A</w:t>
      </w:r>
      <w:bookmarkEnd w:id="17"/>
    </w:p>
    <w:p w14:paraId="11E964B2" w14:textId="53D3A7A7" w:rsidR="00B81A31" w:rsidRPr="005E07B9" w:rsidRDefault="00635E96" w:rsidP="005E07B9">
      <w:pPr>
        <w:rPr>
          <w:rFonts w:cs="Arial"/>
          <w:b/>
          <w:bCs/>
          <w:i/>
          <w:iCs/>
          <w:lang w:val="en-GB"/>
        </w:rPr>
      </w:pPr>
      <w:r w:rsidRPr="005E07B9">
        <w:rPr>
          <w:rFonts w:cs="Arial"/>
          <w:b/>
          <w:bCs/>
          <w:i/>
          <w:iCs/>
          <w:lang w:val="en-GB"/>
        </w:rPr>
        <w:t xml:space="preserve">a) </w:t>
      </w:r>
      <w:r w:rsidR="00B81A31" w:rsidRPr="005E07B9">
        <w:rPr>
          <w:rFonts w:cs="Arial"/>
          <w:b/>
          <w:bCs/>
          <w:i/>
          <w:iCs/>
          <w:lang w:val="en-GB"/>
        </w:rPr>
        <w:t xml:space="preserve">Payback Period </w:t>
      </w:r>
    </w:p>
    <w:p w14:paraId="7FB98214" w14:textId="76839B51" w:rsidR="00B81A31" w:rsidRPr="005E07B9" w:rsidRDefault="00B81A31" w:rsidP="005E07B9">
      <w:pPr>
        <w:rPr>
          <w:rFonts w:cs="Arial"/>
          <w:lang w:val="en-GB"/>
        </w:rPr>
      </w:pPr>
      <w:r w:rsidRPr="005E07B9">
        <w:rPr>
          <w:rFonts w:cs="Arial"/>
          <w:lang w:val="en-GB"/>
        </w:rPr>
        <w:t xml:space="preserve">In project A, the payback period is estimated to be about 3.4 years. This implies that the project will be able to recoup its initial investment of 40 million pounds within a relatively short period of time, as cumulative cash inflows of the project will hit 36 million by year three. The short payback period </w:t>
      </w:r>
      <w:r w:rsidR="0019367F" w:rsidRPr="005E07B9">
        <w:rPr>
          <w:rFonts w:cs="Arial"/>
        </w:rPr>
        <w:t>reduces</w:t>
      </w:r>
      <w:r w:rsidR="005B16BB" w:rsidRPr="005E07B9">
        <w:rPr>
          <w:rFonts w:cs="Arial"/>
          <w:lang w:val="en-GB"/>
        </w:rPr>
        <w:t xml:space="preserve"> risk since the </w:t>
      </w:r>
      <w:r w:rsidR="009F0665" w:rsidRPr="005E07B9">
        <w:rPr>
          <w:rFonts w:cs="Arial"/>
        </w:rPr>
        <w:t xml:space="preserve">initial </w:t>
      </w:r>
      <w:r w:rsidR="005B16BB" w:rsidRPr="005E07B9">
        <w:rPr>
          <w:rFonts w:cs="Arial"/>
          <w:lang w:val="en-GB"/>
        </w:rPr>
        <w:t xml:space="preserve">investment is returned </w:t>
      </w:r>
      <w:r w:rsidR="009F0665" w:rsidRPr="005E07B9">
        <w:rPr>
          <w:rFonts w:cs="Arial"/>
        </w:rPr>
        <w:t xml:space="preserve">in a short period </w:t>
      </w:r>
      <w:r w:rsidR="00FA1543" w:rsidRPr="005E07B9">
        <w:rPr>
          <w:rFonts w:cs="Arial"/>
        </w:rPr>
        <w:t>(</w:t>
      </w:r>
      <w:r w:rsidR="00FA1543" w:rsidRPr="005E07B9">
        <w:rPr>
          <w:rFonts w:cs="Arial"/>
          <w:lang w:val="en-GB"/>
        </w:rPr>
        <w:t>Corporate Finance Institute</w:t>
      </w:r>
      <w:r w:rsidR="00FA1543" w:rsidRPr="005E07B9">
        <w:rPr>
          <w:rFonts w:cs="Arial"/>
        </w:rPr>
        <w:t xml:space="preserve">, </w:t>
      </w:r>
      <w:r w:rsidR="00FA1543" w:rsidRPr="005E07B9">
        <w:rPr>
          <w:rFonts w:cs="Arial"/>
          <w:lang w:val="en-GB"/>
        </w:rPr>
        <w:t>2025)</w:t>
      </w:r>
      <w:r w:rsidR="005B16BB" w:rsidRPr="005E07B9">
        <w:rPr>
          <w:rFonts w:cs="Arial"/>
        </w:rPr>
        <w:t>.</w:t>
      </w:r>
      <w:r w:rsidRPr="005E07B9">
        <w:rPr>
          <w:rFonts w:cs="Arial"/>
        </w:rPr>
        <w:t xml:space="preserve"> </w:t>
      </w:r>
      <w:r w:rsidR="00FA1543" w:rsidRPr="005E07B9">
        <w:rPr>
          <w:rFonts w:cs="Arial"/>
          <w:lang w:val="en-GB"/>
        </w:rPr>
        <w:t xml:space="preserve"> </w:t>
      </w:r>
      <w:r w:rsidR="009F0665" w:rsidRPr="005E07B9">
        <w:rPr>
          <w:rFonts w:cs="Arial"/>
        </w:rPr>
        <w:t xml:space="preserve">So, it is beneficial to choose </w:t>
      </w:r>
      <w:r w:rsidR="00FA1543" w:rsidRPr="005E07B9">
        <w:rPr>
          <w:rFonts w:cs="Arial"/>
          <w:lang w:val="en-GB"/>
        </w:rPr>
        <w:t xml:space="preserve">investments with </w:t>
      </w:r>
      <w:r w:rsidR="009F0665" w:rsidRPr="005E07B9">
        <w:rPr>
          <w:rFonts w:cs="Arial"/>
        </w:rPr>
        <w:t>short</w:t>
      </w:r>
      <w:r w:rsidR="00FA1543" w:rsidRPr="005E07B9">
        <w:rPr>
          <w:rFonts w:cs="Arial"/>
          <w:lang w:val="en-GB"/>
        </w:rPr>
        <w:t xml:space="preserve"> payback periods.</w:t>
      </w:r>
      <w:r w:rsidR="00FA1543" w:rsidRPr="005E07B9">
        <w:rPr>
          <w:rFonts w:cs="Arial"/>
          <w:color w:val="EE0000"/>
          <w:lang w:val="en-GB"/>
        </w:rPr>
        <w:t xml:space="preserve"> </w:t>
      </w:r>
    </w:p>
    <w:p w14:paraId="78829804" w14:textId="1CE772D1" w:rsidR="00B81A31" w:rsidRPr="005E07B9" w:rsidRDefault="00635E96" w:rsidP="005E07B9">
      <w:pPr>
        <w:rPr>
          <w:rFonts w:cs="Arial"/>
          <w:b/>
          <w:bCs/>
          <w:i/>
          <w:iCs/>
          <w:lang w:val="en-GB"/>
        </w:rPr>
      </w:pPr>
      <w:r w:rsidRPr="005E07B9">
        <w:rPr>
          <w:rFonts w:cs="Arial"/>
          <w:b/>
          <w:bCs/>
          <w:i/>
          <w:iCs/>
          <w:lang w:val="en-GB"/>
        </w:rPr>
        <w:t xml:space="preserve">b) </w:t>
      </w:r>
      <w:r w:rsidR="00B81A31" w:rsidRPr="005E07B9">
        <w:rPr>
          <w:rFonts w:cs="Arial"/>
          <w:b/>
          <w:bCs/>
          <w:i/>
          <w:iCs/>
          <w:lang w:val="en-GB"/>
        </w:rPr>
        <w:t>Accounting Rate of Return</w:t>
      </w:r>
    </w:p>
    <w:p w14:paraId="0F9C5845" w14:textId="568A6D37" w:rsidR="005A5072" w:rsidRPr="0040660E" w:rsidRDefault="00B81A31" w:rsidP="0040660E">
      <w:pPr>
        <w:rPr>
          <w:rFonts w:cs="Arial"/>
          <w:lang w:val="en-GB"/>
        </w:rPr>
      </w:pPr>
      <w:r w:rsidRPr="005E07B9">
        <w:rPr>
          <w:rFonts w:cs="Arial"/>
          <w:lang w:val="en-GB"/>
        </w:rPr>
        <w:t>Project A will have an ARR of 14</w:t>
      </w:r>
      <w:r w:rsidR="002A3DCA" w:rsidRPr="005E07B9">
        <w:rPr>
          <w:rFonts w:cs="Arial"/>
          <w:lang w:val="en-GB"/>
        </w:rPr>
        <w:t>%</w:t>
      </w:r>
      <w:r w:rsidRPr="005E07B9">
        <w:rPr>
          <w:rFonts w:cs="Arial"/>
          <w:lang w:val="en-GB"/>
        </w:rPr>
        <w:t xml:space="preserve"> using straight-line depreciation.  It emphasises profitability in terms of accounting, that is, the effectiveness of investment in terms of its performance during its life. </w:t>
      </w:r>
      <w:r w:rsidRPr="005E07B9">
        <w:rPr>
          <w:rFonts w:cs="Arial"/>
        </w:rPr>
        <w:t xml:space="preserve"> </w:t>
      </w:r>
      <w:r w:rsidR="0019367F" w:rsidRPr="005E07B9">
        <w:rPr>
          <w:rFonts w:cs="Arial"/>
          <w:lang w:val="en-GB"/>
        </w:rPr>
        <w:t xml:space="preserve">ARR does not consider the time value of money since it </w:t>
      </w:r>
      <w:r w:rsidR="0019367F" w:rsidRPr="005E07B9">
        <w:rPr>
          <w:rFonts w:cs="Arial"/>
        </w:rPr>
        <w:t>assumes</w:t>
      </w:r>
      <w:r w:rsidR="0019367F" w:rsidRPr="005E07B9">
        <w:rPr>
          <w:rFonts w:cs="Arial"/>
          <w:lang w:val="en-GB"/>
        </w:rPr>
        <w:t xml:space="preserve"> that accounting income in the future is equal to accounting income in the present (Vipond, 2025a).</w:t>
      </w:r>
      <w:r w:rsidR="0019367F" w:rsidRPr="005E07B9">
        <w:rPr>
          <w:rFonts w:cs="Arial"/>
          <w:color w:val="EE0000"/>
          <w:lang w:val="en-GB"/>
        </w:rPr>
        <w:t xml:space="preserve"> </w:t>
      </w:r>
      <w:r w:rsidRPr="005E07B9">
        <w:rPr>
          <w:rFonts w:cs="Arial"/>
          <w:lang w:val="en-GB"/>
        </w:rPr>
        <w:t>In the case of Project A, the ARR is positive, ind</w:t>
      </w:r>
      <w:r w:rsidR="0040660E">
        <w:rPr>
          <w:rFonts w:cs="Arial"/>
          <w:lang w:val="en-GB"/>
        </w:rPr>
        <w:t xml:space="preserve">icating that it is profitable. </w:t>
      </w:r>
    </w:p>
    <w:p w14:paraId="4B697F6D" w14:textId="1BF13574" w:rsidR="00B81A31" w:rsidRPr="005E07B9" w:rsidRDefault="00635E96" w:rsidP="005E07B9">
      <w:pPr>
        <w:rPr>
          <w:rFonts w:cs="Arial"/>
          <w:b/>
          <w:bCs/>
          <w:i/>
          <w:iCs/>
          <w:lang w:val="en-GB"/>
        </w:rPr>
      </w:pPr>
      <w:r w:rsidRPr="005E07B9">
        <w:rPr>
          <w:rFonts w:cs="Arial"/>
          <w:b/>
          <w:bCs/>
          <w:i/>
          <w:iCs/>
          <w:lang w:val="en-GB"/>
        </w:rPr>
        <w:t xml:space="preserve">c) </w:t>
      </w:r>
      <w:r w:rsidR="00B81A31" w:rsidRPr="005E07B9">
        <w:rPr>
          <w:rFonts w:cs="Arial"/>
          <w:b/>
          <w:bCs/>
          <w:i/>
          <w:iCs/>
          <w:lang w:val="en-GB"/>
        </w:rPr>
        <w:t>Net Present Value and Profitability Index</w:t>
      </w:r>
    </w:p>
    <w:p w14:paraId="773DA4D6" w14:textId="73CCFFDE" w:rsidR="00B81A31" w:rsidRPr="005E07B9" w:rsidRDefault="00B81A31" w:rsidP="005E07B9">
      <w:pPr>
        <w:rPr>
          <w:rFonts w:cs="Arial"/>
          <w:lang w:val="en-GB"/>
        </w:rPr>
      </w:pPr>
      <w:r w:rsidRPr="005E07B9">
        <w:rPr>
          <w:rFonts w:cs="Arial"/>
          <w:lang w:val="en-GB"/>
        </w:rPr>
        <w:t xml:space="preserve">When the discount rate is at 10%, Project A will yield a Net Present Value of </w:t>
      </w:r>
      <w:r w:rsidR="002A3DCA" w:rsidRPr="005E07B9">
        <w:rPr>
          <w:rFonts w:cs="Arial"/>
          <w:lang w:val="en-GB"/>
        </w:rPr>
        <w:t>£</w:t>
      </w:r>
      <w:r w:rsidRPr="005E07B9">
        <w:rPr>
          <w:rFonts w:cs="Arial"/>
          <w:lang w:val="en-GB"/>
        </w:rPr>
        <w:t>1.32 million and a Profitability Index of 1.03. Such numbers ensure that the project is marginally valuable over the cost of capital, and it is viable in terms of financial benefit but not of high profitability. The positive NPV validates that discounted cash inflows exceed the original capitalisation, and PI just above 1 indicates relative inefficiency in generating returns.</w:t>
      </w:r>
    </w:p>
    <w:p w14:paraId="7D02EC9C" w14:textId="0CD2C7BA" w:rsidR="00B81A31" w:rsidRPr="005E07B9" w:rsidRDefault="00635E96" w:rsidP="005E07B9">
      <w:pPr>
        <w:rPr>
          <w:rFonts w:cs="Arial"/>
          <w:i/>
          <w:iCs/>
          <w:lang w:val="en-GB"/>
        </w:rPr>
      </w:pPr>
      <w:r w:rsidRPr="005E07B9">
        <w:rPr>
          <w:rFonts w:cs="Arial"/>
          <w:b/>
          <w:bCs/>
          <w:i/>
          <w:iCs/>
          <w:lang w:val="en-GB"/>
        </w:rPr>
        <w:t xml:space="preserve">d) </w:t>
      </w:r>
      <w:r w:rsidR="00B81A31" w:rsidRPr="005E07B9">
        <w:rPr>
          <w:rFonts w:cs="Arial"/>
          <w:b/>
          <w:bCs/>
          <w:i/>
          <w:iCs/>
          <w:lang w:val="en-GB"/>
        </w:rPr>
        <w:t>Internal Rate of Return</w:t>
      </w:r>
    </w:p>
    <w:p w14:paraId="7AB931A6" w14:textId="701028FC" w:rsidR="0083744D" w:rsidRPr="005E07B9" w:rsidRDefault="0019367F" w:rsidP="005E07B9">
      <w:pPr>
        <w:rPr>
          <w:rFonts w:cs="Arial"/>
          <w:lang w:val="en-GB"/>
        </w:rPr>
      </w:pPr>
      <w:r w:rsidRPr="005E07B9">
        <w:rPr>
          <w:rFonts w:cs="Arial"/>
        </w:rPr>
        <w:t xml:space="preserve">The IRR refers to the interest rate at which the net present value of cash flows of the project would be equal to zero (Whitworth, 2023). </w:t>
      </w:r>
      <w:r w:rsidR="00B81A31" w:rsidRPr="005E07B9">
        <w:rPr>
          <w:rFonts w:cs="Arial"/>
        </w:rPr>
        <w:t>Project</w:t>
      </w:r>
      <w:r w:rsidR="00B81A31" w:rsidRPr="005E07B9">
        <w:rPr>
          <w:rFonts w:cs="Arial"/>
          <w:lang w:val="en-GB"/>
        </w:rPr>
        <w:t xml:space="preserve"> A has an Internal Rate of Return of around 11.55, which is slightly above a 10% discount rate. It indicates that the project is good, but with a limited rate of profit. This minor variation</w:t>
      </w:r>
      <w:r w:rsidR="00AE7886" w:rsidRPr="005E07B9">
        <w:rPr>
          <w:rFonts w:cs="Arial"/>
          <w:lang w:val="en-GB"/>
        </w:rPr>
        <w:t xml:space="preserve"> can</w:t>
      </w:r>
      <w:r w:rsidR="00B81A31" w:rsidRPr="005E07B9">
        <w:rPr>
          <w:rFonts w:cs="Arial"/>
          <w:lang w:val="en-GB"/>
        </w:rPr>
        <w:t xml:space="preserve"> </w:t>
      </w:r>
      <w:r w:rsidR="00AE7886" w:rsidRPr="005E07B9">
        <w:rPr>
          <w:rFonts w:cs="Arial"/>
          <w:lang w:val="en-GB"/>
        </w:rPr>
        <w:t>bring</w:t>
      </w:r>
      <w:r w:rsidR="00B81A31" w:rsidRPr="005E07B9">
        <w:rPr>
          <w:rFonts w:cs="Arial"/>
          <w:lang w:val="en-GB"/>
        </w:rPr>
        <w:t xml:space="preserve"> </w:t>
      </w:r>
      <w:r w:rsidR="00AE7886" w:rsidRPr="005E07B9">
        <w:rPr>
          <w:rFonts w:cs="Arial"/>
          <w:lang w:val="en-GB"/>
        </w:rPr>
        <w:t xml:space="preserve">risk, as </w:t>
      </w:r>
      <w:r w:rsidR="00B81A31" w:rsidRPr="005E07B9">
        <w:rPr>
          <w:rFonts w:cs="Arial"/>
          <w:lang w:val="en-GB"/>
        </w:rPr>
        <w:t xml:space="preserve">changes in the cost of financing or </w:t>
      </w:r>
      <w:r w:rsidR="00AE7886" w:rsidRPr="005E07B9">
        <w:rPr>
          <w:rFonts w:cs="Arial"/>
          <w:lang w:val="en-GB"/>
        </w:rPr>
        <w:t xml:space="preserve">other </w:t>
      </w:r>
      <w:r w:rsidR="00B81A31" w:rsidRPr="005E07B9">
        <w:rPr>
          <w:rFonts w:cs="Arial"/>
          <w:lang w:val="en-GB"/>
        </w:rPr>
        <w:t xml:space="preserve">risk factors. When the discount rates increase, the project might also become unattractive. Thus, IRR is not a measure of high performance but of moderate profitability, although it helps to determine the feasibility of an investment. </w:t>
      </w:r>
      <w:r w:rsidR="00B81A31" w:rsidRPr="005E07B9">
        <w:rPr>
          <w:rFonts w:cs="Arial"/>
          <w:b/>
          <w:bCs/>
          <w:lang w:val="en-GB"/>
        </w:rPr>
        <w:t xml:space="preserve"> </w:t>
      </w:r>
    </w:p>
    <w:p w14:paraId="398F1338" w14:textId="33764E86" w:rsidR="0083744D" w:rsidRPr="005E07B9" w:rsidRDefault="005A5072" w:rsidP="005E07B9">
      <w:pPr>
        <w:pStyle w:val="Heading3"/>
        <w:rPr>
          <w:rFonts w:cs="Arial"/>
        </w:rPr>
      </w:pPr>
      <w:bookmarkStart w:id="18" w:name="_Toc214732275"/>
      <w:r>
        <w:rPr>
          <w:rFonts w:cs="Arial"/>
        </w:rPr>
        <w:t>4</w:t>
      </w:r>
      <w:r w:rsidR="0039291E" w:rsidRPr="005E07B9">
        <w:rPr>
          <w:rFonts w:cs="Arial"/>
        </w:rPr>
        <w:t xml:space="preserve">.1.2 </w:t>
      </w:r>
      <w:r w:rsidR="0083744D" w:rsidRPr="005E07B9">
        <w:rPr>
          <w:rFonts w:cs="Arial"/>
        </w:rPr>
        <w:t>Project B</w:t>
      </w:r>
      <w:bookmarkEnd w:id="18"/>
    </w:p>
    <w:p w14:paraId="4907AE51" w14:textId="543E8F65" w:rsidR="00B81A31" w:rsidRPr="005E07B9" w:rsidRDefault="00635E96" w:rsidP="005E07B9">
      <w:pPr>
        <w:rPr>
          <w:rFonts w:cs="Arial"/>
          <w:b/>
          <w:bCs/>
          <w:i/>
          <w:iCs/>
          <w:lang w:val="en-GB"/>
        </w:rPr>
      </w:pPr>
      <w:r w:rsidRPr="005E07B9">
        <w:rPr>
          <w:rFonts w:cs="Arial"/>
          <w:b/>
          <w:bCs/>
          <w:i/>
          <w:iCs/>
          <w:lang w:val="en-GB"/>
        </w:rPr>
        <w:t xml:space="preserve">a) </w:t>
      </w:r>
      <w:r w:rsidR="00B81A31" w:rsidRPr="005E07B9">
        <w:rPr>
          <w:rFonts w:cs="Arial"/>
          <w:b/>
          <w:bCs/>
          <w:i/>
          <w:iCs/>
          <w:lang w:val="en-GB"/>
        </w:rPr>
        <w:t xml:space="preserve">Payback Period </w:t>
      </w:r>
    </w:p>
    <w:p w14:paraId="71A2B42E" w14:textId="561002A5" w:rsidR="00B81A31" w:rsidRPr="005E07B9" w:rsidRDefault="00D13307" w:rsidP="005E07B9">
      <w:pPr>
        <w:rPr>
          <w:rFonts w:cs="Arial"/>
          <w:lang w:val="en-GB"/>
        </w:rPr>
      </w:pPr>
      <w:r w:rsidRPr="005E07B9">
        <w:rPr>
          <w:rFonts w:cs="Arial"/>
          <w:lang w:val="en-GB"/>
        </w:rPr>
        <w:t xml:space="preserve">Project B takes five years to recoup the original investment of £30 million because the annual inflows of £6 million would slowly build up until the last year. A five-year payback period is quite long, and there is a risk of liquidity. The cash flows are predictable and steady, but the slow recovery makes it less flexible to reinvest, and they are less appealing to companies that would prefer faster returns or ones with insufficient capital. </w:t>
      </w:r>
    </w:p>
    <w:p w14:paraId="46B74120" w14:textId="10792D27" w:rsidR="00B81A31" w:rsidRPr="005E07B9" w:rsidRDefault="00635E96" w:rsidP="005E07B9">
      <w:pPr>
        <w:rPr>
          <w:rFonts w:cs="Arial"/>
          <w:b/>
          <w:bCs/>
          <w:i/>
          <w:iCs/>
          <w:lang w:val="en-GB"/>
        </w:rPr>
      </w:pPr>
      <w:r w:rsidRPr="005E07B9">
        <w:rPr>
          <w:rFonts w:cs="Arial"/>
          <w:b/>
          <w:bCs/>
          <w:i/>
          <w:iCs/>
          <w:lang w:val="en-GB"/>
        </w:rPr>
        <w:t xml:space="preserve">b) </w:t>
      </w:r>
      <w:r w:rsidR="00B81A31" w:rsidRPr="005E07B9">
        <w:rPr>
          <w:rFonts w:cs="Arial"/>
          <w:b/>
          <w:bCs/>
          <w:i/>
          <w:iCs/>
          <w:lang w:val="en-GB"/>
        </w:rPr>
        <w:t>Accounting Rate of Return</w:t>
      </w:r>
    </w:p>
    <w:p w14:paraId="5F20780C" w14:textId="69B4A8CD" w:rsidR="00D13307" w:rsidRPr="005E07B9" w:rsidRDefault="004E1A9E" w:rsidP="005E07B9">
      <w:pPr>
        <w:rPr>
          <w:rFonts w:cs="Arial"/>
          <w:lang w:val="en-GB"/>
        </w:rPr>
      </w:pPr>
      <w:r w:rsidRPr="005E07B9">
        <w:rPr>
          <w:rFonts w:cs="Arial"/>
        </w:rPr>
        <w:t xml:space="preserve">Accounting rate of return (ARR) is used to assess the yearly rate of investment (Saleh, 2025). </w:t>
      </w:r>
      <w:r w:rsidR="00D13307" w:rsidRPr="005E07B9">
        <w:rPr>
          <w:rFonts w:cs="Arial"/>
          <w:lang w:val="en-GB"/>
        </w:rPr>
        <w:t xml:space="preserve">On straight-line depreciation, Project B records an ARR of 0. This is due to the fact that annual cash inflows are equal to depreciation expenses, and accounts do not record a profit over the five years. The project has steady cash generation, but it does not provide profitability from an accounting viewpoint. A zero ARR implies low value generation to shareholders and indicates the poor performance of the project as opposed to other projects that have positive returns. </w:t>
      </w:r>
    </w:p>
    <w:p w14:paraId="61238709" w14:textId="45FEC651" w:rsidR="00B81A31" w:rsidRPr="005E07B9" w:rsidRDefault="00635E96" w:rsidP="005E07B9">
      <w:pPr>
        <w:rPr>
          <w:rFonts w:cs="Arial"/>
          <w:b/>
          <w:bCs/>
          <w:i/>
          <w:iCs/>
          <w:lang w:val="en-GB"/>
        </w:rPr>
      </w:pPr>
      <w:r w:rsidRPr="005E07B9">
        <w:rPr>
          <w:rFonts w:cs="Arial"/>
          <w:b/>
          <w:bCs/>
          <w:i/>
          <w:iCs/>
          <w:lang w:val="en-GB"/>
        </w:rPr>
        <w:t xml:space="preserve">c) </w:t>
      </w:r>
      <w:r w:rsidR="00B81A31" w:rsidRPr="005E07B9">
        <w:rPr>
          <w:rFonts w:cs="Arial"/>
          <w:b/>
          <w:bCs/>
          <w:i/>
          <w:iCs/>
          <w:lang w:val="en-GB"/>
        </w:rPr>
        <w:t>Net Present Value</w:t>
      </w:r>
      <w:r w:rsidR="00D13307" w:rsidRPr="005E07B9">
        <w:rPr>
          <w:rFonts w:cs="Arial"/>
          <w:b/>
          <w:bCs/>
          <w:i/>
          <w:iCs/>
          <w:lang w:val="en-GB"/>
        </w:rPr>
        <w:t xml:space="preserve"> and </w:t>
      </w:r>
      <w:r w:rsidR="00B81A31" w:rsidRPr="005E07B9">
        <w:rPr>
          <w:rFonts w:cs="Arial"/>
          <w:b/>
          <w:bCs/>
          <w:i/>
          <w:iCs/>
          <w:lang w:val="en-GB"/>
        </w:rPr>
        <w:t>Profitability Index</w:t>
      </w:r>
    </w:p>
    <w:p w14:paraId="768CCD20" w14:textId="526177A4" w:rsidR="00D13307" w:rsidRPr="005E07B9" w:rsidRDefault="00D13307" w:rsidP="005E07B9">
      <w:pPr>
        <w:rPr>
          <w:rFonts w:cs="Arial"/>
          <w:lang w:val="en-GB"/>
        </w:rPr>
      </w:pPr>
      <w:r w:rsidRPr="005E07B9">
        <w:rPr>
          <w:rFonts w:cs="Arial"/>
          <w:lang w:val="en-GB"/>
        </w:rPr>
        <w:t xml:space="preserve">Project B will have a negative NPV of -7.26 million pounds and PI of 0.76 at a discount rate of 10%. Such findings reveal that the new project does not produce enough discounted cash inflows to pay the initial capital. </w:t>
      </w:r>
      <w:r w:rsidR="004E1A9E" w:rsidRPr="005E07B9">
        <w:rPr>
          <w:rFonts w:cs="Arial"/>
          <w:lang w:val="en-GB"/>
        </w:rPr>
        <w:t xml:space="preserve">PI below 1 indicates that the investment is not economically viable (Paoli </w:t>
      </w:r>
      <w:r w:rsidR="004E1A9E" w:rsidRPr="005E07B9">
        <w:rPr>
          <w:rFonts w:cs="Arial"/>
          <w:i/>
          <w:iCs/>
          <w:lang w:val="en-GB"/>
        </w:rPr>
        <w:t>et al.</w:t>
      </w:r>
      <w:r w:rsidR="00EF58AA" w:rsidRPr="005E07B9">
        <w:rPr>
          <w:rFonts w:cs="Arial"/>
          <w:i/>
          <w:iCs/>
          <w:lang w:val="en-GB"/>
        </w:rPr>
        <w:t>,</w:t>
      </w:r>
      <w:r w:rsidR="00EF58AA" w:rsidRPr="005E07B9">
        <w:rPr>
          <w:rFonts w:cs="Arial"/>
          <w:lang w:val="en-GB"/>
        </w:rPr>
        <w:t xml:space="preserve"> </w:t>
      </w:r>
      <w:r w:rsidR="004E1A9E" w:rsidRPr="005E07B9">
        <w:rPr>
          <w:rFonts w:cs="Arial"/>
          <w:lang w:val="en-GB"/>
        </w:rPr>
        <w:t>2025).</w:t>
      </w:r>
      <w:r w:rsidR="004E1A9E" w:rsidRPr="005E07B9">
        <w:rPr>
          <w:rFonts w:cs="Arial"/>
          <w:color w:val="EE0000"/>
          <w:lang w:val="en-GB"/>
        </w:rPr>
        <w:t xml:space="preserve"> </w:t>
      </w:r>
      <w:r w:rsidRPr="005E07B9">
        <w:rPr>
          <w:rFonts w:cs="Arial"/>
          <w:lang w:val="en-GB"/>
        </w:rPr>
        <w:t xml:space="preserve">Financially, Project B does not attract as compared to alternatives that produce positive returns exceeding the cost of capital. </w:t>
      </w:r>
    </w:p>
    <w:p w14:paraId="7E998B47" w14:textId="2E96CAAE" w:rsidR="0083744D" w:rsidRPr="005E07B9" w:rsidRDefault="00635E96" w:rsidP="005E07B9">
      <w:pPr>
        <w:rPr>
          <w:rFonts w:cs="Arial"/>
          <w:b/>
          <w:bCs/>
          <w:i/>
          <w:iCs/>
          <w:lang w:val="en-GB"/>
        </w:rPr>
      </w:pPr>
      <w:r w:rsidRPr="005E07B9">
        <w:rPr>
          <w:rFonts w:cs="Arial"/>
          <w:b/>
          <w:bCs/>
          <w:i/>
          <w:iCs/>
          <w:lang w:val="en-GB"/>
        </w:rPr>
        <w:t xml:space="preserve">d) </w:t>
      </w:r>
      <w:r w:rsidR="00B81A31" w:rsidRPr="005E07B9">
        <w:rPr>
          <w:rFonts w:cs="Arial"/>
          <w:b/>
          <w:bCs/>
          <w:i/>
          <w:iCs/>
          <w:lang w:val="en-GB"/>
        </w:rPr>
        <w:t xml:space="preserve">Internal Rate of Return </w:t>
      </w:r>
    </w:p>
    <w:p w14:paraId="51C11361" w14:textId="71303D1E" w:rsidR="00D13307" w:rsidRPr="005E07B9" w:rsidRDefault="00D13307" w:rsidP="005E07B9">
      <w:pPr>
        <w:rPr>
          <w:rFonts w:cs="Arial"/>
          <w:lang w:val="en-GB"/>
        </w:rPr>
      </w:pPr>
      <w:r w:rsidRPr="005E07B9">
        <w:rPr>
          <w:rFonts w:cs="Arial"/>
          <w:lang w:val="en-GB"/>
        </w:rPr>
        <w:t xml:space="preserve">The Internal Rate of Return on Project B is determined to be 0. This points to the fact that there is no actual return on investments when the time value of money is taken into consideration.  As the outcome indicates a lack of financial feasibility, the investment appraisal does not make Project B an appropriate option. </w:t>
      </w:r>
    </w:p>
    <w:p w14:paraId="69DDFCC4" w14:textId="4A65F9AE" w:rsidR="0083744D" w:rsidRPr="005E07B9" w:rsidRDefault="005A5072" w:rsidP="005E07B9">
      <w:pPr>
        <w:pStyle w:val="Heading3"/>
        <w:rPr>
          <w:rFonts w:cs="Arial"/>
        </w:rPr>
      </w:pPr>
      <w:bookmarkStart w:id="19" w:name="_Toc214732276"/>
      <w:r>
        <w:rPr>
          <w:rFonts w:cs="Arial"/>
        </w:rPr>
        <w:t>4</w:t>
      </w:r>
      <w:r w:rsidR="0039291E" w:rsidRPr="005E07B9">
        <w:rPr>
          <w:rFonts w:cs="Arial"/>
        </w:rPr>
        <w:t xml:space="preserve">.1.3 </w:t>
      </w:r>
      <w:r w:rsidR="0083744D" w:rsidRPr="005E07B9">
        <w:rPr>
          <w:rFonts w:cs="Arial"/>
        </w:rPr>
        <w:t>Project C</w:t>
      </w:r>
      <w:bookmarkEnd w:id="19"/>
    </w:p>
    <w:p w14:paraId="6968139E" w14:textId="6CA48AF1" w:rsidR="00B81A31" w:rsidRPr="005E07B9" w:rsidRDefault="00635E96" w:rsidP="005E07B9">
      <w:pPr>
        <w:rPr>
          <w:rFonts w:cs="Arial"/>
          <w:b/>
          <w:bCs/>
          <w:i/>
          <w:iCs/>
          <w:lang w:val="en-GB"/>
        </w:rPr>
      </w:pPr>
      <w:r w:rsidRPr="005E07B9">
        <w:rPr>
          <w:rFonts w:cs="Arial"/>
          <w:b/>
          <w:bCs/>
          <w:i/>
          <w:iCs/>
          <w:lang w:val="en-GB"/>
        </w:rPr>
        <w:t xml:space="preserve">a) </w:t>
      </w:r>
      <w:r w:rsidR="00B81A31" w:rsidRPr="005E07B9">
        <w:rPr>
          <w:rFonts w:cs="Arial"/>
          <w:b/>
          <w:bCs/>
          <w:i/>
          <w:iCs/>
          <w:lang w:val="en-GB"/>
        </w:rPr>
        <w:t xml:space="preserve">Payback Period </w:t>
      </w:r>
    </w:p>
    <w:p w14:paraId="52CB46E7" w14:textId="5AEF5678" w:rsidR="00D13307" w:rsidRPr="005E07B9" w:rsidRDefault="00D13307" w:rsidP="005E07B9">
      <w:pPr>
        <w:rPr>
          <w:rFonts w:cs="Arial"/>
          <w:lang w:val="en-GB"/>
        </w:rPr>
      </w:pPr>
      <w:r w:rsidRPr="005E07B9">
        <w:rPr>
          <w:rFonts w:cs="Arial"/>
          <w:lang w:val="en-GB"/>
        </w:rPr>
        <w:t xml:space="preserve">The payback of project C is about 3.6 years, and the payback is recovered in the fourth year. This is a relatively short period that has good liquidity because the project starts to give good returns after year three. Even though the initial inflows are small, the rise in the third and fourth years boosts recovery. The payback period demonstrates less risk of investment. </w:t>
      </w:r>
    </w:p>
    <w:p w14:paraId="58C57235" w14:textId="4224F6CD" w:rsidR="00B81A31" w:rsidRPr="005E07B9" w:rsidRDefault="00635E96" w:rsidP="005E07B9">
      <w:pPr>
        <w:rPr>
          <w:rFonts w:cs="Arial"/>
          <w:b/>
          <w:bCs/>
          <w:i/>
          <w:iCs/>
          <w:lang w:val="en-GB"/>
        </w:rPr>
      </w:pPr>
      <w:r w:rsidRPr="005E07B9">
        <w:rPr>
          <w:rFonts w:cs="Arial"/>
          <w:b/>
          <w:bCs/>
          <w:i/>
          <w:iCs/>
          <w:lang w:val="en-GB"/>
        </w:rPr>
        <w:t xml:space="preserve">b) </w:t>
      </w:r>
      <w:r w:rsidR="00B81A31" w:rsidRPr="005E07B9">
        <w:rPr>
          <w:rFonts w:cs="Arial"/>
          <w:b/>
          <w:bCs/>
          <w:i/>
          <w:iCs/>
          <w:lang w:val="en-GB"/>
        </w:rPr>
        <w:t>Accounting Rate of Return</w:t>
      </w:r>
    </w:p>
    <w:p w14:paraId="4B997805" w14:textId="37AF6AA3" w:rsidR="00D13307" w:rsidRPr="005E07B9" w:rsidRDefault="006D1F5B" w:rsidP="005E07B9">
      <w:pPr>
        <w:rPr>
          <w:rFonts w:cs="Arial"/>
          <w:lang w:val="en-GB"/>
        </w:rPr>
      </w:pPr>
      <w:r w:rsidRPr="005E07B9">
        <w:rPr>
          <w:rFonts w:cs="Arial"/>
          <w:lang w:val="en-GB"/>
        </w:rPr>
        <w:t xml:space="preserve">Under straight-line depreciation, Project C incurs an ARR of 20%. It is a good accounting performance, which shows that the project is very profitable in comparison to the capital base. The ARR implies effective utilisation of funds and robust shareholder value creation. </w:t>
      </w:r>
    </w:p>
    <w:p w14:paraId="10520FFA" w14:textId="199C2255" w:rsidR="00B81A31" w:rsidRPr="005E07B9" w:rsidRDefault="00635E96" w:rsidP="005E07B9">
      <w:pPr>
        <w:rPr>
          <w:rFonts w:cs="Arial"/>
          <w:b/>
          <w:bCs/>
          <w:i/>
          <w:iCs/>
          <w:lang w:val="en-GB"/>
        </w:rPr>
      </w:pPr>
      <w:r w:rsidRPr="005E07B9">
        <w:rPr>
          <w:rFonts w:cs="Arial"/>
          <w:b/>
          <w:bCs/>
          <w:i/>
          <w:iCs/>
          <w:lang w:val="en-GB"/>
        </w:rPr>
        <w:t xml:space="preserve">c) </w:t>
      </w:r>
      <w:r w:rsidR="00B81A31" w:rsidRPr="005E07B9">
        <w:rPr>
          <w:rFonts w:cs="Arial"/>
          <w:b/>
          <w:bCs/>
          <w:i/>
          <w:iCs/>
          <w:lang w:val="en-GB"/>
        </w:rPr>
        <w:t>Net Present Value</w:t>
      </w:r>
      <w:r w:rsidR="00D13307" w:rsidRPr="005E07B9">
        <w:rPr>
          <w:rFonts w:cs="Arial"/>
          <w:b/>
          <w:bCs/>
          <w:i/>
          <w:iCs/>
          <w:lang w:val="en-GB"/>
        </w:rPr>
        <w:t xml:space="preserve"> and </w:t>
      </w:r>
      <w:r w:rsidR="00B81A31" w:rsidRPr="005E07B9">
        <w:rPr>
          <w:rFonts w:cs="Arial"/>
          <w:b/>
          <w:bCs/>
          <w:i/>
          <w:iCs/>
          <w:lang w:val="en-GB"/>
        </w:rPr>
        <w:t>Profitability Index</w:t>
      </w:r>
    </w:p>
    <w:p w14:paraId="4EFABCF3" w14:textId="4EB9A4A7" w:rsidR="006D1F5B" w:rsidRPr="005E07B9" w:rsidRDefault="006D1F5B" w:rsidP="005E07B9">
      <w:pPr>
        <w:rPr>
          <w:rFonts w:cs="Arial"/>
          <w:lang w:val="en-GB"/>
        </w:rPr>
      </w:pPr>
      <w:r w:rsidRPr="005E07B9">
        <w:rPr>
          <w:rFonts w:cs="Arial"/>
          <w:lang w:val="en-GB"/>
        </w:rPr>
        <w:t xml:space="preserve">Project C has a positive NPV of </w:t>
      </w:r>
      <w:r w:rsidR="002A3DCA" w:rsidRPr="005E07B9">
        <w:rPr>
          <w:rFonts w:cs="Arial"/>
          <w:lang w:val="en-GB"/>
        </w:rPr>
        <w:t>£</w:t>
      </w:r>
      <w:r w:rsidRPr="005E07B9">
        <w:rPr>
          <w:rFonts w:cs="Arial"/>
          <w:lang w:val="en-GB"/>
        </w:rPr>
        <w:t xml:space="preserve">4.23 million and PI 1.08. These findings mean that the project will generate a value that is greater than the cost of capital, and it is financially viable. </w:t>
      </w:r>
      <w:r w:rsidR="004E1A9E" w:rsidRPr="005E07B9">
        <w:rPr>
          <w:rFonts w:cs="Arial"/>
        </w:rPr>
        <w:t xml:space="preserve">A PI of greater than 1 is a good indication of profitability and efficiency in its resource allocation (Wibowo and Damayanti, 2025). </w:t>
      </w:r>
      <w:r w:rsidRPr="005E07B9">
        <w:rPr>
          <w:rFonts w:cs="Arial"/>
        </w:rPr>
        <w:t>Project</w:t>
      </w:r>
      <w:r w:rsidRPr="005E07B9">
        <w:rPr>
          <w:rFonts w:cs="Arial"/>
          <w:lang w:val="en-GB"/>
        </w:rPr>
        <w:t xml:space="preserve"> C shows a better wealth creation potential than other projects</w:t>
      </w:r>
      <w:r w:rsidR="00276CEE" w:rsidRPr="005E07B9">
        <w:rPr>
          <w:rFonts w:cs="Arial"/>
          <w:lang w:val="en-GB"/>
        </w:rPr>
        <w:t>.</w:t>
      </w:r>
    </w:p>
    <w:p w14:paraId="373BA58A" w14:textId="78B73615" w:rsidR="00B81A31" w:rsidRPr="005E07B9" w:rsidRDefault="00635E96" w:rsidP="005E07B9">
      <w:pPr>
        <w:rPr>
          <w:rFonts w:cs="Arial"/>
          <w:b/>
          <w:bCs/>
          <w:i/>
          <w:iCs/>
          <w:lang w:val="en-GB"/>
        </w:rPr>
      </w:pPr>
      <w:r w:rsidRPr="005E07B9">
        <w:rPr>
          <w:rFonts w:cs="Arial"/>
          <w:b/>
          <w:bCs/>
          <w:i/>
          <w:iCs/>
          <w:lang w:val="en-GB"/>
        </w:rPr>
        <w:t>d)</w:t>
      </w:r>
      <w:r w:rsidR="00B81A31" w:rsidRPr="005E07B9">
        <w:rPr>
          <w:rFonts w:cs="Arial"/>
          <w:b/>
          <w:bCs/>
          <w:i/>
          <w:iCs/>
          <w:lang w:val="en-GB"/>
        </w:rPr>
        <w:t xml:space="preserve">Internal Rate of Return </w:t>
      </w:r>
    </w:p>
    <w:p w14:paraId="13181E48" w14:textId="11AB5035" w:rsidR="006D1F5B" w:rsidRPr="005E07B9" w:rsidRDefault="006D1F5B" w:rsidP="005E07B9">
      <w:pPr>
        <w:rPr>
          <w:rFonts w:cs="Arial"/>
          <w:lang w:val="en-GB"/>
        </w:rPr>
      </w:pPr>
      <w:r w:rsidRPr="005E07B9">
        <w:rPr>
          <w:rFonts w:cs="Arial"/>
          <w:lang w:val="en-GB"/>
        </w:rPr>
        <w:t xml:space="preserve">Project C has an Internal Rate of Return of around 13.14. </w:t>
      </w:r>
      <w:r w:rsidR="004E1A9E" w:rsidRPr="005E07B9">
        <w:rPr>
          <w:rFonts w:cs="Arial"/>
          <w:lang w:val="en-GB"/>
        </w:rPr>
        <w:t xml:space="preserve">As the IRR is bigger than the cost of capital so this is a good investment (Vipond, 2025b). </w:t>
      </w:r>
      <w:r w:rsidRPr="005E07B9">
        <w:rPr>
          <w:rFonts w:cs="Arial"/>
          <w:lang w:val="en-GB"/>
        </w:rPr>
        <w:t xml:space="preserve">The </w:t>
      </w:r>
      <w:r w:rsidR="004E1A9E" w:rsidRPr="005E07B9">
        <w:rPr>
          <w:rFonts w:cs="Arial"/>
          <w:lang w:val="en-GB"/>
        </w:rPr>
        <w:t xml:space="preserve">high IRR makes </w:t>
      </w:r>
      <w:r w:rsidRPr="005E07B9">
        <w:rPr>
          <w:rFonts w:cs="Arial"/>
          <w:lang w:val="en-GB"/>
        </w:rPr>
        <w:t xml:space="preserve">Project C a good project to maximise shareholders' value. </w:t>
      </w:r>
    </w:p>
    <w:p w14:paraId="6AE92082" w14:textId="7D1B6CF2" w:rsidR="009F0665" w:rsidRPr="005E07B9" w:rsidRDefault="006D1F5B" w:rsidP="005E07B9">
      <w:pPr>
        <w:rPr>
          <w:rFonts w:cs="Arial"/>
          <w:lang w:val="en-GB"/>
        </w:rPr>
      </w:pPr>
      <w:r w:rsidRPr="005E07B9">
        <w:rPr>
          <w:rFonts w:cs="Arial"/>
          <w:lang w:val="en-GB"/>
        </w:rPr>
        <w:t xml:space="preserve">Project A is showing moderate viability with a payback of 3.4 years, ARR of 14, and a </w:t>
      </w:r>
      <w:r w:rsidR="002A3DCA" w:rsidRPr="005E07B9">
        <w:rPr>
          <w:rFonts w:cs="Arial"/>
          <w:lang w:val="en-GB"/>
        </w:rPr>
        <w:t>positive</w:t>
      </w:r>
      <w:r w:rsidRPr="005E07B9">
        <w:rPr>
          <w:rFonts w:cs="Arial"/>
          <w:lang w:val="en-GB"/>
        </w:rPr>
        <w:t xml:space="preserve"> NPV value. Project B is poor, as it will take five years to break even, as the project will not give any ARR, negative NPV, and the IRR is 0, indicating a </w:t>
      </w:r>
      <w:r w:rsidR="006060B7" w:rsidRPr="005E07B9">
        <w:rPr>
          <w:rFonts w:cs="Arial"/>
          <w:lang w:val="en-GB"/>
        </w:rPr>
        <w:t>zero-real</w:t>
      </w:r>
      <w:r w:rsidRPr="005E07B9">
        <w:rPr>
          <w:rFonts w:cs="Arial"/>
          <w:lang w:val="en-GB"/>
        </w:rPr>
        <w:t xml:space="preserve"> payoff. Project C is best, as it has the highest ARR of 20, a positive NPV of </w:t>
      </w:r>
      <w:r w:rsidR="002A3DCA" w:rsidRPr="005E07B9">
        <w:rPr>
          <w:rFonts w:cs="Arial"/>
          <w:lang w:val="en-GB"/>
        </w:rPr>
        <w:t>£</w:t>
      </w:r>
      <w:r w:rsidRPr="005E07B9">
        <w:rPr>
          <w:rFonts w:cs="Arial"/>
          <w:lang w:val="en-GB"/>
        </w:rPr>
        <w:t>4.23</w:t>
      </w:r>
      <w:r w:rsidR="002A3DCA" w:rsidRPr="005E07B9">
        <w:rPr>
          <w:rFonts w:cs="Arial"/>
          <w:lang w:val="en-GB"/>
        </w:rPr>
        <w:t xml:space="preserve"> million</w:t>
      </w:r>
      <w:r w:rsidRPr="005E07B9">
        <w:rPr>
          <w:rFonts w:cs="Arial"/>
          <w:lang w:val="en-GB"/>
        </w:rPr>
        <w:t xml:space="preserve">, a PI greater than 1, and an IRR of 13.14. </w:t>
      </w:r>
    </w:p>
    <w:p w14:paraId="7777BE0A" w14:textId="77777777" w:rsidR="005A5072" w:rsidRPr="008217B4" w:rsidRDefault="005A5072" w:rsidP="008217B4">
      <w:pPr>
        <w:rPr>
          <w:rFonts w:cs="Arial"/>
          <w:b/>
        </w:rPr>
      </w:pPr>
      <w:r w:rsidRPr="008217B4">
        <w:rPr>
          <w:rFonts w:cs="Arial"/>
          <w:b/>
        </w:rPr>
        <w:t xml:space="preserve">4.2 Final investment recommendation under capital rationing              </w:t>
      </w:r>
    </w:p>
    <w:p w14:paraId="47C29040" w14:textId="77777777" w:rsidR="005A5072" w:rsidRPr="008217B4" w:rsidRDefault="005A5072" w:rsidP="008217B4">
      <w:pPr>
        <w:rPr>
          <w:rFonts w:cs="Arial"/>
        </w:rPr>
      </w:pPr>
      <w:r w:rsidRPr="008217B4">
        <w:rPr>
          <w:rFonts w:cs="Arial"/>
        </w:rPr>
        <w:t>Under the capital rationing constraint of £60 million, the General Electronics need to priorities the projects that can maximize the shareholder value while remaining within the expected budget. Based on the investment appraisal results in the calculation, Project C (£50 million) needs to be selected as the primary investment. This delivers highest financial value indicator, with having positive NPV of £4.23 million as a profitability Index or PI of 1.08 and an IRR of 13.14% which is higher than 10% of the cost of capital. This also has a short-term payment period of 3.6 years, while supporting the recovery of liquidity. This makes Project C as the best standalone value-creating option.</w:t>
      </w:r>
    </w:p>
    <w:p w14:paraId="02C3BABF" w14:textId="7F0D6CDF" w:rsidR="00AB3927" w:rsidRPr="0040660E" w:rsidRDefault="005A5072" w:rsidP="0040660E">
      <w:pPr>
        <w:rPr>
          <w:rFonts w:cs="Arial"/>
        </w:rPr>
      </w:pPr>
      <w:r w:rsidRPr="008217B4">
        <w:rPr>
          <w:rFonts w:cs="Arial"/>
        </w:rPr>
        <w:t>After the selection of the project C, only £10 million of the capital budget remains, that is insufficient for funding project A (£40 million), or Project B (£30 million). In this case, no additional project can be undertaken without exceeding the budget, even though Project A has marginally positive NPV of £1.32 million and PI has been above of “1”. Its return is weaker for project C, and includes A and C which can exceed the</w:t>
      </w:r>
      <w:r w:rsidR="0040660E">
        <w:rPr>
          <w:rFonts w:cs="Arial"/>
        </w:rPr>
        <w:t xml:space="preserve"> capital limit at £90 million. </w:t>
      </w:r>
    </w:p>
    <w:p w14:paraId="3349DE71" w14:textId="5C6AA834" w:rsidR="005A5072" w:rsidRPr="008217B4" w:rsidRDefault="005A5072" w:rsidP="008217B4">
      <w:pPr>
        <w:rPr>
          <w:rFonts w:cs="Arial"/>
          <w:b/>
        </w:rPr>
      </w:pPr>
      <w:r w:rsidRPr="008217B4">
        <w:rPr>
          <w:rFonts w:cs="Arial"/>
          <w:b/>
        </w:rPr>
        <w:t xml:space="preserve">4.3 Justification of investment recommendations based on the financial performance             </w:t>
      </w:r>
    </w:p>
    <w:p w14:paraId="33E768BF" w14:textId="77777777" w:rsidR="005A5072" w:rsidRPr="008217B4" w:rsidRDefault="005A5072" w:rsidP="008217B4">
      <w:pPr>
        <w:rPr>
          <w:rFonts w:cs="Arial"/>
        </w:rPr>
      </w:pPr>
      <w:r w:rsidRPr="008217B4">
        <w:rPr>
          <w:rFonts w:cs="Arial"/>
        </w:rPr>
        <w:t xml:space="preserve">The recommendation of prioritizing the Project C under the capital rationing is strongly justified when being assessed against the General Electronics’ current financial conditions and risk profile of the projects. The organization is facing some serious profitability challenges, with the net losses of £24,029 million in 2024 and a negative ROE of –15.69%, has addressed a destruction of the shareholder’s value. In such scenario, it is necessary to make selection of only those type of investments that can enhance the profitability and enhance the positive economic values creations. Project C has been positioned as the highest Net present Value of £4.23 million and strongest ARR of 20%, in compared to the Project A’s moderate ARR of 14% and project B’s zero ARR. This has demonstrated that project C offers superior long-term profitability option that is critical for the organization which is struggling to restore the stability of earning.     </w:t>
      </w:r>
    </w:p>
    <w:p w14:paraId="4FAA3D1B" w14:textId="77777777" w:rsidR="005A5072" w:rsidRPr="008217B4" w:rsidRDefault="005A5072" w:rsidP="008217B4">
      <w:pPr>
        <w:rPr>
          <w:rFonts w:cs="Arial"/>
        </w:rPr>
      </w:pPr>
      <w:r w:rsidRPr="008217B4">
        <w:rPr>
          <w:rFonts w:cs="Arial"/>
        </w:rPr>
        <w:t xml:space="preserve">From the liquidity perspective, General electronics’ operating cash flow ratio has weakened to 0.09 in FY2024, which reflects tight short-term liquidity. On this note, project selection needs to consider not only the profitability but also the speed of cash recovery. Project C has a relatively short payback period of 3.6 years that is necessary due to the quicker cash recovery for reducing financial strains and dependency on the eternal borrowings. In contrast to that, Project B’s longer 5 year payback period has increased the liquidity risk which is unsuitable for the business that is facing a cash pressure. In terms of the risk characteristics, Project C performs better, and its IRR of 13.14% exceeds the 10% cost of capital of the organization by providing a risk buffer against the economic and cost fluctuations.        </w:t>
      </w:r>
    </w:p>
    <w:p w14:paraId="50F706DB" w14:textId="77777777" w:rsidR="005A5072" w:rsidRPr="008217B4" w:rsidRDefault="005A5072" w:rsidP="008217B4">
      <w:pPr>
        <w:rPr>
          <w:rFonts w:cs="Arial"/>
          <w:b/>
          <w:sz w:val="28"/>
        </w:rPr>
      </w:pPr>
      <w:r w:rsidRPr="008217B4">
        <w:rPr>
          <w:rFonts w:cs="Arial"/>
          <w:b/>
          <w:sz w:val="28"/>
        </w:rPr>
        <w:t xml:space="preserve">Conclusion        </w:t>
      </w:r>
    </w:p>
    <w:p w14:paraId="37A2B147" w14:textId="2FCED56D" w:rsidR="005A5072" w:rsidRDefault="005A5072" w:rsidP="008217B4">
      <w:pPr>
        <w:rPr>
          <w:rFonts w:cs="Arial"/>
          <w:b/>
          <w:bCs/>
          <w:sz w:val="26"/>
          <w:szCs w:val="26"/>
          <w:lang w:val="en-GB"/>
        </w:rPr>
      </w:pPr>
      <w:r w:rsidRPr="008217B4">
        <w:rPr>
          <w:rFonts w:cs="Arial"/>
        </w:rPr>
        <w:t>The assessment addressed serious financial deterioration, which has been identified by the failing profitability, weaker cash flows and increasing leverages. Through having a structured ratio analysis, risk assessment and investment appraisals under the capital monitoring, Project C can be identified as the most value-driven option. Applying the working capital reforms are necessary in this case for restoring the liquidity and long-term stability.</w:t>
      </w:r>
      <w:r>
        <w:t xml:space="preserve">                </w:t>
      </w:r>
      <w:r>
        <w:rPr>
          <w:rFonts w:cs="Arial"/>
        </w:rPr>
        <w:br w:type="page"/>
      </w:r>
    </w:p>
    <w:p w14:paraId="75E9E978" w14:textId="4528571C" w:rsidR="00454A99" w:rsidRPr="00C97E51" w:rsidRDefault="009F0665" w:rsidP="00003F3F">
      <w:pPr>
        <w:pStyle w:val="Heading1"/>
      </w:pPr>
      <w:bookmarkStart w:id="20" w:name="_Toc214732277"/>
      <w:r w:rsidRPr="00003F3F">
        <w:t>Reference</w:t>
      </w:r>
      <w:r w:rsidRPr="00C97E51">
        <w:t xml:space="preserve"> List</w:t>
      </w:r>
      <w:bookmarkEnd w:id="20"/>
    </w:p>
    <w:p w14:paraId="20ACDD54" w14:textId="77777777" w:rsidR="00B92FEE" w:rsidRPr="000D39BC" w:rsidRDefault="00B92FEE" w:rsidP="00B92FEE">
      <w:r w:rsidRPr="000D39BC">
        <w:t xml:space="preserve">CFI (2024a). </w:t>
      </w:r>
      <w:r w:rsidRPr="000D39BC">
        <w:rPr>
          <w:i/>
        </w:rPr>
        <w:t>Altman’s Z-Score Model.</w:t>
      </w:r>
      <w:r w:rsidRPr="000D39BC">
        <w:t xml:space="preserve"> Available at: </w:t>
      </w:r>
      <w:hyperlink r:id="rId11" w:history="1">
        <w:r w:rsidRPr="000D39BC">
          <w:rPr>
            <w:rStyle w:val="Hyperlink"/>
            <w:rFonts w:cs="Arial"/>
          </w:rPr>
          <w:t>https://corporatefinanceinstitute.com/resources/commercial-lending/altmans-z-score-model/</w:t>
        </w:r>
      </w:hyperlink>
      <w:r w:rsidRPr="000D39BC">
        <w:t xml:space="preserve"> (Accessed on 19th Nov 2025)</w:t>
      </w:r>
    </w:p>
    <w:p w14:paraId="22B39E15" w14:textId="77777777" w:rsidR="00B92FEE" w:rsidRPr="000D39BC" w:rsidRDefault="00B92FEE" w:rsidP="00B92FEE">
      <w:r w:rsidRPr="000D39BC">
        <w:t xml:space="preserve">CFI (2024b). Cash Conversion Cycle. Available at: </w:t>
      </w:r>
      <w:hyperlink r:id="rId12" w:anchor=":~:text=Cash%20Conversion%20Cycle%20=%20DIO%20+%20DSO,Outstanding.%20DPO%20stands%20for%20Days%20Payable%20Outstanding" w:history="1">
        <w:r w:rsidRPr="000D39BC">
          <w:rPr>
            <w:rStyle w:val="Hyperlink"/>
            <w:rFonts w:cs="Arial"/>
          </w:rPr>
          <w:t>https://corporatefinanceinstitute.com/resources/accounting/cash-conversion-cycle/</w:t>
        </w:r>
      </w:hyperlink>
      <w:r w:rsidRPr="000D39BC">
        <w:t xml:space="preserve"> (Accessed on 19th Nov 2025)</w:t>
      </w:r>
    </w:p>
    <w:p w14:paraId="5FC458CE" w14:textId="77777777" w:rsidR="00B92FEE" w:rsidRPr="000D39BC" w:rsidRDefault="00B92FEE" w:rsidP="00B92FEE">
      <w:r w:rsidRPr="000D39BC">
        <w:t xml:space="preserve">CFI (2024c). </w:t>
      </w:r>
      <w:r w:rsidRPr="000D39BC">
        <w:rPr>
          <w:i/>
        </w:rPr>
        <w:t>Days Inventory Outstanding</w:t>
      </w:r>
      <w:r w:rsidRPr="000D39BC">
        <w:t xml:space="preserve">. Available at: </w:t>
      </w:r>
      <w:hyperlink r:id="rId13" w:history="1">
        <w:r w:rsidRPr="000D39BC">
          <w:rPr>
            <w:rStyle w:val="Hyperlink"/>
            <w:rFonts w:cs="Arial"/>
          </w:rPr>
          <w:t>https://corporatefinanceinstitute.com/resources/accounting/days-inventory-outstanding-dio/</w:t>
        </w:r>
      </w:hyperlink>
      <w:r w:rsidRPr="000D39BC">
        <w:t xml:space="preserve"> (Accessed on 19th Nov 2025)</w:t>
      </w:r>
    </w:p>
    <w:p w14:paraId="0A8FB420" w14:textId="77777777" w:rsidR="00B92FEE" w:rsidRPr="000D39BC" w:rsidRDefault="00B92FEE" w:rsidP="00B92FEE">
      <w:r w:rsidRPr="000D39BC">
        <w:t xml:space="preserve">Cole, E., (2025). General Electric: Growth potential after restructuring and new stock market records. </w:t>
      </w:r>
      <w:proofErr w:type="spellStart"/>
      <w:r w:rsidRPr="000D39BC">
        <w:rPr>
          <w:i/>
        </w:rPr>
        <w:t>Ginfi</w:t>
      </w:r>
      <w:proofErr w:type="spellEnd"/>
      <w:r w:rsidRPr="000D39BC">
        <w:t xml:space="preserve">. Available at: </w:t>
      </w:r>
      <w:hyperlink r:id="rId14" w:anchor=":~:text=GE%20Aerospace%20shares%20reached%20an,of%20grid%20software%20and%20infrastructure" w:history="1">
        <w:r w:rsidRPr="000D39BC">
          <w:rPr>
            <w:rStyle w:val="Hyperlink"/>
            <w:rFonts w:cs="Arial"/>
          </w:rPr>
          <w:t>https://ginfi.com/general-electric-growth-potential-after-restructuring-and-new-stock-market-records/</w:t>
        </w:r>
      </w:hyperlink>
      <w:r w:rsidRPr="000D39BC">
        <w:t xml:space="preserve"> (Accessed on 18th Nov 2025)</w:t>
      </w:r>
    </w:p>
    <w:p w14:paraId="45FDE892" w14:textId="77777777" w:rsidR="00B92FEE" w:rsidRPr="005E07B9" w:rsidRDefault="00B92FEE" w:rsidP="00B92FEE">
      <w:r w:rsidRPr="005E07B9">
        <w:t xml:space="preserve">Corporate Finance Institute (2025) </w:t>
      </w:r>
      <w:r w:rsidRPr="005E07B9">
        <w:rPr>
          <w:i/>
          <w:iCs/>
        </w:rPr>
        <w:t>Payback Period</w:t>
      </w:r>
      <w:r w:rsidRPr="005E07B9">
        <w:t xml:space="preserve">. Available at: </w:t>
      </w:r>
      <w:hyperlink r:id="rId15" w:history="1">
        <w:r w:rsidRPr="005E07B9">
          <w:rPr>
            <w:rStyle w:val="Hyperlink"/>
            <w:rFonts w:cs="Arial"/>
          </w:rPr>
          <w:t>https://corporatefinanceinstitute.com/resources/financial-modeling/payback-period/</w:t>
        </w:r>
      </w:hyperlink>
      <w:r w:rsidRPr="005E07B9">
        <w:t xml:space="preserve"> (Accessed: 22 November 2025).</w:t>
      </w:r>
    </w:p>
    <w:p w14:paraId="38D004AD" w14:textId="77777777" w:rsidR="00B92FEE" w:rsidRPr="000D39BC" w:rsidRDefault="00B92FEE" w:rsidP="00B92FEE">
      <w:r w:rsidRPr="000D39BC">
        <w:t xml:space="preserve">Hansen, S., (2025). </w:t>
      </w:r>
      <w:r w:rsidRPr="000D39BC">
        <w:rPr>
          <w:i/>
        </w:rPr>
        <w:t>General Electric: From Industrial Giant to Modern Spinoffs</w:t>
      </w:r>
      <w:r w:rsidRPr="000D39BC">
        <w:t xml:space="preserve">. Available at: </w:t>
      </w:r>
      <w:hyperlink r:id="rId16" w:history="1">
        <w:r w:rsidRPr="000D39BC">
          <w:rPr>
            <w:rStyle w:val="Hyperlink"/>
            <w:rFonts w:cs="Arial"/>
          </w:rPr>
          <w:t>https://www.investopedia.com/insights/rise-and-fall-ge/</w:t>
        </w:r>
      </w:hyperlink>
      <w:r w:rsidRPr="000D39BC">
        <w:t xml:space="preserve"> (Accessed on 18th Nov 2025)</w:t>
      </w:r>
    </w:p>
    <w:p w14:paraId="1F50404F" w14:textId="77777777" w:rsidR="00B92FEE" w:rsidRPr="000D39BC" w:rsidRDefault="00B92FEE" w:rsidP="00B92FEE">
      <w:proofErr w:type="spellStart"/>
      <w:r w:rsidRPr="000D39BC">
        <w:t>Highradius</w:t>
      </w:r>
      <w:proofErr w:type="spellEnd"/>
      <w:r w:rsidRPr="000D39BC">
        <w:t xml:space="preserve"> (2025). </w:t>
      </w:r>
      <w:r w:rsidRPr="000D39BC">
        <w:rPr>
          <w:i/>
        </w:rPr>
        <w:t>10 Powerful Tips for Collecting Accounts Receivable in the Modern Day.</w:t>
      </w:r>
      <w:r w:rsidRPr="000D39BC">
        <w:t xml:space="preserve"> Available at: </w:t>
      </w:r>
      <w:hyperlink r:id="rId17" w:history="1">
        <w:r w:rsidRPr="000D39BC">
          <w:rPr>
            <w:rStyle w:val="Hyperlink"/>
            <w:rFonts w:cs="Arial"/>
          </w:rPr>
          <w:t>https://www.highradius.com/resources/Blog/collecting-accounts-receivable/</w:t>
        </w:r>
      </w:hyperlink>
      <w:r w:rsidRPr="000D39BC">
        <w:t xml:space="preserve"> (Accessed on 19th Nov 2025)</w:t>
      </w:r>
    </w:p>
    <w:p w14:paraId="64BFD9E8" w14:textId="77777777" w:rsidR="00B92FEE" w:rsidRDefault="00B92FEE" w:rsidP="00B92FEE">
      <w:pPr>
        <w:rPr>
          <w:shd w:val="clear" w:color="auto" w:fill="FFFFFF"/>
        </w:rPr>
      </w:pPr>
      <w:r w:rsidRPr="000D39BC">
        <w:rPr>
          <w:shd w:val="clear" w:color="auto" w:fill="FFFFFF"/>
        </w:rPr>
        <w:t>Mallick, S. K. (2020). Managing Accounts Payable for Optimizing working Capital. </w:t>
      </w:r>
      <w:r w:rsidRPr="000D39BC">
        <w:rPr>
          <w:i/>
          <w:iCs/>
          <w:shd w:val="clear" w:color="auto" w:fill="FFFFFF"/>
        </w:rPr>
        <w:t>A Few Thoughts Feature Articles</w:t>
      </w:r>
      <w:r w:rsidRPr="000D39BC">
        <w:rPr>
          <w:shd w:val="clear" w:color="auto" w:fill="FFFFFF"/>
        </w:rPr>
        <w:t xml:space="preserve">, 4. </w:t>
      </w:r>
      <w:r>
        <w:rPr>
          <w:shd w:val="clear" w:color="auto" w:fill="FFFFFF"/>
        </w:rPr>
        <w:t>Available at:</w:t>
      </w:r>
      <w:r w:rsidRPr="000D39BC">
        <w:t xml:space="preserve"> </w:t>
      </w:r>
      <w:hyperlink r:id="rId18" w:anchor="page=4" w:history="1">
        <w:r w:rsidRPr="007F1154">
          <w:rPr>
            <w:rStyle w:val="Hyperlink"/>
            <w:rFonts w:cs="Arial"/>
            <w:shd w:val="clear" w:color="auto" w:fill="FFFFFF"/>
          </w:rPr>
          <w:t>https://www.researchgate.net/profile/Preeti-Aagneya-Alias-Avani-Bharadwaj/publication/392515480_Contents_A_Few_Thoughts_Feature_Articles_1_Managing_Accounts_Payable_for_Optimizing_working_Capital_2_Remote_Management_of_Equipment_in_mines_3_Customer_Servicing_for_B2B_Steel_Industry_4_HR_re-imagin/links/684670868a76251f22ec5f32/Contents-A-Few-Thoughts-Feature-Articles-1-Managing-Accounts-Payable-for-Optimizing-working-Capital-2-Remote-Management-of-Equipment-in-mines-3-Customer-Servicing-for-B2B-Steel-Industry-4-HR-re-imagin.pdf#page=4</w:t>
        </w:r>
      </w:hyperlink>
      <w:r>
        <w:rPr>
          <w:shd w:val="clear" w:color="auto" w:fill="FFFFFF"/>
        </w:rPr>
        <w:t xml:space="preserve"> </w:t>
      </w:r>
    </w:p>
    <w:p w14:paraId="2F1796DD" w14:textId="77777777" w:rsidR="00B92FEE" w:rsidRDefault="00B92FEE" w:rsidP="00B92FEE">
      <w:pPr>
        <w:rPr>
          <w:shd w:val="clear" w:color="auto" w:fill="FFFFFF"/>
        </w:rPr>
      </w:pPr>
      <w:proofErr w:type="spellStart"/>
      <w:r w:rsidRPr="000D39BC">
        <w:rPr>
          <w:color w:val="222222"/>
          <w:shd w:val="clear" w:color="auto" w:fill="FFFFFF"/>
        </w:rPr>
        <w:t>Mavlutova</w:t>
      </w:r>
      <w:proofErr w:type="spellEnd"/>
      <w:r w:rsidRPr="000D39BC">
        <w:rPr>
          <w:color w:val="222222"/>
          <w:shd w:val="clear" w:color="auto" w:fill="FFFFFF"/>
        </w:rPr>
        <w:t xml:space="preserve">, I., </w:t>
      </w:r>
      <w:proofErr w:type="spellStart"/>
      <w:r w:rsidRPr="000D39BC">
        <w:rPr>
          <w:color w:val="222222"/>
          <w:shd w:val="clear" w:color="auto" w:fill="FFFFFF"/>
        </w:rPr>
        <w:t>Babenko</w:t>
      </w:r>
      <w:proofErr w:type="spellEnd"/>
      <w:r w:rsidRPr="000D39BC">
        <w:rPr>
          <w:color w:val="222222"/>
          <w:shd w:val="clear" w:color="auto" w:fill="FFFFFF"/>
        </w:rPr>
        <w:t>, V., Dykan, V., Pro</w:t>
      </w:r>
      <w:r>
        <w:rPr>
          <w:color w:val="222222"/>
          <w:shd w:val="clear" w:color="auto" w:fill="FFFFFF"/>
        </w:rPr>
        <w:t xml:space="preserve">kopenko, N., </w:t>
      </w:r>
      <w:proofErr w:type="spellStart"/>
      <w:r>
        <w:rPr>
          <w:color w:val="222222"/>
          <w:shd w:val="clear" w:color="auto" w:fill="FFFFFF"/>
        </w:rPr>
        <w:t>Kalinichenko</w:t>
      </w:r>
      <w:proofErr w:type="spellEnd"/>
      <w:r>
        <w:rPr>
          <w:color w:val="222222"/>
          <w:shd w:val="clear" w:color="auto" w:fill="FFFFFF"/>
        </w:rPr>
        <w:t>, S., and</w:t>
      </w:r>
      <w:r w:rsidRPr="000D39BC">
        <w:rPr>
          <w:color w:val="222222"/>
          <w:shd w:val="clear" w:color="auto" w:fill="FFFFFF"/>
        </w:rPr>
        <w:t xml:space="preserve"> </w:t>
      </w:r>
      <w:proofErr w:type="spellStart"/>
      <w:r w:rsidRPr="000D39BC">
        <w:rPr>
          <w:color w:val="222222"/>
          <w:shd w:val="clear" w:color="auto" w:fill="FFFFFF"/>
        </w:rPr>
        <w:t>Tokmakova</w:t>
      </w:r>
      <w:proofErr w:type="spellEnd"/>
      <w:r w:rsidRPr="000D39BC">
        <w:rPr>
          <w:color w:val="222222"/>
          <w:shd w:val="clear" w:color="auto" w:fill="FFFFFF"/>
        </w:rPr>
        <w:t xml:space="preserve">, I. (2021). Business restructuring as a method of </w:t>
      </w:r>
      <w:proofErr w:type="spellStart"/>
      <w:r w:rsidRPr="000D39BC">
        <w:rPr>
          <w:color w:val="222222"/>
          <w:shd w:val="clear" w:color="auto" w:fill="FFFFFF"/>
        </w:rPr>
        <w:t>strengtening</w:t>
      </w:r>
      <w:proofErr w:type="spellEnd"/>
      <w:r w:rsidRPr="000D39BC">
        <w:rPr>
          <w:color w:val="222222"/>
          <w:shd w:val="clear" w:color="auto" w:fill="FFFFFF"/>
        </w:rPr>
        <w:t xml:space="preserve"> company’s financial position. </w:t>
      </w:r>
      <w:r w:rsidRPr="000D39BC">
        <w:rPr>
          <w:i/>
          <w:iCs/>
          <w:color w:val="222222"/>
          <w:shd w:val="clear" w:color="auto" w:fill="FFFFFF"/>
        </w:rPr>
        <w:t>Journal of Optimization in Industrial Engineering</w:t>
      </w:r>
      <w:r w:rsidRPr="000D39BC">
        <w:rPr>
          <w:color w:val="222222"/>
          <w:shd w:val="clear" w:color="auto" w:fill="FFFFFF"/>
        </w:rPr>
        <w:t>, </w:t>
      </w:r>
      <w:r w:rsidRPr="000D39BC">
        <w:rPr>
          <w:i/>
          <w:iCs/>
          <w:color w:val="222222"/>
          <w:shd w:val="clear" w:color="auto" w:fill="FFFFFF"/>
        </w:rPr>
        <w:t>14</w:t>
      </w:r>
      <w:r w:rsidRPr="000D39BC">
        <w:rPr>
          <w:color w:val="222222"/>
          <w:shd w:val="clear" w:color="auto" w:fill="FFFFFF"/>
        </w:rPr>
        <w:t xml:space="preserve">(1), 129-139. </w:t>
      </w:r>
      <w:r>
        <w:rPr>
          <w:shd w:val="clear" w:color="auto" w:fill="FFFFFF"/>
        </w:rPr>
        <w:t>Available at:</w:t>
      </w:r>
      <w:r w:rsidRPr="000D39BC">
        <w:t xml:space="preserve"> </w:t>
      </w:r>
      <w:hyperlink r:id="rId19" w:history="1">
        <w:r w:rsidRPr="007F1154">
          <w:rPr>
            <w:rStyle w:val="Hyperlink"/>
            <w:rFonts w:cs="Arial"/>
            <w:shd w:val="clear" w:color="auto" w:fill="FFFFFF"/>
          </w:rPr>
          <w:t>https://www.academia.edu/download/81063588/article_677839_cd06f5c50b09f28acf4802268302e8ba.pdf</w:t>
        </w:r>
      </w:hyperlink>
      <w:r>
        <w:rPr>
          <w:shd w:val="clear" w:color="auto" w:fill="FFFFFF"/>
        </w:rPr>
        <w:t xml:space="preserve"> </w:t>
      </w:r>
    </w:p>
    <w:p w14:paraId="3703603F" w14:textId="77777777" w:rsidR="00B92FEE" w:rsidRDefault="00B92FEE" w:rsidP="00B92FEE">
      <w:pPr>
        <w:rPr>
          <w:shd w:val="clear" w:color="auto" w:fill="FFFFFF"/>
        </w:rPr>
      </w:pPr>
      <w:r w:rsidRPr="000D39BC">
        <w:rPr>
          <w:color w:val="222222"/>
          <w:shd w:val="clear" w:color="auto" w:fill="FFFFFF"/>
        </w:rPr>
        <w:t xml:space="preserve">Mustafina, A. A., </w:t>
      </w:r>
      <w:proofErr w:type="spellStart"/>
      <w:r w:rsidRPr="000D39BC">
        <w:rPr>
          <w:color w:val="222222"/>
          <w:shd w:val="clear" w:color="auto" w:fill="FFFFFF"/>
        </w:rPr>
        <w:t>Kaigorodova</w:t>
      </w:r>
      <w:proofErr w:type="spellEnd"/>
      <w:r w:rsidRPr="000D39BC">
        <w:rPr>
          <w:color w:val="222222"/>
          <w:shd w:val="clear" w:color="auto" w:fill="FFFFFF"/>
        </w:rPr>
        <w:t xml:space="preserve">, G. N., </w:t>
      </w:r>
      <w:proofErr w:type="spellStart"/>
      <w:r w:rsidRPr="000D39BC">
        <w:rPr>
          <w:color w:val="222222"/>
          <w:shd w:val="clear" w:color="auto" w:fill="FFFFFF"/>
        </w:rPr>
        <w:t>Py</w:t>
      </w:r>
      <w:r>
        <w:rPr>
          <w:color w:val="222222"/>
          <w:shd w:val="clear" w:color="auto" w:fill="FFFFFF"/>
        </w:rPr>
        <w:t>rkova</w:t>
      </w:r>
      <w:proofErr w:type="spellEnd"/>
      <w:r>
        <w:rPr>
          <w:color w:val="222222"/>
          <w:shd w:val="clear" w:color="auto" w:fill="FFFFFF"/>
        </w:rPr>
        <w:t xml:space="preserve">, G. K., </w:t>
      </w:r>
      <w:proofErr w:type="spellStart"/>
      <w:r>
        <w:rPr>
          <w:color w:val="222222"/>
          <w:shd w:val="clear" w:color="auto" w:fill="FFFFFF"/>
        </w:rPr>
        <w:t>Alyakina</w:t>
      </w:r>
      <w:proofErr w:type="spellEnd"/>
      <w:r>
        <w:rPr>
          <w:color w:val="222222"/>
          <w:shd w:val="clear" w:color="auto" w:fill="FFFFFF"/>
        </w:rPr>
        <w:t>, D. P., and</w:t>
      </w:r>
      <w:r w:rsidRPr="000D39BC">
        <w:rPr>
          <w:color w:val="222222"/>
          <w:shd w:val="clear" w:color="auto" w:fill="FFFFFF"/>
        </w:rPr>
        <w:t xml:space="preserve"> </w:t>
      </w:r>
      <w:proofErr w:type="spellStart"/>
      <w:r w:rsidRPr="000D39BC">
        <w:rPr>
          <w:color w:val="222222"/>
          <w:shd w:val="clear" w:color="auto" w:fill="FFFFFF"/>
        </w:rPr>
        <w:t>Kamalova</w:t>
      </w:r>
      <w:proofErr w:type="spellEnd"/>
      <w:r w:rsidRPr="000D39BC">
        <w:rPr>
          <w:color w:val="222222"/>
          <w:shd w:val="clear" w:color="auto" w:fill="FFFFFF"/>
        </w:rPr>
        <w:t>, A. A. (2020). Management of long-term financing in a company. </w:t>
      </w:r>
      <w:proofErr w:type="spellStart"/>
      <w:r w:rsidRPr="000D39BC">
        <w:rPr>
          <w:i/>
          <w:iCs/>
          <w:color w:val="222222"/>
          <w:shd w:val="clear" w:color="auto" w:fill="FFFFFF"/>
        </w:rPr>
        <w:t>Revista</w:t>
      </w:r>
      <w:proofErr w:type="spellEnd"/>
      <w:r w:rsidRPr="000D39BC">
        <w:rPr>
          <w:i/>
          <w:iCs/>
          <w:color w:val="222222"/>
          <w:shd w:val="clear" w:color="auto" w:fill="FFFFFF"/>
        </w:rPr>
        <w:t xml:space="preserve"> </w:t>
      </w:r>
      <w:proofErr w:type="spellStart"/>
      <w:r w:rsidRPr="000D39BC">
        <w:rPr>
          <w:i/>
          <w:iCs/>
          <w:color w:val="222222"/>
          <w:shd w:val="clear" w:color="auto" w:fill="FFFFFF"/>
        </w:rPr>
        <w:t>Turismo</w:t>
      </w:r>
      <w:proofErr w:type="spellEnd"/>
      <w:r w:rsidRPr="000D39BC">
        <w:rPr>
          <w:i/>
          <w:iCs/>
          <w:color w:val="222222"/>
          <w:shd w:val="clear" w:color="auto" w:fill="FFFFFF"/>
        </w:rPr>
        <w:t xml:space="preserve"> </w:t>
      </w:r>
      <w:proofErr w:type="spellStart"/>
      <w:r w:rsidRPr="000D39BC">
        <w:rPr>
          <w:i/>
          <w:iCs/>
          <w:color w:val="222222"/>
          <w:shd w:val="clear" w:color="auto" w:fill="FFFFFF"/>
        </w:rPr>
        <w:t>Estudos</w:t>
      </w:r>
      <w:proofErr w:type="spellEnd"/>
      <w:r w:rsidRPr="000D39BC">
        <w:rPr>
          <w:i/>
          <w:iCs/>
          <w:color w:val="222222"/>
          <w:shd w:val="clear" w:color="auto" w:fill="FFFFFF"/>
        </w:rPr>
        <w:t xml:space="preserve"> e </w:t>
      </w:r>
      <w:proofErr w:type="spellStart"/>
      <w:r w:rsidRPr="000D39BC">
        <w:rPr>
          <w:i/>
          <w:iCs/>
          <w:color w:val="222222"/>
          <w:shd w:val="clear" w:color="auto" w:fill="FFFFFF"/>
        </w:rPr>
        <w:t>Práticas</w:t>
      </w:r>
      <w:proofErr w:type="spellEnd"/>
      <w:r w:rsidRPr="000D39BC">
        <w:rPr>
          <w:i/>
          <w:iCs/>
          <w:color w:val="222222"/>
          <w:shd w:val="clear" w:color="auto" w:fill="FFFFFF"/>
        </w:rPr>
        <w:t>-RTEP/GEPLAT/UERN</w:t>
      </w:r>
      <w:r w:rsidRPr="000D39BC">
        <w:rPr>
          <w:color w:val="222222"/>
          <w:shd w:val="clear" w:color="auto" w:fill="FFFFFF"/>
        </w:rPr>
        <w:t xml:space="preserve">, (5), 1-8. </w:t>
      </w:r>
      <w:r>
        <w:rPr>
          <w:shd w:val="clear" w:color="auto" w:fill="FFFFFF"/>
        </w:rPr>
        <w:t>Available at:</w:t>
      </w:r>
      <w:r w:rsidRPr="000D39BC">
        <w:t xml:space="preserve"> </w:t>
      </w:r>
      <w:hyperlink r:id="rId20" w:history="1">
        <w:r w:rsidRPr="007F1154">
          <w:rPr>
            <w:rStyle w:val="Hyperlink"/>
            <w:rFonts w:cs="Arial"/>
            <w:shd w:val="clear" w:color="auto" w:fill="FFFFFF"/>
          </w:rPr>
          <w:t>https://geplat.com/rtep/index.php/tourism/article/download/790/752</w:t>
        </w:r>
      </w:hyperlink>
      <w:r>
        <w:rPr>
          <w:shd w:val="clear" w:color="auto" w:fill="FFFFFF"/>
        </w:rPr>
        <w:t xml:space="preserve"> </w:t>
      </w:r>
    </w:p>
    <w:p w14:paraId="17902110" w14:textId="77777777" w:rsidR="00B92FEE" w:rsidRPr="000D39BC" w:rsidRDefault="00B92FEE" w:rsidP="00B92FEE">
      <w:proofErr w:type="spellStart"/>
      <w:r w:rsidRPr="000D39BC">
        <w:rPr>
          <w:shd w:val="clear" w:color="auto" w:fill="FFFFFF"/>
        </w:rPr>
        <w:t>Njiru</w:t>
      </w:r>
      <w:proofErr w:type="spellEnd"/>
      <w:r w:rsidRPr="000D39BC">
        <w:rPr>
          <w:shd w:val="clear" w:color="auto" w:fill="FFFFFF"/>
        </w:rPr>
        <w:t>, J. (2017). </w:t>
      </w:r>
      <w:r w:rsidRPr="000D39BC">
        <w:rPr>
          <w:i/>
          <w:shd w:val="clear" w:color="auto" w:fill="FFFFFF"/>
        </w:rPr>
        <w:t>Financial Statement Analysis of General Electric</w:t>
      </w:r>
      <w:r w:rsidRPr="000D39BC">
        <w:rPr>
          <w:shd w:val="clear" w:color="auto" w:fill="FFFFFF"/>
        </w:rPr>
        <w:t xml:space="preserve">. GRIN Verlag. </w:t>
      </w:r>
      <w:r w:rsidRPr="000D39BC">
        <w:t xml:space="preserve">Available at: </w:t>
      </w:r>
      <w:hyperlink r:id="rId21" w:history="1">
        <w:r w:rsidRPr="000D39BC">
          <w:rPr>
            <w:rStyle w:val="Hyperlink"/>
            <w:rFonts w:cs="Arial"/>
          </w:rPr>
          <w:t>https://www.researchgate.net/publication/358587781_Financial_Statement_Analysis_of_General_Electric</w:t>
        </w:r>
      </w:hyperlink>
      <w:r w:rsidRPr="000D39BC">
        <w:t xml:space="preserve"> </w:t>
      </w:r>
    </w:p>
    <w:p w14:paraId="0F5123EE" w14:textId="77777777" w:rsidR="00B92FEE" w:rsidRPr="005E07B9" w:rsidRDefault="00B92FEE" w:rsidP="00B92FEE">
      <w:bookmarkStart w:id="21" w:name="_Hlk214717738"/>
      <w:r w:rsidRPr="005E07B9">
        <w:t xml:space="preserve">Paoli, R., </w:t>
      </w:r>
      <w:proofErr w:type="spellStart"/>
      <w:r w:rsidRPr="005E07B9">
        <w:t>Foiadelli</w:t>
      </w:r>
      <w:proofErr w:type="spellEnd"/>
      <w:r w:rsidRPr="005E07B9">
        <w:t xml:space="preserve">, C., </w:t>
      </w:r>
      <w:proofErr w:type="spellStart"/>
      <w:r w:rsidRPr="005E07B9">
        <w:t>Traversi</w:t>
      </w:r>
      <w:proofErr w:type="spellEnd"/>
      <w:r w:rsidRPr="005E07B9">
        <w:t xml:space="preserve">, M., </w:t>
      </w:r>
      <w:proofErr w:type="spellStart"/>
      <w:r w:rsidRPr="005E07B9">
        <w:t>Tomasoni</w:t>
      </w:r>
      <w:proofErr w:type="spellEnd"/>
      <w:r w:rsidRPr="005E07B9">
        <w:t xml:space="preserve">, G. and </w:t>
      </w:r>
      <w:proofErr w:type="spellStart"/>
      <w:r w:rsidRPr="005E07B9">
        <w:t>Romagnoli</w:t>
      </w:r>
      <w:proofErr w:type="spellEnd"/>
      <w:r w:rsidRPr="005E07B9">
        <w:t>, F. (2025</w:t>
      </w:r>
      <w:bookmarkEnd w:id="21"/>
      <w:r w:rsidRPr="005E07B9">
        <w:t xml:space="preserve">) ‘Economic Feasibility of </w:t>
      </w:r>
      <w:proofErr w:type="spellStart"/>
      <w:r w:rsidRPr="005E07B9">
        <w:t>Furcellaria</w:t>
      </w:r>
      <w:proofErr w:type="spellEnd"/>
      <w:r w:rsidRPr="005E07B9">
        <w:t xml:space="preserve"> </w:t>
      </w:r>
      <w:proofErr w:type="spellStart"/>
      <w:r w:rsidRPr="005E07B9">
        <w:t>lumbricalis</w:t>
      </w:r>
      <w:proofErr w:type="spellEnd"/>
      <w:r w:rsidRPr="005E07B9">
        <w:t xml:space="preserve"> Biorefinery Designs: A Life Cycle Cost Approach’, </w:t>
      </w:r>
      <w:proofErr w:type="spellStart"/>
      <w:r w:rsidRPr="005E07B9">
        <w:rPr>
          <w:i/>
          <w:iCs/>
        </w:rPr>
        <w:t>Furcellaria</w:t>
      </w:r>
      <w:proofErr w:type="spellEnd"/>
      <w:r w:rsidRPr="005E07B9">
        <w:rPr>
          <w:i/>
          <w:iCs/>
        </w:rPr>
        <w:t xml:space="preserve"> </w:t>
      </w:r>
      <w:proofErr w:type="spellStart"/>
      <w:r w:rsidRPr="005E07B9">
        <w:rPr>
          <w:i/>
          <w:iCs/>
        </w:rPr>
        <w:t>lumbricalis</w:t>
      </w:r>
      <w:proofErr w:type="spellEnd"/>
      <w:r w:rsidRPr="005E07B9">
        <w:t xml:space="preserve">. Available at: </w:t>
      </w:r>
      <w:hyperlink r:id="rId22" w:history="1">
        <w:r w:rsidRPr="005E07B9">
          <w:rPr>
            <w:rStyle w:val="Hyperlink"/>
            <w:rFonts w:cs="Arial"/>
          </w:rPr>
          <w:t>https://dx.doi.org/10.2139/ssrn.5153254</w:t>
        </w:r>
      </w:hyperlink>
      <w:r w:rsidRPr="005E07B9">
        <w:t xml:space="preserve"> </w:t>
      </w:r>
    </w:p>
    <w:p w14:paraId="36DC0F05" w14:textId="77777777" w:rsidR="00B92FEE" w:rsidRDefault="00B92FEE" w:rsidP="00B92FEE">
      <w:proofErr w:type="spellStart"/>
      <w:r>
        <w:rPr>
          <w:shd w:val="clear" w:color="auto" w:fill="FFFFFF"/>
        </w:rPr>
        <w:t>Reiff</w:t>
      </w:r>
      <w:proofErr w:type="spellEnd"/>
      <w:r>
        <w:rPr>
          <w:shd w:val="clear" w:color="auto" w:fill="FFFFFF"/>
        </w:rPr>
        <w:t xml:space="preserve">, N., and Mansa, J., (2025). </w:t>
      </w:r>
      <w:r w:rsidRPr="000D39BC">
        <w:rPr>
          <w:i/>
          <w:shd w:val="clear" w:color="auto" w:fill="FFFFFF"/>
        </w:rPr>
        <w:t>Benefits of Holding Stocks for the Long Term</w:t>
      </w:r>
      <w:r>
        <w:rPr>
          <w:shd w:val="clear" w:color="auto" w:fill="FFFFFF"/>
        </w:rPr>
        <w:t>. Available at:</w:t>
      </w:r>
      <w:r w:rsidRPr="000D39BC">
        <w:t xml:space="preserve"> </w:t>
      </w:r>
      <w:hyperlink r:id="rId23" w:history="1">
        <w:r w:rsidRPr="007F1154">
          <w:rPr>
            <w:rStyle w:val="Hyperlink"/>
            <w:rFonts w:cs="Arial"/>
          </w:rPr>
          <w:t>https://www.investopedia.com/articles/investing/052216/4-benefits-holding-stocks-long-term.asp</w:t>
        </w:r>
      </w:hyperlink>
      <w:r>
        <w:t xml:space="preserve"> (</w:t>
      </w:r>
      <w:r w:rsidRPr="000D39BC">
        <w:t>Accessed on 19th Nov 2025</w:t>
      </w:r>
      <w:r>
        <w:t>)</w:t>
      </w:r>
    </w:p>
    <w:p w14:paraId="3338F714" w14:textId="77777777" w:rsidR="00B92FEE" w:rsidRPr="005E07B9" w:rsidRDefault="00B92FEE" w:rsidP="00B92FEE">
      <w:bookmarkStart w:id="22" w:name="_Hlk214716456"/>
      <w:r w:rsidRPr="005E07B9">
        <w:t>Saleh, R. (2025</w:t>
      </w:r>
      <w:bookmarkEnd w:id="22"/>
      <w:r w:rsidRPr="005E07B9">
        <w:t>) ‘Financial Evaluation and Social Impact of Community-Based Health Projects: A Case Study of the XYZ Indonesia Foundation’, </w:t>
      </w:r>
      <w:r w:rsidRPr="005E07B9">
        <w:rPr>
          <w:i/>
          <w:iCs/>
        </w:rPr>
        <w:t>Fast in Social Sciences</w:t>
      </w:r>
      <w:r w:rsidRPr="005E07B9">
        <w:t>, </w:t>
      </w:r>
      <w:r w:rsidRPr="005E07B9">
        <w:rPr>
          <w:i/>
          <w:iCs/>
        </w:rPr>
        <w:t>1</w:t>
      </w:r>
      <w:r w:rsidRPr="005E07B9">
        <w:t xml:space="preserve">(2), pp.26-35. Available at: </w:t>
      </w:r>
      <w:hyperlink r:id="rId24" w:history="1">
        <w:r w:rsidRPr="005E07B9">
          <w:rPr>
            <w:rStyle w:val="Hyperlink"/>
            <w:rFonts w:cs="Arial"/>
          </w:rPr>
          <w:t>https://fast-socialsciences.com/fss/article/download/26/13</w:t>
        </w:r>
      </w:hyperlink>
      <w:r w:rsidRPr="005E07B9">
        <w:t xml:space="preserve"> </w:t>
      </w:r>
    </w:p>
    <w:p w14:paraId="2B6B7FF3" w14:textId="77777777" w:rsidR="00B92FEE" w:rsidRDefault="00B92FEE" w:rsidP="00B92FEE">
      <w:proofErr w:type="spellStart"/>
      <w:r w:rsidRPr="000D39BC">
        <w:rPr>
          <w:color w:val="222222"/>
          <w:shd w:val="clear" w:color="auto" w:fill="FFFFFF"/>
        </w:rPr>
        <w:t>Tanasić</w:t>
      </w:r>
      <w:proofErr w:type="spellEnd"/>
      <w:r w:rsidRPr="000D39BC">
        <w:rPr>
          <w:color w:val="222222"/>
          <w:shd w:val="clear" w:color="auto" w:fill="FFFFFF"/>
        </w:rPr>
        <w:t xml:space="preserve">, L. (2019). Comparative overview </w:t>
      </w:r>
      <w:r w:rsidRPr="000D39BC">
        <w:t>of</w:t>
      </w:r>
      <w:r w:rsidRPr="000D39BC">
        <w:rPr>
          <w:color w:val="222222"/>
          <w:shd w:val="clear" w:color="auto" w:fill="FFFFFF"/>
        </w:rPr>
        <w:t xml:space="preserve"> transfer pricing tax regulation in the world. </w:t>
      </w:r>
      <w:proofErr w:type="spellStart"/>
      <w:r w:rsidRPr="000D39BC">
        <w:rPr>
          <w:i/>
          <w:iCs/>
          <w:color w:val="222222"/>
          <w:shd w:val="clear" w:color="auto" w:fill="FFFFFF"/>
        </w:rPr>
        <w:t>Anali</w:t>
      </w:r>
      <w:proofErr w:type="spellEnd"/>
      <w:r w:rsidRPr="000D39BC">
        <w:rPr>
          <w:i/>
          <w:iCs/>
          <w:color w:val="222222"/>
          <w:shd w:val="clear" w:color="auto" w:fill="FFFFFF"/>
        </w:rPr>
        <w:t xml:space="preserve"> </w:t>
      </w:r>
      <w:proofErr w:type="spellStart"/>
      <w:r w:rsidRPr="000D39BC">
        <w:rPr>
          <w:i/>
          <w:iCs/>
          <w:color w:val="222222"/>
          <w:shd w:val="clear" w:color="auto" w:fill="FFFFFF"/>
        </w:rPr>
        <w:t>Ekonomskog</w:t>
      </w:r>
      <w:proofErr w:type="spellEnd"/>
      <w:r w:rsidRPr="000D39BC">
        <w:rPr>
          <w:i/>
          <w:iCs/>
          <w:color w:val="222222"/>
          <w:shd w:val="clear" w:color="auto" w:fill="FFFFFF"/>
        </w:rPr>
        <w:t xml:space="preserve"> </w:t>
      </w:r>
      <w:proofErr w:type="spellStart"/>
      <w:r w:rsidRPr="000D39BC">
        <w:rPr>
          <w:i/>
          <w:iCs/>
          <w:color w:val="222222"/>
          <w:shd w:val="clear" w:color="auto" w:fill="FFFFFF"/>
        </w:rPr>
        <w:t>fakulteta</w:t>
      </w:r>
      <w:proofErr w:type="spellEnd"/>
      <w:r w:rsidRPr="000D39BC">
        <w:rPr>
          <w:i/>
          <w:iCs/>
          <w:color w:val="222222"/>
          <w:shd w:val="clear" w:color="auto" w:fill="FFFFFF"/>
        </w:rPr>
        <w:t xml:space="preserve"> u </w:t>
      </w:r>
      <w:proofErr w:type="spellStart"/>
      <w:r w:rsidRPr="000D39BC">
        <w:rPr>
          <w:i/>
          <w:iCs/>
          <w:color w:val="222222"/>
          <w:shd w:val="clear" w:color="auto" w:fill="FFFFFF"/>
        </w:rPr>
        <w:t>Subotici</w:t>
      </w:r>
      <w:proofErr w:type="spellEnd"/>
      <w:r w:rsidRPr="000D39BC">
        <w:rPr>
          <w:color w:val="222222"/>
          <w:shd w:val="clear" w:color="auto" w:fill="FFFFFF"/>
        </w:rPr>
        <w:t>, </w:t>
      </w:r>
      <w:r w:rsidRPr="000D39BC">
        <w:rPr>
          <w:i/>
          <w:iCs/>
          <w:color w:val="222222"/>
          <w:shd w:val="clear" w:color="auto" w:fill="FFFFFF"/>
        </w:rPr>
        <w:t>55</w:t>
      </w:r>
      <w:r w:rsidRPr="000D39BC">
        <w:rPr>
          <w:color w:val="222222"/>
          <w:shd w:val="clear" w:color="auto" w:fill="FFFFFF"/>
        </w:rPr>
        <w:t xml:space="preserve">(42), 111-127. </w:t>
      </w:r>
      <w:r>
        <w:rPr>
          <w:shd w:val="clear" w:color="auto" w:fill="FFFFFF"/>
        </w:rPr>
        <w:t>Available at:</w:t>
      </w:r>
      <w:r w:rsidRPr="000D39BC">
        <w:t xml:space="preserve"> </w:t>
      </w:r>
      <w:hyperlink r:id="rId25" w:history="1">
        <w:r w:rsidRPr="007F1154">
          <w:rPr>
            <w:rStyle w:val="Hyperlink"/>
            <w:rFonts w:cs="Arial"/>
            <w:shd w:val="clear" w:color="auto" w:fill="FFFFFF"/>
          </w:rPr>
          <w:t>http://j13.ef.uns.ac.rs/index.php/AnnalsEFSU/article/download/30/18</w:t>
        </w:r>
      </w:hyperlink>
      <w:r w:rsidRPr="005E07B9">
        <w:t xml:space="preserve">  </w:t>
      </w:r>
    </w:p>
    <w:p w14:paraId="56186445" w14:textId="77777777" w:rsidR="00B92FEE" w:rsidRDefault="00B92FEE" w:rsidP="00B92FEE">
      <w:pPr>
        <w:rPr>
          <w:shd w:val="clear" w:color="auto" w:fill="FFFFFF"/>
        </w:rPr>
      </w:pPr>
      <w:proofErr w:type="spellStart"/>
      <w:r>
        <w:rPr>
          <w:shd w:val="clear" w:color="auto" w:fill="FFFFFF"/>
        </w:rPr>
        <w:t>Teplická</w:t>
      </w:r>
      <w:proofErr w:type="spellEnd"/>
      <w:r>
        <w:rPr>
          <w:shd w:val="clear" w:color="auto" w:fill="FFFFFF"/>
        </w:rPr>
        <w:t>, K., and</w:t>
      </w:r>
      <w:r w:rsidRPr="000D39BC">
        <w:rPr>
          <w:shd w:val="clear" w:color="auto" w:fill="FFFFFF"/>
        </w:rPr>
        <w:t xml:space="preserve"> </w:t>
      </w:r>
      <w:proofErr w:type="spellStart"/>
      <w:r w:rsidRPr="000D39BC">
        <w:rPr>
          <w:shd w:val="clear" w:color="auto" w:fill="FFFFFF"/>
        </w:rPr>
        <w:t>Čulková</w:t>
      </w:r>
      <w:proofErr w:type="spellEnd"/>
      <w:r w:rsidRPr="000D39BC">
        <w:rPr>
          <w:shd w:val="clear" w:color="auto" w:fill="FFFFFF"/>
        </w:rPr>
        <w:t>, K. (2020). Using of optimizing methods in inventory management of the company. </w:t>
      </w:r>
      <w:proofErr w:type="spellStart"/>
      <w:r w:rsidRPr="000D39BC">
        <w:rPr>
          <w:i/>
          <w:iCs/>
          <w:shd w:val="clear" w:color="auto" w:fill="FFFFFF"/>
        </w:rPr>
        <w:t>Acta</w:t>
      </w:r>
      <w:proofErr w:type="spellEnd"/>
      <w:r w:rsidRPr="000D39BC">
        <w:rPr>
          <w:i/>
          <w:iCs/>
          <w:shd w:val="clear" w:color="auto" w:fill="FFFFFF"/>
        </w:rPr>
        <w:t xml:space="preserve"> </w:t>
      </w:r>
      <w:proofErr w:type="spellStart"/>
      <w:r w:rsidRPr="000D39BC">
        <w:rPr>
          <w:i/>
          <w:iCs/>
          <w:shd w:val="clear" w:color="auto" w:fill="FFFFFF"/>
        </w:rPr>
        <w:t>logistica</w:t>
      </w:r>
      <w:proofErr w:type="spellEnd"/>
      <w:r w:rsidRPr="000D39BC">
        <w:rPr>
          <w:shd w:val="clear" w:color="auto" w:fill="FFFFFF"/>
        </w:rPr>
        <w:t>, </w:t>
      </w:r>
      <w:r w:rsidRPr="000D39BC">
        <w:rPr>
          <w:i/>
          <w:iCs/>
          <w:shd w:val="clear" w:color="auto" w:fill="FFFFFF"/>
        </w:rPr>
        <w:t>7</w:t>
      </w:r>
      <w:r w:rsidRPr="000D39BC">
        <w:rPr>
          <w:shd w:val="clear" w:color="auto" w:fill="FFFFFF"/>
        </w:rPr>
        <w:t xml:space="preserve">(1), 9-16. </w:t>
      </w:r>
      <w:r>
        <w:rPr>
          <w:shd w:val="clear" w:color="auto" w:fill="FFFFFF"/>
        </w:rPr>
        <w:t xml:space="preserve">Available at: </w:t>
      </w:r>
      <w:hyperlink r:id="rId26" w:history="1">
        <w:r w:rsidRPr="007F1154">
          <w:rPr>
            <w:rStyle w:val="Hyperlink"/>
            <w:rFonts w:cs="Arial"/>
            <w:shd w:val="clear" w:color="auto" w:fill="FFFFFF"/>
          </w:rPr>
          <w:t>https://www.researchgate.net/profile/Katarina-Culkova/publication/340314127_USING_OF_OPTIMIZING_METHODS_IN_INVENTORY_MANAGEMENT_OF_THE_COMPANY/links/60c9b565a6fdcc0c5c869b2a/USING-OF-OPTIMIZING-METHODS-IN-INVENTORY-MANAGEMENT-OF-THE-COMPANY.pdf</w:t>
        </w:r>
      </w:hyperlink>
      <w:r>
        <w:rPr>
          <w:shd w:val="clear" w:color="auto" w:fill="FFFFFF"/>
        </w:rPr>
        <w:t xml:space="preserve"> </w:t>
      </w:r>
    </w:p>
    <w:p w14:paraId="00CB807D" w14:textId="77777777" w:rsidR="00B92FEE" w:rsidRPr="005E07B9" w:rsidRDefault="00B92FEE" w:rsidP="00B92FEE">
      <w:bookmarkStart w:id="23" w:name="_Hlk214715613"/>
      <w:r w:rsidRPr="005E07B9">
        <w:t xml:space="preserve">Vipond, T. (2025a) </w:t>
      </w:r>
      <w:bookmarkEnd w:id="23"/>
      <w:r w:rsidRPr="005E07B9">
        <w:rPr>
          <w:i/>
          <w:iCs/>
        </w:rPr>
        <w:t>Accounting Rate of Return</w:t>
      </w:r>
      <w:r w:rsidRPr="005E07B9">
        <w:t xml:space="preserve">. Available at: </w:t>
      </w:r>
      <w:hyperlink r:id="rId27" w:history="1">
        <w:r w:rsidRPr="005E07B9">
          <w:rPr>
            <w:rStyle w:val="Hyperlink"/>
            <w:rFonts w:cs="Arial"/>
          </w:rPr>
          <w:t>https://corporatefinanceinstitute.com/resources/accounting/arr-accounting-rate-of-return/</w:t>
        </w:r>
      </w:hyperlink>
      <w:r w:rsidRPr="005E07B9">
        <w:t xml:space="preserve"> (Accessed: 22 November 2025).</w:t>
      </w:r>
    </w:p>
    <w:p w14:paraId="1A0CF196" w14:textId="77777777" w:rsidR="00B92FEE" w:rsidRPr="005E07B9" w:rsidRDefault="00B92FEE" w:rsidP="00B92FEE">
      <w:bookmarkStart w:id="24" w:name="_Hlk214718368"/>
      <w:r w:rsidRPr="005E07B9">
        <w:t xml:space="preserve">Vipond, T. (2025b) </w:t>
      </w:r>
      <w:bookmarkEnd w:id="24"/>
      <w:r w:rsidRPr="005E07B9">
        <w:rPr>
          <w:i/>
          <w:iCs/>
        </w:rPr>
        <w:t>Internal Rate of Return (IRR).</w:t>
      </w:r>
      <w:r w:rsidRPr="005E07B9">
        <w:t xml:space="preserve"> Available at: </w:t>
      </w:r>
      <w:hyperlink r:id="rId28" w:history="1">
        <w:r w:rsidRPr="005E07B9">
          <w:rPr>
            <w:rStyle w:val="Hyperlink"/>
            <w:rFonts w:cs="Arial"/>
          </w:rPr>
          <w:t>https://corporatefinanceinstitute.com/resources/valuation/internal-rate-return-irr/</w:t>
        </w:r>
      </w:hyperlink>
      <w:r w:rsidRPr="005E07B9">
        <w:t xml:space="preserve"> (Accessed: 22 November 2025).</w:t>
      </w:r>
    </w:p>
    <w:p w14:paraId="7D9CC77B" w14:textId="77777777" w:rsidR="00B92FEE" w:rsidRPr="005E07B9" w:rsidRDefault="00B92FEE" w:rsidP="00B92FEE">
      <w:bookmarkStart w:id="25" w:name="_Hlk214716133"/>
      <w:r w:rsidRPr="005E07B9">
        <w:t>Whitworth, J. (2023</w:t>
      </w:r>
      <w:bookmarkEnd w:id="25"/>
      <w:r w:rsidRPr="005E07B9">
        <w:t xml:space="preserve">) ‘A Method for Computing Internal Rates of Return in </w:t>
      </w:r>
      <w:proofErr w:type="spellStart"/>
      <w:r w:rsidRPr="005E07B9">
        <w:t>ExamView</w:t>
      </w:r>
      <w:proofErr w:type="spellEnd"/>
      <w:r w:rsidRPr="005E07B9">
        <w:t>’, </w:t>
      </w:r>
      <w:r w:rsidRPr="005E07B9">
        <w:rPr>
          <w:i/>
          <w:iCs/>
        </w:rPr>
        <w:t>Journal of Instructional Techniques in Finance</w:t>
      </w:r>
      <w:r w:rsidRPr="005E07B9">
        <w:t>, </w:t>
      </w:r>
      <w:r w:rsidRPr="005E07B9">
        <w:rPr>
          <w:i/>
          <w:iCs/>
        </w:rPr>
        <w:t>13</w:t>
      </w:r>
      <w:r w:rsidRPr="005E07B9">
        <w:t xml:space="preserve">(1). Available at: </w:t>
      </w:r>
      <w:hyperlink r:id="rId29" w:history="1">
        <w:r w:rsidRPr="005E07B9">
          <w:rPr>
            <w:rStyle w:val="Hyperlink"/>
            <w:rFonts w:cs="Arial"/>
          </w:rPr>
          <w:t>https://doi.org/10.54155/assmjf22</w:t>
        </w:r>
      </w:hyperlink>
      <w:r w:rsidRPr="005E07B9">
        <w:t xml:space="preserve"> </w:t>
      </w:r>
    </w:p>
    <w:p w14:paraId="029DA3AC" w14:textId="77777777" w:rsidR="00B92FEE" w:rsidRDefault="00B92FEE" w:rsidP="00B92FEE">
      <w:bookmarkStart w:id="26" w:name="_Hlk214717877"/>
      <w:r w:rsidRPr="005E07B9">
        <w:t>Wibowo, R.B. and Damayanti, S.M. (2025</w:t>
      </w:r>
      <w:bookmarkEnd w:id="26"/>
      <w:r w:rsidRPr="005E07B9">
        <w:t>) ‘Financial Feasibility of Geothermal Project J-3 and J-4 in Indonesia’. Available at: DOI: 10.47760/cognizance.2025.v05i05.018</w:t>
      </w:r>
    </w:p>
    <w:p w14:paraId="749CC197" w14:textId="77777777" w:rsidR="00B92FEE" w:rsidRPr="000D39BC" w:rsidRDefault="00B92FEE" w:rsidP="00B92FEE">
      <w:proofErr w:type="spellStart"/>
      <w:r w:rsidRPr="000D39BC">
        <w:t>Winoker</w:t>
      </w:r>
      <w:proofErr w:type="spellEnd"/>
      <w:r w:rsidRPr="000D39BC">
        <w:t xml:space="preserve"> S., (2024). GE Releases Its 4Q’23 &amp; Full Year 2023 Results and 2024 Guidance. </w:t>
      </w:r>
      <w:r w:rsidRPr="000D39BC">
        <w:rPr>
          <w:i/>
        </w:rPr>
        <w:t xml:space="preserve">GE. </w:t>
      </w:r>
      <w:r w:rsidRPr="000D39BC">
        <w:t xml:space="preserve">Available at: </w:t>
      </w:r>
      <w:hyperlink r:id="rId30" w:history="1">
        <w:r w:rsidRPr="000D39BC">
          <w:rPr>
            <w:rStyle w:val="Hyperlink"/>
            <w:rFonts w:cs="Arial"/>
          </w:rPr>
          <w:t>https://www.ge.com/news/reports/ge-releases-its-4q23-results</w:t>
        </w:r>
      </w:hyperlink>
      <w:r w:rsidRPr="000D39BC">
        <w:t xml:space="preserve"> (Accessed on 18th Nov 2025)</w:t>
      </w:r>
    </w:p>
    <w:p w14:paraId="3CBBC255" w14:textId="77777777" w:rsidR="00B92FEE" w:rsidRDefault="00B92FEE" w:rsidP="00B92FEE">
      <w:pPr>
        <w:rPr>
          <w:shd w:val="clear" w:color="auto" w:fill="FFFFFF"/>
        </w:rPr>
      </w:pPr>
      <w:proofErr w:type="spellStart"/>
      <w:r w:rsidRPr="000D39BC">
        <w:rPr>
          <w:shd w:val="clear" w:color="auto" w:fill="FFFFFF"/>
        </w:rPr>
        <w:t>Zaramella</w:t>
      </w:r>
      <w:proofErr w:type="spellEnd"/>
      <w:r w:rsidRPr="000D39BC">
        <w:rPr>
          <w:shd w:val="clear" w:color="auto" w:fill="FFFFFF"/>
        </w:rPr>
        <w:t xml:space="preserve">, G. (2023). </w:t>
      </w:r>
      <w:r w:rsidRPr="000D39BC">
        <w:rPr>
          <w:i/>
          <w:shd w:val="clear" w:color="auto" w:fill="FFFFFF"/>
        </w:rPr>
        <w:t>Financial Restructuring: analysis and applications</w:t>
      </w:r>
      <w:r w:rsidRPr="000D39BC">
        <w:rPr>
          <w:shd w:val="clear" w:color="auto" w:fill="FFFFFF"/>
        </w:rPr>
        <w:t>. Available at:</w:t>
      </w:r>
      <w:r w:rsidRPr="000D39BC">
        <w:t xml:space="preserve"> </w:t>
      </w:r>
      <w:hyperlink r:id="rId31" w:history="1">
        <w:r w:rsidRPr="007F1154">
          <w:rPr>
            <w:rStyle w:val="Hyperlink"/>
            <w:rFonts w:cs="Arial"/>
            <w:shd w:val="clear" w:color="auto" w:fill="FFFFFF"/>
          </w:rPr>
          <w:t>https://unitesi.unive.it/bitstream/20.500.14247/4284/1/872666-1280209.pdf</w:t>
        </w:r>
      </w:hyperlink>
      <w:r>
        <w:rPr>
          <w:shd w:val="clear" w:color="auto" w:fill="FFFFFF"/>
        </w:rPr>
        <w:t xml:space="preserve"> </w:t>
      </w:r>
    </w:p>
    <w:p w14:paraId="409E6FCE" w14:textId="77777777" w:rsidR="0040660E" w:rsidRPr="005E07B9" w:rsidRDefault="0040660E" w:rsidP="005E07B9">
      <w:pPr>
        <w:rPr>
          <w:rFonts w:cs="Arial"/>
        </w:rPr>
      </w:pPr>
    </w:p>
    <w:p w14:paraId="475DDAD6" w14:textId="77777777" w:rsidR="0081148D" w:rsidRPr="005E07B9" w:rsidRDefault="0081148D" w:rsidP="005E07B9">
      <w:pPr>
        <w:jc w:val="left"/>
        <w:rPr>
          <w:rFonts w:cs="Arial"/>
        </w:rPr>
      </w:pPr>
      <w:r w:rsidRPr="005E07B9">
        <w:rPr>
          <w:rFonts w:cs="Arial"/>
        </w:rPr>
        <w:br w:type="page"/>
      </w:r>
    </w:p>
    <w:p w14:paraId="67E1381A" w14:textId="352064E9" w:rsidR="008217B4" w:rsidRDefault="0081010F" w:rsidP="0081010F">
      <w:pPr>
        <w:pStyle w:val="Heading2"/>
      </w:pPr>
      <w:bookmarkStart w:id="27" w:name="_Toc214732278"/>
      <w:r>
        <w:t>Appendices</w:t>
      </w:r>
      <w:bookmarkEnd w:id="27"/>
      <w:r w:rsidR="0081148D" w:rsidRPr="005E07B9">
        <w:t xml:space="preserve"> </w:t>
      </w:r>
    </w:p>
    <w:p w14:paraId="36CC0501" w14:textId="6101E411" w:rsidR="0081010F" w:rsidRDefault="0081010F" w:rsidP="0081010F">
      <w:pPr>
        <w:pStyle w:val="Heading2"/>
      </w:pPr>
      <w:bookmarkStart w:id="28" w:name="_Toc214732279"/>
      <w:r>
        <w:t>Appendix 1: Ratio analysis</w:t>
      </w:r>
      <w:bookmarkEnd w:id="28"/>
      <w:r>
        <w:t xml:space="preserve"> </w:t>
      </w:r>
    </w:p>
    <w:tbl>
      <w:tblPr>
        <w:tblW w:w="5000" w:type="pct"/>
        <w:tblLook w:val="04A0" w:firstRow="1" w:lastRow="0" w:firstColumn="1" w:lastColumn="0" w:noHBand="0" w:noVBand="1"/>
      </w:tblPr>
      <w:tblGrid>
        <w:gridCol w:w="1028"/>
        <w:gridCol w:w="1620"/>
        <w:gridCol w:w="1252"/>
        <w:gridCol w:w="1252"/>
        <w:gridCol w:w="1288"/>
        <w:gridCol w:w="1288"/>
        <w:gridCol w:w="1288"/>
      </w:tblGrid>
      <w:tr w:rsidR="0081010F" w:rsidRPr="0081010F" w14:paraId="2E615B4A" w14:textId="77777777" w:rsidTr="00FD7774">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DE0AF" w14:textId="77777777" w:rsidR="0081010F" w:rsidRPr="0081010F" w:rsidRDefault="0081010F" w:rsidP="00FD7774">
            <w:pPr>
              <w:spacing w:after="0"/>
              <w:jc w:val="center"/>
              <w:rPr>
                <w:rFonts w:eastAsia="Times New Roman" w:cs="Arial"/>
                <w:b/>
                <w:color w:val="000000"/>
              </w:rPr>
            </w:pPr>
            <w:r w:rsidRPr="0081010F">
              <w:rPr>
                <w:rFonts w:eastAsia="Times New Roman" w:cs="Arial"/>
                <w:b/>
                <w:color w:val="000000"/>
              </w:rPr>
              <w:t>Profitability Ratios</w:t>
            </w:r>
          </w:p>
        </w:tc>
      </w:tr>
      <w:tr w:rsidR="0081010F" w:rsidRPr="0081010F" w14:paraId="23B6BF57" w14:textId="77777777" w:rsidTr="00FD7774">
        <w:trPr>
          <w:trHeight w:val="300"/>
        </w:trPr>
        <w:tc>
          <w:tcPr>
            <w:tcW w:w="3865" w:type="pct"/>
            <w:tcBorders>
              <w:top w:val="nil"/>
              <w:left w:val="single" w:sz="4" w:space="0" w:color="auto"/>
              <w:bottom w:val="single" w:sz="4" w:space="0" w:color="auto"/>
              <w:right w:val="single" w:sz="4" w:space="0" w:color="auto"/>
            </w:tcBorders>
            <w:shd w:val="clear" w:color="auto" w:fill="auto"/>
            <w:noWrap/>
            <w:vAlign w:val="bottom"/>
            <w:hideMark/>
          </w:tcPr>
          <w:p w14:paraId="67F7E4D2"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Ratio</w:t>
            </w:r>
          </w:p>
        </w:tc>
        <w:tc>
          <w:tcPr>
            <w:tcW w:w="253" w:type="pct"/>
            <w:tcBorders>
              <w:top w:val="nil"/>
              <w:left w:val="nil"/>
              <w:bottom w:val="single" w:sz="4" w:space="0" w:color="auto"/>
              <w:right w:val="single" w:sz="4" w:space="0" w:color="auto"/>
            </w:tcBorders>
            <w:shd w:val="clear" w:color="auto" w:fill="auto"/>
            <w:noWrap/>
            <w:vAlign w:val="bottom"/>
            <w:hideMark/>
          </w:tcPr>
          <w:p w14:paraId="2C123C4F"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Formula</w:t>
            </w:r>
          </w:p>
        </w:tc>
        <w:tc>
          <w:tcPr>
            <w:tcW w:w="179" w:type="pct"/>
            <w:tcBorders>
              <w:top w:val="nil"/>
              <w:left w:val="nil"/>
              <w:bottom w:val="single" w:sz="4" w:space="0" w:color="auto"/>
              <w:right w:val="single" w:sz="4" w:space="0" w:color="auto"/>
            </w:tcBorders>
            <w:shd w:val="clear" w:color="auto" w:fill="auto"/>
            <w:noWrap/>
            <w:vAlign w:val="bottom"/>
            <w:hideMark/>
          </w:tcPr>
          <w:p w14:paraId="52A06B61" w14:textId="404F777B" w:rsidR="0081010F" w:rsidRPr="0081010F" w:rsidRDefault="00465F0C" w:rsidP="00465F0C">
            <w:pPr>
              <w:spacing w:after="0"/>
              <w:jc w:val="center"/>
              <w:rPr>
                <w:rFonts w:eastAsia="Times New Roman" w:cs="Arial"/>
                <w:b/>
                <w:bCs/>
                <w:color w:val="000000"/>
              </w:rPr>
            </w:pPr>
            <w:r>
              <w:rPr>
                <w:rFonts w:eastAsia="Times New Roman" w:cs="Arial"/>
                <w:b/>
                <w:bCs/>
                <w:color w:val="000000"/>
              </w:rPr>
              <w:t>2024</w:t>
            </w:r>
          </w:p>
        </w:tc>
        <w:tc>
          <w:tcPr>
            <w:tcW w:w="176" w:type="pct"/>
            <w:tcBorders>
              <w:top w:val="nil"/>
              <w:left w:val="nil"/>
              <w:bottom w:val="single" w:sz="4" w:space="0" w:color="auto"/>
              <w:right w:val="single" w:sz="4" w:space="0" w:color="auto"/>
            </w:tcBorders>
            <w:shd w:val="clear" w:color="auto" w:fill="auto"/>
            <w:noWrap/>
            <w:vAlign w:val="bottom"/>
            <w:hideMark/>
          </w:tcPr>
          <w:p w14:paraId="6F44496B"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2023</w:t>
            </w:r>
          </w:p>
        </w:tc>
        <w:tc>
          <w:tcPr>
            <w:tcW w:w="176" w:type="pct"/>
            <w:tcBorders>
              <w:top w:val="nil"/>
              <w:left w:val="nil"/>
              <w:bottom w:val="single" w:sz="4" w:space="0" w:color="auto"/>
              <w:right w:val="single" w:sz="4" w:space="0" w:color="auto"/>
            </w:tcBorders>
            <w:shd w:val="clear" w:color="auto" w:fill="auto"/>
            <w:noWrap/>
            <w:vAlign w:val="bottom"/>
            <w:hideMark/>
          </w:tcPr>
          <w:p w14:paraId="29C17E44"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2022</w:t>
            </w:r>
          </w:p>
        </w:tc>
        <w:tc>
          <w:tcPr>
            <w:tcW w:w="176" w:type="pct"/>
            <w:tcBorders>
              <w:top w:val="nil"/>
              <w:left w:val="nil"/>
              <w:bottom w:val="single" w:sz="4" w:space="0" w:color="auto"/>
              <w:right w:val="single" w:sz="4" w:space="0" w:color="auto"/>
            </w:tcBorders>
            <w:shd w:val="clear" w:color="auto" w:fill="auto"/>
            <w:noWrap/>
            <w:vAlign w:val="bottom"/>
            <w:hideMark/>
          </w:tcPr>
          <w:p w14:paraId="7F15BBDC"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2021</w:t>
            </w:r>
          </w:p>
        </w:tc>
        <w:tc>
          <w:tcPr>
            <w:tcW w:w="176" w:type="pct"/>
            <w:tcBorders>
              <w:top w:val="nil"/>
              <w:left w:val="nil"/>
              <w:bottom w:val="single" w:sz="4" w:space="0" w:color="auto"/>
              <w:right w:val="single" w:sz="4" w:space="0" w:color="auto"/>
            </w:tcBorders>
            <w:shd w:val="clear" w:color="auto" w:fill="auto"/>
            <w:noWrap/>
            <w:vAlign w:val="bottom"/>
            <w:hideMark/>
          </w:tcPr>
          <w:p w14:paraId="7FD4D9DC"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2020</w:t>
            </w:r>
          </w:p>
        </w:tc>
      </w:tr>
      <w:tr w:rsidR="0081010F" w:rsidRPr="0081010F" w14:paraId="197F47AD" w14:textId="77777777" w:rsidTr="00FD7774">
        <w:trPr>
          <w:trHeight w:val="300"/>
        </w:trPr>
        <w:tc>
          <w:tcPr>
            <w:tcW w:w="3865" w:type="pct"/>
            <w:tcBorders>
              <w:top w:val="nil"/>
              <w:left w:val="single" w:sz="4" w:space="0" w:color="auto"/>
              <w:bottom w:val="single" w:sz="4" w:space="0" w:color="auto"/>
              <w:right w:val="single" w:sz="4" w:space="0" w:color="auto"/>
            </w:tcBorders>
            <w:shd w:val="clear" w:color="auto" w:fill="auto"/>
            <w:noWrap/>
            <w:vAlign w:val="bottom"/>
            <w:hideMark/>
          </w:tcPr>
          <w:p w14:paraId="34D72E2B" w14:textId="77777777" w:rsidR="0081010F" w:rsidRPr="0081010F" w:rsidRDefault="0081010F" w:rsidP="00FD7774">
            <w:pPr>
              <w:spacing w:after="0"/>
              <w:jc w:val="left"/>
              <w:rPr>
                <w:rFonts w:eastAsia="Times New Roman" w:cs="Arial"/>
                <w:b/>
                <w:i/>
                <w:color w:val="000000"/>
              </w:rPr>
            </w:pPr>
            <w:r w:rsidRPr="0081010F">
              <w:rPr>
                <w:rFonts w:eastAsia="Times New Roman" w:cs="Arial"/>
                <w:b/>
                <w:i/>
                <w:color w:val="000000"/>
              </w:rPr>
              <w:t>Gross Profit Margin (%)</w:t>
            </w:r>
          </w:p>
        </w:tc>
        <w:tc>
          <w:tcPr>
            <w:tcW w:w="253" w:type="pct"/>
            <w:tcBorders>
              <w:top w:val="nil"/>
              <w:left w:val="nil"/>
              <w:bottom w:val="single" w:sz="4" w:space="0" w:color="auto"/>
              <w:right w:val="single" w:sz="4" w:space="0" w:color="auto"/>
            </w:tcBorders>
            <w:shd w:val="clear" w:color="auto" w:fill="auto"/>
            <w:noWrap/>
            <w:vAlign w:val="bottom"/>
            <w:hideMark/>
          </w:tcPr>
          <w:p w14:paraId="3E12FEFD"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Gross Profit ÷ Net Sales × 100</w:t>
            </w:r>
          </w:p>
        </w:tc>
        <w:tc>
          <w:tcPr>
            <w:tcW w:w="179" w:type="pct"/>
            <w:tcBorders>
              <w:top w:val="nil"/>
              <w:left w:val="nil"/>
              <w:bottom w:val="single" w:sz="4" w:space="0" w:color="auto"/>
              <w:right w:val="single" w:sz="4" w:space="0" w:color="auto"/>
            </w:tcBorders>
            <w:shd w:val="clear" w:color="auto" w:fill="auto"/>
            <w:noWrap/>
            <w:vAlign w:val="bottom"/>
            <w:hideMark/>
          </w:tcPr>
          <w:p w14:paraId="79CD01CE"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113,994 ÷ 394,879 = 28.87%</w:t>
            </w:r>
          </w:p>
        </w:tc>
        <w:tc>
          <w:tcPr>
            <w:tcW w:w="176" w:type="pct"/>
            <w:tcBorders>
              <w:top w:val="nil"/>
              <w:left w:val="nil"/>
              <w:bottom w:val="single" w:sz="4" w:space="0" w:color="auto"/>
              <w:right w:val="single" w:sz="4" w:space="0" w:color="auto"/>
            </w:tcBorders>
            <w:shd w:val="clear" w:color="auto" w:fill="auto"/>
            <w:noWrap/>
            <w:vAlign w:val="bottom"/>
            <w:hideMark/>
          </w:tcPr>
          <w:p w14:paraId="48CB2A21"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97,560 ÷ 420,457 = 23.20%</w:t>
            </w:r>
          </w:p>
        </w:tc>
        <w:tc>
          <w:tcPr>
            <w:tcW w:w="176" w:type="pct"/>
            <w:tcBorders>
              <w:top w:val="nil"/>
              <w:left w:val="nil"/>
              <w:bottom w:val="single" w:sz="4" w:space="0" w:color="auto"/>
              <w:right w:val="single" w:sz="4" w:space="0" w:color="auto"/>
            </w:tcBorders>
            <w:shd w:val="clear" w:color="auto" w:fill="auto"/>
            <w:noWrap/>
            <w:vAlign w:val="bottom"/>
            <w:hideMark/>
          </w:tcPr>
          <w:p w14:paraId="351C1C37"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152,292 ÷ 542,751 = 28.06%</w:t>
            </w:r>
          </w:p>
        </w:tc>
        <w:tc>
          <w:tcPr>
            <w:tcW w:w="176" w:type="pct"/>
            <w:tcBorders>
              <w:top w:val="nil"/>
              <w:left w:val="nil"/>
              <w:bottom w:val="single" w:sz="4" w:space="0" w:color="auto"/>
              <w:right w:val="single" w:sz="4" w:space="0" w:color="auto"/>
            </w:tcBorders>
            <w:shd w:val="clear" w:color="auto" w:fill="auto"/>
            <w:noWrap/>
            <w:vAlign w:val="bottom"/>
            <w:hideMark/>
          </w:tcPr>
          <w:p w14:paraId="127336DC"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173,016 ÷ 601,602 = 28.76%</w:t>
            </w:r>
          </w:p>
        </w:tc>
        <w:tc>
          <w:tcPr>
            <w:tcW w:w="176" w:type="pct"/>
            <w:tcBorders>
              <w:top w:val="nil"/>
              <w:left w:val="nil"/>
              <w:bottom w:val="single" w:sz="4" w:space="0" w:color="auto"/>
              <w:right w:val="single" w:sz="4" w:space="0" w:color="auto"/>
            </w:tcBorders>
            <w:shd w:val="clear" w:color="auto" w:fill="auto"/>
            <w:noWrap/>
            <w:vAlign w:val="bottom"/>
            <w:hideMark/>
          </w:tcPr>
          <w:p w14:paraId="690C5755"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176,256 ÷ 614,680 = 28.67%</w:t>
            </w:r>
          </w:p>
        </w:tc>
      </w:tr>
      <w:tr w:rsidR="0081010F" w:rsidRPr="0081010F" w14:paraId="3C474BE8" w14:textId="77777777" w:rsidTr="00FD7774">
        <w:trPr>
          <w:trHeight w:val="300"/>
        </w:trPr>
        <w:tc>
          <w:tcPr>
            <w:tcW w:w="3865" w:type="pct"/>
            <w:tcBorders>
              <w:top w:val="nil"/>
              <w:left w:val="single" w:sz="4" w:space="0" w:color="auto"/>
              <w:bottom w:val="single" w:sz="4" w:space="0" w:color="auto"/>
              <w:right w:val="single" w:sz="4" w:space="0" w:color="auto"/>
            </w:tcBorders>
            <w:shd w:val="clear" w:color="auto" w:fill="auto"/>
            <w:noWrap/>
            <w:vAlign w:val="bottom"/>
            <w:hideMark/>
          </w:tcPr>
          <w:p w14:paraId="42ED6BA0" w14:textId="77777777" w:rsidR="0081010F" w:rsidRPr="0081010F" w:rsidRDefault="0081010F" w:rsidP="00FD7774">
            <w:pPr>
              <w:spacing w:after="0"/>
              <w:jc w:val="left"/>
              <w:rPr>
                <w:rFonts w:eastAsia="Times New Roman" w:cs="Arial"/>
                <w:b/>
                <w:i/>
                <w:color w:val="000000"/>
              </w:rPr>
            </w:pPr>
            <w:r w:rsidRPr="0081010F">
              <w:rPr>
                <w:rFonts w:eastAsia="Times New Roman" w:cs="Arial"/>
                <w:b/>
                <w:i/>
                <w:color w:val="000000"/>
              </w:rPr>
              <w:t>Net Profit Margin (%)</w:t>
            </w:r>
          </w:p>
        </w:tc>
        <w:tc>
          <w:tcPr>
            <w:tcW w:w="253" w:type="pct"/>
            <w:tcBorders>
              <w:top w:val="nil"/>
              <w:left w:val="nil"/>
              <w:bottom w:val="single" w:sz="4" w:space="0" w:color="auto"/>
              <w:right w:val="single" w:sz="4" w:space="0" w:color="auto"/>
            </w:tcBorders>
            <w:shd w:val="clear" w:color="auto" w:fill="auto"/>
            <w:noWrap/>
            <w:vAlign w:val="bottom"/>
            <w:hideMark/>
          </w:tcPr>
          <w:p w14:paraId="2946A04F"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Net Income ÷ Net Sales × 100</w:t>
            </w:r>
          </w:p>
        </w:tc>
        <w:tc>
          <w:tcPr>
            <w:tcW w:w="179" w:type="pct"/>
            <w:tcBorders>
              <w:top w:val="nil"/>
              <w:left w:val="nil"/>
              <w:bottom w:val="single" w:sz="4" w:space="0" w:color="auto"/>
              <w:right w:val="single" w:sz="4" w:space="0" w:color="auto"/>
            </w:tcBorders>
            <w:shd w:val="clear" w:color="auto" w:fill="auto"/>
            <w:noWrap/>
            <w:vAlign w:val="bottom"/>
            <w:hideMark/>
          </w:tcPr>
          <w:p w14:paraId="1580BF9B"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(24,029) ÷ 394,879 = -6.09%</w:t>
            </w:r>
          </w:p>
        </w:tc>
        <w:tc>
          <w:tcPr>
            <w:tcW w:w="176" w:type="pct"/>
            <w:tcBorders>
              <w:top w:val="nil"/>
              <w:left w:val="nil"/>
              <w:bottom w:val="single" w:sz="4" w:space="0" w:color="auto"/>
              <w:right w:val="single" w:sz="4" w:space="0" w:color="auto"/>
            </w:tcBorders>
            <w:shd w:val="clear" w:color="auto" w:fill="auto"/>
            <w:noWrap/>
            <w:vAlign w:val="bottom"/>
            <w:hideMark/>
          </w:tcPr>
          <w:p w14:paraId="07436D09"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(98,238) ÷ 420,457 = -23.37%</w:t>
            </w:r>
          </w:p>
        </w:tc>
        <w:tc>
          <w:tcPr>
            <w:tcW w:w="176" w:type="pct"/>
            <w:tcBorders>
              <w:top w:val="nil"/>
              <w:left w:val="nil"/>
              <w:bottom w:val="single" w:sz="4" w:space="0" w:color="auto"/>
              <w:right w:val="single" w:sz="4" w:space="0" w:color="auto"/>
            </w:tcBorders>
            <w:shd w:val="clear" w:color="auto" w:fill="auto"/>
            <w:noWrap/>
            <w:vAlign w:val="bottom"/>
            <w:hideMark/>
          </w:tcPr>
          <w:p w14:paraId="40BAAFF0"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407 ÷ 542,751 = 0.07%</w:t>
            </w:r>
          </w:p>
        </w:tc>
        <w:tc>
          <w:tcPr>
            <w:tcW w:w="176" w:type="pct"/>
            <w:tcBorders>
              <w:top w:val="nil"/>
              <w:left w:val="nil"/>
              <w:bottom w:val="single" w:sz="4" w:space="0" w:color="auto"/>
              <w:right w:val="single" w:sz="4" w:space="0" w:color="auto"/>
            </w:tcBorders>
            <w:shd w:val="clear" w:color="auto" w:fill="auto"/>
            <w:noWrap/>
            <w:vAlign w:val="bottom"/>
            <w:hideMark/>
          </w:tcPr>
          <w:p w14:paraId="54FC5078"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5,301 ÷ 601,602 = 0.88%</w:t>
            </w:r>
          </w:p>
        </w:tc>
        <w:tc>
          <w:tcPr>
            <w:tcW w:w="176" w:type="pct"/>
            <w:tcBorders>
              <w:top w:val="nil"/>
              <w:left w:val="nil"/>
              <w:bottom w:val="single" w:sz="4" w:space="0" w:color="auto"/>
              <w:right w:val="single" w:sz="4" w:space="0" w:color="auto"/>
            </w:tcBorders>
            <w:shd w:val="clear" w:color="auto" w:fill="auto"/>
            <w:noWrap/>
            <w:vAlign w:val="bottom"/>
            <w:hideMark/>
          </w:tcPr>
          <w:p w14:paraId="6EA7F3F7"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38,572 ÷ 614,680 = 6.28%</w:t>
            </w:r>
          </w:p>
        </w:tc>
      </w:tr>
      <w:tr w:rsidR="0081010F" w:rsidRPr="0081010F" w14:paraId="3F8A0F79" w14:textId="77777777" w:rsidTr="00FD7774">
        <w:trPr>
          <w:trHeight w:val="300"/>
        </w:trPr>
        <w:tc>
          <w:tcPr>
            <w:tcW w:w="3865" w:type="pct"/>
            <w:tcBorders>
              <w:top w:val="nil"/>
              <w:left w:val="single" w:sz="4" w:space="0" w:color="auto"/>
              <w:bottom w:val="single" w:sz="4" w:space="0" w:color="auto"/>
              <w:right w:val="single" w:sz="4" w:space="0" w:color="auto"/>
            </w:tcBorders>
            <w:shd w:val="clear" w:color="auto" w:fill="auto"/>
            <w:noWrap/>
            <w:vAlign w:val="bottom"/>
            <w:hideMark/>
          </w:tcPr>
          <w:p w14:paraId="1637E2D1" w14:textId="77777777" w:rsidR="0081010F" w:rsidRPr="0081010F" w:rsidRDefault="0081010F" w:rsidP="00FD7774">
            <w:pPr>
              <w:spacing w:after="0"/>
              <w:jc w:val="left"/>
              <w:rPr>
                <w:rFonts w:eastAsia="Times New Roman" w:cs="Arial"/>
                <w:b/>
                <w:i/>
                <w:color w:val="000000"/>
              </w:rPr>
            </w:pPr>
            <w:r w:rsidRPr="0081010F">
              <w:rPr>
                <w:rFonts w:eastAsia="Times New Roman" w:cs="Arial"/>
                <w:b/>
                <w:i/>
                <w:color w:val="000000"/>
              </w:rPr>
              <w:t>ROA (%)</w:t>
            </w:r>
          </w:p>
        </w:tc>
        <w:tc>
          <w:tcPr>
            <w:tcW w:w="253" w:type="pct"/>
            <w:tcBorders>
              <w:top w:val="nil"/>
              <w:left w:val="nil"/>
              <w:bottom w:val="single" w:sz="4" w:space="0" w:color="auto"/>
              <w:right w:val="single" w:sz="4" w:space="0" w:color="auto"/>
            </w:tcBorders>
            <w:shd w:val="clear" w:color="auto" w:fill="auto"/>
            <w:noWrap/>
            <w:vAlign w:val="bottom"/>
            <w:hideMark/>
          </w:tcPr>
          <w:p w14:paraId="7905361A"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Net Income ÷ Total Assets × 100</w:t>
            </w:r>
          </w:p>
        </w:tc>
        <w:tc>
          <w:tcPr>
            <w:tcW w:w="179" w:type="pct"/>
            <w:tcBorders>
              <w:top w:val="nil"/>
              <w:left w:val="nil"/>
              <w:bottom w:val="single" w:sz="4" w:space="0" w:color="auto"/>
              <w:right w:val="single" w:sz="4" w:space="0" w:color="auto"/>
            </w:tcBorders>
            <w:shd w:val="clear" w:color="auto" w:fill="auto"/>
            <w:noWrap/>
            <w:vAlign w:val="bottom"/>
            <w:hideMark/>
          </w:tcPr>
          <w:p w14:paraId="57F97CE7"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(24,029) ÷ 323,354 = -7.43%</w:t>
            </w:r>
          </w:p>
        </w:tc>
        <w:tc>
          <w:tcPr>
            <w:tcW w:w="176" w:type="pct"/>
            <w:tcBorders>
              <w:top w:val="nil"/>
              <w:left w:val="nil"/>
              <w:bottom w:val="single" w:sz="4" w:space="0" w:color="auto"/>
              <w:right w:val="single" w:sz="4" w:space="0" w:color="auto"/>
            </w:tcBorders>
            <w:shd w:val="clear" w:color="auto" w:fill="auto"/>
            <w:noWrap/>
            <w:vAlign w:val="bottom"/>
            <w:hideMark/>
          </w:tcPr>
          <w:p w14:paraId="193994B2"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(98,238) ÷ 355,872 = -27.61%</w:t>
            </w:r>
          </w:p>
        </w:tc>
        <w:tc>
          <w:tcPr>
            <w:tcW w:w="176" w:type="pct"/>
            <w:tcBorders>
              <w:top w:val="nil"/>
              <w:left w:val="nil"/>
              <w:bottom w:val="single" w:sz="4" w:space="0" w:color="auto"/>
              <w:right w:val="single" w:sz="4" w:space="0" w:color="auto"/>
            </w:tcBorders>
            <w:shd w:val="clear" w:color="auto" w:fill="auto"/>
            <w:noWrap/>
            <w:vAlign w:val="bottom"/>
            <w:hideMark/>
          </w:tcPr>
          <w:p w14:paraId="510A1DEC"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407 ÷ 504,163 = 0.08%</w:t>
            </w:r>
          </w:p>
        </w:tc>
        <w:tc>
          <w:tcPr>
            <w:tcW w:w="176" w:type="pct"/>
            <w:tcBorders>
              <w:top w:val="nil"/>
              <w:left w:val="nil"/>
              <w:bottom w:val="single" w:sz="4" w:space="0" w:color="auto"/>
              <w:right w:val="single" w:sz="4" w:space="0" w:color="auto"/>
            </w:tcBorders>
            <w:shd w:val="clear" w:color="auto" w:fill="auto"/>
            <w:noWrap/>
            <w:vAlign w:val="bottom"/>
            <w:hideMark/>
          </w:tcPr>
          <w:p w14:paraId="0C2AB57D"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5,301 ÷ 510,348 = 1.04%</w:t>
            </w:r>
          </w:p>
        </w:tc>
        <w:tc>
          <w:tcPr>
            <w:tcW w:w="176" w:type="pct"/>
            <w:tcBorders>
              <w:top w:val="nil"/>
              <w:left w:val="nil"/>
              <w:bottom w:val="single" w:sz="4" w:space="0" w:color="auto"/>
              <w:right w:val="single" w:sz="4" w:space="0" w:color="auto"/>
            </w:tcBorders>
            <w:shd w:val="clear" w:color="auto" w:fill="auto"/>
            <w:noWrap/>
            <w:vAlign w:val="bottom"/>
            <w:hideMark/>
          </w:tcPr>
          <w:p w14:paraId="5D812C37"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38,572 ÷ 510,290 = 7.56%</w:t>
            </w:r>
          </w:p>
        </w:tc>
      </w:tr>
      <w:tr w:rsidR="0081010F" w:rsidRPr="0081010F" w14:paraId="31933B18" w14:textId="77777777" w:rsidTr="00FD7774">
        <w:trPr>
          <w:trHeight w:val="300"/>
        </w:trPr>
        <w:tc>
          <w:tcPr>
            <w:tcW w:w="3865" w:type="pct"/>
            <w:tcBorders>
              <w:top w:val="nil"/>
              <w:left w:val="single" w:sz="4" w:space="0" w:color="auto"/>
              <w:bottom w:val="single" w:sz="4" w:space="0" w:color="auto"/>
              <w:right w:val="single" w:sz="4" w:space="0" w:color="auto"/>
            </w:tcBorders>
            <w:shd w:val="clear" w:color="auto" w:fill="auto"/>
            <w:noWrap/>
            <w:vAlign w:val="bottom"/>
            <w:hideMark/>
          </w:tcPr>
          <w:p w14:paraId="2E807877" w14:textId="77777777" w:rsidR="0081010F" w:rsidRPr="0081010F" w:rsidRDefault="0081010F" w:rsidP="00FD7774">
            <w:pPr>
              <w:spacing w:after="0"/>
              <w:jc w:val="left"/>
              <w:rPr>
                <w:rFonts w:eastAsia="Times New Roman" w:cs="Arial"/>
                <w:b/>
                <w:i/>
                <w:color w:val="000000"/>
              </w:rPr>
            </w:pPr>
            <w:r w:rsidRPr="0081010F">
              <w:rPr>
                <w:rFonts w:eastAsia="Times New Roman" w:cs="Arial"/>
                <w:b/>
                <w:i/>
                <w:color w:val="000000"/>
              </w:rPr>
              <w:t>ROE (%)</w:t>
            </w:r>
          </w:p>
        </w:tc>
        <w:tc>
          <w:tcPr>
            <w:tcW w:w="253" w:type="pct"/>
            <w:tcBorders>
              <w:top w:val="nil"/>
              <w:left w:val="nil"/>
              <w:bottom w:val="single" w:sz="4" w:space="0" w:color="auto"/>
              <w:right w:val="single" w:sz="4" w:space="0" w:color="auto"/>
            </w:tcBorders>
            <w:shd w:val="clear" w:color="auto" w:fill="auto"/>
            <w:noWrap/>
            <w:vAlign w:val="bottom"/>
            <w:hideMark/>
          </w:tcPr>
          <w:p w14:paraId="119A291A"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Net Income ÷ Shareholders’ Equity × 100</w:t>
            </w:r>
          </w:p>
        </w:tc>
        <w:tc>
          <w:tcPr>
            <w:tcW w:w="179" w:type="pct"/>
            <w:tcBorders>
              <w:top w:val="nil"/>
              <w:left w:val="nil"/>
              <w:bottom w:val="single" w:sz="4" w:space="0" w:color="auto"/>
              <w:right w:val="single" w:sz="4" w:space="0" w:color="auto"/>
            </w:tcBorders>
            <w:shd w:val="clear" w:color="auto" w:fill="auto"/>
            <w:noWrap/>
            <w:vAlign w:val="bottom"/>
            <w:hideMark/>
          </w:tcPr>
          <w:p w14:paraId="622782F1"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(24,029) ÷ 153,105 = -15.69%</w:t>
            </w:r>
          </w:p>
        </w:tc>
        <w:tc>
          <w:tcPr>
            <w:tcW w:w="176" w:type="pct"/>
            <w:tcBorders>
              <w:top w:val="nil"/>
              <w:left w:val="nil"/>
              <w:bottom w:val="single" w:sz="4" w:space="0" w:color="auto"/>
              <w:right w:val="single" w:sz="4" w:space="0" w:color="auto"/>
            </w:tcBorders>
            <w:shd w:val="clear" w:color="auto" w:fill="auto"/>
            <w:noWrap/>
            <w:vAlign w:val="bottom"/>
            <w:hideMark/>
          </w:tcPr>
          <w:p w14:paraId="20D72FBE"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(98,238) ÷ 178,920 = -54.91%</w:t>
            </w:r>
          </w:p>
        </w:tc>
        <w:tc>
          <w:tcPr>
            <w:tcW w:w="176" w:type="pct"/>
            <w:tcBorders>
              <w:top w:val="nil"/>
              <w:left w:val="nil"/>
              <w:bottom w:val="single" w:sz="4" w:space="0" w:color="auto"/>
              <w:right w:val="single" w:sz="4" w:space="0" w:color="auto"/>
            </w:tcBorders>
            <w:shd w:val="clear" w:color="auto" w:fill="auto"/>
            <w:noWrap/>
            <w:vAlign w:val="bottom"/>
            <w:hideMark/>
          </w:tcPr>
          <w:p w14:paraId="7A4F5DD8"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407 ÷ 268,406 = 0.15%</w:t>
            </w:r>
          </w:p>
        </w:tc>
        <w:tc>
          <w:tcPr>
            <w:tcW w:w="176" w:type="pct"/>
            <w:tcBorders>
              <w:top w:val="nil"/>
              <w:left w:val="nil"/>
              <w:bottom w:val="single" w:sz="4" w:space="0" w:color="auto"/>
              <w:right w:val="single" w:sz="4" w:space="0" w:color="auto"/>
            </w:tcBorders>
            <w:shd w:val="clear" w:color="auto" w:fill="auto"/>
            <w:noWrap/>
            <w:vAlign w:val="bottom"/>
            <w:hideMark/>
          </w:tcPr>
          <w:p w14:paraId="51D00ECB"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5,301 ÷ 275,949 = 1.92%</w:t>
            </w:r>
          </w:p>
        </w:tc>
        <w:tc>
          <w:tcPr>
            <w:tcW w:w="176" w:type="pct"/>
            <w:tcBorders>
              <w:top w:val="nil"/>
              <w:left w:val="nil"/>
              <w:bottom w:val="single" w:sz="4" w:space="0" w:color="auto"/>
              <w:right w:val="single" w:sz="4" w:space="0" w:color="auto"/>
            </w:tcBorders>
            <w:shd w:val="clear" w:color="auto" w:fill="auto"/>
            <w:noWrap/>
            <w:vAlign w:val="bottom"/>
            <w:hideMark/>
          </w:tcPr>
          <w:p w14:paraId="35D46E2B"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38,572 ÷ 313,301 = 12.31%</w:t>
            </w:r>
          </w:p>
        </w:tc>
      </w:tr>
      <w:tr w:rsidR="0081010F" w:rsidRPr="0081010F" w14:paraId="48AC21D8" w14:textId="77777777" w:rsidTr="00FD7774">
        <w:trPr>
          <w:trHeight w:val="300"/>
        </w:trPr>
        <w:tc>
          <w:tcPr>
            <w:tcW w:w="3865" w:type="pct"/>
            <w:tcBorders>
              <w:top w:val="nil"/>
              <w:left w:val="nil"/>
              <w:bottom w:val="nil"/>
              <w:right w:val="nil"/>
            </w:tcBorders>
            <w:shd w:val="clear" w:color="auto" w:fill="auto"/>
            <w:noWrap/>
            <w:vAlign w:val="bottom"/>
            <w:hideMark/>
          </w:tcPr>
          <w:p w14:paraId="784EC887" w14:textId="77777777" w:rsidR="0081010F" w:rsidRPr="0081010F" w:rsidRDefault="0081010F" w:rsidP="00FD7774">
            <w:pPr>
              <w:spacing w:after="0"/>
              <w:jc w:val="left"/>
              <w:rPr>
                <w:rFonts w:eastAsia="Times New Roman" w:cs="Arial"/>
                <w:color w:val="000000"/>
              </w:rPr>
            </w:pPr>
          </w:p>
        </w:tc>
        <w:tc>
          <w:tcPr>
            <w:tcW w:w="253" w:type="pct"/>
            <w:tcBorders>
              <w:top w:val="nil"/>
              <w:left w:val="nil"/>
              <w:bottom w:val="nil"/>
              <w:right w:val="nil"/>
            </w:tcBorders>
            <w:shd w:val="clear" w:color="auto" w:fill="auto"/>
            <w:noWrap/>
            <w:vAlign w:val="bottom"/>
            <w:hideMark/>
          </w:tcPr>
          <w:p w14:paraId="016FE7D2" w14:textId="77777777" w:rsidR="0081010F" w:rsidRPr="0081010F" w:rsidRDefault="0081010F" w:rsidP="00FD7774">
            <w:pPr>
              <w:spacing w:after="0"/>
              <w:jc w:val="left"/>
              <w:rPr>
                <w:rFonts w:eastAsia="Times New Roman" w:cs="Arial"/>
              </w:rPr>
            </w:pPr>
          </w:p>
        </w:tc>
        <w:tc>
          <w:tcPr>
            <w:tcW w:w="179" w:type="pct"/>
            <w:tcBorders>
              <w:top w:val="nil"/>
              <w:left w:val="nil"/>
              <w:bottom w:val="nil"/>
              <w:right w:val="nil"/>
            </w:tcBorders>
            <w:shd w:val="clear" w:color="auto" w:fill="auto"/>
            <w:noWrap/>
            <w:vAlign w:val="bottom"/>
            <w:hideMark/>
          </w:tcPr>
          <w:p w14:paraId="3D1D11AC"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1F3BB7AC"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51020BAA"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56864BDA"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7918D4E4" w14:textId="77777777" w:rsidR="0081010F" w:rsidRPr="0081010F" w:rsidRDefault="0081010F" w:rsidP="00FD7774">
            <w:pPr>
              <w:spacing w:after="0"/>
              <w:jc w:val="left"/>
              <w:rPr>
                <w:rFonts w:eastAsia="Times New Roman" w:cs="Arial"/>
              </w:rPr>
            </w:pPr>
          </w:p>
        </w:tc>
      </w:tr>
      <w:tr w:rsidR="0081010F" w:rsidRPr="0081010F" w14:paraId="4D9DA054" w14:textId="77777777" w:rsidTr="00FD7774">
        <w:trPr>
          <w:trHeight w:val="300"/>
        </w:trPr>
        <w:tc>
          <w:tcPr>
            <w:tcW w:w="3865" w:type="pct"/>
            <w:tcBorders>
              <w:top w:val="nil"/>
              <w:left w:val="nil"/>
              <w:bottom w:val="nil"/>
              <w:right w:val="nil"/>
            </w:tcBorders>
            <w:shd w:val="clear" w:color="auto" w:fill="auto"/>
            <w:noWrap/>
            <w:vAlign w:val="bottom"/>
            <w:hideMark/>
          </w:tcPr>
          <w:p w14:paraId="0E9B2E6B" w14:textId="77777777" w:rsidR="0081010F" w:rsidRPr="0081010F" w:rsidRDefault="0081010F" w:rsidP="00FD7774">
            <w:pPr>
              <w:spacing w:after="0"/>
              <w:jc w:val="left"/>
              <w:rPr>
                <w:rFonts w:eastAsia="Times New Roman" w:cs="Arial"/>
              </w:rPr>
            </w:pPr>
          </w:p>
        </w:tc>
        <w:tc>
          <w:tcPr>
            <w:tcW w:w="253" w:type="pct"/>
            <w:tcBorders>
              <w:top w:val="nil"/>
              <w:left w:val="nil"/>
              <w:bottom w:val="nil"/>
              <w:right w:val="nil"/>
            </w:tcBorders>
            <w:shd w:val="clear" w:color="auto" w:fill="auto"/>
            <w:noWrap/>
            <w:vAlign w:val="bottom"/>
            <w:hideMark/>
          </w:tcPr>
          <w:p w14:paraId="72507544" w14:textId="77777777" w:rsidR="0081010F" w:rsidRPr="0081010F" w:rsidRDefault="0081010F" w:rsidP="00FD7774">
            <w:pPr>
              <w:spacing w:after="0"/>
              <w:jc w:val="left"/>
              <w:rPr>
                <w:rFonts w:eastAsia="Times New Roman" w:cs="Arial"/>
              </w:rPr>
            </w:pPr>
          </w:p>
        </w:tc>
        <w:tc>
          <w:tcPr>
            <w:tcW w:w="179" w:type="pct"/>
            <w:tcBorders>
              <w:top w:val="nil"/>
              <w:left w:val="nil"/>
              <w:bottom w:val="nil"/>
              <w:right w:val="nil"/>
            </w:tcBorders>
            <w:shd w:val="clear" w:color="auto" w:fill="auto"/>
            <w:noWrap/>
            <w:vAlign w:val="bottom"/>
            <w:hideMark/>
          </w:tcPr>
          <w:p w14:paraId="13AFACF7"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558B2B90"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5713171E"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126AB1A4"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222DAEF5" w14:textId="77777777" w:rsidR="0081010F" w:rsidRPr="0081010F" w:rsidRDefault="0081010F" w:rsidP="00FD7774">
            <w:pPr>
              <w:spacing w:after="0"/>
              <w:jc w:val="left"/>
              <w:rPr>
                <w:rFonts w:eastAsia="Times New Roman" w:cs="Arial"/>
              </w:rPr>
            </w:pPr>
          </w:p>
        </w:tc>
      </w:tr>
      <w:tr w:rsidR="0081010F" w:rsidRPr="0081010F" w14:paraId="6C4A88AA" w14:textId="77777777" w:rsidTr="00FD7774">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1CA09D"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Liquidity Ratios</w:t>
            </w:r>
          </w:p>
        </w:tc>
      </w:tr>
      <w:tr w:rsidR="0081010F" w:rsidRPr="0081010F" w14:paraId="224BF2DE" w14:textId="77777777" w:rsidTr="00FD7774">
        <w:trPr>
          <w:trHeight w:val="300"/>
        </w:trPr>
        <w:tc>
          <w:tcPr>
            <w:tcW w:w="3865" w:type="pct"/>
            <w:tcBorders>
              <w:top w:val="nil"/>
              <w:left w:val="single" w:sz="4" w:space="0" w:color="auto"/>
              <w:bottom w:val="single" w:sz="4" w:space="0" w:color="auto"/>
              <w:right w:val="single" w:sz="4" w:space="0" w:color="auto"/>
            </w:tcBorders>
            <w:shd w:val="clear" w:color="auto" w:fill="auto"/>
            <w:noWrap/>
            <w:vAlign w:val="bottom"/>
            <w:hideMark/>
          </w:tcPr>
          <w:p w14:paraId="0269D59A" w14:textId="77777777" w:rsidR="0081010F" w:rsidRPr="0081010F" w:rsidRDefault="0081010F" w:rsidP="00FD7774">
            <w:pPr>
              <w:spacing w:after="0"/>
              <w:jc w:val="left"/>
              <w:rPr>
                <w:rFonts w:eastAsia="Times New Roman" w:cs="Arial"/>
                <w:b/>
                <w:bCs/>
                <w:color w:val="000000"/>
              </w:rPr>
            </w:pPr>
            <w:r w:rsidRPr="0081010F">
              <w:rPr>
                <w:rFonts w:eastAsia="Times New Roman" w:cs="Arial"/>
                <w:b/>
                <w:bCs/>
                <w:color w:val="000000"/>
              </w:rPr>
              <w:t>Ratio</w:t>
            </w:r>
          </w:p>
        </w:tc>
        <w:tc>
          <w:tcPr>
            <w:tcW w:w="253" w:type="pct"/>
            <w:tcBorders>
              <w:top w:val="nil"/>
              <w:left w:val="nil"/>
              <w:bottom w:val="single" w:sz="4" w:space="0" w:color="auto"/>
              <w:right w:val="single" w:sz="4" w:space="0" w:color="auto"/>
            </w:tcBorders>
            <w:shd w:val="clear" w:color="auto" w:fill="auto"/>
            <w:noWrap/>
            <w:vAlign w:val="bottom"/>
            <w:hideMark/>
          </w:tcPr>
          <w:p w14:paraId="31342187" w14:textId="77777777" w:rsidR="0081010F" w:rsidRPr="0081010F" w:rsidRDefault="0081010F" w:rsidP="00FD7774">
            <w:pPr>
              <w:spacing w:after="0"/>
              <w:jc w:val="left"/>
              <w:rPr>
                <w:rFonts w:eastAsia="Times New Roman" w:cs="Arial"/>
                <w:b/>
                <w:bCs/>
                <w:color w:val="000000"/>
              </w:rPr>
            </w:pPr>
            <w:r w:rsidRPr="0081010F">
              <w:rPr>
                <w:rFonts w:eastAsia="Times New Roman" w:cs="Arial"/>
                <w:b/>
                <w:bCs/>
                <w:color w:val="000000"/>
              </w:rPr>
              <w:t>Formula</w:t>
            </w:r>
          </w:p>
        </w:tc>
        <w:tc>
          <w:tcPr>
            <w:tcW w:w="179" w:type="pct"/>
            <w:tcBorders>
              <w:top w:val="nil"/>
              <w:left w:val="nil"/>
              <w:bottom w:val="single" w:sz="4" w:space="0" w:color="auto"/>
              <w:right w:val="single" w:sz="4" w:space="0" w:color="auto"/>
            </w:tcBorders>
            <w:shd w:val="clear" w:color="auto" w:fill="auto"/>
            <w:noWrap/>
            <w:vAlign w:val="bottom"/>
            <w:hideMark/>
          </w:tcPr>
          <w:p w14:paraId="37F714CF" w14:textId="77777777" w:rsidR="0081010F" w:rsidRPr="0081010F" w:rsidRDefault="0081010F" w:rsidP="00FD7774">
            <w:pPr>
              <w:spacing w:after="0"/>
              <w:jc w:val="right"/>
              <w:rPr>
                <w:rFonts w:eastAsia="Times New Roman" w:cs="Arial"/>
                <w:b/>
                <w:bCs/>
                <w:color w:val="000000"/>
              </w:rPr>
            </w:pPr>
            <w:r w:rsidRPr="0081010F">
              <w:rPr>
                <w:rFonts w:eastAsia="Times New Roman" w:cs="Arial"/>
                <w:b/>
                <w:bCs/>
                <w:color w:val="000000"/>
              </w:rPr>
              <w:t>2024</w:t>
            </w:r>
          </w:p>
        </w:tc>
        <w:tc>
          <w:tcPr>
            <w:tcW w:w="176" w:type="pct"/>
            <w:tcBorders>
              <w:top w:val="nil"/>
              <w:left w:val="nil"/>
              <w:bottom w:val="single" w:sz="4" w:space="0" w:color="auto"/>
              <w:right w:val="single" w:sz="4" w:space="0" w:color="auto"/>
            </w:tcBorders>
            <w:shd w:val="clear" w:color="auto" w:fill="auto"/>
            <w:noWrap/>
            <w:vAlign w:val="bottom"/>
            <w:hideMark/>
          </w:tcPr>
          <w:p w14:paraId="1CE60EBC" w14:textId="77777777" w:rsidR="0081010F" w:rsidRPr="0081010F" w:rsidRDefault="0081010F" w:rsidP="00FD7774">
            <w:pPr>
              <w:spacing w:after="0"/>
              <w:jc w:val="right"/>
              <w:rPr>
                <w:rFonts w:eastAsia="Times New Roman" w:cs="Arial"/>
                <w:b/>
                <w:bCs/>
                <w:color w:val="000000"/>
              </w:rPr>
            </w:pPr>
            <w:r w:rsidRPr="0081010F">
              <w:rPr>
                <w:rFonts w:eastAsia="Times New Roman" w:cs="Arial"/>
                <w:b/>
                <w:bCs/>
                <w:color w:val="000000"/>
              </w:rPr>
              <w:t>2023</w:t>
            </w:r>
          </w:p>
        </w:tc>
        <w:tc>
          <w:tcPr>
            <w:tcW w:w="176" w:type="pct"/>
            <w:tcBorders>
              <w:top w:val="nil"/>
              <w:left w:val="nil"/>
              <w:bottom w:val="single" w:sz="4" w:space="0" w:color="auto"/>
              <w:right w:val="single" w:sz="4" w:space="0" w:color="auto"/>
            </w:tcBorders>
            <w:shd w:val="clear" w:color="auto" w:fill="auto"/>
            <w:noWrap/>
            <w:vAlign w:val="bottom"/>
            <w:hideMark/>
          </w:tcPr>
          <w:p w14:paraId="40D00B5A" w14:textId="77777777" w:rsidR="0081010F" w:rsidRPr="0081010F" w:rsidRDefault="0081010F" w:rsidP="00FD7774">
            <w:pPr>
              <w:spacing w:after="0"/>
              <w:jc w:val="right"/>
              <w:rPr>
                <w:rFonts w:eastAsia="Times New Roman" w:cs="Arial"/>
                <w:b/>
                <w:bCs/>
                <w:color w:val="000000"/>
              </w:rPr>
            </w:pPr>
            <w:r w:rsidRPr="0081010F">
              <w:rPr>
                <w:rFonts w:eastAsia="Times New Roman" w:cs="Arial"/>
                <w:b/>
                <w:bCs/>
                <w:color w:val="000000"/>
              </w:rPr>
              <w:t>2022</w:t>
            </w:r>
          </w:p>
        </w:tc>
        <w:tc>
          <w:tcPr>
            <w:tcW w:w="176" w:type="pct"/>
            <w:tcBorders>
              <w:top w:val="nil"/>
              <w:left w:val="nil"/>
              <w:bottom w:val="single" w:sz="4" w:space="0" w:color="auto"/>
              <w:right w:val="single" w:sz="4" w:space="0" w:color="auto"/>
            </w:tcBorders>
            <w:shd w:val="clear" w:color="auto" w:fill="auto"/>
            <w:noWrap/>
            <w:vAlign w:val="bottom"/>
            <w:hideMark/>
          </w:tcPr>
          <w:p w14:paraId="0850595C" w14:textId="77777777" w:rsidR="0081010F" w:rsidRPr="0081010F" w:rsidRDefault="0081010F" w:rsidP="00FD7774">
            <w:pPr>
              <w:spacing w:after="0"/>
              <w:jc w:val="right"/>
              <w:rPr>
                <w:rFonts w:eastAsia="Times New Roman" w:cs="Arial"/>
                <w:b/>
                <w:bCs/>
                <w:color w:val="000000"/>
              </w:rPr>
            </w:pPr>
            <w:r w:rsidRPr="0081010F">
              <w:rPr>
                <w:rFonts w:eastAsia="Times New Roman" w:cs="Arial"/>
                <w:b/>
                <w:bCs/>
                <w:color w:val="000000"/>
              </w:rPr>
              <w:t>2021</w:t>
            </w:r>
          </w:p>
        </w:tc>
        <w:tc>
          <w:tcPr>
            <w:tcW w:w="176" w:type="pct"/>
            <w:tcBorders>
              <w:top w:val="nil"/>
              <w:left w:val="nil"/>
              <w:bottom w:val="single" w:sz="4" w:space="0" w:color="auto"/>
              <w:right w:val="single" w:sz="4" w:space="0" w:color="auto"/>
            </w:tcBorders>
            <w:shd w:val="clear" w:color="auto" w:fill="auto"/>
            <w:noWrap/>
            <w:vAlign w:val="bottom"/>
            <w:hideMark/>
          </w:tcPr>
          <w:p w14:paraId="0D80D3D9" w14:textId="77777777" w:rsidR="0081010F" w:rsidRPr="0081010F" w:rsidRDefault="0081010F" w:rsidP="00FD7774">
            <w:pPr>
              <w:spacing w:after="0"/>
              <w:jc w:val="right"/>
              <w:rPr>
                <w:rFonts w:eastAsia="Times New Roman" w:cs="Arial"/>
                <w:b/>
                <w:bCs/>
                <w:color w:val="000000"/>
              </w:rPr>
            </w:pPr>
            <w:r w:rsidRPr="0081010F">
              <w:rPr>
                <w:rFonts w:eastAsia="Times New Roman" w:cs="Arial"/>
                <w:b/>
                <w:bCs/>
                <w:color w:val="000000"/>
              </w:rPr>
              <w:t>2020</w:t>
            </w:r>
          </w:p>
        </w:tc>
      </w:tr>
      <w:tr w:rsidR="0081010F" w:rsidRPr="0081010F" w14:paraId="0E5FE616" w14:textId="77777777" w:rsidTr="00FD7774">
        <w:trPr>
          <w:trHeight w:val="300"/>
        </w:trPr>
        <w:tc>
          <w:tcPr>
            <w:tcW w:w="3865" w:type="pct"/>
            <w:tcBorders>
              <w:top w:val="nil"/>
              <w:left w:val="single" w:sz="4" w:space="0" w:color="auto"/>
              <w:bottom w:val="single" w:sz="4" w:space="0" w:color="auto"/>
              <w:right w:val="single" w:sz="4" w:space="0" w:color="auto"/>
            </w:tcBorders>
            <w:shd w:val="clear" w:color="auto" w:fill="auto"/>
            <w:noWrap/>
            <w:vAlign w:val="bottom"/>
            <w:hideMark/>
          </w:tcPr>
          <w:p w14:paraId="56B0E99E" w14:textId="77777777" w:rsidR="0081010F" w:rsidRPr="0081010F" w:rsidRDefault="0081010F" w:rsidP="00FD7774">
            <w:pPr>
              <w:spacing w:after="0"/>
              <w:jc w:val="left"/>
              <w:rPr>
                <w:rFonts w:eastAsia="Times New Roman" w:cs="Arial"/>
                <w:b/>
                <w:i/>
                <w:color w:val="000000"/>
              </w:rPr>
            </w:pPr>
            <w:r w:rsidRPr="0081010F">
              <w:rPr>
                <w:rFonts w:eastAsia="Times New Roman" w:cs="Arial"/>
                <w:b/>
                <w:i/>
                <w:color w:val="000000"/>
              </w:rPr>
              <w:t>Current Ratio</w:t>
            </w:r>
          </w:p>
        </w:tc>
        <w:tc>
          <w:tcPr>
            <w:tcW w:w="253" w:type="pct"/>
            <w:tcBorders>
              <w:top w:val="nil"/>
              <w:left w:val="nil"/>
              <w:bottom w:val="single" w:sz="4" w:space="0" w:color="auto"/>
              <w:right w:val="single" w:sz="4" w:space="0" w:color="auto"/>
            </w:tcBorders>
            <w:shd w:val="clear" w:color="auto" w:fill="auto"/>
            <w:noWrap/>
            <w:vAlign w:val="bottom"/>
            <w:hideMark/>
          </w:tcPr>
          <w:p w14:paraId="5BFF2A5D"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Current Assets ÷ Current Liabilities</w:t>
            </w:r>
          </w:p>
        </w:tc>
        <w:tc>
          <w:tcPr>
            <w:tcW w:w="179" w:type="pct"/>
            <w:tcBorders>
              <w:top w:val="nil"/>
              <w:left w:val="nil"/>
              <w:bottom w:val="single" w:sz="4" w:space="0" w:color="auto"/>
              <w:right w:val="single" w:sz="4" w:space="0" w:color="auto"/>
            </w:tcBorders>
            <w:shd w:val="clear" w:color="auto" w:fill="auto"/>
            <w:noWrap/>
            <w:vAlign w:val="bottom"/>
            <w:hideMark/>
          </w:tcPr>
          <w:p w14:paraId="67091510"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242,494 ÷ 158,291 = 1.53</w:t>
            </w:r>
          </w:p>
        </w:tc>
        <w:tc>
          <w:tcPr>
            <w:tcW w:w="176" w:type="pct"/>
            <w:tcBorders>
              <w:top w:val="nil"/>
              <w:left w:val="nil"/>
              <w:bottom w:val="single" w:sz="4" w:space="0" w:color="auto"/>
              <w:right w:val="single" w:sz="4" w:space="0" w:color="auto"/>
            </w:tcBorders>
            <w:shd w:val="clear" w:color="auto" w:fill="auto"/>
            <w:noWrap/>
            <w:vAlign w:val="bottom"/>
            <w:hideMark/>
          </w:tcPr>
          <w:p w14:paraId="6279FA80"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258,851 ÷ 161,148 = 1.61</w:t>
            </w:r>
          </w:p>
        </w:tc>
        <w:tc>
          <w:tcPr>
            <w:tcW w:w="176" w:type="pct"/>
            <w:tcBorders>
              <w:top w:val="nil"/>
              <w:left w:val="nil"/>
              <w:bottom w:val="single" w:sz="4" w:space="0" w:color="auto"/>
              <w:right w:val="single" w:sz="4" w:space="0" w:color="auto"/>
            </w:tcBorders>
            <w:shd w:val="clear" w:color="auto" w:fill="auto"/>
            <w:noWrap/>
            <w:vAlign w:val="bottom"/>
            <w:hideMark/>
          </w:tcPr>
          <w:p w14:paraId="7C8BEBB8"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338,040 ÷ 216,473 = 1.56</w:t>
            </w:r>
          </w:p>
        </w:tc>
        <w:tc>
          <w:tcPr>
            <w:tcW w:w="176" w:type="pct"/>
            <w:tcBorders>
              <w:top w:val="nil"/>
              <w:left w:val="nil"/>
              <w:bottom w:val="single" w:sz="4" w:space="0" w:color="auto"/>
              <w:right w:val="single" w:sz="4" w:space="0" w:color="auto"/>
            </w:tcBorders>
            <w:shd w:val="clear" w:color="auto" w:fill="auto"/>
            <w:noWrap/>
            <w:vAlign w:val="bottom"/>
            <w:hideMark/>
          </w:tcPr>
          <w:p w14:paraId="1EDEEF47"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337,146 ÷ 216,787 = 1.56</w:t>
            </w:r>
          </w:p>
        </w:tc>
        <w:tc>
          <w:tcPr>
            <w:tcW w:w="176" w:type="pct"/>
            <w:tcBorders>
              <w:top w:val="nil"/>
              <w:left w:val="nil"/>
              <w:bottom w:val="single" w:sz="4" w:space="0" w:color="auto"/>
              <w:right w:val="single" w:sz="4" w:space="0" w:color="auto"/>
            </w:tcBorders>
            <w:shd w:val="clear" w:color="auto" w:fill="auto"/>
            <w:noWrap/>
            <w:vAlign w:val="bottom"/>
            <w:hideMark/>
          </w:tcPr>
          <w:p w14:paraId="698E2CF7"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326,843 ÷ 179,510 = 1.82</w:t>
            </w:r>
          </w:p>
        </w:tc>
      </w:tr>
      <w:tr w:rsidR="0081010F" w:rsidRPr="0081010F" w14:paraId="636A7449" w14:textId="77777777" w:rsidTr="00FD7774">
        <w:trPr>
          <w:trHeight w:val="300"/>
        </w:trPr>
        <w:tc>
          <w:tcPr>
            <w:tcW w:w="3865" w:type="pct"/>
            <w:tcBorders>
              <w:top w:val="nil"/>
              <w:left w:val="single" w:sz="4" w:space="0" w:color="auto"/>
              <w:bottom w:val="single" w:sz="4" w:space="0" w:color="auto"/>
              <w:right w:val="single" w:sz="4" w:space="0" w:color="auto"/>
            </w:tcBorders>
            <w:shd w:val="clear" w:color="auto" w:fill="auto"/>
            <w:noWrap/>
            <w:vAlign w:val="bottom"/>
            <w:hideMark/>
          </w:tcPr>
          <w:p w14:paraId="100A921E" w14:textId="77777777" w:rsidR="0081010F" w:rsidRPr="0081010F" w:rsidRDefault="0081010F" w:rsidP="00FD7774">
            <w:pPr>
              <w:spacing w:after="0"/>
              <w:jc w:val="left"/>
              <w:rPr>
                <w:rFonts w:eastAsia="Times New Roman" w:cs="Arial"/>
                <w:b/>
                <w:i/>
                <w:color w:val="000000"/>
              </w:rPr>
            </w:pPr>
            <w:r w:rsidRPr="0081010F">
              <w:rPr>
                <w:rFonts w:eastAsia="Times New Roman" w:cs="Arial"/>
                <w:b/>
                <w:i/>
                <w:color w:val="000000"/>
              </w:rPr>
              <w:t>Quick Ratio</w:t>
            </w:r>
          </w:p>
        </w:tc>
        <w:tc>
          <w:tcPr>
            <w:tcW w:w="253" w:type="pct"/>
            <w:tcBorders>
              <w:top w:val="nil"/>
              <w:left w:val="nil"/>
              <w:bottom w:val="single" w:sz="4" w:space="0" w:color="auto"/>
              <w:right w:val="single" w:sz="4" w:space="0" w:color="auto"/>
            </w:tcBorders>
            <w:shd w:val="clear" w:color="auto" w:fill="auto"/>
            <w:noWrap/>
            <w:vAlign w:val="bottom"/>
            <w:hideMark/>
          </w:tcPr>
          <w:p w14:paraId="00943E40"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(Current Assets – Inventories) ÷ Current Liabilities</w:t>
            </w:r>
          </w:p>
        </w:tc>
        <w:tc>
          <w:tcPr>
            <w:tcW w:w="179" w:type="pct"/>
            <w:tcBorders>
              <w:top w:val="nil"/>
              <w:left w:val="nil"/>
              <w:bottom w:val="single" w:sz="4" w:space="0" w:color="auto"/>
              <w:right w:val="single" w:sz="4" w:space="0" w:color="auto"/>
            </w:tcBorders>
            <w:shd w:val="clear" w:color="auto" w:fill="auto"/>
            <w:noWrap/>
            <w:vAlign w:val="bottom"/>
            <w:hideMark/>
          </w:tcPr>
          <w:p w14:paraId="5224DD50"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(242,494 − 79,355) ÷ 158,291 = 1.03</w:t>
            </w:r>
          </w:p>
        </w:tc>
        <w:tc>
          <w:tcPr>
            <w:tcW w:w="176" w:type="pct"/>
            <w:tcBorders>
              <w:top w:val="nil"/>
              <w:left w:val="nil"/>
              <w:bottom w:val="single" w:sz="4" w:space="0" w:color="auto"/>
              <w:right w:val="single" w:sz="4" w:space="0" w:color="auto"/>
            </w:tcBorders>
            <w:shd w:val="clear" w:color="auto" w:fill="auto"/>
            <w:noWrap/>
            <w:vAlign w:val="bottom"/>
            <w:hideMark/>
          </w:tcPr>
          <w:p w14:paraId="6B4B2B84"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(258,851 − 88,273) ÷ 161,148 = 1.06</w:t>
            </w:r>
          </w:p>
        </w:tc>
        <w:tc>
          <w:tcPr>
            <w:tcW w:w="176" w:type="pct"/>
            <w:tcBorders>
              <w:top w:val="nil"/>
              <w:left w:val="nil"/>
              <w:bottom w:val="single" w:sz="4" w:space="0" w:color="auto"/>
              <w:right w:val="single" w:sz="4" w:space="0" w:color="auto"/>
            </w:tcBorders>
            <w:shd w:val="clear" w:color="auto" w:fill="auto"/>
            <w:noWrap/>
            <w:vAlign w:val="bottom"/>
            <w:hideMark/>
          </w:tcPr>
          <w:p w14:paraId="3DD14A02"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(338,040 − 140,181) ÷ 216,473 = 0.91</w:t>
            </w:r>
          </w:p>
        </w:tc>
        <w:tc>
          <w:tcPr>
            <w:tcW w:w="176" w:type="pct"/>
            <w:tcBorders>
              <w:top w:val="nil"/>
              <w:left w:val="nil"/>
              <w:bottom w:val="single" w:sz="4" w:space="0" w:color="auto"/>
              <w:right w:val="single" w:sz="4" w:space="0" w:color="auto"/>
            </w:tcBorders>
            <w:shd w:val="clear" w:color="auto" w:fill="auto"/>
            <w:noWrap/>
            <w:vAlign w:val="bottom"/>
            <w:hideMark/>
          </w:tcPr>
          <w:p w14:paraId="21110DAA"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(337,146 − 134,469) ÷ 216,787 = 0.94</w:t>
            </w:r>
          </w:p>
        </w:tc>
        <w:tc>
          <w:tcPr>
            <w:tcW w:w="176" w:type="pct"/>
            <w:tcBorders>
              <w:top w:val="nil"/>
              <w:left w:val="nil"/>
              <w:bottom w:val="single" w:sz="4" w:space="0" w:color="auto"/>
              <w:right w:val="single" w:sz="4" w:space="0" w:color="auto"/>
            </w:tcBorders>
            <w:shd w:val="clear" w:color="auto" w:fill="auto"/>
            <w:noWrap/>
            <w:vAlign w:val="bottom"/>
            <w:hideMark/>
          </w:tcPr>
          <w:p w14:paraId="2645EB8E"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(326,843 − 120,430) ÷ 179,510 = 1.15</w:t>
            </w:r>
          </w:p>
        </w:tc>
      </w:tr>
      <w:tr w:rsidR="0081010F" w:rsidRPr="0081010F" w14:paraId="3E7D15BA" w14:textId="77777777" w:rsidTr="00FD7774">
        <w:trPr>
          <w:trHeight w:val="300"/>
        </w:trPr>
        <w:tc>
          <w:tcPr>
            <w:tcW w:w="3865" w:type="pct"/>
            <w:tcBorders>
              <w:top w:val="nil"/>
              <w:left w:val="nil"/>
              <w:bottom w:val="nil"/>
              <w:right w:val="nil"/>
            </w:tcBorders>
            <w:shd w:val="clear" w:color="auto" w:fill="auto"/>
            <w:noWrap/>
            <w:vAlign w:val="bottom"/>
            <w:hideMark/>
          </w:tcPr>
          <w:p w14:paraId="05FBFC39" w14:textId="77777777" w:rsidR="0081010F" w:rsidRPr="0081010F" w:rsidRDefault="0081010F" w:rsidP="00FD7774">
            <w:pPr>
              <w:spacing w:after="0"/>
              <w:jc w:val="left"/>
              <w:rPr>
                <w:rFonts w:eastAsia="Times New Roman" w:cs="Arial"/>
                <w:color w:val="000000"/>
              </w:rPr>
            </w:pPr>
          </w:p>
        </w:tc>
        <w:tc>
          <w:tcPr>
            <w:tcW w:w="253" w:type="pct"/>
            <w:tcBorders>
              <w:top w:val="nil"/>
              <w:left w:val="nil"/>
              <w:bottom w:val="nil"/>
              <w:right w:val="nil"/>
            </w:tcBorders>
            <w:shd w:val="clear" w:color="auto" w:fill="auto"/>
            <w:noWrap/>
            <w:vAlign w:val="bottom"/>
            <w:hideMark/>
          </w:tcPr>
          <w:p w14:paraId="2F07D92B" w14:textId="77777777" w:rsidR="0081010F" w:rsidRPr="0081010F" w:rsidRDefault="0081010F" w:rsidP="00FD7774">
            <w:pPr>
              <w:spacing w:after="0"/>
              <w:jc w:val="left"/>
              <w:rPr>
                <w:rFonts w:eastAsia="Times New Roman" w:cs="Arial"/>
              </w:rPr>
            </w:pPr>
          </w:p>
        </w:tc>
        <w:tc>
          <w:tcPr>
            <w:tcW w:w="179" w:type="pct"/>
            <w:tcBorders>
              <w:top w:val="nil"/>
              <w:left w:val="nil"/>
              <w:bottom w:val="nil"/>
              <w:right w:val="nil"/>
            </w:tcBorders>
            <w:shd w:val="clear" w:color="auto" w:fill="auto"/>
            <w:noWrap/>
            <w:vAlign w:val="bottom"/>
            <w:hideMark/>
          </w:tcPr>
          <w:p w14:paraId="5B2324E1"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6E4AB8E8"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43A48F12"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1B1189DF"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0AE2EBCF" w14:textId="77777777" w:rsidR="0081010F" w:rsidRPr="0081010F" w:rsidRDefault="0081010F" w:rsidP="00FD7774">
            <w:pPr>
              <w:spacing w:after="0"/>
              <w:jc w:val="left"/>
              <w:rPr>
                <w:rFonts w:eastAsia="Times New Roman" w:cs="Arial"/>
              </w:rPr>
            </w:pPr>
          </w:p>
        </w:tc>
      </w:tr>
      <w:tr w:rsidR="0081010F" w:rsidRPr="0081010F" w14:paraId="7B66497A" w14:textId="77777777" w:rsidTr="00FD7774">
        <w:trPr>
          <w:trHeight w:val="300"/>
        </w:trPr>
        <w:tc>
          <w:tcPr>
            <w:tcW w:w="3865" w:type="pct"/>
            <w:tcBorders>
              <w:top w:val="nil"/>
              <w:left w:val="nil"/>
              <w:bottom w:val="nil"/>
              <w:right w:val="nil"/>
            </w:tcBorders>
            <w:shd w:val="clear" w:color="auto" w:fill="auto"/>
            <w:noWrap/>
            <w:vAlign w:val="bottom"/>
            <w:hideMark/>
          </w:tcPr>
          <w:p w14:paraId="5FB75CE1" w14:textId="77777777" w:rsidR="0081010F" w:rsidRPr="0081010F" w:rsidRDefault="0081010F" w:rsidP="00FD7774">
            <w:pPr>
              <w:spacing w:after="0"/>
              <w:jc w:val="left"/>
              <w:rPr>
                <w:rFonts w:eastAsia="Times New Roman" w:cs="Arial"/>
              </w:rPr>
            </w:pPr>
          </w:p>
        </w:tc>
        <w:tc>
          <w:tcPr>
            <w:tcW w:w="253" w:type="pct"/>
            <w:tcBorders>
              <w:top w:val="nil"/>
              <w:left w:val="nil"/>
              <w:bottom w:val="nil"/>
              <w:right w:val="nil"/>
            </w:tcBorders>
            <w:shd w:val="clear" w:color="auto" w:fill="auto"/>
            <w:noWrap/>
            <w:vAlign w:val="bottom"/>
            <w:hideMark/>
          </w:tcPr>
          <w:p w14:paraId="18731B8D" w14:textId="77777777" w:rsidR="0081010F" w:rsidRPr="0081010F" w:rsidRDefault="0081010F" w:rsidP="00FD7774">
            <w:pPr>
              <w:spacing w:after="0"/>
              <w:jc w:val="left"/>
              <w:rPr>
                <w:rFonts w:eastAsia="Times New Roman" w:cs="Arial"/>
              </w:rPr>
            </w:pPr>
          </w:p>
        </w:tc>
        <w:tc>
          <w:tcPr>
            <w:tcW w:w="179" w:type="pct"/>
            <w:tcBorders>
              <w:top w:val="nil"/>
              <w:left w:val="nil"/>
              <w:bottom w:val="nil"/>
              <w:right w:val="nil"/>
            </w:tcBorders>
            <w:shd w:val="clear" w:color="auto" w:fill="auto"/>
            <w:noWrap/>
            <w:vAlign w:val="bottom"/>
            <w:hideMark/>
          </w:tcPr>
          <w:p w14:paraId="12F4B4B6"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50C55E57"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3EC12099"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120C6421"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0069F19A" w14:textId="77777777" w:rsidR="0081010F" w:rsidRPr="0081010F" w:rsidRDefault="0081010F" w:rsidP="00FD7774">
            <w:pPr>
              <w:spacing w:after="0"/>
              <w:jc w:val="left"/>
              <w:rPr>
                <w:rFonts w:eastAsia="Times New Roman" w:cs="Arial"/>
              </w:rPr>
            </w:pPr>
          </w:p>
        </w:tc>
      </w:tr>
      <w:tr w:rsidR="0081010F" w:rsidRPr="0081010F" w14:paraId="79EC3C04" w14:textId="77777777" w:rsidTr="00FD7774">
        <w:trPr>
          <w:trHeight w:val="30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E1DD7CB"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Efficiency Ratios</w:t>
            </w:r>
          </w:p>
        </w:tc>
      </w:tr>
      <w:tr w:rsidR="0081010F" w:rsidRPr="0081010F" w14:paraId="07184988" w14:textId="77777777" w:rsidTr="00FD7774">
        <w:trPr>
          <w:trHeight w:val="300"/>
        </w:trPr>
        <w:tc>
          <w:tcPr>
            <w:tcW w:w="3865" w:type="pct"/>
            <w:tcBorders>
              <w:top w:val="nil"/>
              <w:left w:val="single" w:sz="4" w:space="0" w:color="auto"/>
              <w:bottom w:val="single" w:sz="4" w:space="0" w:color="auto"/>
              <w:right w:val="single" w:sz="4" w:space="0" w:color="auto"/>
            </w:tcBorders>
            <w:shd w:val="clear" w:color="auto" w:fill="auto"/>
            <w:noWrap/>
            <w:vAlign w:val="bottom"/>
            <w:hideMark/>
          </w:tcPr>
          <w:p w14:paraId="76C76B46"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Ratio</w:t>
            </w:r>
          </w:p>
        </w:tc>
        <w:tc>
          <w:tcPr>
            <w:tcW w:w="253" w:type="pct"/>
            <w:tcBorders>
              <w:top w:val="nil"/>
              <w:left w:val="nil"/>
              <w:bottom w:val="single" w:sz="4" w:space="0" w:color="auto"/>
              <w:right w:val="single" w:sz="4" w:space="0" w:color="auto"/>
            </w:tcBorders>
            <w:shd w:val="clear" w:color="auto" w:fill="auto"/>
            <w:noWrap/>
            <w:vAlign w:val="bottom"/>
            <w:hideMark/>
          </w:tcPr>
          <w:p w14:paraId="5B6B4627"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Formula</w:t>
            </w:r>
          </w:p>
        </w:tc>
        <w:tc>
          <w:tcPr>
            <w:tcW w:w="179" w:type="pct"/>
            <w:tcBorders>
              <w:top w:val="nil"/>
              <w:left w:val="nil"/>
              <w:bottom w:val="single" w:sz="4" w:space="0" w:color="auto"/>
              <w:right w:val="single" w:sz="4" w:space="0" w:color="auto"/>
            </w:tcBorders>
            <w:shd w:val="clear" w:color="auto" w:fill="auto"/>
            <w:noWrap/>
            <w:vAlign w:val="bottom"/>
            <w:hideMark/>
          </w:tcPr>
          <w:p w14:paraId="3D6F2B66"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2024</w:t>
            </w:r>
          </w:p>
        </w:tc>
        <w:tc>
          <w:tcPr>
            <w:tcW w:w="176" w:type="pct"/>
            <w:tcBorders>
              <w:top w:val="nil"/>
              <w:left w:val="nil"/>
              <w:bottom w:val="single" w:sz="4" w:space="0" w:color="auto"/>
              <w:right w:val="single" w:sz="4" w:space="0" w:color="auto"/>
            </w:tcBorders>
            <w:shd w:val="clear" w:color="auto" w:fill="auto"/>
            <w:noWrap/>
            <w:vAlign w:val="bottom"/>
            <w:hideMark/>
          </w:tcPr>
          <w:p w14:paraId="6CE0AABD"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2023</w:t>
            </w:r>
          </w:p>
        </w:tc>
        <w:tc>
          <w:tcPr>
            <w:tcW w:w="176" w:type="pct"/>
            <w:tcBorders>
              <w:top w:val="nil"/>
              <w:left w:val="nil"/>
              <w:bottom w:val="single" w:sz="4" w:space="0" w:color="auto"/>
              <w:right w:val="single" w:sz="4" w:space="0" w:color="auto"/>
            </w:tcBorders>
            <w:shd w:val="clear" w:color="auto" w:fill="auto"/>
            <w:noWrap/>
            <w:vAlign w:val="bottom"/>
            <w:hideMark/>
          </w:tcPr>
          <w:p w14:paraId="020307D4"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2022</w:t>
            </w:r>
          </w:p>
        </w:tc>
        <w:tc>
          <w:tcPr>
            <w:tcW w:w="176" w:type="pct"/>
            <w:tcBorders>
              <w:top w:val="nil"/>
              <w:left w:val="nil"/>
              <w:bottom w:val="single" w:sz="4" w:space="0" w:color="auto"/>
              <w:right w:val="single" w:sz="4" w:space="0" w:color="auto"/>
            </w:tcBorders>
            <w:shd w:val="clear" w:color="auto" w:fill="auto"/>
            <w:noWrap/>
            <w:vAlign w:val="bottom"/>
            <w:hideMark/>
          </w:tcPr>
          <w:p w14:paraId="49500A89"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2021</w:t>
            </w:r>
          </w:p>
        </w:tc>
        <w:tc>
          <w:tcPr>
            <w:tcW w:w="176" w:type="pct"/>
            <w:tcBorders>
              <w:top w:val="nil"/>
              <w:left w:val="nil"/>
              <w:bottom w:val="single" w:sz="4" w:space="0" w:color="auto"/>
              <w:right w:val="single" w:sz="4" w:space="0" w:color="auto"/>
            </w:tcBorders>
            <w:shd w:val="clear" w:color="auto" w:fill="auto"/>
            <w:noWrap/>
            <w:vAlign w:val="bottom"/>
            <w:hideMark/>
          </w:tcPr>
          <w:p w14:paraId="1EB0FE4B"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2020</w:t>
            </w:r>
          </w:p>
        </w:tc>
      </w:tr>
      <w:tr w:rsidR="0081010F" w:rsidRPr="0081010F" w14:paraId="22D79607" w14:textId="77777777" w:rsidTr="00FD7774">
        <w:trPr>
          <w:trHeight w:val="300"/>
        </w:trPr>
        <w:tc>
          <w:tcPr>
            <w:tcW w:w="3865" w:type="pct"/>
            <w:tcBorders>
              <w:top w:val="nil"/>
              <w:left w:val="single" w:sz="4" w:space="0" w:color="auto"/>
              <w:bottom w:val="single" w:sz="4" w:space="0" w:color="auto"/>
              <w:right w:val="single" w:sz="4" w:space="0" w:color="auto"/>
            </w:tcBorders>
            <w:shd w:val="clear" w:color="auto" w:fill="auto"/>
            <w:noWrap/>
            <w:vAlign w:val="bottom"/>
            <w:hideMark/>
          </w:tcPr>
          <w:p w14:paraId="49C9A86B" w14:textId="77777777" w:rsidR="0081010F" w:rsidRPr="0081010F" w:rsidRDefault="0081010F" w:rsidP="00FD7774">
            <w:pPr>
              <w:spacing w:after="0"/>
              <w:jc w:val="left"/>
              <w:rPr>
                <w:rFonts w:eastAsia="Times New Roman" w:cs="Arial"/>
                <w:b/>
                <w:i/>
                <w:color w:val="000000"/>
              </w:rPr>
            </w:pPr>
            <w:r w:rsidRPr="0081010F">
              <w:rPr>
                <w:rFonts w:eastAsia="Times New Roman" w:cs="Arial"/>
                <w:b/>
                <w:i/>
                <w:color w:val="000000"/>
              </w:rPr>
              <w:t>Asset Turnover</w:t>
            </w:r>
          </w:p>
        </w:tc>
        <w:tc>
          <w:tcPr>
            <w:tcW w:w="253" w:type="pct"/>
            <w:tcBorders>
              <w:top w:val="nil"/>
              <w:left w:val="nil"/>
              <w:bottom w:val="single" w:sz="4" w:space="0" w:color="auto"/>
              <w:right w:val="single" w:sz="4" w:space="0" w:color="auto"/>
            </w:tcBorders>
            <w:shd w:val="clear" w:color="auto" w:fill="auto"/>
            <w:noWrap/>
            <w:vAlign w:val="bottom"/>
            <w:hideMark/>
          </w:tcPr>
          <w:p w14:paraId="584EEBAF"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Net Sales ÷ Total Assets</w:t>
            </w:r>
          </w:p>
        </w:tc>
        <w:tc>
          <w:tcPr>
            <w:tcW w:w="179" w:type="pct"/>
            <w:tcBorders>
              <w:top w:val="nil"/>
              <w:left w:val="nil"/>
              <w:bottom w:val="single" w:sz="4" w:space="0" w:color="auto"/>
              <w:right w:val="single" w:sz="4" w:space="0" w:color="auto"/>
            </w:tcBorders>
            <w:shd w:val="clear" w:color="auto" w:fill="auto"/>
            <w:noWrap/>
            <w:vAlign w:val="bottom"/>
            <w:hideMark/>
          </w:tcPr>
          <w:p w14:paraId="66B4781B"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394,879 ÷ 323,354 = 1.22</w:t>
            </w:r>
          </w:p>
        </w:tc>
        <w:tc>
          <w:tcPr>
            <w:tcW w:w="176" w:type="pct"/>
            <w:tcBorders>
              <w:top w:val="nil"/>
              <w:left w:val="nil"/>
              <w:bottom w:val="single" w:sz="4" w:space="0" w:color="auto"/>
              <w:right w:val="single" w:sz="4" w:space="0" w:color="auto"/>
            </w:tcBorders>
            <w:shd w:val="clear" w:color="auto" w:fill="auto"/>
            <w:noWrap/>
            <w:vAlign w:val="bottom"/>
            <w:hideMark/>
          </w:tcPr>
          <w:p w14:paraId="3470945A"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420,457 ÷ 355,872 = 1.18</w:t>
            </w:r>
          </w:p>
        </w:tc>
        <w:tc>
          <w:tcPr>
            <w:tcW w:w="176" w:type="pct"/>
            <w:tcBorders>
              <w:top w:val="nil"/>
              <w:left w:val="nil"/>
              <w:bottom w:val="single" w:sz="4" w:space="0" w:color="auto"/>
              <w:right w:val="single" w:sz="4" w:space="0" w:color="auto"/>
            </w:tcBorders>
            <w:shd w:val="clear" w:color="auto" w:fill="auto"/>
            <w:noWrap/>
            <w:vAlign w:val="bottom"/>
            <w:hideMark/>
          </w:tcPr>
          <w:p w14:paraId="5DF813CA"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542,751 ÷ 504,163 = 1.08</w:t>
            </w:r>
          </w:p>
        </w:tc>
        <w:tc>
          <w:tcPr>
            <w:tcW w:w="176" w:type="pct"/>
            <w:tcBorders>
              <w:top w:val="nil"/>
              <w:left w:val="nil"/>
              <w:bottom w:val="single" w:sz="4" w:space="0" w:color="auto"/>
              <w:right w:val="single" w:sz="4" w:space="0" w:color="auto"/>
            </w:tcBorders>
            <w:shd w:val="clear" w:color="auto" w:fill="auto"/>
            <w:noWrap/>
            <w:vAlign w:val="bottom"/>
            <w:hideMark/>
          </w:tcPr>
          <w:p w14:paraId="111C1715"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601,602 ÷ 510,348 = 1.18</w:t>
            </w:r>
          </w:p>
        </w:tc>
        <w:tc>
          <w:tcPr>
            <w:tcW w:w="176" w:type="pct"/>
            <w:tcBorders>
              <w:top w:val="nil"/>
              <w:left w:val="nil"/>
              <w:bottom w:val="single" w:sz="4" w:space="0" w:color="auto"/>
              <w:right w:val="single" w:sz="4" w:space="0" w:color="auto"/>
            </w:tcBorders>
            <w:shd w:val="clear" w:color="auto" w:fill="auto"/>
            <w:noWrap/>
            <w:vAlign w:val="bottom"/>
            <w:hideMark/>
          </w:tcPr>
          <w:p w14:paraId="7DAE4D47"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614,680 ÷ 510,290 = 1.21</w:t>
            </w:r>
          </w:p>
        </w:tc>
      </w:tr>
      <w:tr w:rsidR="0081010F" w:rsidRPr="0081010F" w14:paraId="6E5618E7" w14:textId="77777777" w:rsidTr="00FD7774">
        <w:trPr>
          <w:trHeight w:val="300"/>
        </w:trPr>
        <w:tc>
          <w:tcPr>
            <w:tcW w:w="3865" w:type="pct"/>
            <w:tcBorders>
              <w:top w:val="nil"/>
              <w:left w:val="nil"/>
              <w:bottom w:val="nil"/>
              <w:right w:val="nil"/>
            </w:tcBorders>
            <w:shd w:val="clear" w:color="auto" w:fill="auto"/>
            <w:noWrap/>
            <w:vAlign w:val="bottom"/>
            <w:hideMark/>
          </w:tcPr>
          <w:p w14:paraId="43A3607C" w14:textId="77777777" w:rsidR="0081010F" w:rsidRPr="0081010F" w:rsidRDefault="0081010F" w:rsidP="00FD7774">
            <w:pPr>
              <w:spacing w:after="0"/>
              <w:jc w:val="left"/>
              <w:rPr>
                <w:rFonts w:eastAsia="Times New Roman" w:cs="Arial"/>
                <w:color w:val="000000"/>
              </w:rPr>
            </w:pPr>
          </w:p>
        </w:tc>
        <w:tc>
          <w:tcPr>
            <w:tcW w:w="253" w:type="pct"/>
            <w:tcBorders>
              <w:top w:val="nil"/>
              <w:left w:val="nil"/>
              <w:bottom w:val="nil"/>
              <w:right w:val="nil"/>
            </w:tcBorders>
            <w:shd w:val="clear" w:color="auto" w:fill="auto"/>
            <w:noWrap/>
            <w:vAlign w:val="bottom"/>
            <w:hideMark/>
          </w:tcPr>
          <w:p w14:paraId="6DB95BFF" w14:textId="77777777" w:rsidR="0081010F" w:rsidRPr="0081010F" w:rsidRDefault="0081010F" w:rsidP="00FD7774">
            <w:pPr>
              <w:spacing w:after="0"/>
              <w:jc w:val="left"/>
              <w:rPr>
                <w:rFonts w:eastAsia="Times New Roman" w:cs="Arial"/>
              </w:rPr>
            </w:pPr>
          </w:p>
        </w:tc>
        <w:tc>
          <w:tcPr>
            <w:tcW w:w="179" w:type="pct"/>
            <w:tcBorders>
              <w:top w:val="nil"/>
              <w:left w:val="nil"/>
              <w:bottom w:val="nil"/>
              <w:right w:val="nil"/>
            </w:tcBorders>
            <w:shd w:val="clear" w:color="auto" w:fill="auto"/>
            <w:noWrap/>
            <w:vAlign w:val="bottom"/>
            <w:hideMark/>
          </w:tcPr>
          <w:p w14:paraId="7B0B3580"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7810770B"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2AB3D177"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4F778E6F"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38A007C0" w14:textId="77777777" w:rsidR="0081010F" w:rsidRPr="0081010F" w:rsidRDefault="0081010F" w:rsidP="00FD7774">
            <w:pPr>
              <w:spacing w:after="0"/>
              <w:jc w:val="left"/>
              <w:rPr>
                <w:rFonts w:eastAsia="Times New Roman" w:cs="Arial"/>
              </w:rPr>
            </w:pPr>
          </w:p>
        </w:tc>
      </w:tr>
      <w:tr w:rsidR="0081010F" w:rsidRPr="0081010F" w14:paraId="6D2E80B9" w14:textId="77777777" w:rsidTr="00FD7774">
        <w:trPr>
          <w:trHeight w:val="300"/>
        </w:trPr>
        <w:tc>
          <w:tcPr>
            <w:tcW w:w="3865" w:type="pct"/>
            <w:tcBorders>
              <w:top w:val="nil"/>
              <w:left w:val="nil"/>
              <w:bottom w:val="nil"/>
              <w:right w:val="nil"/>
            </w:tcBorders>
            <w:shd w:val="clear" w:color="auto" w:fill="auto"/>
            <w:noWrap/>
            <w:vAlign w:val="bottom"/>
            <w:hideMark/>
          </w:tcPr>
          <w:p w14:paraId="7806530C" w14:textId="77777777" w:rsidR="0081010F" w:rsidRPr="0081010F" w:rsidRDefault="0081010F" w:rsidP="00FD7774">
            <w:pPr>
              <w:spacing w:after="0"/>
              <w:jc w:val="left"/>
              <w:rPr>
                <w:rFonts w:eastAsia="Times New Roman" w:cs="Arial"/>
              </w:rPr>
            </w:pPr>
          </w:p>
        </w:tc>
        <w:tc>
          <w:tcPr>
            <w:tcW w:w="253" w:type="pct"/>
            <w:tcBorders>
              <w:top w:val="nil"/>
              <w:left w:val="nil"/>
              <w:bottom w:val="nil"/>
              <w:right w:val="nil"/>
            </w:tcBorders>
            <w:shd w:val="clear" w:color="auto" w:fill="auto"/>
            <w:noWrap/>
            <w:vAlign w:val="bottom"/>
            <w:hideMark/>
          </w:tcPr>
          <w:p w14:paraId="25ACDA63" w14:textId="77777777" w:rsidR="0081010F" w:rsidRPr="0081010F" w:rsidRDefault="0081010F" w:rsidP="00FD7774">
            <w:pPr>
              <w:spacing w:after="0"/>
              <w:jc w:val="left"/>
              <w:rPr>
                <w:rFonts w:eastAsia="Times New Roman" w:cs="Arial"/>
              </w:rPr>
            </w:pPr>
          </w:p>
        </w:tc>
        <w:tc>
          <w:tcPr>
            <w:tcW w:w="179" w:type="pct"/>
            <w:tcBorders>
              <w:top w:val="nil"/>
              <w:left w:val="nil"/>
              <w:bottom w:val="nil"/>
              <w:right w:val="nil"/>
            </w:tcBorders>
            <w:shd w:val="clear" w:color="auto" w:fill="auto"/>
            <w:noWrap/>
            <w:vAlign w:val="bottom"/>
            <w:hideMark/>
          </w:tcPr>
          <w:p w14:paraId="7342D883"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6678FD8B"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4AA3A353"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02BD7B3A"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3A2D0BE7" w14:textId="77777777" w:rsidR="0081010F" w:rsidRPr="0081010F" w:rsidRDefault="0081010F" w:rsidP="00FD7774">
            <w:pPr>
              <w:spacing w:after="0"/>
              <w:jc w:val="left"/>
              <w:rPr>
                <w:rFonts w:eastAsia="Times New Roman" w:cs="Arial"/>
              </w:rPr>
            </w:pPr>
          </w:p>
        </w:tc>
      </w:tr>
      <w:tr w:rsidR="0081010F" w:rsidRPr="0081010F" w14:paraId="0FC2811A" w14:textId="77777777" w:rsidTr="00FD7774">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0D27F4"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Gearing / Leverage Ratios</w:t>
            </w:r>
          </w:p>
        </w:tc>
      </w:tr>
      <w:tr w:rsidR="0081010F" w:rsidRPr="0081010F" w14:paraId="7F9965C4" w14:textId="77777777" w:rsidTr="00FD7774">
        <w:trPr>
          <w:trHeight w:val="300"/>
        </w:trPr>
        <w:tc>
          <w:tcPr>
            <w:tcW w:w="3865" w:type="pct"/>
            <w:tcBorders>
              <w:top w:val="nil"/>
              <w:left w:val="single" w:sz="4" w:space="0" w:color="auto"/>
              <w:bottom w:val="single" w:sz="4" w:space="0" w:color="auto"/>
              <w:right w:val="single" w:sz="4" w:space="0" w:color="auto"/>
            </w:tcBorders>
            <w:shd w:val="clear" w:color="auto" w:fill="auto"/>
            <w:noWrap/>
            <w:vAlign w:val="bottom"/>
            <w:hideMark/>
          </w:tcPr>
          <w:p w14:paraId="33DF8488"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Ratio</w:t>
            </w:r>
          </w:p>
        </w:tc>
        <w:tc>
          <w:tcPr>
            <w:tcW w:w="253" w:type="pct"/>
            <w:tcBorders>
              <w:top w:val="nil"/>
              <w:left w:val="nil"/>
              <w:bottom w:val="single" w:sz="4" w:space="0" w:color="auto"/>
              <w:right w:val="single" w:sz="4" w:space="0" w:color="auto"/>
            </w:tcBorders>
            <w:shd w:val="clear" w:color="auto" w:fill="auto"/>
            <w:noWrap/>
            <w:vAlign w:val="bottom"/>
            <w:hideMark/>
          </w:tcPr>
          <w:p w14:paraId="20EC3731"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Formula</w:t>
            </w:r>
          </w:p>
        </w:tc>
        <w:tc>
          <w:tcPr>
            <w:tcW w:w="179" w:type="pct"/>
            <w:tcBorders>
              <w:top w:val="nil"/>
              <w:left w:val="nil"/>
              <w:bottom w:val="single" w:sz="4" w:space="0" w:color="auto"/>
              <w:right w:val="single" w:sz="4" w:space="0" w:color="auto"/>
            </w:tcBorders>
            <w:shd w:val="clear" w:color="auto" w:fill="auto"/>
            <w:noWrap/>
            <w:vAlign w:val="bottom"/>
            <w:hideMark/>
          </w:tcPr>
          <w:p w14:paraId="210E07DA"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2024</w:t>
            </w:r>
          </w:p>
        </w:tc>
        <w:tc>
          <w:tcPr>
            <w:tcW w:w="176" w:type="pct"/>
            <w:tcBorders>
              <w:top w:val="nil"/>
              <w:left w:val="nil"/>
              <w:bottom w:val="single" w:sz="4" w:space="0" w:color="auto"/>
              <w:right w:val="single" w:sz="4" w:space="0" w:color="auto"/>
            </w:tcBorders>
            <w:shd w:val="clear" w:color="auto" w:fill="auto"/>
            <w:noWrap/>
            <w:vAlign w:val="bottom"/>
            <w:hideMark/>
          </w:tcPr>
          <w:p w14:paraId="325000C0"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2023</w:t>
            </w:r>
          </w:p>
        </w:tc>
        <w:tc>
          <w:tcPr>
            <w:tcW w:w="176" w:type="pct"/>
            <w:tcBorders>
              <w:top w:val="nil"/>
              <w:left w:val="nil"/>
              <w:bottom w:val="single" w:sz="4" w:space="0" w:color="auto"/>
              <w:right w:val="single" w:sz="4" w:space="0" w:color="auto"/>
            </w:tcBorders>
            <w:shd w:val="clear" w:color="auto" w:fill="auto"/>
            <w:noWrap/>
            <w:vAlign w:val="bottom"/>
            <w:hideMark/>
          </w:tcPr>
          <w:p w14:paraId="42399553"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2022</w:t>
            </w:r>
          </w:p>
        </w:tc>
        <w:tc>
          <w:tcPr>
            <w:tcW w:w="176" w:type="pct"/>
            <w:tcBorders>
              <w:top w:val="nil"/>
              <w:left w:val="nil"/>
              <w:bottom w:val="single" w:sz="4" w:space="0" w:color="auto"/>
              <w:right w:val="single" w:sz="4" w:space="0" w:color="auto"/>
            </w:tcBorders>
            <w:shd w:val="clear" w:color="auto" w:fill="auto"/>
            <w:noWrap/>
            <w:vAlign w:val="bottom"/>
            <w:hideMark/>
          </w:tcPr>
          <w:p w14:paraId="3622673F"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2021</w:t>
            </w:r>
          </w:p>
        </w:tc>
        <w:tc>
          <w:tcPr>
            <w:tcW w:w="176" w:type="pct"/>
            <w:tcBorders>
              <w:top w:val="nil"/>
              <w:left w:val="nil"/>
              <w:bottom w:val="single" w:sz="4" w:space="0" w:color="auto"/>
              <w:right w:val="single" w:sz="4" w:space="0" w:color="auto"/>
            </w:tcBorders>
            <w:shd w:val="clear" w:color="auto" w:fill="auto"/>
            <w:noWrap/>
            <w:vAlign w:val="bottom"/>
            <w:hideMark/>
          </w:tcPr>
          <w:p w14:paraId="60DFAA69"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2020</w:t>
            </w:r>
          </w:p>
        </w:tc>
      </w:tr>
      <w:tr w:rsidR="0081010F" w:rsidRPr="0081010F" w14:paraId="234544E4" w14:textId="77777777" w:rsidTr="00FD7774">
        <w:trPr>
          <w:trHeight w:val="300"/>
        </w:trPr>
        <w:tc>
          <w:tcPr>
            <w:tcW w:w="3865" w:type="pct"/>
            <w:tcBorders>
              <w:top w:val="nil"/>
              <w:left w:val="single" w:sz="4" w:space="0" w:color="auto"/>
              <w:bottom w:val="single" w:sz="4" w:space="0" w:color="auto"/>
              <w:right w:val="single" w:sz="4" w:space="0" w:color="auto"/>
            </w:tcBorders>
            <w:shd w:val="clear" w:color="auto" w:fill="auto"/>
            <w:noWrap/>
            <w:vAlign w:val="bottom"/>
            <w:hideMark/>
          </w:tcPr>
          <w:p w14:paraId="3AE2186C" w14:textId="77777777" w:rsidR="0081010F" w:rsidRPr="0081010F" w:rsidRDefault="0081010F" w:rsidP="00FD7774">
            <w:pPr>
              <w:spacing w:after="0"/>
              <w:jc w:val="center"/>
              <w:rPr>
                <w:rFonts w:eastAsia="Times New Roman" w:cs="Arial"/>
                <w:b/>
                <w:i/>
                <w:color w:val="000000"/>
              </w:rPr>
            </w:pPr>
            <w:r w:rsidRPr="0081010F">
              <w:rPr>
                <w:rFonts w:eastAsia="Times New Roman" w:cs="Arial"/>
                <w:b/>
                <w:i/>
                <w:color w:val="000000"/>
              </w:rPr>
              <w:t>Debt-to-Equity</w:t>
            </w:r>
          </w:p>
        </w:tc>
        <w:tc>
          <w:tcPr>
            <w:tcW w:w="253" w:type="pct"/>
            <w:tcBorders>
              <w:top w:val="nil"/>
              <w:left w:val="nil"/>
              <w:bottom w:val="single" w:sz="4" w:space="0" w:color="auto"/>
              <w:right w:val="single" w:sz="4" w:space="0" w:color="auto"/>
            </w:tcBorders>
            <w:shd w:val="clear" w:color="auto" w:fill="auto"/>
            <w:noWrap/>
            <w:vAlign w:val="bottom"/>
            <w:hideMark/>
          </w:tcPr>
          <w:p w14:paraId="0ECFC9C5" w14:textId="77777777" w:rsidR="0081010F" w:rsidRPr="0081010F" w:rsidRDefault="0081010F" w:rsidP="00FD7774">
            <w:pPr>
              <w:spacing w:after="0"/>
              <w:jc w:val="center"/>
              <w:rPr>
                <w:rFonts w:eastAsia="Times New Roman" w:cs="Arial"/>
                <w:color w:val="000000"/>
              </w:rPr>
            </w:pPr>
            <w:r w:rsidRPr="0081010F">
              <w:rPr>
                <w:rFonts w:eastAsia="Times New Roman" w:cs="Arial"/>
                <w:color w:val="000000"/>
              </w:rPr>
              <w:t>Total Liabilities ÷ Shareholders’ Equity</w:t>
            </w:r>
          </w:p>
        </w:tc>
        <w:tc>
          <w:tcPr>
            <w:tcW w:w="179" w:type="pct"/>
            <w:tcBorders>
              <w:top w:val="nil"/>
              <w:left w:val="nil"/>
              <w:bottom w:val="single" w:sz="4" w:space="0" w:color="auto"/>
              <w:right w:val="single" w:sz="4" w:space="0" w:color="auto"/>
            </w:tcBorders>
            <w:shd w:val="clear" w:color="auto" w:fill="auto"/>
            <w:noWrap/>
            <w:vAlign w:val="bottom"/>
            <w:hideMark/>
          </w:tcPr>
          <w:p w14:paraId="547C3892" w14:textId="77777777" w:rsidR="0081010F" w:rsidRPr="0081010F" w:rsidRDefault="0081010F" w:rsidP="00FD7774">
            <w:pPr>
              <w:spacing w:after="0"/>
              <w:jc w:val="center"/>
              <w:rPr>
                <w:rFonts w:eastAsia="Times New Roman" w:cs="Arial"/>
                <w:color w:val="000000"/>
              </w:rPr>
            </w:pPr>
            <w:r w:rsidRPr="0081010F">
              <w:rPr>
                <w:rFonts w:eastAsia="Times New Roman" w:cs="Arial"/>
                <w:color w:val="000000"/>
              </w:rPr>
              <w:t>170,249 ÷ 153,105 = 1.11</w:t>
            </w:r>
          </w:p>
        </w:tc>
        <w:tc>
          <w:tcPr>
            <w:tcW w:w="176" w:type="pct"/>
            <w:tcBorders>
              <w:top w:val="nil"/>
              <w:left w:val="nil"/>
              <w:bottom w:val="single" w:sz="4" w:space="0" w:color="auto"/>
              <w:right w:val="single" w:sz="4" w:space="0" w:color="auto"/>
            </w:tcBorders>
            <w:shd w:val="clear" w:color="auto" w:fill="auto"/>
            <w:noWrap/>
            <w:vAlign w:val="bottom"/>
            <w:hideMark/>
          </w:tcPr>
          <w:p w14:paraId="3C93271C" w14:textId="77777777" w:rsidR="0081010F" w:rsidRPr="0081010F" w:rsidRDefault="0081010F" w:rsidP="00FD7774">
            <w:pPr>
              <w:spacing w:after="0"/>
              <w:jc w:val="center"/>
              <w:rPr>
                <w:rFonts w:eastAsia="Times New Roman" w:cs="Arial"/>
                <w:color w:val="000000"/>
              </w:rPr>
            </w:pPr>
            <w:r w:rsidRPr="0081010F">
              <w:rPr>
                <w:rFonts w:eastAsia="Times New Roman" w:cs="Arial"/>
                <w:color w:val="000000"/>
              </w:rPr>
              <w:t>176,952 ÷ 178,920 = 0.99</w:t>
            </w:r>
          </w:p>
        </w:tc>
        <w:tc>
          <w:tcPr>
            <w:tcW w:w="176" w:type="pct"/>
            <w:tcBorders>
              <w:top w:val="nil"/>
              <w:left w:val="nil"/>
              <w:bottom w:val="single" w:sz="4" w:space="0" w:color="auto"/>
              <w:right w:val="single" w:sz="4" w:space="0" w:color="auto"/>
            </w:tcBorders>
            <w:shd w:val="clear" w:color="auto" w:fill="auto"/>
            <w:noWrap/>
            <w:vAlign w:val="bottom"/>
            <w:hideMark/>
          </w:tcPr>
          <w:p w14:paraId="7450307D" w14:textId="77777777" w:rsidR="0081010F" w:rsidRPr="0081010F" w:rsidRDefault="0081010F" w:rsidP="00FD7774">
            <w:pPr>
              <w:spacing w:after="0"/>
              <w:jc w:val="center"/>
              <w:rPr>
                <w:rFonts w:eastAsia="Times New Roman" w:cs="Arial"/>
                <w:color w:val="000000"/>
              </w:rPr>
            </w:pPr>
            <w:r w:rsidRPr="0081010F">
              <w:rPr>
                <w:rFonts w:eastAsia="Times New Roman" w:cs="Arial"/>
                <w:color w:val="000000"/>
              </w:rPr>
              <w:t>235,757 ÷ 268,406 = 0.88</w:t>
            </w:r>
          </w:p>
        </w:tc>
        <w:tc>
          <w:tcPr>
            <w:tcW w:w="176" w:type="pct"/>
            <w:tcBorders>
              <w:top w:val="nil"/>
              <w:left w:val="nil"/>
              <w:bottom w:val="single" w:sz="4" w:space="0" w:color="auto"/>
              <w:right w:val="single" w:sz="4" w:space="0" w:color="auto"/>
            </w:tcBorders>
            <w:shd w:val="clear" w:color="auto" w:fill="auto"/>
            <w:noWrap/>
            <w:vAlign w:val="bottom"/>
            <w:hideMark/>
          </w:tcPr>
          <w:p w14:paraId="43612B03" w14:textId="77777777" w:rsidR="0081010F" w:rsidRPr="0081010F" w:rsidRDefault="0081010F" w:rsidP="00FD7774">
            <w:pPr>
              <w:spacing w:after="0"/>
              <w:jc w:val="center"/>
              <w:rPr>
                <w:rFonts w:eastAsia="Times New Roman" w:cs="Arial"/>
                <w:color w:val="000000"/>
              </w:rPr>
            </w:pPr>
            <w:r w:rsidRPr="0081010F">
              <w:rPr>
                <w:rFonts w:eastAsia="Times New Roman" w:cs="Arial"/>
                <w:color w:val="000000"/>
              </w:rPr>
              <w:t>234,399 ÷ 275,949 = 0.85</w:t>
            </w:r>
          </w:p>
        </w:tc>
        <w:tc>
          <w:tcPr>
            <w:tcW w:w="176" w:type="pct"/>
            <w:tcBorders>
              <w:top w:val="nil"/>
              <w:left w:val="nil"/>
              <w:bottom w:val="single" w:sz="4" w:space="0" w:color="auto"/>
              <w:right w:val="single" w:sz="4" w:space="0" w:color="auto"/>
            </w:tcBorders>
            <w:shd w:val="clear" w:color="auto" w:fill="auto"/>
            <w:noWrap/>
            <w:vAlign w:val="bottom"/>
            <w:hideMark/>
          </w:tcPr>
          <w:p w14:paraId="01BBF8D2" w14:textId="77777777" w:rsidR="0081010F" w:rsidRPr="0081010F" w:rsidRDefault="0081010F" w:rsidP="00FD7774">
            <w:pPr>
              <w:spacing w:after="0"/>
              <w:jc w:val="center"/>
              <w:rPr>
                <w:rFonts w:eastAsia="Times New Roman" w:cs="Arial"/>
                <w:color w:val="000000"/>
              </w:rPr>
            </w:pPr>
            <w:r w:rsidRPr="0081010F">
              <w:rPr>
                <w:rFonts w:eastAsia="Times New Roman" w:cs="Arial"/>
                <w:color w:val="000000"/>
              </w:rPr>
              <w:t>196,989 ÷ 313,301 = 0.63</w:t>
            </w:r>
          </w:p>
        </w:tc>
      </w:tr>
      <w:tr w:rsidR="0081010F" w:rsidRPr="0081010F" w14:paraId="603FA939" w14:textId="77777777" w:rsidTr="00FD7774">
        <w:trPr>
          <w:trHeight w:val="300"/>
        </w:trPr>
        <w:tc>
          <w:tcPr>
            <w:tcW w:w="3865" w:type="pct"/>
            <w:tcBorders>
              <w:top w:val="nil"/>
              <w:left w:val="single" w:sz="4" w:space="0" w:color="auto"/>
              <w:bottom w:val="single" w:sz="4" w:space="0" w:color="auto"/>
              <w:right w:val="single" w:sz="4" w:space="0" w:color="auto"/>
            </w:tcBorders>
            <w:shd w:val="clear" w:color="auto" w:fill="auto"/>
            <w:noWrap/>
            <w:vAlign w:val="bottom"/>
            <w:hideMark/>
          </w:tcPr>
          <w:p w14:paraId="3370A5F0" w14:textId="77777777" w:rsidR="0081010F" w:rsidRPr="0081010F" w:rsidRDefault="0081010F" w:rsidP="00FD7774">
            <w:pPr>
              <w:spacing w:after="0"/>
              <w:jc w:val="center"/>
              <w:rPr>
                <w:rFonts w:eastAsia="Times New Roman" w:cs="Arial"/>
                <w:b/>
                <w:i/>
                <w:color w:val="000000"/>
              </w:rPr>
            </w:pPr>
            <w:r w:rsidRPr="0081010F">
              <w:rPr>
                <w:rFonts w:eastAsia="Times New Roman" w:cs="Arial"/>
                <w:b/>
                <w:i/>
                <w:color w:val="000000"/>
              </w:rPr>
              <w:t>Debt Ratio</w:t>
            </w:r>
          </w:p>
        </w:tc>
        <w:tc>
          <w:tcPr>
            <w:tcW w:w="253" w:type="pct"/>
            <w:tcBorders>
              <w:top w:val="nil"/>
              <w:left w:val="nil"/>
              <w:bottom w:val="single" w:sz="4" w:space="0" w:color="auto"/>
              <w:right w:val="single" w:sz="4" w:space="0" w:color="auto"/>
            </w:tcBorders>
            <w:shd w:val="clear" w:color="auto" w:fill="auto"/>
            <w:noWrap/>
            <w:vAlign w:val="bottom"/>
            <w:hideMark/>
          </w:tcPr>
          <w:p w14:paraId="039AC122" w14:textId="77777777" w:rsidR="0081010F" w:rsidRPr="0081010F" w:rsidRDefault="0081010F" w:rsidP="00FD7774">
            <w:pPr>
              <w:spacing w:after="0"/>
              <w:jc w:val="center"/>
              <w:rPr>
                <w:rFonts w:eastAsia="Times New Roman" w:cs="Arial"/>
                <w:color w:val="000000"/>
              </w:rPr>
            </w:pPr>
            <w:r w:rsidRPr="0081010F">
              <w:rPr>
                <w:rFonts w:eastAsia="Times New Roman" w:cs="Arial"/>
                <w:color w:val="000000"/>
              </w:rPr>
              <w:t>Total Liabilities ÷ Total Assets</w:t>
            </w:r>
          </w:p>
        </w:tc>
        <w:tc>
          <w:tcPr>
            <w:tcW w:w="179" w:type="pct"/>
            <w:tcBorders>
              <w:top w:val="nil"/>
              <w:left w:val="nil"/>
              <w:bottom w:val="single" w:sz="4" w:space="0" w:color="auto"/>
              <w:right w:val="single" w:sz="4" w:space="0" w:color="auto"/>
            </w:tcBorders>
            <w:shd w:val="clear" w:color="auto" w:fill="auto"/>
            <w:noWrap/>
            <w:vAlign w:val="bottom"/>
            <w:hideMark/>
          </w:tcPr>
          <w:p w14:paraId="62EFD9C4" w14:textId="77777777" w:rsidR="0081010F" w:rsidRPr="0081010F" w:rsidRDefault="0081010F" w:rsidP="00FD7774">
            <w:pPr>
              <w:spacing w:after="0"/>
              <w:jc w:val="center"/>
              <w:rPr>
                <w:rFonts w:eastAsia="Times New Roman" w:cs="Arial"/>
                <w:color w:val="000000"/>
              </w:rPr>
            </w:pPr>
            <w:r w:rsidRPr="0081010F">
              <w:rPr>
                <w:rFonts w:eastAsia="Times New Roman" w:cs="Arial"/>
                <w:color w:val="000000"/>
              </w:rPr>
              <w:t>170,249 ÷ 323,354 = 0.53</w:t>
            </w:r>
          </w:p>
        </w:tc>
        <w:tc>
          <w:tcPr>
            <w:tcW w:w="176" w:type="pct"/>
            <w:tcBorders>
              <w:top w:val="nil"/>
              <w:left w:val="nil"/>
              <w:bottom w:val="single" w:sz="4" w:space="0" w:color="auto"/>
              <w:right w:val="single" w:sz="4" w:space="0" w:color="auto"/>
            </w:tcBorders>
            <w:shd w:val="clear" w:color="auto" w:fill="auto"/>
            <w:noWrap/>
            <w:vAlign w:val="bottom"/>
            <w:hideMark/>
          </w:tcPr>
          <w:p w14:paraId="268218AF" w14:textId="77777777" w:rsidR="0081010F" w:rsidRPr="0081010F" w:rsidRDefault="0081010F" w:rsidP="00FD7774">
            <w:pPr>
              <w:spacing w:after="0"/>
              <w:jc w:val="center"/>
              <w:rPr>
                <w:rFonts w:eastAsia="Times New Roman" w:cs="Arial"/>
                <w:color w:val="000000"/>
              </w:rPr>
            </w:pPr>
            <w:r w:rsidRPr="0081010F">
              <w:rPr>
                <w:rFonts w:eastAsia="Times New Roman" w:cs="Arial"/>
                <w:color w:val="000000"/>
              </w:rPr>
              <w:t>176,952 ÷ 355,872 = 0.50</w:t>
            </w:r>
          </w:p>
        </w:tc>
        <w:tc>
          <w:tcPr>
            <w:tcW w:w="176" w:type="pct"/>
            <w:tcBorders>
              <w:top w:val="nil"/>
              <w:left w:val="nil"/>
              <w:bottom w:val="single" w:sz="4" w:space="0" w:color="auto"/>
              <w:right w:val="single" w:sz="4" w:space="0" w:color="auto"/>
            </w:tcBorders>
            <w:shd w:val="clear" w:color="auto" w:fill="auto"/>
            <w:noWrap/>
            <w:vAlign w:val="bottom"/>
            <w:hideMark/>
          </w:tcPr>
          <w:p w14:paraId="67F9BB4D" w14:textId="77777777" w:rsidR="0081010F" w:rsidRPr="0081010F" w:rsidRDefault="0081010F" w:rsidP="00FD7774">
            <w:pPr>
              <w:spacing w:after="0"/>
              <w:jc w:val="center"/>
              <w:rPr>
                <w:rFonts w:eastAsia="Times New Roman" w:cs="Arial"/>
                <w:color w:val="000000"/>
              </w:rPr>
            </w:pPr>
            <w:r w:rsidRPr="0081010F">
              <w:rPr>
                <w:rFonts w:eastAsia="Times New Roman" w:cs="Arial"/>
                <w:color w:val="000000"/>
              </w:rPr>
              <w:t>235,757 ÷ 504,163 = 0.47</w:t>
            </w:r>
          </w:p>
        </w:tc>
        <w:tc>
          <w:tcPr>
            <w:tcW w:w="176" w:type="pct"/>
            <w:tcBorders>
              <w:top w:val="nil"/>
              <w:left w:val="nil"/>
              <w:bottom w:val="single" w:sz="4" w:space="0" w:color="auto"/>
              <w:right w:val="single" w:sz="4" w:space="0" w:color="auto"/>
            </w:tcBorders>
            <w:shd w:val="clear" w:color="auto" w:fill="auto"/>
            <w:noWrap/>
            <w:vAlign w:val="bottom"/>
            <w:hideMark/>
          </w:tcPr>
          <w:p w14:paraId="72936EFB" w14:textId="77777777" w:rsidR="0081010F" w:rsidRPr="0081010F" w:rsidRDefault="0081010F" w:rsidP="00FD7774">
            <w:pPr>
              <w:spacing w:after="0"/>
              <w:jc w:val="center"/>
              <w:rPr>
                <w:rFonts w:eastAsia="Times New Roman" w:cs="Arial"/>
                <w:color w:val="000000"/>
              </w:rPr>
            </w:pPr>
            <w:r w:rsidRPr="0081010F">
              <w:rPr>
                <w:rFonts w:eastAsia="Times New Roman" w:cs="Arial"/>
                <w:color w:val="000000"/>
              </w:rPr>
              <w:t>234,399 ÷ 510,348 = 0.46</w:t>
            </w:r>
          </w:p>
        </w:tc>
        <w:tc>
          <w:tcPr>
            <w:tcW w:w="176" w:type="pct"/>
            <w:tcBorders>
              <w:top w:val="nil"/>
              <w:left w:val="nil"/>
              <w:bottom w:val="single" w:sz="4" w:space="0" w:color="auto"/>
              <w:right w:val="single" w:sz="4" w:space="0" w:color="auto"/>
            </w:tcBorders>
            <w:shd w:val="clear" w:color="auto" w:fill="auto"/>
            <w:noWrap/>
            <w:vAlign w:val="bottom"/>
            <w:hideMark/>
          </w:tcPr>
          <w:p w14:paraId="1D15969C" w14:textId="77777777" w:rsidR="0081010F" w:rsidRPr="0081010F" w:rsidRDefault="0081010F" w:rsidP="00FD7774">
            <w:pPr>
              <w:spacing w:after="0"/>
              <w:jc w:val="center"/>
              <w:rPr>
                <w:rFonts w:eastAsia="Times New Roman" w:cs="Arial"/>
                <w:color w:val="000000"/>
              </w:rPr>
            </w:pPr>
            <w:r w:rsidRPr="0081010F">
              <w:rPr>
                <w:rFonts w:eastAsia="Times New Roman" w:cs="Arial"/>
                <w:color w:val="000000"/>
              </w:rPr>
              <w:t>196,989 ÷ 510,290 = 0.39</w:t>
            </w:r>
          </w:p>
        </w:tc>
      </w:tr>
      <w:tr w:rsidR="0081010F" w:rsidRPr="0081010F" w14:paraId="5250380E" w14:textId="77777777" w:rsidTr="00FD7774">
        <w:trPr>
          <w:trHeight w:val="300"/>
        </w:trPr>
        <w:tc>
          <w:tcPr>
            <w:tcW w:w="3865" w:type="pct"/>
            <w:tcBorders>
              <w:top w:val="nil"/>
              <w:left w:val="nil"/>
              <w:bottom w:val="nil"/>
              <w:right w:val="nil"/>
            </w:tcBorders>
            <w:shd w:val="clear" w:color="auto" w:fill="auto"/>
            <w:noWrap/>
            <w:vAlign w:val="bottom"/>
            <w:hideMark/>
          </w:tcPr>
          <w:p w14:paraId="054BE5A6" w14:textId="77777777" w:rsidR="0081010F" w:rsidRPr="0081010F" w:rsidRDefault="0081010F" w:rsidP="00FD7774">
            <w:pPr>
              <w:spacing w:after="0"/>
              <w:jc w:val="left"/>
              <w:rPr>
                <w:rFonts w:eastAsia="Times New Roman" w:cs="Arial"/>
                <w:color w:val="000000"/>
              </w:rPr>
            </w:pPr>
          </w:p>
        </w:tc>
        <w:tc>
          <w:tcPr>
            <w:tcW w:w="253" w:type="pct"/>
            <w:tcBorders>
              <w:top w:val="nil"/>
              <w:left w:val="nil"/>
              <w:bottom w:val="nil"/>
              <w:right w:val="nil"/>
            </w:tcBorders>
            <w:shd w:val="clear" w:color="auto" w:fill="auto"/>
            <w:noWrap/>
            <w:vAlign w:val="bottom"/>
            <w:hideMark/>
          </w:tcPr>
          <w:p w14:paraId="4BB5C109" w14:textId="77777777" w:rsidR="0081010F" w:rsidRPr="0081010F" w:rsidRDefault="0081010F" w:rsidP="00FD7774">
            <w:pPr>
              <w:spacing w:after="0"/>
              <w:jc w:val="left"/>
              <w:rPr>
                <w:rFonts w:eastAsia="Times New Roman" w:cs="Arial"/>
              </w:rPr>
            </w:pPr>
          </w:p>
        </w:tc>
        <w:tc>
          <w:tcPr>
            <w:tcW w:w="179" w:type="pct"/>
            <w:tcBorders>
              <w:top w:val="nil"/>
              <w:left w:val="nil"/>
              <w:bottom w:val="nil"/>
              <w:right w:val="nil"/>
            </w:tcBorders>
            <w:shd w:val="clear" w:color="auto" w:fill="auto"/>
            <w:noWrap/>
            <w:vAlign w:val="bottom"/>
            <w:hideMark/>
          </w:tcPr>
          <w:p w14:paraId="16BB44CC"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294B0760"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3E66A95E"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037C5D89"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551CF0D6" w14:textId="77777777" w:rsidR="0081010F" w:rsidRPr="0081010F" w:rsidRDefault="0081010F" w:rsidP="00FD7774">
            <w:pPr>
              <w:spacing w:after="0"/>
              <w:jc w:val="left"/>
              <w:rPr>
                <w:rFonts w:eastAsia="Times New Roman" w:cs="Arial"/>
              </w:rPr>
            </w:pPr>
          </w:p>
        </w:tc>
      </w:tr>
      <w:tr w:rsidR="0081010F" w:rsidRPr="0081010F" w14:paraId="48C76450" w14:textId="77777777" w:rsidTr="00FD7774">
        <w:trPr>
          <w:trHeight w:val="300"/>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A8343A8"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Cash Flow Ratios</w:t>
            </w:r>
          </w:p>
        </w:tc>
      </w:tr>
      <w:tr w:rsidR="0081010F" w:rsidRPr="0081010F" w14:paraId="40A9787D" w14:textId="77777777" w:rsidTr="00FD7774">
        <w:trPr>
          <w:trHeight w:val="300"/>
        </w:trPr>
        <w:tc>
          <w:tcPr>
            <w:tcW w:w="3865" w:type="pct"/>
            <w:tcBorders>
              <w:top w:val="nil"/>
              <w:left w:val="single" w:sz="4" w:space="0" w:color="auto"/>
              <w:bottom w:val="single" w:sz="4" w:space="0" w:color="auto"/>
              <w:right w:val="single" w:sz="4" w:space="0" w:color="auto"/>
            </w:tcBorders>
            <w:shd w:val="clear" w:color="auto" w:fill="auto"/>
            <w:noWrap/>
            <w:vAlign w:val="bottom"/>
            <w:hideMark/>
          </w:tcPr>
          <w:p w14:paraId="24603A90" w14:textId="77777777" w:rsidR="0081010F" w:rsidRPr="0081010F" w:rsidRDefault="0081010F" w:rsidP="00FD7774">
            <w:pPr>
              <w:spacing w:after="0"/>
              <w:jc w:val="left"/>
              <w:rPr>
                <w:rFonts w:eastAsia="Times New Roman" w:cs="Arial"/>
                <w:b/>
                <w:bCs/>
                <w:color w:val="000000"/>
              </w:rPr>
            </w:pPr>
            <w:r w:rsidRPr="0081010F">
              <w:rPr>
                <w:rFonts w:eastAsia="Times New Roman" w:cs="Arial"/>
                <w:b/>
                <w:bCs/>
                <w:color w:val="000000"/>
              </w:rPr>
              <w:t>Ratio</w:t>
            </w:r>
          </w:p>
        </w:tc>
        <w:tc>
          <w:tcPr>
            <w:tcW w:w="253" w:type="pct"/>
            <w:tcBorders>
              <w:top w:val="nil"/>
              <w:left w:val="nil"/>
              <w:bottom w:val="single" w:sz="4" w:space="0" w:color="auto"/>
              <w:right w:val="single" w:sz="4" w:space="0" w:color="auto"/>
            </w:tcBorders>
            <w:shd w:val="clear" w:color="auto" w:fill="auto"/>
            <w:noWrap/>
            <w:vAlign w:val="bottom"/>
            <w:hideMark/>
          </w:tcPr>
          <w:p w14:paraId="1AB37690" w14:textId="77777777" w:rsidR="0081010F" w:rsidRPr="0081010F" w:rsidRDefault="0081010F" w:rsidP="00FD7774">
            <w:pPr>
              <w:spacing w:after="0"/>
              <w:jc w:val="left"/>
              <w:rPr>
                <w:rFonts w:eastAsia="Times New Roman" w:cs="Arial"/>
                <w:b/>
                <w:bCs/>
                <w:color w:val="000000"/>
              </w:rPr>
            </w:pPr>
            <w:r w:rsidRPr="0081010F">
              <w:rPr>
                <w:rFonts w:eastAsia="Times New Roman" w:cs="Arial"/>
                <w:b/>
                <w:bCs/>
                <w:color w:val="000000"/>
              </w:rPr>
              <w:t>Formula</w:t>
            </w:r>
          </w:p>
        </w:tc>
        <w:tc>
          <w:tcPr>
            <w:tcW w:w="179" w:type="pct"/>
            <w:tcBorders>
              <w:top w:val="nil"/>
              <w:left w:val="nil"/>
              <w:bottom w:val="single" w:sz="4" w:space="0" w:color="auto"/>
              <w:right w:val="single" w:sz="4" w:space="0" w:color="auto"/>
            </w:tcBorders>
            <w:shd w:val="clear" w:color="auto" w:fill="auto"/>
            <w:noWrap/>
            <w:vAlign w:val="bottom"/>
            <w:hideMark/>
          </w:tcPr>
          <w:p w14:paraId="71D83A64" w14:textId="77777777" w:rsidR="0081010F" w:rsidRPr="0081010F" w:rsidRDefault="0081010F" w:rsidP="00FD7774">
            <w:pPr>
              <w:spacing w:after="0"/>
              <w:jc w:val="right"/>
              <w:rPr>
                <w:rFonts w:eastAsia="Times New Roman" w:cs="Arial"/>
                <w:b/>
                <w:bCs/>
                <w:color w:val="000000"/>
              </w:rPr>
            </w:pPr>
            <w:r w:rsidRPr="0081010F">
              <w:rPr>
                <w:rFonts w:eastAsia="Times New Roman" w:cs="Arial"/>
                <w:b/>
                <w:bCs/>
                <w:color w:val="000000"/>
              </w:rPr>
              <w:t>2024</w:t>
            </w:r>
          </w:p>
        </w:tc>
        <w:tc>
          <w:tcPr>
            <w:tcW w:w="176" w:type="pct"/>
            <w:tcBorders>
              <w:top w:val="nil"/>
              <w:left w:val="nil"/>
              <w:bottom w:val="single" w:sz="4" w:space="0" w:color="auto"/>
              <w:right w:val="single" w:sz="4" w:space="0" w:color="auto"/>
            </w:tcBorders>
            <w:shd w:val="clear" w:color="auto" w:fill="auto"/>
            <w:noWrap/>
            <w:vAlign w:val="bottom"/>
            <w:hideMark/>
          </w:tcPr>
          <w:p w14:paraId="0F45047E" w14:textId="77777777" w:rsidR="0081010F" w:rsidRPr="0081010F" w:rsidRDefault="0081010F" w:rsidP="00FD7774">
            <w:pPr>
              <w:spacing w:after="0"/>
              <w:jc w:val="right"/>
              <w:rPr>
                <w:rFonts w:eastAsia="Times New Roman" w:cs="Arial"/>
                <w:b/>
                <w:bCs/>
                <w:color w:val="000000"/>
              </w:rPr>
            </w:pPr>
            <w:r w:rsidRPr="0081010F">
              <w:rPr>
                <w:rFonts w:eastAsia="Times New Roman" w:cs="Arial"/>
                <w:b/>
                <w:bCs/>
                <w:color w:val="000000"/>
              </w:rPr>
              <w:t>2023</w:t>
            </w:r>
          </w:p>
        </w:tc>
        <w:tc>
          <w:tcPr>
            <w:tcW w:w="176" w:type="pct"/>
            <w:tcBorders>
              <w:top w:val="nil"/>
              <w:left w:val="nil"/>
              <w:bottom w:val="single" w:sz="4" w:space="0" w:color="auto"/>
              <w:right w:val="single" w:sz="4" w:space="0" w:color="auto"/>
            </w:tcBorders>
            <w:shd w:val="clear" w:color="auto" w:fill="auto"/>
            <w:noWrap/>
            <w:vAlign w:val="bottom"/>
            <w:hideMark/>
          </w:tcPr>
          <w:p w14:paraId="65CA1A7B" w14:textId="77777777" w:rsidR="0081010F" w:rsidRPr="0081010F" w:rsidRDefault="0081010F" w:rsidP="00FD7774">
            <w:pPr>
              <w:spacing w:after="0"/>
              <w:jc w:val="right"/>
              <w:rPr>
                <w:rFonts w:eastAsia="Times New Roman" w:cs="Arial"/>
                <w:b/>
                <w:bCs/>
                <w:color w:val="000000"/>
              </w:rPr>
            </w:pPr>
            <w:r w:rsidRPr="0081010F">
              <w:rPr>
                <w:rFonts w:eastAsia="Times New Roman" w:cs="Arial"/>
                <w:b/>
                <w:bCs/>
                <w:color w:val="000000"/>
              </w:rPr>
              <w:t>2022</w:t>
            </w:r>
          </w:p>
        </w:tc>
        <w:tc>
          <w:tcPr>
            <w:tcW w:w="176" w:type="pct"/>
            <w:tcBorders>
              <w:top w:val="nil"/>
              <w:left w:val="nil"/>
              <w:bottom w:val="single" w:sz="4" w:space="0" w:color="auto"/>
              <w:right w:val="single" w:sz="4" w:space="0" w:color="auto"/>
            </w:tcBorders>
            <w:shd w:val="clear" w:color="auto" w:fill="auto"/>
            <w:noWrap/>
            <w:vAlign w:val="bottom"/>
            <w:hideMark/>
          </w:tcPr>
          <w:p w14:paraId="1566D02E" w14:textId="77777777" w:rsidR="0081010F" w:rsidRPr="0081010F" w:rsidRDefault="0081010F" w:rsidP="00FD7774">
            <w:pPr>
              <w:spacing w:after="0"/>
              <w:jc w:val="right"/>
              <w:rPr>
                <w:rFonts w:eastAsia="Times New Roman" w:cs="Arial"/>
                <w:b/>
                <w:bCs/>
                <w:color w:val="000000"/>
              </w:rPr>
            </w:pPr>
            <w:r w:rsidRPr="0081010F">
              <w:rPr>
                <w:rFonts w:eastAsia="Times New Roman" w:cs="Arial"/>
                <w:b/>
                <w:bCs/>
                <w:color w:val="000000"/>
              </w:rPr>
              <w:t>2021</w:t>
            </w:r>
          </w:p>
        </w:tc>
        <w:tc>
          <w:tcPr>
            <w:tcW w:w="176" w:type="pct"/>
            <w:tcBorders>
              <w:top w:val="nil"/>
              <w:left w:val="nil"/>
              <w:bottom w:val="single" w:sz="4" w:space="0" w:color="auto"/>
              <w:right w:val="single" w:sz="4" w:space="0" w:color="auto"/>
            </w:tcBorders>
            <w:shd w:val="clear" w:color="auto" w:fill="auto"/>
            <w:noWrap/>
            <w:vAlign w:val="bottom"/>
            <w:hideMark/>
          </w:tcPr>
          <w:p w14:paraId="244D32FA" w14:textId="77777777" w:rsidR="0081010F" w:rsidRPr="0081010F" w:rsidRDefault="0081010F" w:rsidP="00FD7774">
            <w:pPr>
              <w:spacing w:after="0"/>
              <w:jc w:val="right"/>
              <w:rPr>
                <w:rFonts w:eastAsia="Times New Roman" w:cs="Arial"/>
                <w:b/>
                <w:bCs/>
                <w:color w:val="000000"/>
              </w:rPr>
            </w:pPr>
            <w:r w:rsidRPr="0081010F">
              <w:rPr>
                <w:rFonts w:eastAsia="Times New Roman" w:cs="Arial"/>
                <w:b/>
                <w:bCs/>
                <w:color w:val="000000"/>
              </w:rPr>
              <w:t>2020</w:t>
            </w:r>
          </w:p>
        </w:tc>
      </w:tr>
      <w:tr w:rsidR="0081010F" w:rsidRPr="0081010F" w14:paraId="715A7892" w14:textId="77777777" w:rsidTr="00FD7774">
        <w:trPr>
          <w:trHeight w:val="300"/>
        </w:trPr>
        <w:tc>
          <w:tcPr>
            <w:tcW w:w="3865" w:type="pct"/>
            <w:tcBorders>
              <w:top w:val="nil"/>
              <w:left w:val="single" w:sz="4" w:space="0" w:color="auto"/>
              <w:bottom w:val="single" w:sz="4" w:space="0" w:color="auto"/>
              <w:right w:val="single" w:sz="4" w:space="0" w:color="auto"/>
            </w:tcBorders>
            <w:shd w:val="clear" w:color="auto" w:fill="auto"/>
            <w:noWrap/>
            <w:vAlign w:val="bottom"/>
            <w:hideMark/>
          </w:tcPr>
          <w:p w14:paraId="40801AD1" w14:textId="77777777" w:rsidR="0081010F" w:rsidRPr="0081010F" w:rsidRDefault="0081010F" w:rsidP="00FD7774">
            <w:pPr>
              <w:spacing w:after="0"/>
              <w:jc w:val="left"/>
              <w:rPr>
                <w:rFonts w:eastAsia="Times New Roman" w:cs="Arial"/>
                <w:b/>
                <w:i/>
                <w:color w:val="000000"/>
              </w:rPr>
            </w:pPr>
            <w:r w:rsidRPr="0081010F">
              <w:rPr>
                <w:rFonts w:eastAsia="Times New Roman" w:cs="Arial"/>
                <w:b/>
                <w:i/>
                <w:color w:val="000000"/>
              </w:rPr>
              <w:t>Operating Cash Flow Ratio</w:t>
            </w:r>
          </w:p>
        </w:tc>
        <w:tc>
          <w:tcPr>
            <w:tcW w:w="253" w:type="pct"/>
            <w:tcBorders>
              <w:top w:val="nil"/>
              <w:left w:val="nil"/>
              <w:bottom w:val="single" w:sz="4" w:space="0" w:color="auto"/>
              <w:right w:val="single" w:sz="4" w:space="0" w:color="auto"/>
            </w:tcBorders>
            <w:shd w:val="clear" w:color="auto" w:fill="auto"/>
            <w:noWrap/>
            <w:vAlign w:val="bottom"/>
            <w:hideMark/>
          </w:tcPr>
          <w:p w14:paraId="0D91A1BD"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Operating Cash Flow ÷ Current Liabilities</w:t>
            </w:r>
          </w:p>
        </w:tc>
        <w:tc>
          <w:tcPr>
            <w:tcW w:w="179" w:type="pct"/>
            <w:tcBorders>
              <w:top w:val="nil"/>
              <w:left w:val="nil"/>
              <w:bottom w:val="single" w:sz="4" w:space="0" w:color="auto"/>
              <w:right w:val="single" w:sz="4" w:space="0" w:color="auto"/>
            </w:tcBorders>
            <w:shd w:val="clear" w:color="auto" w:fill="auto"/>
            <w:noWrap/>
            <w:vAlign w:val="bottom"/>
            <w:hideMark/>
          </w:tcPr>
          <w:p w14:paraId="26F69306"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14,822 ÷ 158,291 = 0.09</w:t>
            </w:r>
          </w:p>
        </w:tc>
        <w:tc>
          <w:tcPr>
            <w:tcW w:w="176" w:type="pct"/>
            <w:tcBorders>
              <w:top w:val="nil"/>
              <w:left w:val="nil"/>
              <w:bottom w:val="single" w:sz="4" w:space="0" w:color="auto"/>
              <w:right w:val="single" w:sz="4" w:space="0" w:color="auto"/>
            </w:tcBorders>
            <w:shd w:val="clear" w:color="auto" w:fill="auto"/>
            <w:noWrap/>
            <w:vAlign w:val="bottom"/>
            <w:hideMark/>
          </w:tcPr>
          <w:p w14:paraId="5C730BF8"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25,190 ÷ 161,148 = 0.16</w:t>
            </w:r>
          </w:p>
        </w:tc>
        <w:tc>
          <w:tcPr>
            <w:tcW w:w="176" w:type="pct"/>
            <w:tcBorders>
              <w:top w:val="nil"/>
              <w:left w:val="nil"/>
              <w:bottom w:val="single" w:sz="4" w:space="0" w:color="auto"/>
              <w:right w:val="single" w:sz="4" w:space="0" w:color="auto"/>
            </w:tcBorders>
            <w:shd w:val="clear" w:color="auto" w:fill="auto"/>
            <w:noWrap/>
            <w:vAlign w:val="bottom"/>
            <w:hideMark/>
          </w:tcPr>
          <w:p w14:paraId="449F0B2D"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10,926 ÷ 216,473 = 0.05</w:t>
            </w:r>
          </w:p>
        </w:tc>
        <w:tc>
          <w:tcPr>
            <w:tcW w:w="176" w:type="pct"/>
            <w:tcBorders>
              <w:top w:val="nil"/>
              <w:left w:val="nil"/>
              <w:bottom w:val="single" w:sz="4" w:space="0" w:color="auto"/>
              <w:right w:val="single" w:sz="4" w:space="0" w:color="auto"/>
            </w:tcBorders>
            <w:shd w:val="clear" w:color="auto" w:fill="auto"/>
            <w:noWrap/>
            <w:vAlign w:val="bottom"/>
            <w:hideMark/>
          </w:tcPr>
          <w:p w14:paraId="247C8E46"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40,283 ÷ 216,787 = 0.19</w:t>
            </w:r>
          </w:p>
        </w:tc>
        <w:tc>
          <w:tcPr>
            <w:tcW w:w="176" w:type="pct"/>
            <w:tcBorders>
              <w:top w:val="nil"/>
              <w:left w:val="nil"/>
              <w:bottom w:val="single" w:sz="4" w:space="0" w:color="auto"/>
              <w:right w:val="single" w:sz="4" w:space="0" w:color="auto"/>
            </w:tcBorders>
            <w:shd w:val="clear" w:color="auto" w:fill="auto"/>
            <w:noWrap/>
            <w:vAlign w:val="bottom"/>
            <w:hideMark/>
          </w:tcPr>
          <w:p w14:paraId="596ACD7F"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73,392 ÷ 179,510 = 0.41</w:t>
            </w:r>
          </w:p>
        </w:tc>
      </w:tr>
      <w:tr w:rsidR="0081010F" w:rsidRPr="0081010F" w14:paraId="5F88F80A" w14:textId="77777777" w:rsidTr="00FD7774">
        <w:trPr>
          <w:trHeight w:val="300"/>
        </w:trPr>
        <w:tc>
          <w:tcPr>
            <w:tcW w:w="3865" w:type="pct"/>
            <w:tcBorders>
              <w:top w:val="nil"/>
              <w:left w:val="nil"/>
              <w:bottom w:val="nil"/>
              <w:right w:val="nil"/>
            </w:tcBorders>
            <w:shd w:val="clear" w:color="auto" w:fill="auto"/>
            <w:noWrap/>
            <w:vAlign w:val="bottom"/>
            <w:hideMark/>
          </w:tcPr>
          <w:p w14:paraId="36D06769" w14:textId="77777777" w:rsidR="0081010F" w:rsidRPr="0081010F" w:rsidRDefault="0081010F" w:rsidP="00FD7774">
            <w:pPr>
              <w:spacing w:after="0"/>
              <w:jc w:val="left"/>
              <w:rPr>
                <w:rFonts w:eastAsia="Times New Roman" w:cs="Arial"/>
                <w:color w:val="000000"/>
              </w:rPr>
            </w:pPr>
          </w:p>
        </w:tc>
        <w:tc>
          <w:tcPr>
            <w:tcW w:w="253" w:type="pct"/>
            <w:tcBorders>
              <w:top w:val="nil"/>
              <w:left w:val="nil"/>
              <w:bottom w:val="nil"/>
              <w:right w:val="nil"/>
            </w:tcBorders>
            <w:shd w:val="clear" w:color="auto" w:fill="auto"/>
            <w:noWrap/>
            <w:vAlign w:val="bottom"/>
            <w:hideMark/>
          </w:tcPr>
          <w:p w14:paraId="741BF00C" w14:textId="77777777" w:rsidR="0081010F" w:rsidRPr="0081010F" w:rsidRDefault="0081010F" w:rsidP="00FD7774">
            <w:pPr>
              <w:spacing w:after="0"/>
              <w:jc w:val="left"/>
              <w:rPr>
                <w:rFonts w:eastAsia="Times New Roman" w:cs="Arial"/>
              </w:rPr>
            </w:pPr>
          </w:p>
        </w:tc>
        <w:tc>
          <w:tcPr>
            <w:tcW w:w="179" w:type="pct"/>
            <w:tcBorders>
              <w:top w:val="nil"/>
              <w:left w:val="nil"/>
              <w:bottom w:val="nil"/>
              <w:right w:val="nil"/>
            </w:tcBorders>
            <w:shd w:val="clear" w:color="auto" w:fill="auto"/>
            <w:noWrap/>
            <w:vAlign w:val="bottom"/>
            <w:hideMark/>
          </w:tcPr>
          <w:p w14:paraId="6ED4F272"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7A65E371"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31D352C6"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131B3EFD" w14:textId="77777777" w:rsidR="0081010F" w:rsidRPr="0081010F" w:rsidRDefault="0081010F" w:rsidP="00FD7774">
            <w:pPr>
              <w:spacing w:after="0"/>
              <w:jc w:val="left"/>
              <w:rPr>
                <w:rFonts w:eastAsia="Times New Roman" w:cs="Arial"/>
              </w:rPr>
            </w:pPr>
          </w:p>
        </w:tc>
        <w:tc>
          <w:tcPr>
            <w:tcW w:w="176" w:type="pct"/>
            <w:tcBorders>
              <w:top w:val="nil"/>
              <w:left w:val="nil"/>
              <w:bottom w:val="nil"/>
              <w:right w:val="nil"/>
            </w:tcBorders>
            <w:shd w:val="clear" w:color="auto" w:fill="auto"/>
            <w:noWrap/>
            <w:vAlign w:val="bottom"/>
            <w:hideMark/>
          </w:tcPr>
          <w:p w14:paraId="174C2736" w14:textId="77777777" w:rsidR="0081010F" w:rsidRPr="0081010F" w:rsidRDefault="0081010F" w:rsidP="00FD7774">
            <w:pPr>
              <w:spacing w:after="0"/>
              <w:jc w:val="left"/>
              <w:rPr>
                <w:rFonts w:eastAsia="Times New Roman" w:cs="Arial"/>
              </w:rPr>
            </w:pPr>
          </w:p>
        </w:tc>
      </w:tr>
      <w:tr w:rsidR="0081010F" w:rsidRPr="0081010F" w14:paraId="3D1C3EE0" w14:textId="77777777" w:rsidTr="00FD7774">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A08508" w14:textId="77777777" w:rsidR="0081010F" w:rsidRPr="0081010F" w:rsidRDefault="0081010F" w:rsidP="00FD7774">
            <w:pPr>
              <w:spacing w:after="0"/>
              <w:jc w:val="center"/>
              <w:rPr>
                <w:rFonts w:eastAsia="Times New Roman" w:cs="Arial"/>
                <w:b/>
                <w:bCs/>
                <w:color w:val="000000"/>
              </w:rPr>
            </w:pPr>
            <w:r w:rsidRPr="0081010F">
              <w:rPr>
                <w:rFonts w:eastAsia="Times New Roman" w:cs="Arial"/>
                <w:b/>
                <w:bCs/>
                <w:color w:val="000000"/>
              </w:rPr>
              <w:t>Investment Ratios</w:t>
            </w:r>
          </w:p>
        </w:tc>
      </w:tr>
      <w:tr w:rsidR="0081010F" w:rsidRPr="0081010F" w14:paraId="1DE72745" w14:textId="77777777" w:rsidTr="00FD7774">
        <w:trPr>
          <w:trHeight w:val="300"/>
        </w:trPr>
        <w:tc>
          <w:tcPr>
            <w:tcW w:w="3865" w:type="pct"/>
            <w:tcBorders>
              <w:top w:val="nil"/>
              <w:left w:val="single" w:sz="4" w:space="0" w:color="auto"/>
              <w:bottom w:val="single" w:sz="4" w:space="0" w:color="auto"/>
              <w:right w:val="single" w:sz="4" w:space="0" w:color="auto"/>
            </w:tcBorders>
            <w:shd w:val="clear" w:color="auto" w:fill="auto"/>
            <w:noWrap/>
            <w:vAlign w:val="bottom"/>
            <w:hideMark/>
          </w:tcPr>
          <w:p w14:paraId="7FA4EF56" w14:textId="77777777" w:rsidR="0081010F" w:rsidRPr="0081010F" w:rsidRDefault="0081010F" w:rsidP="00FD7774">
            <w:pPr>
              <w:spacing w:after="0"/>
              <w:jc w:val="left"/>
              <w:rPr>
                <w:rFonts w:eastAsia="Times New Roman" w:cs="Arial"/>
                <w:b/>
                <w:bCs/>
                <w:color w:val="000000"/>
              </w:rPr>
            </w:pPr>
            <w:r w:rsidRPr="0081010F">
              <w:rPr>
                <w:rFonts w:eastAsia="Times New Roman" w:cs="Arial"/>
                <w:b/>
                <w:bCs/>
                <w:color w:val="000000"/>
              </w:rPr>
              <w:t>Ratio</w:t>
            </w:r>
          </w:p>
        </w:tc>
        <w:tc>
          <w:tcPr>
            <w:tcW w:w="253" w:type="pct"/>
            <w:tcBorders>
              <w:top w:val="nil"/>
              <w:left w:val="nil"/>
              <w:bottom w:val="single" w:sz="4" w:space="0" w:color="auto"/>
              <w:right w:val="single" w:sz="4" w:space="0" w:color="auto"/>
            </w:tcBorders>
            <w:shd w:val="clear" w:color="auto" w:fill="auto"/>
            <w:noWrap/>
            <w:vAlign w:val="bottom"/>
            <w:hideMark/>
          </w:tcPr>
          <w:p w14:paraId="757EBFE2" w14:textId="77777777" w:rsidR="0081010F" w:rsidRPr="0081010F" w:rsidRDefault="0081010F" w:rsidP="00FD7774">
            <w:pPr>
              <w:spacing w:after="0"/>
              <w:jc w:val="left"/>
              <w:rPr>
                <w:rFonts w:eastAsia="Times New Roman" w:cs="Arial"/>
                <w:b/>
                <w:bCs/>
                <w:color w:val="000000"/>
              </w:rPr>
            </w:pPr>
            <w:r w:rsidRPr="0081010F">
              <w:rPr>
                <w:rFonts w:eastAsia="Times New Roman" w:cs="Arial"/>
                <w:b/>
                <w:bCs/>
                <w:color w:val="000000"/>
              </w:rPr>
              <w:t>Formula</w:t>
            </w:r>
          </w:p>
        </w:tc>
        <w:tc>
          <w:tcPr>
            <w:tcW w:w="179" w:type="pct"/>
            <w:tcBorders>
              <w:top w:val="nil"/>
              <w:left w:val="nil"/>
              <w:bottom w:val="single" w:sz="4" w:space="0" w:color="auto"/>
              <w:right w:val="single" w:sz="4" w:space="0" w:color="auto"/>
            </w:tcBorders>
            <w:shd w:val="clear" w:color="auto" w:fill="auto"/>
            <w:noWrap/>
            <w:vAlign w:val="bottom"/>
            <w:hideMark/>
          </w:tcPr>
          <w:p w14:paraId="1A9434DE" w14:textId="77777777" w:rsidR="0081010F" w:rsidRPr="0081010F" w:rsidRDefault="0081010F" w:rsidP="00FD7774">
            <w:pPr>
              <w:spacing w:after="0"/>
              <w:jc w:val="right"/>
              <w:rPr>
                <w:rFonts w:eastAsia="Times New Roman" w:cs="Arial"/>
                <w:b/>
                <w:bCs/>
                <w:color w:val="000000"/>
              </w:rPr>
            </w:pPr>
            <w:r w:rsidRPr="0081010F">
              <w:rPr>
                <w:rFonts w:eastAsia="Times New Roman" w:cs="Arial"/>
                <w:b/>
                <w:bCs/>
                <w:color w:val="000000"/>
              </w:rPr>
              <w:t>2024</w:t>
            </w:r>
          </w:p>
        </w:tc>
        <w:tc>
          <w:tcPr>
            <w:tcW w:w="176" w:type="pct"/>
            <w:tcBorders>
              <w:top w:val="nil"/>
              <w:left w:val="nil"/>
              <w:bottom w:val="single" w:sz="4" w:space="0" w:color="auto"/>
              <w:right w:val="single" w:sz="4" w:space="0" w:color="auto"/>
            </w:tcBorders>
            <w:shd w:val="clear" w:color="auto" w:fill="auto"/>
            <w:noWrap/>
            <w:vAlign w:val="bottom"/>
            <w:hideMark/>
          </w:tcPr>
          <w:p w14:paraId="42BCF48D" w14:textId="77777777" w:rsidR="0081010F" w:rsidRPr="0081010F" w:rsidRDefault="0081010F" w:rsidP="00FD7774">
            <w:pPr>
              <w:spacing w:after="0"/>
              <w:jc w:val="right"/>
              <w:rPr>
                <w:rFonts w:eastAsia="Times New Roman" w:cs="Arial"/>
                <w:b/>
                <w:bCs/>
                <w:color w:val="000000"/>
              </w:rPr>
            </w:pPr>
            <w:r w:rsidRPr="0081010F">
              <w:rPr>
                <w:rFonts w:eastAsia="Times New Roman" w:cs="Arial"/>
                <w:b/>
                <w:bCs/>
                <w:color w:val="000000"/>
              </w:rPr>
              <w:t>2023</w:t>
            </w:r>
          </w:p>
        </w:tc>
        <w:tc>
          <w:tcPr>
            <w:tcW w:w="176" w:type="pct"/>
            <w:tcBorders>
              <w:top w:val="nil"/>
              <w:left w:val="nil"/>
              <w:bottom w:val="single" w:sz="4" w:space="0" w:color="auto"/>
              <w:right w:val="single" w:sz="4" w:space="0" w:color="auto"/>
            </w:tcBorders>
            <w:shd w:val="clear" w:color="auto" w:fill="auto"/>
            <w:noWrap/>
            <w:vAlign w:val="bottom"/>
            <w:hideMark/>
          </w:tcPr>
          <w:p w14:paraId="65FE9F22" w14:textId="77777777" w:rsidR="0081010F" w:rsidRPr="0081010F" w:rsidRDefault="0081010F" w:rsidP="00FD7774">
            <w:pPr>
              <w:spacing w:after="0"/>
              <w:jc w:val="right"/>
              <w:rPr>
                <w:rFonts w:eastAsia="Times New Roman" w:cs="Arial"/>
                <w:b/>
                <w:bCs/>
                <w:color w:val="000000"/>
              </w:rPr>
            </w:pPr>
            <w:r w:rsidRPr="0081010F">
              <w:rPr>
                <w:rFonts w:eastAsia="Times New Roman" w:cs="Arial"/>
                <w:b/>
                <w:bCs/>
                <w:color w:val="000000"/>
              </w:rPr>
              <w:t>2022</w:t>
            </w:r>
          </w:p>
        </w:tc>
        <w:tc>
          <w:tcPr>
            <w:tcW w:w="176" w:type="pct"/>
            <w:tcBorders>
              <w:top w:val="nil"/>
              <w:left w:val="nil"/>
              <w:bottom w:val="single" w:sz="4" w:space="0" w:color="auto"/>
              <w:right w:val="single" w:sz="4" w:space="0" w:color="auto"/>
            </w:tcBorders>
            <w:shd w:val="clear" w:color="auto" w:fill="auto"/>
            <w:noWrap/>
            <w:vAlign w:val="bottom"/>
            <w:hideMark/>
          </w:tcPr>
          <w:p w14:paraId="742BDA5A" w14:textId="77777777" w:rsidR="0081010F" w:rsidRPr="0081010F" w:rsidRDefault="0081010F" w:rsidP="00FD7774">
            <w:pPr>
              <w:spacing w:after="0"/>
              <w:jc w:val="right"/>
              <w:rPr>
                <w:rFonts w:eastAsia="Times New Roman" w:cs="Arial"/>
                <w:b/>
                <w:bCs/>
                <w:color w:val="000000"/>
              </w:rPr>
            </w:pPr>
            <w:r w:rsidRPr="0081010F">
              <w:rPr>
                <w:rFonts w:eastAsia="Times New Roman" w:cs="Arial"/>
                <w:b/>
                <w:bCs/>
                <w:color w:val="000000"/>
              </w:rPr>
              <w:t>2021</w:t>
            </w:r>
          </w:p>
        </w:tc>
        <w:tc>
          <w:tcPr>
            <w:tcW w:w="176" w:type="pct"/>
            <w:tcBorders>
              <w:top w:val="nil"/>
              <w:left w:val="nil"/>
              <w:bottom w:val="single" w:sz="4" w:space="0" w:color="auto"/>
              <w:right w:val="single" w:sz="4" w:space="0" w:color="auto"/>
            </w:tcBorders>
            <w:shd w:val="clear" w:color="auto" w:fill="auto"/>
            <w:noWrap/>
            <w:vAlign w:val="bottom"/>
            <w:hideMark/>
          </w:tcPr>
          <w:p w14:paraId="5164AA54" w14:textId="77777777" w:rsidR="0081010F" w:rsidRPr="0081010F" w:rsidRDefault="0081010F" w:rsidP="00FD7774">
            <w:pPr>
              <w:spacing w:after="0"/>
              <w:jc w:val="right"/>
              <w:rPr>
                <w:rFonts w:eastAsia="Times New Roman" w:cs="Arial"/>
                <w:b/>
                <w:bCs/>
                <w:color w:val="000000"/>
              </w:rPr>
            </w:pPr>
            <w:r w:rsidRPr="0081010F">
              <w:rPr>
                <w:rFonts w:eastAsia="Times New Roman" w:cs="Arial"/>
                <w:b/>
                <w:bCs/>
                <w:color w:val="000000"/>
              </w:rPr>
              <w:t>2020</w:t>
            </w:r>
          </w:p>
        </w:tc>
      </w:tr>
      <w:tr w:rsidR="0081010F" w:rsidRPr="0081010F" w14:paraId="3FDC5D94" w14:textId="77777777" w:rsidTr="00FD7774">
        <w:trPr>
          <w:trHeight w:val="300"/>
        </w:trPr>
        <w:tc>
          <w:tcPr>
            <w:tcW w:w="3865" w:type="pct"/>
            <w:tcBorders>
              <w:top w:val="nil"/>
              <w:left w:val="single" w:sz="4" w:space="0" w:color="auto"/>
              <w:bottom w:val="single" w:sz="4" w:space="0" w:color="auto"/>
              <w:right w:val="single" w:sz="4" w:space="0" w:color="auto"/>
            </w:tcBorders>
            <w:shd w:val="clear" w:color="auto" w:fill="auto"/>
            <w:noWrap/>
            <w:vAlign w:val="bottom"/>
            <w:hideMark/>
          </w:tcPr>
          <w:p w14:paraId="47DA31DF" w14:textId="77777777" w:rsidR="0081010F" w:rsidRPr="0081010F" w:rsidRDefault="0081010F" w:rsidP="00FD7774">
            <w:pPr>
              <w:spacing w:after="0"/>
              <w:jc w:val="left"/>
              <w:rPr>
                <w:rFonts w:eastAsia="Times New Roman" w:cs="Arial"/>
                <w:b/>
                <w:i/>
                <w:color w:val="000000"/>
              </w:rPr>
            </w:pPr>
            <w:r w:rsidRPr="0081010F">
              <w:rPr>
                <w:rFonts w:eastAsia="Times New Roman" w:cs="Arial"/>
                <w:b/>
                <w:i/>
                <w:color w:val="000000"/>
              </w:rPr>
              <w:t>Earnings Per Share (EPS)</w:t>
            </w:r>
          </w:p>
        </w:tc>
        <w:tc>
          <w:tcPr>
            <w:tcW w:w="253" w:type="pct"/>
            <w:tcBorders>
              <w:top w:val="nil"/>
              <w:left w:val="nil"/>
              <w:bottom w:val="single" w:sz="4" w:space="0" w:color="auto"/>
              <w:right w:val="single" w:sz="4" w:space="0" w:color="auto"/>
            </w:tcBorders>
            <w:shd w:val="clear" w:color="auto" w:fill="auto"/>
            <w:noWrap/>
            <w:vAlign w:val="bottom"/>
            <w:hideMark/>
          </w:tcPr>
          <w:p w14:paraId="18B80D82"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Net Income ÷ Weighted Avg. Shares</w:t>
            </w:r>
          </w:p>
        </w:tc>
        <w:tc>
          <w:tcPr>
            <w:tcW w:w="179" w:type="pct"/>
            <w:tcBorders>
              <w:top w:val="nil"/>
              <w:left w:val="nil"/>
              <w:bottom w:val="single" w:sz="4" w:space="0" w:color="auto"/>
              <w:right w:val="single" w:sz="4" w:space="0" w:color="auto"/>
            </w:tcBorders>
            <w:shd w:val="clear" w:color="auto" w:fill="auto"/>
            <w:noWrap/>
            <w:vAlign w:val="bottom"/>
            <w:hideMark/>
          </w:tcPr>
          <w:p w14:paraId="67EAF15E"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(24,029) ÷ 12,959 = -1.85</w:t>
            </w:r>
          </w:p>
        </w:tc>
        <w:tc>
          <w:tcPr>
            <w:tcW w:w="176" w:type="pct"/>
            <w:tcBorders>
              <w:top w:val="nil"/>
              <w:left w:val="nil"/>
              <w:bottom w:val="single" w:sz="4" w:space="0" w:color="auto"/>
              <w:right w:val="single" w:sz="4" w:space="0" w:color="auto"/>
            </w:tcBorders>
            <w:shd w:val="clear" w:color="auto" w:fill="auto"/>
            <w:noWrap/>
            <w:vAlign w:val="bottom"/>
            <w:hideMark/>
          </w:tcPr>
          <w:p w14:paraId="3B3A8561"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(98,238) ÷ 12,855 = -7.64</w:t>
            </w:r>
          </w:p>
        </w:tc>
        <w:tc>
          <w:tcPr>
            <w:tcW w:w="176" w:type="pct"/>
            <w:tcBorders>
              <w:top w:val="nil"/>
              <w:left w:val="nil"/>
              <w:bottom w:val="single" w:sz="4" w:space="0" w:color="auto"/>
              <w:right w:val="single" w:sz="4" w:space="0" w:color="auto"/>
            </w:tcBorders>
            <w:shd w:val="clear" w:color="auto" w:fill="auto"/>
            <w:noWrap/>
            <w:vAlign w:val="bottom"/>
            <w:hideMark/>
          </w:tcPr>
          <w:p w14:paraId="4F1BB919"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407 ÷ 12,703 = 0.03</w:t>
            </w:r>
          </w:p>
        </w:tc>
        <w:tc>
          <w:tcPr>
            <w:tcW w:w="176" w:type="pct"/>
            <w:tcBorders>
              <w:top w:val="nil"/>
              <w:left w:val="nil"/>
              <w:bottom w:val="single" w:sz="4" w:space="0" w:color="auto"/>
              <w:right w:val="single" w:sz="4" w:space="0" w:color="auto"/>
            </w:tcBorders>
            <w:shd w:val="clear" w:color="auto" w:fill="auto"/>
            <w:noWrap/>
            <w:vAlign w:val="bottom"/>
            <w:hideMark/>
          </w:tcPr>
          <w:p w14:paraId="7598CC45"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5,301 ÷ 13,465 = 0.39</w:t>
            </w:r>
          </w:p>
        </w:tc>
        <w:tc>
          <w:tcPr>
            <w:tcW w:w="176" w:type="pct"/>
            <w:tcBorders>
              <w:top w:val="nil"/>
              <w:left w:val="nil"/>
              <w:bottom w:val="single" w:sz="4" w:space="0" w:color="auto"/>
              <w:right w:val="single" w:sz="4" w:space="0" w:color="auto"/>
            </w:tcBorders>
            <w:shd w:val="clear" w:color="auto" w:fill="auto"/>
            <w:noWrap/>
            <w:vAlign w:val="bottom"/>
            <w:hideMark/>
          </w:tcPr>
          <w:p w14:paraId="01E16B41" w14:textId="77777777" w:rsidR="0081010F" w:rsidRPr="0081010F" w:rsidRDefault="0081010F" w:rsidP="00FD7774">
            <w:pPr>
              <w:spacing w:after="0"/>
              <w:jc w:val="left"/>
              <w:rPr>
                <w:rFonts w:eastAsia="Times New Roman" w:cs="Arial"/>
                <w:color w:val="000000"/>
              </w:rPr>
            </w:pPr>
            <w:r w:rsidRPr="0081010F">
              <w:rPr>
                <w:rFonts w:eastAsia="Times New Roman" w:cs="Arial"/>
                <w:color w:val="000000"/>
              </w:rPr>
              <w:t>38,572 ÷ 13,893 = 2.78</w:t>
            </w:r>
          </w:p>
        </w:tc>
      </w:tr>
    </w:tbl>
    <w:p w14:paraId="20973D77" w14:textId="77777777" w:rsidR="0081010F" w:rsidRPr="0081010F" w:rsidRDefault="0081010F" w:rsidP="0081010F">
      <w:pPr>
        <w:rPr>
          <w:b/>
          <w:lang w:val="en-GB"/>
        </w:rPr>
      </w:pPr>
    </w:p>
    <w:p w14:paraId="44B04E6A" w14:textId="2A6E5096" w:rsidR="0081148D" w:rsidRPr="0081010F" w:rsidRDefault="008217B4" w:rsidP="0081010F">
      <w:pPr>
        <w:pStyle w:val="Heading2"/>
      </w:pPr>
      <w:bookmarkStart w:id="29" w:name="_Toc214732280"/>
      <w:r w:rsidRPr="0081010F">
        <w:t xml:space="preserve">Appendix </w:t>
      </w:r>
      <w:r w:rsidR="0081010F">
        <w:t>2</w:t>
      </w:r>
      <w:r w:rsidRPr="0081010F">
        <w:t xml:space="preserve">: </w:t>
      </w:r>
      <w:r w:rsidR="0081148D" w:rsidRPr="0081010F">
        <w:t>Project Appraisal</w:t>
      </w:r>
      <w:bookmarkEnd w:id="29"/>
      <w:r w:rsidR="0081148D" w:rsidRPr="0081010F">
        <w:t xml:space="preserve"> </w:t>
      </w:r>
    </w:p>
    <w:p w14:paraId="3ABD0071" w14:textId="77777777" w:rsidR="0081148D" w:rsidRPr="005E07B9" w:rsidRDefault="0081148D" w:rsidP="005E07B9">
      <w:pPr>
        <w:rPr>
          <w:rFonts w:cs="Arial"/>
          <w:b/>
          <w:bCs/>
          <w:lang w:val="en-GB"/>
        </w:rPr>
      </w:pPr>
      <w:r w:rsidRPr="005E07B9">
        <w:rPr>
          <w:rFonts w:cs="Arial"/>
          <w:b/>
          <w:bCs/>
          <w:lang w:val="en-GB"/>
        </w:rPr>
        <w:t>Project A</w:t>
      </w:r>
    </w:p>
    <w:tbl>
      <w:tblPr>
        <w:tblW w:w="8180" w:type="dxa"/>
        <w:tblLook w:val="04A0" w:firstRow="1" w:lastRow="0" w:firstColumn="1" w:lastColumn="0" w:noHBand="0" w:noVBand="1"/>
      </w:tblPr>
      <w:tblGrid>
        <w:gridCol w:w="3412"/>
        <w:gridCol w:w="1532"/>
        <w:gridCol w:w="3236"/>
      </w:tblGrid>
      <w:tr w:rsidR="0081148D" w:rsidRPr="005E07B9" w14:paraId="047DCDE3" w14:textId="77777777" w:rsidTr="00FD7774">
        <w:trPr>
          <w:trHeight w:val="420"/>
        </w:trPr>
        <w:tc>
          <w:tcPr>
            <w:tcW w:w="8180" w:type="dxa"/>
            <w:gridSpan w:val="3"/>
            <w:tcBorders>
              <w:top w:val="nil"/>
              <w:left w:val="nil"/>
              <w:bottom w:val="nil"/>
              <w:right w:val="nil"/>
            </w:tcBorders>
            <w:shd w:val="clear" w:color="000000" w:fill="FF99FF"/>
            <w:noWrap/>
            <w:vAlign w:val="bottom"/>
            <w:hideMark/>
          </w:tcPr>
          <w:p w14:paraId="7FC6B0E9"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PBP</w:t>
            </w:r>
          </w:p>
        </w:tc>
      </w:tr>
      <w:tr w:rsidR="0081148D" w:rsidRPr="005E07B9" w14:paraId="19A85E6E" w14:textId="77777777" w:rsidTr="00FD7774">
        <w:trPr>
          <w:trHeight w:val="420"/>
        </w:trPr>
        <w:tc>
          <w:tcPr>
            <w:tcW w:w="3412" w:type="dxa"/>
            <w:tcBorders>
              <w:top w:val="single" w:sz="4" w:space="0" w:color="auto"/>
              <w:left w:val="single" w:sz="4" w:space="0" w:color="auto"/>
              <w:bottom w:val="single" w:sz="4" w:space="0" w:color="auto"/>
              <w:right w:val="single" w:sz="4" w:space="0" w:color="auto"/>
            </w:tcBorders>
            <w:shd w:val="clear" w:color="000000" w:fill="FF99FF"/>
            <w:noWrap/>
            <w:vAlign w:val="bottom"/>
            <w:hideMark/>
          </w:tcPr>
          <w:p w14:paraId="69503F06"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Year</w:t>
            </w:r>
          </w:p>
        </w:tc>
        <w:tc>
          <w:tcPr>
            <w:tcW w:w="1532" w:type="dxa"/>
            <w:tcBorders>
              <w:top w:val="single" w:sz="4" w:space="0" w:color="auto"/>
              <w:left w:val="nil"/>
              <w:bottom w:val="single" w:sz="4" w:space="0" w:color="auto"/>
              <w:right w:val="single" w:sz="4" w:space="0" w:color="auto"/>
            </w:tcBorders>
            <w:shd w:val="clear" w:color="000000" w:fill="FF99FF"/>
            <w:noWrap/>
            <w:vAlign w:val="bottom"/>
            <w:hideMark/>
          </w:tcPr>
          <w:p w14:paraId="468EC6E9"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xml:space="preserve">Cashflow </w:t>
            </w:r>
          </w:p>
        </w:tc>
        <w:tc>
          <w:tcPr>
            <w:tcW w:w="3236" w:type="dxa"/>
            <w:tcBorders>
              <w:top w:val="single" w:sz="4" w:space="0" w:color="auto"/>
              <w:left w:val="nil"/>
              <w:bottom w:val="single" w:sz="4" w:space="0" w:color="auto"/>
              <w:right w:val="single" w:sz="4" w:space="0" w:color="auto"/>
            </w:tcBorders>
            <w:shd w:val="clear" w:color="000000" w:fill="FF99FF"/>
            <w:noWrap/>
            <w:vAlign w:val="bottom"/>
            <w:hideMark/>
          </w:tcPr>
          <w:p w14:paraId="6E71AA8A"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Cumulative Cashflow</w:t>
            </w:r>
          </w:p>
        </w:tc>
      </w:tr>
      <w:tr w:rsidR="0081148D" w:rsidRPr="005E07B9" w14:paraId="6DA74D75" w14:textId="77777777" w:rsidTr="00FD7774">
        <w:trPr>
          <w:trHeight w:val="420"/>
        </w:trPr>
        <w:tc>
          <w:tcPr>
            <w:tcW w:w="3412" w:type="dxa"/>
            <w:tcBorders>
              <w:top w:val="nil"/>
              <w:left w:val="single" w:sz="4" w:space="0" w:color="auto"/>
              <w:bottom w:val="single" w:sz="4" w:space="0" w:color="auto"/>
              <w:right w:val="single" w:sz="4" w:space="0" w:color="auto"/>
            </w:tcBorders>
            <w:shd w:val="clear" w:color="000000" w:fill="FFCCFF"/>
            <w:noWrap/>
            <w:vAlign w:val="bottom"/>
            <w:hideMark/>
          </w:tcPr>
          <w:p w14:paraId="6B3B63D2"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w:t>
            </w:r>
          </w:p>
        </w:tc>
        <w:tc>
          <w:tcPr>
            <w:tcW w:w="1532" w:type="dxa"/>
            <w:tcBorders>
              <w:top w:val="nil"/>
              <w:left w:val="nil"/>
              <w:bottom w:val="single" w:sz="4" w:space="0" w:color="auto"/>
              <w:right w:val="single" w:sz="4" w:space="0" w:color="auto"/>
            </w:tcBorders>
            <w:shd w:val="clear" w:color="000000" w:fill="FFCCFF"/>
            <w:noWrap/>
            <w:vAlign w:val="bottom"/>
            <w:hideMark/>
          </w:tcPr>
          <w:p w14:paraId="60716287"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10</w:t>
            </w:r>
          </w:p>
        </w:tc>
        <w:tc>
          <w:tcPr>
            <w:tcW w:w="3236" w:type="dxa"/>
            <w:tcBorders>
              <w:top w:val="nil"/>
              <w:left w:val="nil"/>
              <w:bottom w:val="single" w:sz="4" w:space="0" w:color="auto"/>
              <w:right w:val="single" w:sz="4" w:space="0" w:color="auto"/>
            </w:tcBorders>
            <w:shd w:val="clear" w:color="000000" w:fill="FFCCFF"/>
            <w:noWrap/>
            <w:vAlign w:val="bottom"/>
            <w:hideMark/>
          </w:tcPr>
          <w:p w14:paraId="78DDBCF7"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10</w:t>
            </w:r>
          </w:p>
        </w:tc>
      </w:tr>
      <w:tr w:rsidR="0081148D" w:rsidRPr="005E07B9" w14:paraId="6E9900F0" w14:textId="77777777" w:rsidTr="00FD7774">
        <w:trPr>
          <w:trHeight w:val="420"/>
        </w:trPr>
        <w:tc>
          <w:tcPr>
            <w:tcW w:w="3412" w:type="dxa"/>
            <w:tcBorders>
              <w:top w:val="nil"/>
              <w:left w:val="single" w:sz="4" w:space="0" w:color="auto"/>
              <w:bottom w:val="single" w:sz="4" w:space="0" w:color="auto"/>
              <w:right w:val="single" w:sz="4" w:space="0" w:color="auto"/>
            </w:tcBorders>
            <w:shd w:val="clear" w:color="000000" w:fill="FFCCFF"/>
            <w:noWrap/>
            <w:vAlign w:val="bottom"/>
            <w:hideMark/>
          </w:tcPr>
          <w:p w14:paraId="465379EA"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w:t>
            </w:r>
          </w:p>
        </w:tc>
        <w:tc>
          <w:tcPr>
            <w:tcW w:w="1532" w:type="dxa"/>
            <w:tcBorders>
              <w:top w:val="nil"/>
              <w:left w:val="nil"/>
              <w:bottom w:val="single" w:sz="4" w:space="0" w:color="auto"/>
              <w:right w:val="single" w:sz="4" w:space="0" w:color="auto"/>
            </w:tcBorders>
            <w:shd w:val="clear" w:color="000000" w:fill="FFCCFF"/>
            <w:noWrap/>
            <w:vAlign w:val="bottom"/>
            <w:hideMark/>
          </w:tcPr>
          <w:p w14:paraId="0B78DBF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12</w:t>
            </w:r>
          </w:p>
        </w:tc>
        <w:tc>
          <w:tcPr>
            <w:tcW w:w="3236" w:type="dxa"/>
            <w:tcBorders>
              <w:top w:val="nil"/>
              <w:left w:val="nil"/>
              <w:bottom w:val="single" w:sz="4" w:space="0" w:color="auto"/>
              <w:right w:val="single" w:sz="4" w:space="0" w:color="auto"/>
            </w:tcBorders>
            <w:shd w:val="clear" w:color="000000" w:fill="FFCCFF"/>
            <w:noWrap/>
            <w:vAlign w:val="bottom"/>
            <w:hideMark/>
          </w:tcPr>
          <w:p w14:paraId="369AE03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22</w:t>
            </w:r>
          </w:p>
        </w:tc>
      </w:tr>
      <w:tr w:rsidR="0081148D" w:rsidRPr="005E07B9" w14:paraId="380A0C47" w14:textId="77777777" w:rsidTr="00FD7774">
        <w:trPr>
          <w:trHeight w:val="420"/>
        </w:trPr>
        <w:tc>
          <w:tcPr>
            <w:tcW w:w="3412" w:type="dxa"/>
            <w:tcBorders>
              <w:top w:val="nil"/>
              <w:left w:val="single" w:sz="4" w:space="0" w:color="auto"/>
              <w:bottom w:val="single" w:sz="4" w:space="0" w:color="auto"/>
              <w:right w:val="single" w:sz="4" w:space="0" w:color="auto"/>
            </w:tcBorders>
            <w:shd w:val="clear" w:color="000000" w:fill="FFCCFF"/>
            <w:noWrap/>
            <w:vAlign w:val="bottom"/>
            <w:hideMark/>
          </w:tcPr>
          <w:p w14:paraId="7EC5D84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w:t>
            </w:r>
          </w:p>
        </w:tc>
        <w:tc>
          <w:tcPr>
            <w:tcW w:w="1532" w:type="dxa"/>
            <w:tcBorders>
              <w:top w:val="nil"/>
              <w:left w:val="nil"/>
              <w:bottom w:val="single" w:sz="4" w:space="0" w:color="auto"/>
              <w:right w:val="single" w:sz="4" w:space="0" w:color="auto"/>
            </w:tcBorders>
            <w:shd w:val="clear" w:color="000000" w:fill="FFCCFF"/>
            <w:noWrap/>
            <w:vAlign w:val="bottom"/>
            <w:hideMark/>
          </w:tcPr>
          <w:p w14:paraId="07079EAD"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14</w:t>
            </w:r>
          </w:p>
        </w:tc>
        <w:tc>
          <w:tcPr>
            <w:tcW w:w="3236" w:type="dxa"/>
            <w:tcBorders>
              <w:top w:val="nil"/>
              <w:left w:val="nil"/>
              <w:bottom w:val="single" w:sz="4" w:space="0" w:color="auto"/>
              <w:right w:val="single" w:sz="4" w:space="0" w:color="auto"/>
            </w:tcBorders>
            <w:shd w:val="clear" w:color="000000" w:fill="FFCCFF"/>
            <w:noWrap/>
            <w:vAlign w:val="bottom"/>
            <w:hideMark/>
          </w:tcPr>
          <w:p w14:paraId="4A5EF5D7"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36</w:t>
            </w:r>
          </w:p>
        </w:tc>
      </w:tr>
      <w:tr w:rsidR="0081148D" w:rsidRPr="005E07B9" w14:paraId="2782446E" w14:textId="77777777" w:rsidTr="00FD7774">
        <w:trPr>
          <w:trHeight w:val="420"/>
        </w:trPr>
        <w:tc>
          <w:tcPr>
            <w:tcW w:w="3412" w:type="dxa"/>
            <w:tcBorders>
              <w:top w:val="nil"/>
              <w:left w:val="single" w:sz="4" w:space="0" w:color="auto"/>
              <w:bottom w:val="single" w:sz="4" w:space="0" w:color="auto"/>
              <w:right w:val="single" w:sz="4" w:space="0" w:color="auto"/>
            </w:tcBorders>
            <w:shd w:val="clear" w:color="000000" w:fill="FFCCFF"/>
            <w:noWrap/>
            <w:vAlign w:val="bottom"/>
            <w:hideMark/>
          </w:tcPr>
          <w:p w14:paraId="7485CB18"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w:t>
            </w:r>
          </w:p>
        </w:tc>
        <w:tc>
          <w:tcPr>
            <w:tcW w:w="1532" w:type="dxa"/>
            <w:tcBorders>
              <w:top w:val="nil"/>
              <w:left w:val="nil"/>
              <w:bottom w:val="single" w:sz="4" w:space="0" w:color="auto"/>
              <w:right w:val="single" w:sz="4" w:space="0" w:color="auto"/>
            </w:tcBorders>
            <w:shd w:val="clear" w:color="000000" w:fill="FFCCFF"/>
            <w:noWrap/>
            <w:vAlign w:val="bottom"/>
            <w:hideMark/>
          </w:tcPr>
          <w:p w14:paraId="4BCD469D"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10</w:t>
            </w:r>
          </w:p>
        </w:tc>
        <w:tc>
          <w:tcPr>
            <w:tcW w:w="3236" w:type="dxa"/>
            <w:tcBorders>
              <w:top w:val="nil"/>
              <w:left w:val="nil"/>
              <w:bottom w:val="single" w:sz="4" w:space="0" w:color="auto"/>
              <w:right w:val="single" w:sz="4" w:space="0" w:color="auto"/>
            </w:tcBorders>
            <w:shd w:val="clear" w:color="000000" w:fill="FFCCFF"/>
            <w:noWrap/>
            <w:vAlign w:val="bottom"/>
            <w:hideMark/>
          </w:tcPr>
          <w:p w14:paraId="1D1AC848"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46</w:t>
            </w:r>
          </w:p>
        </w:tc>
      </w:tr>
      <w:tr w:rsidR="0081148D" w:rsidRPr="005E07B9" w14:paraId="1832FA9E" w14:textId="77777777" w:rsidTr="00FD7774">
        <w:trPr>
          <w:trHeight w:val="420"/>
        </w:trPr>
        <w:tc>
          <w:tcPr>
            <w:tcW w:w="3412" w:type="dxa"/>
            <w:tcBorders>
              <w:top w:val="nil"/>
              <w:left w:val="single" w:sz="4" w:space="0" w:color="auto"/>
              <w:bottom w:val="single" w:sz="4" w:space="0" w:color="auto"/>
              <w:right w:val="single" w:sz="4" w:space="0" w:color="auto"/>
            </w:tcBorders>
            <w:shd w:val="clear" w:color="000000" w:fill="FFCCFF"/>
            <w:noWrap/>
            <w:vAlign w:val="bottom"/>
            <w:hideMark/>
          </w:tcPr>
          <w:p w14:paraId="4B87F45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1532" w:type="dxa"/>
            <w:tcBorders>
              <w:top w:val="nil"/>
              <w:left w:val="nil"/>
              <w:bottom w:val="single" w:sz="4" w:space="0" w:color="auto"/>
              <w:right w:val="single" w:sz="4" w:space="0" w:color="auto"/>
            </w:tcBorders>
            <w:shd w:val="clear" w:color="000000" w:fill="FFCCFF"/>
            <w:noWrap/>
            <w:vAlign w:val="bottom"/>
            <w:hideMark/>
          </w:tcPr>
          <w:p w14:paraId="39B6B422"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8</w:t>
            </w:r>
          </w:p>
        </w:tc>
        <w:tc>
          <w:tcPr>
            <w:tcW w:w="3236" w:type="dxa"/>
            <w:tcBorders>
              <w:top w:val="nil"/>
              <w:left w:val="nil"/>
              <w:bottom w:val="single" w:sz="4" w:space="0" w:color="auto"/>
              <w:right w:val="single" w:sz="4" w:space="0" w:color="auto"/>
            </w:tcBorders>
            <w:shd w:val="clear" w:color="000000" w:fill="FFCCFF"/>
            <w:noWrap/>
            <w:vAlign w:val="bottom"/>
            <w:hideMark/>
          </w:tcPr>
          <w:p w14:paraId="31294B1A"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54</w:t>
            </w:r>
          </w:p>
        </w:tc>
      </w:tr>
      <w:tr w:rsidR="0081148D" w:rsidRPr="005E07B9" w14:paraId="671C0E36" w14:textId="77777777" w:rsidTr="00FD7774">
        <w:trPr>
          <w:trHeight w:val="420"/>
        </w:trPr>
        <w:tc>
          <w:tcPr>
            <w:tcW w:w="3412" w:type="dxa"/>
            <w:tcBorders>
              <w:top w:val="nil"/>
              <w:left w:val="single" w:sz="4" w:space="0" w:color="auto"/>
              <w:bottom w:val="single" w:sz="4" w:space="0" w:color="auto"/>
              <w:right w:val="single" w:sz="4" w:space="0" w:color="auto"/>
            </w:tcBorders>
            <w:shd w:val="clear" w:color="000000" w:fill="FFCCFF"/>
            <w:noWrap/>
            <w:vAlign w:val="bottom"/>
            <w:hideMark/>
          </w:tcPr>
          <w:p w14:paraId="76C52E86"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Investment to recover</w:t>
            </w:r>
          </w:p>
        </w:tc>
        <w:tc>
          <w:tcPr>
            <w:tcW w:w="1532" w:type="dxa"/>
            <w:tcBorders>
              <w:top w:val="nil"/>
              <w:left w:val="nil"/>
              <w:bottom w:val="single" w:sz="4" w:space="0" w:color="auto"/>
              <w:right w:val="single" w:sz="4" w:space="0" w:color="auto"/>
            </w:tcBorders>
            <w:shd w:val="clear" w:color="000000" w:fill="FFCCFF"/>
            <w:noWrap/>
            <w:vAlign w:val="bottom"/>
            <w:hideMark/>
          </w:tcPr>
          <w:p w14:paraId="0596D48D"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40</w:t>
            </w:r>
          </w:p>
        </w:tc>
        <w:tc>
          <w:tcPr>
            <w:tcW w:w="3236" w:type="dxa"/>
            <w:tcBorders>
              <w:top w:val="nil"/>
              <w:left w:val="nil"/>
              <w:bottom w:val="nil"/>
              <w:right w:val="nil"/>
            </w:tcBorders>
            <w:noWrap/>
            <w:vAlign w:val="bottom"/>
            <w:hideMark/>
          </w:tcPr>
          <w:p w14:paraId="0664E118"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41434C3E" w14:textId="77777777" w:rsidTr="00FD7774">
        <w:trPr>
          <w:trHeight w:val="420"/>
        </w:trPr>
        <w:tc>
          <w:tcPr>
            <w:tcW w:w="3412" w:type="dxa"/>
            <w:tcBorders>
              <w:top w:val="nil"/>
              <w:left w:val="single" w:sz="4" w:space="0" w:color="auto"/>
              <w:bottom w:val="single" w:sz="4" w:space="0" w:color="auto"/>
              <w:right w:val="single" w:sz="4" w:space="0" w:color="auto"/>
            </w:tcBorders>
            <w:shd w:val="clear" w:color="000000" w:fill="FFCCFF"/>
            <w:noWrap/>
            <w:vAlign w:val="bottom"/>
            <w:hideMark/>
          </w:tcPr>
          <w:p w14:paraId="3A5A2C2C"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After 3 years, recovered</w:t>
            </w:r>
          </w:p>
        </w:tc>
        <w:tc>
          <w:tcPr>
            <w:tcW w:w="1532" w:type="dxa"/>
            <w:tcBorders>
              <w:top w:val="nil"/>
              <w:left w:val="nil"/>
              <w:bottom w:val="single" w:sz="4" w:space="0" w:color="auto"/>
              <w:right w:val="single" w:sz="4" w:space="0" w:color="auto"/>
            </w:tcBorders>
            <w:shd w:val="clear" w:color="000000" w:fill="FFCCFF"/>
            <w:noWrap/>
            <w:vAlign w:val="bottom"/>
            <w:hideMark/>
          </w:tcPr>
          <w:p w14:paraId="305D65C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36</w:t>
            </w:r>
          </w:p>
        </w:tc>
        <w:tc>
          <w:tcPr>
            <w:tcW w:w="3236" w:type="dxa"/>
            <w:tcBorders>
              <w:top w:val="nil"/>
              <w:left w:val="nil"/>
              <w:bottom w:val="nil"/>
              <w:right w:val="nil"/>
            </w:tcBorders>
            <w:noWrap/>
            <w:vAlign w:val="bottom"/>
            <w:hideMark/>
          </w:tcPr>
          <w:p w14:paraId="0A17772A"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0F20E154" w14:textId="77777777" w:rsidTr="00FD7774">
        <w:trPr>
          <w:trHeight w:val="420"/>
        </w:trPr>
        <w:tc>
          <w:tcPr>
            <w:tcW w:w="3412" w:type="dxa"/>
            <w:tcBorders>
              <w:top w:val="nil"/>
              <w:left w:val="single" w:sz="4" w:space="0" w:color="auto"/>
              <w:bottom w:val="single" w:sz="4" w:space="0" w:color="auto"/>
              <w:right w:val="single" w:sz="4" w:space="0" w:color="auto"/>
            </w:tcBorders>
            <w:shd w:val="clear" w:color="000000" w:fill="FFCCFF"/>
            <w:noWrap/>
            <w:vAlign w:val="bottom"/>
            <w:hideMark/>
          </w:tcPr>
          <w:p w14:paraId="4DD0B306"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xml:space="preserve">Amount remaining </w:t>
            </w:r>
          </w:p>
        </w:tc>
        <w:tc>
          <w:tcPr>
            <w:tcW w:w="1532" w:type="dxa"/>
            <w:tcBorders>
              <w:top w:val="nil"/>
              <w:left w:val="nil"/>
              <w:bottom w:val="single" w:sz="4" w:space="0" w:color="auto"/>
              <w:right w:val="single" w:sz="4" w:space="0" w:color="auto"/>
            </w:tcBorders>
            <w:shd w:val="clear" w:color="000000" w:fill="FFCCFF"/>
            <w:noWrap/>
            <w:vAlign w:val="bottom"/>
            <w:hideMark/>
          </w:tcPr>
          <w:p w14:paraId="5A70D87A"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w:t>
            </w:r>
          </w:p>
        </w:tc>
        <w:tc>
          <w:tcPr>
            <w:tcW w:w="3236" w:type="dxa"/>
            <w:tcBorders>
              <w:top w:val="nil"/>
              <w:left w:val="nil"/>
              <w:bottom w:val="nil"/>
              <w:right w:val="nil"/>
            </w:tcBorders>
            <w:noWrap/>
            <w:vAlign w:val="bottom"/>
            <w:hideMark/>
          </w:tcPr>
          <w:p w14:paraId="362D9E5B"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0A066BBA" w14:textId="77777777" w:rsidTr="00FD7774">
        <w:trPr>
          <w:trHeight w:val="420"/>
        </w:trPr>
        <w:tc>
          <w:tcPr>
            <w:tcW w:w="3412" w:type="dxa"/>
            <w:tcBorders>
              <w:top w:val="nil"/>
              <w:left w:val="single" w:sz="4" w:space="0" w:color="auto"/>
              <w:bottom w:val="single" w:sz="4" w:space="0" w:color="auto"/>
              <w:right w:val="single" w:sz="4" w:space="0" w:color="auto"/>
            </w:tcBorders>
            <w:shd w:val="clear" w:color="000000" w:fill="FFCCFF"/>
            <w:noWrap/>
            <w:vAlign w:val="bottom"/>
            <w:hideMark/>
          </w:tcPr>
          <w:p w14:paraId="7B7105F0"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Year 4 Inflow</w:t>
            </w:r>
          </w:p>
        </w:tc>
        <w:tc>
          <w:tcPr>
            <w:tcW w:w="1532" w:type="dxa"/>
            <w:tcBorders>
              <w:top w:val="nil"/>
              <w:left w:val="nil"/>
              <w:bottom w:val="single" w:sz="4" w:space="0" w:color="auto"/>
              <w:right w:val="single" w:sz="4" w:space="0" w:color="auto"/>
            </w:tcBorders>
            <w:shd w:val="clear" w:color="000000" w:fill="FFCCFF"/>
            <w:noWrap/>
            <w:vAlign w:val="bottom"/>
            <w:hideMark/>
          </w:tcPr>
          <w:p w14:paraId="39FDD1C2"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10</w:t>
            </w:r>
          </w:p>
        </w:tc>
        <w:tc>
          <w:tcPr>
            <w:tcW w:w="3236" w:type="dxa"/>
            <w:tcBorders>
              <w:top w:val="nil"/>
              <w:left w:val="nil"/>
              <w:bottom w:val="nil"/>
              <w:right w:val="nil"/>
            </w:tcBorders>
            <w:noWrap/>
            <w:vAlign w:val="bottom"/>
            <w:hideMark/>
          </w:tcPr>
          <w:p w14:paraId="5964C5D5"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6D82AD64" w14:textId="77777777" w:rsidTr="00FD7774">
        <w:trPr>
          <w:trHeight w:val="420"/>
        </w:trPr>
        <w:tc>
          <w:tcPr>
            <w:tcW w:w="3412" w:type="dxa"/>
            <w:tcBorders>
              <w:top w:val="nil"/>
              <w:left w:val="single" w:sz="4" w:space="0" w:color="auto"/>
              <w:bottom w:val="single" w:sz="4" w:space="0" w:color="auto"/>
              <w:right w:val="single" w:sz="4" w:space="0" w:color="auto"/>
            </w:tcBorders>
            <w:shd w:val="clear" w:color="000000" w:fill="FFCCFF"/>
            <w:noWrap/>
            <w:vAlign w:val="bottom"/>
            <w:hideMark/>
          </w:tcPr>
          <w:p w14:paraId="335F6EE6"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PBP</w:t>
            </w:r>
          </w:p>
        </w:tc>
        <w:tc>
          <w:tcPr>
            <w:tcW w:w="1532" w:type="dxa"/>
            <w:tcBorders>
              <w:top w:val="nil"/>
              <w:left w:val="nil"/>
              <w:bottom w:val="single" w:sz="4" w:space="0" w:color="auto"/>
              <w:right w:val="single" w:sz="4" w:space="0" w:color="auto"/>
            </w:tcBorders>
            <w:shd w:val="clear" w:color="000000" w:fill="FFCCFF"/>
            <w:noWrap/>
            <w:vAlign w:val="bottom"/>
            <w:hideMark/>
          </w:tcPr>
          <w:p w14:paraId="6F2E4D76"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3.4</w:t>
            </w:r>
          </w:p>
        </w:tc>
        <w:tc>
          <w:tcPr>
            <w:tcW w:w="3236" w:type="dxa"/>
            <w:tcBorders>
              <w:top w:val="nil"/>
              <w:left w:val="nil"/>
              <w:bottom w:val="nil"/>
              <w:right w:val="nil"/>
            </w:tcBorders>
            <w:noWrap/>
            <w:vAlign w:val="bottom"/>
            <w:hideMark/>
          </w:tcPr>
          <w:p w14:paraId="5E5E94E3" w14:textId="77777777" w:rsidR="0081148D" w:rsidRPr="005E07B9" w:rsidRDefault="0081148D" w:rsidP="005E07B9">
            <w:pPr>
              <w:spacing w:after="0"/>
              <w:jc w:val="right"/>
              <w:rPr>
                <w:rFonts w:eastAsia="Times New Roman" w:cs="Arial"/>
                <w:b/>
                <w:bCs/>
                <w:color w:val="000000"/>
                <w:kern w:val="0"/>
                <w:lang w:eastAsia="en-IN"/>
                <w14:ligatures w14:val="none"/>
              </w:rPr>
            </w:pPr>
          </w:p>
        </w:tc>
      </w:tr>
    </w:tbl>
    <w:p w14:paraId="4942C8DE" w14:textId="77777777" w:rsidR="0081148D" w:rsidRPr="005E07B9" w:rsidRDefault="0081148D" w:rsidP="005E07B9">
      <w:pPr>
        <w:rPr>
          <w:rFonts w:cs="Arial"/>
          <w:lang w:val="en-GB"/>
        </w:rPr>
      </w:pPr>
    </w:p>
    <w:tbl>
      <w:tblPr>
        <w:tblW w:w="9015" w:type="dxa"/>
        <w:tblLook w:val="04A0" w:firstRow="1" w:lastRow="0" w:firstColumn="1" w:lastColumn="0" w:noHBand="0" w:noVBand="1"/>
      </w:tblPr>
      <w:tblGrid>
        <w:gridCol w:w="3123"/>
        <w:gridCol w:w="3764"/>
        <w:gridCol w:w="2128"/>
      </w:tblGrid>
      <w:tr w:rsidR="0081148D" w:rsidRPr="005E07B9" w14:paraId="5EF574DF" w14:textId="77777777" w:rsidTr="00FD7774">
        <w:trPr>
          <w:trHeight w:val="441"/>
        </w:trPr>
        <w:tc>
          <w:tcPr>
            <w:tcW w:w="9015" w:type="dxa"/>
            <w:gridSpan w:val="3"/>
            <w:tcBorders>
              <w:top w:val="nil"/>
              <w:left w:val="nil"/>
              <w:bottom w:val="nil"/>
              <w:right w:val="nil"/>
            </w:tcBorders>
            <w:shd w:val="clear" w:color="000000" w:fill="FF99FF"/>
            <w:noWrap/>
            <w:vAlign w:val="bottom"/>
            <w:hideMark/>
          </w:tcPr>
          <w:p w14:paraId="2220CA16"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ARR</w:t>
            </w:r>
          </w:p>
        </w:tc>
      </w:tr>
      <w:tr w:rsidR="0081148D" w:rsidRPr="005E07B9" w14:paraId="409A0E3D" w14:textId="77777777" w:rsidTr="00FD7774">
        <w:trPr>
          <w:trHeight w:val="441"/>
        </w:trPr>
        <w:tc>
          <w:tcPr>
            <w:tcW w:w="3123" w:type="dxa"/>
            <w:tcBorders>
              <w:top w:val="single" w:sz="4" w:space="0" w:color="auto"/>
              <w:left w:val="single" w:sz="4" w:space="0" w:color="auto"/>
              <w:bottom w:val="single" w:sz="4" w:space="0" w:color="auto"/>
              <w:right w:val="single" w:sz="4" w:space="0" w:color="auto"/>
            </w:tcBorders>
            <w:shd w:val="clear" w:color="000000" w:fill="FF99FF"/>
            <w:noWrap/>
            <w:vAlign w:val="bottom"/>
            <w:hideMark/>
          </w:tcPr>
          <w:p w14:paraId="099188C6"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depreciation</w:t>
            </w:r>
          </w:p>
        </w:tc>
        <w:tc>
          <w:tcPr>
            <w:tcW w:w="3764" w:type="dxa"/>
            <w:tcBorders>
              <w:top w:val="single" w:sz="4" w:space="0" w:color="auto"/>
              <w:left w:val="nil"/>
              <w:bottom w:val="single" w:sz="4" w:space="0" w:color="auto"/>
              <w:right w:val="single" w:sz="4" w:space="0" w:color="auto"/>
            </w:tcBorders>
            <w:shd w:val="clear" w:color="000000" w:fill="FF99FF"/>
            <w:vAlign w:val="bottom"/>
            <w:hideMark/>
          </w:tcPr>
          <w:p w14:paraId="2F38CDC7"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straight-line depreciation to zero</w:t>
            </w:r>
          </w:p>
        </w:tc>
        <w:tc>
          <w:tcPr>
            <w:tcW w:w="2126" w:type="dxa"/>
            <w:tcBorders>
              <w:top w:val="nil"/>
              <w:left w:val="nil"/>
              <w:bottom w:val="nil"/>
              <w:right w:val="nil"/>
            </w:tcBorders>
            <w:noWrap/>
            <w:vAlign w:val="bottom"/>
            <w:hideMark/>
          </w:tcPr>
          <w:p w14:paraId="313B0776" w14:textId="77777777" w:rsidR="0081148D" w:rsidRPr="005E07B9" w:rsidRDefault="0081148D" w:rsidP="005E07B9">
            <w:pPr>
              <w:spacing w:after="0"/>
              <w:jc w:val="center"/>
              <w:rPr>
                <w:rFonts w:eastAsia="Times New Roman" w:cs="Arial"/>
                <w:b/>
                <w:bCs/>
                <w:color w:val="000000"/>
                <w:kern w:val="0"/>
                <w:lang w:eastAsia="en-IN"/>
                <w14:ligatures w14:val="none"/>
              </w:rPr>
            </w:pPr>
          </w:p>
        </w:tc>
      </w:tr>
      <w:tr w:rsidR="0081148D" w:rsidRPr="005E07B9" w14:paraId="414ECE88" w14:textId="77777777" w:rsidTr="00FD7774">
        <w:trPr>
          <w:trHeight w:val="441"/>
        </w:trPr>
        <w:tc>
          <w:tcPr>
            <w:tcW w:w="3123" w:type="dxa"/>
            <w:tcBorders>
              <w:top w:val="nil"/>
              <w:left w:val="single" w:sz="4" w:space="0" w:color="auto"/>
              <w:bottom w:val="single" w:sz="4" w:space="0" w:color="auto"/>
              <w:right w:val="single" w:sz="4" w:space="0" w:color="auto"/>
            </w:tcBorders>
            <w:shd w:val="clear" w:color="000000" w:fill="FFCCFF"/>
            <w:noWrap/>
            <w:vAlign w:val="bottom"/>
            <w:hideMark/>
          </w:tcPr>
          <w:p w14:paraId="712101DD"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Initial investment £m</w:t>
            </w:r>
          </w:p>
        </w:tc>
        <w:tc>
          <w:tcPr>
            <w:tcW w:w="3764" w:type="dxa"/>
            <w:tcBorders>
              <w:top w:val="nil"/>
              <w:left w:val="nil"/>
              <w:bottom w:val="single" w:sz="4" w:space="0" w:color="auto"/>
              <w:right w:val="single" w:sz="4" w:space="0" w:color="auto"/>
            </w:tcBorders>
            <w:shd w:val="clear" w:color="000000" w:fill="FFCCFF"/>
            <w:noWrap/>
            <w:vAlign w:val="bottom"/>
            <w:hideMark/>
          </w:tcPr>
          <w:p w14:paraId="1A5174F9"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40</w:t>
            </w:r>
          </w:p>
        </w:tc>
        <w:tc>
          <w:tcPr>
            <w:tcW w:w="2126" w:type="dxa"/>
            <w:tcBorders>
              <w:top w:val="nil"/>
              <w:left w:val="nil"/>
              <w:bottom w:val="nil"/>
              <w:right w:val="nil"/>
            </w:tcBorders>
            <w:noWrap/>
            <w:vAlign w:val="bottom"/>
            <w:hideMark/>
          </w:tcPr>
          <w:p w14:paraId="42012755"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62015A03" w14:textId="77777777" w:rsidTr="00FD7774">
        <w:trPr>
          <w:trHeight w:val="441"/>
        </w:trPr>
        <w:tc>
          <w:tcPr>
            <w:tcW w:w="3123" w:type="dxa"/>
            <w:tcBorders>
              <w:top w:val="nil"/>
              <w:left w:val="single" w:sz="4" w:space="0" w:color="auto"/>
              <w:bottom w:val="single" w:sz="4" w:space="0" w:color="auto"/>
              <w:right w:val="single" w:sz="4" w:space="0" w:color="auto"/>
            </w:tcBorders>
            <w:shd w:val="clear" w:color="000000" w:fill="FFCCFF"/>
            <w:noWrap/>
            <w:vAlign w:val="bottom"/>
            <w:hideMark/>
          </w:tcPr>
          <w:p w14:paraId="07560B68"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Years</w:t>
            </w:r>
          </w:p>
        </w:tc>
        <w:tc>
          <w:tcPr>
            <w:tcW w:w="3764" w:type="dxa"/>
            <w:tcBorders>
              <w:top w:val="nil"/>
              <w:left w:val="nil"/>
              <w:bottom w:val="single" w:sz="4" w:space="0" w:color="auto"/>
              <w:right w:val="single" w:sz="4" w:space="0" w:color="auto"/>
            </w:tcBorders>
            <w:shd w:val="clear" w:color="000000" w:fill="FFCCFF"/>
            <w:noWrap/>
            <w:vAlign w:val="bottom"/>
            <w:hideMark/>
          </w:tcPr>
          <w:p w14:paraId="0B0039A6"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2126" w:type="dxa"/>
            <w:tcBorders>
              <w:top w:val="nil"/>
              <w:left w:val="nil"/>
              <w:bottom w:val="nil"/>
              <w:right w:val="nil"/>
            </w:tcBorders>
            <w:noWrap/>
            <w:vAlign w:val="bottom"/>
            <w:hideMark/>
          </w:tcPr>
          <w:p w14:paraId="22B056DE"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5B0B5892" w14:textId="77777777" w:rsidTr="00FD7774">
        <w:trPr>
          <w:trHeight w:val="441"/>
        </w:trPr>
        <w:tc>
          <w:tcPr>
            <w:tcW w:w="3123" w:type="dxa"/>
            <w:tcBorders>
              <w:top w:val="nil"/>
              <w:left w:val="single" w:sz="4" w:space="0" w:color="auto"/>
              <w:bottom w:val="single" w:sz="4" w:space="0" w:color="auto"/>
              <w:right w:val="single" w:sz="4" w:space="0" w:color="auto"/>
            </w:tcBorders>
            <w:shd w:val="clear" w:color="000000" w:fill="FFCCFF"/>
            <w:noWrap/>
            <w:vAlign w:val="bottom"/>
            <w:hideMark/>
          </w:tcPr>
          <w:p w14:paraId="68E71D59"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Annual depreciation</w:t>
            </w:r>
          </w:p>
        </w:tc>
        <w:tc>
          <w:tcPr>
            <w:tcW w:w="3764" w:type="dxa"/>
            <w:tcBorders>
              <w:top w:val="nil"/>
              <w:left w:val="nil"/>
              <w:bottom w:val="single" w:sz="4" w:space="0" w:color="auto"/>
              <w:right w:val="single" w:sz="4" w:space="0" w:color="auto"/>
            </w:tcBorders>
            <w:shd w:val="clear" w:color="000000" w:fill="FFCCFF"/>
            <w:noWrap/>
            <w:vAlign w:val="bottom"/>
            <w:hideMark/>
          </w:tcPr>
          <w:p w14:paraId="055DCDA1"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8</w:t>
            </w:r>
          </w:p>
        </w:tc>
        <w:tc>
          <w:tcPr>
            <w:tcW w:w="2126" w:type="dxa"/>
            <w:tcBorders>
              <w:top w:val="nil"/>
              <w:left w:val="nil"/>
              <w:bottom w:val="nil"/>
              <w:right w:val="nil"/>
            </w:tcBorders>
            <w:noWrap/>
            <w:vAlign w:val="bottom"/>
            <w:hideMark/>
          </w:tcPr>
          <w:p w14:paraId="7AA65B59"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6403681D" w14:textId="77777777" w:rsidTr="00FD7774">
        <w:trPr>
          <w:trHeight w:val="441"/>
        </w:trPr>
        <w:tc>
          <w:tcPr>
            <w:tcW w:w="3123" w:type="dxa"/>
            <w:tcBorders>
              <w:top w:val="nil"/>
              <w:left w:val="single" w:sz="4" w:space="0" w:color="auto"/>
              <w:bottom w:val="single" w:sz="4" w:space="0" w:color="auto"/>
              <w:right w:val="single" w:sz="4" w:space="0" w:color="auto"/>
            </w:tcBorders>
            <w:shd w:val="clear" w:color="000000" w:fill="FF99FF"/>
            <w:noWrap/>
            <w:vAlign w:val="bottom"/>
            <w:hideMark/>
          </w:tcPr>
          <w:p w14:paraId="5D51C0F7"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Year</w:t>
            </w:r>
          </w:p>
        </w:tc>
        <w:tc>
          <w:tcPr>
            <w:tcW w:w="3764" w:type="dxa"/>
            <w:tcBorders>
              <w:top w:val="nil"/>
              <w:left w:val="nil"/>
              <w:bottom w:val="single" w:sz="4" w:space="0" w:color="auto"/>
              <w:right w:val="single" w:sz="4" w:space="0" w:color="auto"/>
            </w:tcBorders>
            <w:shd w:val="clear" w:color="000000" w:fill="FF99FF"/>
            <w:noWrap/>
            <w:vAlign w:val="bottom"/>
            <w:hideMark/>
          </w:tcPr>
          <w:p w14:paraId="24649B19" w14:textId="77777777" w:rsidR="0081148D" w:rsidRPr="005E07B9" w:rsidRDefault="0081148D" w:rsidP="005E07B9">
            <w:pPr>
              <w:spacing w:after="0"/>
              <w:jc w:val="center"/>
              <w:rPr>
                <w:rFonts w:eastAsia="Times New Roman" w:cs="Arial"/>
                <w:b/>
                <w:bCs/>
                <w:color w:val="000000"/>
                <w:kern w:val="0"/>
                <w:lang w:eastAsia="en-IN"/>
                <w14:ligatures w14:val="none"/>
              </w:rPr>
            </w:pPr>
            <w:proofErr w:type="spellStart"/>
            <w:r w:rsidRPr="005E07B9">
              <w:rPr>
                <w:rFonts w:eastAsia="Times New Roman" w:cs="Arial"/>
                <w:b/>
                <w:bCs/>
                <w:color w:val="000000"/>
                <w:kern w:val="0"/>
                <w:lang w:eastAsia="en-IN"/>
                <w14:ligatures w14:val="none"/>
              </w:rPr>
              <w:t>CashFlow</w:t>
            </w:r>
            <w:proofErr w:type="spellEnd"/>
            <w:r w:rsidRPr="005E07B9">
              <w:rPr>
                <w:rFonts w:eastAsia="Times New Roman" w:cs="Arial"/>
                <w:b/>
                <w:bCs/>
                <w:color w:val="000000"/>
                <w:kern w:val="0"/>
                <w:lang w:eastAsia="en-IN"/>
                <w14:ligatures w14:val="none"/>
              </w:rPr>
              <w:t xml:space="preserve"> </w:t>
            </w:r>
          </w:p>
        </w:tc>
        <w:tc>
          <w:tcPr>
            <w:tcW w:w="2126" w:type="dxa"/>
            <w:tcBorders>
              <w:top w:val="single" w:sz="4" w:space="0" w:color="auto"/>
              <w:left w:val="nil"/>
              <w:bottom w:val="single" w:sz="4" w:space="0" w:color="auto"/>
              <w:right w:val="single" w:sz="4" w:space="0" w:color="auto"/>
            </w:tcBorders>
            <w:shd w:val="clear" w:color="000000" w:fill="FF99FF"/>
            <w:noWrap/>
            <w:vAlign w:val="bottom"/>
            <w:hideMark/>
          </w:tcPr>
          <w:p w14:paraId="429EDFFB"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Profit</w:t>
            </w:r>
          </w:p>
        </w:tc>
      </w:tr>
      <w:tr w:rsidR="0081148D" w:rsidRPr="005E07B9" w14:paraId="50E00626" w14:textId="77777777" w:rsidTr="00FD7774">
        <w:trPr>
          <w:trHeight w:val="441"/>
        </w:trPr>
        <w:tc>
          <w:tcPr>
            <w:tcW w:w="3123" w:type="dxa"/>
            <w:tcBorders>
              <w:top w:val="nil"/>
              <w:left w:val="single" w:sz="4" w:space="0" w:color="auto"/>
              <w:bottom w:val="single" w:sz="4" w:space="0" w:color="auto"/>
              <w:right w:val="single" w:sz="4" w:space="0" w:color="auto"/>
            </w:tcBorders>
            <w:shd w:val="clear" w:color="000000" w:fill="FFCCFF"/>
            <w:noWrap/>
            <w:vAlign w:val="bottom"/>
            <w:hideMark/>
          </w:tcPr>
          <w:p w14:paraId="71BE08C2"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w:t>
            </w:r>
          </w:p>
        </w:tc>
        <w:tc>
          <w:tcPr>
            <w:tcW w:w="3764" w:type="dxa"/>
            <w:tcBorders>
              <w:top w:val="nil"/>
              <w:left w:val="nil"/>
              <w:bottom w:val="single" w:sz="4" w:space="0" w:color="auto"/>
              <w:right w:val="single" w:sz="4" w:space="0" w:color="auto"/>
            </w:tcBorders>
            <w:shd w:val="clear" w:color="000000" w:fill="FFCCFF"/>
            <w:noWrap/>
            <w:vAlign w:val="bottom"/>
            <w:hideMark/>
          </w:tcPr>
          <w:p w14:paraId="2262EDB8"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10</w:t>
            </w:r>
          </w:p>
        </w:tc>
        <w:tc>
          <w:tcPr>
            <w:tcW w:w="2126" w:type="dxa"/>
            <w:tcBorders>
              <w:top w:val="nil"/>
              <w:left w:val="nil"/>
              <w:bottom w:val="single" w:sz="4" w:space="0" w:color="auto"/>
              <w:right w:val="single" w:sz="4" w:space="0" w:color="auto"/>
            </w:tcBorders>
            <w:shd w:val="clear" w:color="000000" w:fill="FFCCFF"/>
            <w:noWrap/>
            <w:vAlign w:val="bottom"/>
            <w:hideMark/>
          </w:tcPr>
          <w:p w14:paraId="48466D68"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w:t>
            </w:r>
          </w:p>
        </w:tc>
      </w:tr>
      <w:tr w:rsidR="0081148D" w:rsidRPr="005E07B9" w14:paraId="3B578E55" w14:textId="77777777" w:rsidTr="00FD7774">
        <w:trPr>
          <w:trHeight w:val="441"/>
        </w:trPr>
        <w:tc>
          <w:tcPr>
            <w:tcW w:w="3123" w:type="dxa"/>
            <w:tcBorders>
              <w:top w:val="nil"/>
              <w:left w:val="single" w:sz="4" w:space="0" w:color="auto"/>
              <w:bottom w:val="single" w:sz="4" w:space="0" w:color="auto"/>
              <w:right w:val="single" w:sz="4" w:space="0" w:color="auto"/>
            </w:tcBorders>
            <w:shd w:val="clear" w:color="000000" w:fill="FFCCFF"/>
            <w:noWrap/>
            <w:vAlign w:val="bottom"/>
            <w:hideMark/>
          </w:tcPr>
          <w:p w14:paraId="3D58B1B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w:t>
            </w:r>
          </w:p>
        </w:tc>
        <w:tc>
          <w:tcPr>
            <w:tcW w:w="3764" w:type="dxa"/>
            <w:tcBorders>
              <w:top w:val="nil"/>
              <w:left w:val="nil"/>
              <w:bottom w:val="single" w:sz="4" w:space="0" w:color="auto"/>
              <w:right w:val="single" w:sz="4" w:space="0" w:color="auto"/>
            </w:tcBorders>
            <w:shd w:val="clear" w:color="000000" w:fill="FFCCFF"/>
            <w:noWrap/>
            <w:vAlign w:val="bottom"/>
            <w:hideMark/>
          </w:tcPr>
          <w:p w14:paraId="0EA60E53"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12</w:t>
            </w:r>
          </w:p>
        </w:tc>
        <w:tc>
          <w:tcPr>
            <w:tcW w:w="2126" w:type="dxa"/>
            <w:tcBorders>
              <w:top w:val="nil"/>
              <w:left w:val="nil"/>
              <w:bottom w:val="single" w:sz="4" w:space="0" w:color="auto"/>
              <w:right w:val="single" w:sz="4" w:space="0" w:color="auto"/>
            </w:tcBorders>
            <w:shd w:val="clear" w:color="000000" w:fill="FFCCFF"/>
            <w:noWrap/>
            <w:vAlign w:val="bottom"/>
            <w:hideMark/>
          </w:tcPr>
          <w:p w14:paraId="1380480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w:t>
            </w:r>
          </w:p>
        </w:tc>
      </w:tr>
      <w:tr w:rsidR="0081148D" w:rsidRPr="005E07B9" w14:paraId="6E83B917" w14:textId="77777777" w:rsidTr="00FD7774">
        <w:trPr>
          <w:trHeight w:val="441"/>
        </w:trPr>
        <w:tc>
          <w:tcPr>
            <w:tcW w:w="3123" w:type="dxa"/>
            <w:tcBorders>
              <w:top w:val="nil"/>
              <w:left w:val="single" w:sz="4" w:space="0" w:color="auto"/>
              <w:bottom w:val="single" w:sz="4" w:space="0" w:color="auto"/>
              <w:right w:val="single" w:sz="4" w:space="0" w:color="auto"/>
            </w:tcBorders>
            <w:shd w:val="clear" w:color="000000" w:fill="FFCCFF"/>
            <w:noWrap/>
            <w:vAlign w:val="bottom"/>
            <w:hideMark/>
          </w:tcPr>
          <w:p w14:paraId="28FC144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w:t>
            </w:r>
          </w:p>
        </w:tc>
        <w:tc>
          <w:tcPr>
            <w:tcW w:w="3764" w:type="dxa"/>
            <w:tcBorders>
              <w:top w:val="nil"/>
              <w:left w:val="nil"/>
              <w:bottom w:val="single" w:sz="4" w:space="0" w:color="auto"/>
              <w:right w:val="single" w:sz="4" w:space="0" w:color="auto"/>
            </w:tcBorders>
            <w:shd w:val="clear" w:color="000000" w:fill="FFCCFF"/>
            <w:noWrap/>
            <w:vAlign w:val="bottom"/>
            <w:hideMark/>
          </w:tcPr>
          <w:p w14:paraId="69A34AAC"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14</w:t>
            </w:r>
          </w:p>
        </w:tc>
        <w:tc>
          <w:tcPr>
            <w:tcW w:w="2126" w:type="dxa"/>
            <w:tcBorders>
              <w:top w:val="nil"/>
              <w:left w:val="nil"/>
              <w:bottom w:val="single" w:sz="4" w:space="0" w:color="auto"/>
              <w:right w:val="single" w:sz="4" w:space="0" w:color="auto"/>
            </w:tcBorders>
            <w:shd w:val="clear" w:color="000000" w:fill="FFCCFF"/>
            <w:noWrap/>
            <w:vAlign w:val="bottom"/>
            <w:hideMark/>
          </w:tcPr>
          <w:p w14:paraId="3874A8FD"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r>
      <w:tr w:rsidR="0081148D" w:rsidRPr="005E07B9" w14:paraId="34BCD576" w14:textId="77777777" w:rsidTr="00FD7774">
        <w:trPr>
          <w:trHeight w:val="441"/>
        </w:trPr>
        <w:tc>
          <w:tcPr>
            <w:tcW w:w="3123" w:type="dxa"/>
            <w:tcBorders>
              <w:top w:val="nil"/>
              <w:left w:val="single" w:sz="4" w:space="0" w:color="auto"/>
              <w:bottom w:val="single" w:sz="4" w:space="0" w:color="auto"/>
              <w:right w:val="single" w:sz="4" w:space="0" w:color="auto"/>
            </w:tcBorders>
            <w:shd w:val="clear" w:color="000000" w:fill="FFCCFF"/>
            <w:noWrap/>
            <w:vAlign w:val="bottom"/>
            <w:hideMark/>
          </w:tcPr>
          <w:p w14:paraId="4E6096A0"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w:t>
            </w:r>
          </w:p>
        </w:tc>
        <w:tc>
          <w:tcPr>
            <w:tcW w:w="3764" w:type="dxa"/>
            <w:tcBorders>
              <w:top w:val="nil"/>
              <w:left w:val="nil"/>
              <w:bottom w:val="single" w:sz="4" w:space="0" w:color="auto"/>
              <w:right w:val="single" w:sz="4" w:space="0" w:color="auto"/>
            </w:tcBorders>
            <w:shd w:val="clear" w:color="000000" w:fill="FFCCFF"/>
            <w:noWrap/>
            <w:vAlign w:val="bottom"/>
            <w:hideMark/>
          </w:tcPr>
          <w:p w14:paraId="6A7F47EC"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10</w:t>
            </w:r>
          </w:p>
        </w:tc>
        <w:tc>
          <w:tcPr>
            <w:tcW w:w="2126" w:type="dxa"/>
            <w:tcBorders>
              <w:top w:val="nil"/>
              <w:left w:val="nil"/>
              <w:bottom w:val="single" w:sz="4" w:space="0" w:color="auto"/>
              <w:right w:val="single" w:sz="4" w:space="0" w:color="auto"/>
            </w:tcBorders>
            <w:shd w:val="clear" w:color="000000" w:fill="FFCCFF"/>
            <w:noWrap/>
            <w:vAlign w:val="bottom"/>
            <w:hideMark/>
          </w:tcPr>
          <w:p w14:paraId="2FF713BC"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w:t>
            </w:r>
          </w:p>
        </w:tc>
      </w:tr>
      <w:tr w:rsidR="0081148D" w:rsidRPr="005E07B9" w14:paraId="015124AC" w14:textId="77777777" w:rsidTr="00FD7774">
        <w:trPr>
          <w:trHeight w:val="441"/>
        </w:trPr>
        <w:tc>
          <w:tcPr>
            <w:tcW w:w="3123" w:type="dxa"/>
            <w:tcBorders>
              <w:top w:val="nil"/>
              <w:left w:val="single" w:sz="4" w:space="0" w:color="auto"/>
              <w:bottom w:val="single" w:sz="4" w:space="0" w:color="auto"/>
              <w:right w:val="single" w:sz="4" w:space="0" w:color="auto"/>
            </w:tcBorders>
            <w:shd w:val="clear" w:color="000000" w:fill="FFCCFF"/>
            <w:noWrap/>
            <w:vAlign w:val="bottom"/>
            <w:hideMark/>
          </w:tcPr>
          <w:p w14:paraId="4B55D241"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3764" w:type="dxa"/>
            <w:tcBorders>
              <w:top w:val="nil"/>
              <w:left w:val="nil"/>
              <w:bottom w:val="single" w:sz="4" w:space="0" w:color="auto"/>
              <w:right w:val="single" w:sz="4" w:space="0" w:color="auto"/>
            </w:tcBorders>
            <w:shd w:val="clear" w:color="000000" w:fill="FFCCFF"/>
            <w:noWrap/>
            <w:vAlign w:val="bottom"/>
            <w:hideMark/>
          </w:tcPr>
          <w:p w14:paraId="366FDEE8"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8</w:t>
            </w:r>
          </w:p>
        </w:tc>
        <w:tc>
          <w:tcPr>
            <w:tcW w:w="2126" w:type="dxa"/>
            <w:tcBorders>
              <w:top w:val="nil"/>
              <w:left w:val="nil"/>
              <w:bottom w:val="single" w:sz="4" w:space="0" w:color="auto"/>
              <w:right w:val="single" w:sz="4" w:space="0" w:color="auto"/>
            </w:tcBorders>
            <w:shd w:val="clear" w:color="000000" w:fill="FFCCFF"/>
            <w:noWrap/>
            <w:vAlign w:val="bottom"/>
            <w:hideMark/>
          </w:tcPr>
          <w:p w14:paraId="7CC73535"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w:t>
            </w:r>
          </w:p>
        </w:tc>
      </w:tr>
      <w:tr w:rsidR="0081148D" w:rsidRPr="005E07B9" w14:paraId="217653CA" w14:textId="77777777" w:rsidTr="00FD7774">
        <w:trPr>
          <w:trHeight w:val="441"/>
        </w:trPr>
        <w:tc>
          <w:tcPr>
            <w:tcW w:w="3123" w:type="dxa"/>
            <w:tcBorders>
              <w:top w:val="nil"/>
              <w:left w:val="single" w:sz="4" w:space="0" w:color="auto"/>
              <w:bottom w:val="single" w:sz="4" w:space="0" w:color="auto"/>
              <w:right w:val="single" w:sz="4" w:space="0" w:color="auto"/>
            </w:tcBorders>
            <w:shd w:val="clear" w:color="000000" w:fill="FFCCFF"/>
            <w:noWrap/>
            <w:vAlign w:val="bottom"/>
            <w:hideMark/>
          </w:tcPr>
          <w:p w14:paraId="20F89C0D"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xml:space="preserve">Average Annual profit </w:t>
            </w:r>
          </w:p>
        </w:tc>
        <w:tc>
          <w:tcPr>
            <w:tcW w:w="3764" w:type="dxa"/>
            <w:tcBorders>
              <w:top w:val="nil"/>
              <w:left w:val="nil"/>
              <w:bottom w:val="single" w:sz="4" w:space="0" w:color="auto"/>
              <w:right w:val="single" w:sz="4" w:space="0" w:color="auto"/>
            </w:tcBorders>
            <w:shd w:val="clear" w:color="000000" w:fill="FFCCFF"/>
            <w:noWrap/>
            <w:vAlign w:val="bottom"/>
            <w:hideMark/>
          </w:tcPr>
          <w:p w14:paraId="7C874FB9"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2.8</w:t>
            </w:r>
          </w:p>
        </w:tc>
        <w:tc>
          <w:tcPr>
            <w:tcW w:w="2126" w:type="dxa"/>
            <w:tcBorders>
              <w:top w:val="nil"/>
              <w:left w:val="nil"/>
              <w:bottom w:val="single" w:sz="4" w:space="0" w:color="auto"/>
              <w:right w:val="single" w:sz="4" w:space="0" w:color="auto"/>
            </w:tcBorders>
            <w:shd w:val="clear" w:color="000000" w:fill="FFCCFF"/>
            <w:noWrap/>
            <w:vAlign w:val="bottom"/>
            <w:hideMark/>
          </w:tcPr>
          <w:p w14:paraId="6E0A6FF7"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r>
      <w:tr w:rsidR="0081148D" w:rsidRPr="005E07B9" w14:paraId="39346B86" w14:textId="77777777" w:rsidTr="00FD7774">
        <w:trPr>
          <w:trHeight w:val="441"/>
        </w:trPr>
        <w:tc>
          <w:tcPr>
            <w:tcW w:w="3123" w:type="dxa"/>
            <w:tcBorders>
              <w:top w:val="nil"/>
              <w:left w:val="single" w:sz="4" w:space="0" w:color="auto"/>
              <w:bottom w:val="single" w:sz="4" w:space="0" w:color="auto"/>
              <w:right w:val="single" w:sz="4" w:space="0" w:color="auto"/>
            </w:tcBorders>
            <w:shd w:val="clear" w:color="000000" w:fill="FFCCFF"/>
            <w:noWrap/>
            <w:vAlign w:val="bottom"/>
            <w:hideMark/>
          </w:tcPr>
          <w:p w14:paraId="53792600"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Average Investment</w:t>
            </w:r>
          </w:p>
        </w:tc>
        <w:tc>
          <w:tcPr>
            <w:tcW w:w="3764" w:type="dxa"/>
            <w:tcBorders>
              <w:top w:val="nil"/>
              <w:left w:val="nil"/>
              <w:bottom w:val="single" w:sz="4" w:space="0" w:color="auto"/>
              <w:right w:val="single" w:sz="4" w:space="0" w:color="auto"/>
            </w:tcBorders>
            <w:shd w:val="clear" w:color="000000" w:fill="FFCCFF"/>
            <w:noWrap/>
            <w:vAlign w:val="bottom"/>
            <w:hideMark/>
          </w:tcPr>
          <w:p w14:paraId="69B3C1FD"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20</w:t>
            </w:r>
          </w:p>
        </w:tc>
        <w:tc>
          <w:tcPr>
            <w:tcW w:w="2126" w:type="dxa"/>
            <w:tcBorders>
              <w:top w:val="nil"/>
              <w:left w:val="nil"/>
              <w:bottom w:val="single" w:sz="4" w:space="0" w:color="auto"/>
              <w:right w:val="single" w:sz="4" w:space="0" w:color="auto"/>
            </w:tcBorders>
            <w:shd w:val="clear" w:color="000000" w:fill="FFCCFF"/>
            <w:noWrap/>
            <w:vAlign w:val="bottom"/>
            <w:hideMark/>
          </w:tcPr>
          <w:p w14:paraId="3025E7A5"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r>
      <w:tr w:rsidR="0081148D" w:rsidRPr="005E07B9" w14:paraId="48BA1226" w14:textId="77777777" w:rsidTr="00FD7774">
        <w:trPr>
          <w:trHeight w:val="441"/>
        </w:trPr>
        <w:tc>
          <w:tcPr>
            <w:tcW w:w="3123" w:type="dxa"/>
            <w:tcBorders>
              <w:top w:val="nil"/>
              <w:left w:val="single" w:sz="4" w:space="0" w:color="auto"/>
              <w:bottom w:val="single" w:sz="4" w:space="0" w:color="auto"/>
              <w:right w:val="single" w:sz="4" w:space="0" w:color="auto"/>
            </w:tcBorders>
            <w:shd w:val="clear" w:color="000000" w:fill="FFCCFF"/>
            <w:noWrap/>
            <w:vAlign w:val="bottom"/>
            <w:hideMark/>
          </w:tcPr>
          <w:p w14:paraId="2B0DD191"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ARR</w:t>
            </w:r>
          </w:p>
        </w:tc>
        <w:tc>
          <w:tcPr>
            <w:tcW w:w="3764" w:type="dxa"/>
            <w:tcBorders>
              <w:top w:val="nil"/>
              <w:left w:val="nil"/>
              <w:bottom w:val="single" w:sz="4" w:space="0" w:color="auto"/>
              <w:right w:val="single" w:sz="4" w:space="0" w:color="auto"/>
            </w:tcBorders>
            <w:shd w:val="clear" w:color="000000" w:fill="FFCCFF"/>
            <w:noWrap/>
            <w:vAlign w:val="bottom"/>
            <w:hideMark/>
          </w:tcPr>
          <w:p w14:paraId="4C2D7201"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14</w:t>
            </w:r>
          </w:p>
        </w:tc>
        <w:tc>
          <w:tcPr>
            <w:tcW w:w="2126" w:type="dxa"/>
            <w:tcBorders>
              <w:top w:val="nil"/>
              <w:left w:val="nil"/>
              <w:bottom w:val="single" w:sz="4" w:space="0" w:color="auto"/>
              <w:right w:val="single" w:sz="4" w:space="0" w:color="auto"/>
            </w:tcBorders>
            <w:shd w:val="clear" w:color="000000" w:fill="FFCCFF"/>
            <w:noWrap/>
            <w:vAlign w:val="bottom"/>
            <w:hideMark/>
          </w:tcPr>
          <w:p w14:paraId="067B7166"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xml:space="preserve">In percentage </w:t>
            </w:r>
          </w:p>
        </w:tc>
      </w:tr>
    </w:tbl>
    <w:p w14:paraId="25570935" w14:textId="77777777" w:rsidR="0081148D" w:rsidRPr="005E07B9" w:rsidRDefault="0081148D" w:rsidP="005E07B9">
      <w:pPr>
        <w:rPr>
          <w:rFonts w:cs="Arial"/>
          <w:lang w:val="en-GB"/>
        </w:rPr>
      </w:pPr>
    </w:p>
    <w:tbl>
      <w:tblPr>
        <w:tblW w:w="9131" w:type="dxa"/>
        <w:tblLook w:val="04A0" w:firstRow="1" w:lastRow="0" w:firstColumn="1" w:lastColumn="0" w:noHBand="0" w:noVBand="1"/>
      </w:tblPr>
      <w:tblGrid>
        <w:gridCol w:w="2349"/>
        <w:gridCol w:w="2177"/>
        <w:gridCol w:w="2558"/>
        <w:gridCol w:w="2047"/>
      </w:tblGrid>
      <w:tr w:rsidR="0081148D" w:rsidRPr="005E07B9" w14:paraId="4FA1B293" w14:textId="77777777" w:rsidTr="00FD7774">
        <w:trPr>
          <w:trHeight w:val="609"/>
        </w:trPr>
        <w:tc>
          <w:tcPr>
            <w:tcW w:w="9131" w:type="dxa"/>
            <w:gridSpan w:val="4"/>
            <w:tcBorders>
              <w:top w:val="nil"/>
              <w:left w:val="nil"/>
              <w:bottom w:val="nil"/>
              <w:right w:val="nil"/>
            </w:tcBorders>
            <w:shd w:val="clear" w:color="000000" w:fill="FF99FF"/>
            <w:noWrap/>
            <w:vAlign w:val="bottom"/>
            <w:hideMark/>
          </w:tcPr>
          <w:p w14:paraId="17090216"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NPV</w:t>
            </w:r>
          </w:p>
        </w:tc>
      </w:tr>
      <w:tr w:rsidR="0081148D" w:rsidRPr="005E07B9" w14:paraId="5D18BDB4" w14:textId="77777777" w:rsidTr="00FD7774">
        <w:trPr>
          <w:trHeight w:val="435"/>
        </w:trPr>
        <w:tc>
          <w:tcPr>
            <w:tcW w:w="2349" w:type="dxa"/>
            <w:tcBorders>
              <w:top w:val="single" w:sz="4" w:space="0" w:color="auto"/>
              <w:left w:val="single" w:sz="4" w:space="0" w:color="auto"/>
              <w:bottom w:val="single" w:sz="4" w:space="0" w:color="auto"/>
              <w:right w:val="single" w:sz="4" w:space="0" w:color="auto"/>
            </w:tcBorders>
            <w:shd w:val="clear" w:color="000000" w:fill="FFCCFF"/>
            <w:noWrap/>
            <w:vAlign w:val="bottom"/>
            <w:hideMark/>
          </w:tcPr>
          <w:p w14:paraId="094C8E2B"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Discount Rate</w:t>
            </w:r>
          </w:p>
        </w:tc>
        <w:tc>
          <w:tcPr>
            <w:tcW w:w="2177" w:type="dxa"/>
            <w:tcBorders>
              <w:top w:val="single" w:sz="4" w:space="0" w:color="auto"/>
              <w:left w:val="nil"/>
              <w:bottom w:val="single" w:sz="4" w:space="0" w:color="auto"/>
              <w:right w:val="single" w:sz="4" w:space="0" w:color="auto"/>
            </w:tcBorders>
            <w:shd w:val="clear" w:color="000000" w:fill="FFCCFF"/>
            <w:noWrap/>
            <w:vAlign w:val="bottom"/>
            <w:hideMark/>
          </w:tcPr>
          <w:p w14:paraId="58F6B626"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10%</w:t>
            </w:r>
          </w:p>
        </w:tc>
        <w:tc>
          <w:tcPr>
            <w:tcW w:w="2558" w:type="dxa"/>
            <w:tcBorders>
              <w:top w:val="nil"/>
              <w:left w:val="nil"/>
              <w:bottom w:val="nil"/>
              <w:right w:val="nil"/>
            </w:tcBorders>
            <w:noWrap/>
            <w:vAlign w:val="bottom"/>
            <w:hideMark/>
          </w:tcPr>
          <w:p w14:paraId="0BB6C84B" w14:textId="77777777" w:rsidR="0081148D" w:rsidRPr="005E07B9" w:rsidRDefault="0081148D" w:rsidP="005E07B9">
            <w:pPr>
              <w:spacing w:after="0"/>
              <w:jc w:val="right"/>
              <w:rPr>
                <w:rFonts w:eastAsia="Times New Roman" w:cs="Arial"/>
                <w:color w:val="000000"/>
                <w:kern w:val="0"/>
                <w:lang w:eastAsia="en-IN"/>
                <w14:ligatures w14:val="none"/>
              </w:rPr>
            </w:pPr>
          </w:p>
        </w:tc>
        <w:tc>
          <w:tcPr>
            <w:tcW w:w="2045" w:type="dxa"/>
            <w:tcBorders>
              <w:top w:val="nil"/>
              <w:left w:val="nil"/>
              <w:bottom w:val="nil"/>
              <w:right w:val="nil"/>
            </w:tcBorders>
            <w:noWrap/>
            <w:vAlign w:val="bottom"/>
            <w:hideMark/>
          </w:tcPr>
          <w:p w14:paraId="7E2E9BB7" w14:textId="77777777" w:rsidR="0081148D" w:rsidRPr="005E07B9" w:rsidRDefault="0081148D" w:rsidP="005E07B9">
            <w:pPr>
              <w:spacing w:after="0"/>
              <w:jc w:val="left"/>
              <w:rPr>
                <w:rFonts w:eastAsia="Times New Roman" w:cs="Arial"/>
                <w:kern w:val="0"/>
                <w:lang w:eastAsia="en-IN"/>
                <w14:ligatures w14:val="none"/>
              </w:rPr>
            </w:pPr>
          </w:p>
        </w:tc>
      </w:tr>
      <w:tr w:rsidR="0081148D" w:rsidRPr="005E07B9" w14:paraId="6712F73A" w14:textId="77777777" w:rsidTr="00FD7774">
        <w:trPr>
          <w:trHeight w:val="435"/>
        </w:trPr>
        <w:tc>
          <w:tcPr>
            <w:tcW w:w="2349" w:type="dxa"/>
            <w:tcBorders>
              <w:top w:val="nil"/>
              <w:left w:val="single" w:sz="4" w:space="0" w:color="auto"/>
              <w:bottom w:val="single" w:sz="4" w:space="0" w:color="auto"/>
              <w:right w:val="single" w:sz="4" w:space="0" w:color="auto"/>
            </w:tcBorders>
            <w:shd w:val="clear" w:color="000000" w:fill="FFCCFF"/>
            <w:noWrap/>
            <w:vAlign w:val="bottom"/>
            <w:hideMark/>
          </w:tcPr>
          <w:p w14:paraId="193296E8"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Year</w:t>
            </w:r>
          </w:p>
        </w:tc>
        <w:tc>
          <w:tcPr>
            <w:tcW w:w="2177" w:type="dxa"/>
            <w:tcBorders>
              <w:top w:val="nil"/>
              <w:left w:val="nil"/>
              <w:bottom w:val="single" w:sz="4" w:space="0" w:color="auto"/>
              <w:right w:val="single" w:sz="4" w:space="0" w:color="auto"/>
            </w:tcBorders>
            <w:shd w:val="clear" w:color="000000" w:fill="FFCCFF"/>
            <w:noWrap/>
            <w:vAlign w:val="bottom"/>
            <w:hideMark/>
          </w:tcPr>
          <w:p w14:paraId="44D40711"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Formula</w:t>
            </w:r>
          </w:p>
        </w:tc>
        <w:tc>
          <w:tcPr>
            <w:tcW w:w="2558" w:type="dxa"/>
            <w:tcBorders>
              <w:top w:val="single" w:sz="4" w:space="0" w:color="auto"/>
              <w:left w:val="nil"/>
              <w:bottom w:val="single" w:sz="4" w:space="0" w:color="auto"/>
              <w:right w:val="single" w:sz="4" w:space="0" w:color="auto"/>
            </w:tcBorders>
            <w:shd w:val="clear" w:color="000000" w:fill="FFCCFF"/>
            <w:noWrap/>
            <w:vAlign w:val="bottom"/>
            <w:hideMark/>
          </w:tcPr>
          <w:p w14:paraId="151FE747"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Discount factor</w:t>
            </w:r>
          </w:p>
        </w:tc>
        <w:tc>
          <w:tcPr>
            <w:tcW w:w="2045" w:type="dxa"/>
            <w:tcBorders>
              <w:top w:val="single" w:sz="4" w:space="0" w:color="auto"/>
              <w:left w:val="nil"/>
              <w:bottom w:val="single" w:sz="4" w:space="0" w:color="auto"/>
              <w:right w:val="single" w:sz="4" w:space="0" w:color="auto"/>
            </w:tcBorders>
            <w:shd w:val="clear" w:color="000000" w:fill="FFCCFF"/>
            <w:noWrap/>
            <w:vAlign w:val="bottom"/>
            <w:hideMark/>
          </w:tcPr>
          <w:p w14:paraId="03F848F1"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PV</w:t>
            </w:r>
          </w:p>
        </w:tc>
      </w:tr>
      <w:tr w:rsidR="0081148D" w:rsidRPr="005E07B9" w14:paraId="78F95ECD" w14:textId="77777777" w:rsidTr="00FD7774">
        <w:trPr>
          <w:trHeight w:val="435"/>
        </w:trPr>
        <w:tc>
          <w:tcPr>
            <w:tcW w:w="2349" w:type="dxa"/>
            <w:tcBorders>
              <w:top w:val="nil"/>
              <w:left w:val="single" w:sz="4" w:space="0" w:color="auto"/>
              <w:bottom w:val="single" w:sz="4" w:space="0" w:color="auto"/>
              <w:right w:val="single" w:sz="4" w:space="0" w:color="auto"/>
            </w:tcBorders>
            <w:shd w:val="clear" w:color="000000" w:fill="FFCCFF"/>
            <w:noWrap/>
            <w:vAlign w:val="bottom"/>
            <w:hideMark/>
          </w:tcPr>
          <w:p w14:paraId="5DA35651"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w:t>
            </w:r>
          </w:p>
        </w:tc>
        <w:tc>
          <w:tcPr>
            <w:tcW w:w="2177" w:type="dxa"/>
            <w:tcBorders>
              <w:top w:val="nil"/>
              <w:left w:val="nil"/>
              <w:bottom w:val="single" w:sz="4" w:space="0" w:color="auto"/>
              <w:right w:val="single" w:sz="4" w:space="0" w:color="auto"/>
            </w:tcBorders>
            <w:shd w:val="clear" w:color="000000" w:fill="FFCCFF"/>
            <w:noWrap/>
            <w:vAlign w:val="bottom"/>
            <w:hideMark/>
          </w:tcPr>
          <w:p w14:paraId="5E3350FE"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 (1+10%)] ^1</w:t>
            </w:r>
          </w:p>
        </w:tc>
        <w:tc>
          <w:tcPr>
            <w:tcW w:w="2558" w:type="dxa"/>
            <w:tcBorders>
              <w:top w:val="nil"/>
              <w:left w:val="nil"/>
              <w:bottom w:val="single" w:sz="4" w:space="0" w:color="auto"/>
              <w:right w:val="single" w:sz="4" w:space="0" w:color="auto"/>
            </w:tcBorders>
            <w:shd w:val="clear" w:color="000000" w:fill="FFCCFF"/>
            <w:noWrap/>
            <w:vAlign w:val="bottom"/>
            <w:hideMark/>
          </w:tcPr>
          <w:p w14:paraId="71B70BDE"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0.909090909</w:t>
            </w:r>
          </w:p>
        </w:tc>
        <w:tc>
          <w:tcPr>
            <w:tcW w:w="2045" w:type="dxa"/>
            <w:tcBorders>
              <w:top w:val="nil"/>
              <w:left w:val="nil"/>
              <w:bottom w:val="single" w:sz="4" w:space="0" w:color="auto"/>
              <w:right w:val="single" w:sz="4" w:space="0" w:color="auto"/>
            </w:tcBorders>
            <w:shd w:val="clear" w:color="000000" w:fill="FFCCFF"/>
            <w:noWrap/>
            <w:vAlign w:val="bottom"/>
            <w:hideMark/>
          </w:tcPr>
          <w:p w14:paraId="164F3D8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9.090909091</w:t>
            </w:r>
          </w:p>
        </w:tc>
      </w:tr>
      <w:tr w:rsidR="0081148D" w:rsidRPr="005E07B9" w14:paraId="25239EE0" w14:textId="77777777" w:rsidTr="00FD7774">
        <w:trPr>
          <w:trHeight w:val="435"/>
        </w:trPr>
        <w:tc>
          <w:tcPr>
            <w:tcW w:w="2349" w:type="dxa"/>
            <w:tcBorders>
              <w:top w:val="nil"/>
              <w:left w:val="single" w:sz="4" w:space="0" w:color="auto"/>
              <w:bottom w:val="single" w:sz="4" w:space="0" w:color="auto"/>
              <w:right w:val="single" w:sz="4" w:space="0" w:color="auto"/>
            </w:tcBorders>
            <w:shd w:val="clear" w:color="000000" w:fill="FFCCFF"/>
            <w:noWrap/>
            <w:vAlign w:val="bottom"/>
            <w:hideMark/>
          </w:tcPr>
          <w:p w14:paraId="11B6E619"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w:t>
            </w:r>
          </w:p>
        </w:tc>
        <w:tc>
          <w:tcPr>
            <w:tcW w:w="2177" w:type="dxa"/>
            <w:tcBorders>
              <w:top w:val="nil"/>
              <w:left w:val="nil"/>
              <w:bottom w:val="single" w:sz="4" w:space="0" w:color="auto"/>
              <w:right w:val="single" w:sz="4" w:space="0" w:color="auto"/>
            </w:tcBorders>
            <w:shd w:val="clear" w:color="000000" w:fill="FFCCFF"/>
            <w:noWrap/>
            <w:vAlign w:val="bottom"/>
            <w:hideMark/>
          </w:tcPr>
          <w:p w14:paraId="30A5F7DE"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[1/(1+10%)] ^2</w:t>
            </w:r>
          </w:p>
        </w:tc>
        <w:tc>
          <w:tcPr>
            <w:tcW w:w="2558" w:type="dxa"/>
            <w:tcBorders>
              <w:top w:val="nil"/>
              <w:left w:val="nil"/>
              <w:bottom w:val="single" w:sz="4" w:space="0" w:color="auto"/>
              <w:right w:val="single" w:sz="4" w:space="0" w:color="auto"/>
            </w:tcBorders>
            <w:shd w:val="clear" w:color="000000" w:fill="FFCCFF"/>
            <w:noWrap/>
            <w:vAlign w:val="bottom"/>
            <w:hideMark/>
          </w:tcPr>
          <w:p w14:paraId="6A22CE9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0.826446281</w:t>
            </w:r>
          </w:p>
        </w:tc>
        <w:tc>
          <w:tcPr>
            <w:tcW w:w="2045" w:type="dxa"/>
            <w:tcBorders>
              <w:top w:val="nil"/>
              <w:left w:val="nil"/>
              <w:bottom w:val="single" w:sz="4" w:space="0" w:color="auto"/>
              <w:right w:val="single" w:sz="4" w:space="0" w:color="auto"/>
            </w:tcBorders>
            <w:shd w:val="clear" w:color="000000" w:fill="FFCCFF"/>
            <w:noWrap/>
            <w:vAlign w:val="bottom"/>
            <w:hideMark/>
          </w:tcPr>
          <w:p w14:paraId="545D94D5"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9.917355372</w:t>
            </w:r>
          </w:p>
        </w:tc>
      </w:tr>
      <w:tr w:rsidR="0081148D" w:rsidRPr="005E07B9" w14:paraId="0F88A5D0" w14:textId="77777777" w:rsidTr="00FD7774">
        <w:trPr>
          <w:trHeight w:val="435"/>
        </w:trPr>
        <w:tc>
          <w:tcPr>
            <w:tcW w:w="2349" w:type="dxa"/>
            <w:tcBorders>
              <w:top w:val="nil"/>
              <w:left w:val="single" w:sz="4" w:space="0" w:color="auto"/>
              <w:bottom w:val="single" w:sz="4" w:space="0" w:color="auto"/>
              <w:right w:val="single" w:sz="4" w:space="0" w:color="auto"/>
            </w:tcBorders>
            <w:shd w:val="clear" w:color="000000" w:fill="FFCCFF"/>
            <w:noWrap/>
            <w:vAlign w:val="bottom"/>
            <w:hideMark/>
          </w:tcPr>
          <w:p w14:paraId="6292B5A3"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w:t>
            </w:r>
          </w:p>
        </w:tc>
        <w:tc>
          <w:tcPr>
            <w:tcW w:w="2177" w:type="dxa"/>
            <w:tcBorders>
              <w:top w:val="nil"/>
              <w:left w:val="nil"/>
              <w:bottom w:val="single" w:sz="4" w:space="0" w:color="auto"/>
              <w:right w:val="single" w:sz="4" w:space="0" w:color="auto"/>
            </w:tcBorders>
            <w:shd w:val="clear" w:color="000000" w:fill="FFCCFF"/>
            <w:noWrap/>
            <w:vAlign w:val="bottom"/>
            <w:hideMark/>
          </w:tcPr>
          <w:p w14:paraId="314F2C3F"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 (1+10%)] ^3</w:t>
            </w:r>
          </w:p>
        </w:tc>
        <w:tc>
          <w:tcPr>
            <w:tcW w:w="2558" w:type="dxa"/>
            <w:tcBorders>
              <w:top w:val="nil"/>
              <w:left w:val="nil"/>
              <w:bottom w:val="single" w:sz="4" w:space="0" w:color="auto"/>
              <w:right w:val="single" w:sz="4" w:space="0" w:color="auto"/>
            </w:tcBorders>
            <w:shd w:val="clear" w:color="000000" w:fill="FFCCFF"/>
            <w:noWrap/>
            <w:vAlign w:val="bottom"/>
            <w:hideMark/>
          </w:tcPr>
          <w:p w14:paraId="4561344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0.751314801</w:t>
            </w:r>
          </w:p>
        </w:tc>
        <w:tc>
          <w:tcPr>
            <w:tcW w:w="2045" w:type="dxa"/>
            <w:tcBorders>
              <w:top w:val="nil"/>
              <w:left w:val="nil"/>
              <w:bottom w:val="single" w:sz="4" w:space="0" w:color="auto"/>
              <w:right w:val="single" w:sz="4" w:space="0" w:color="auto"/>
            </w:tcBorders>
            <w:shd w:val="clear" w:color="000000" w:fill="FFCCFF"/>
            <w:noWrap/>
            <w:vAlign w:val="bottom"/>
            <w:hideMark/>
          </w:tcPr>
          <w:p w14:paraId="3D1FFF0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10.51840721</w:t>
            </w:r>
          </w:p>
        </w:tc>
      </w:tr>
      <w:tr w:rsidR="0081148D" w:rsidRPr="005E07B9" w14:paraId="15AE3595" w14:textId="77777777" w:rsidTr="00FD7774">
        <w:trPr>
          <w:trHeight w:val="435"/>
        </w:trPr>
        <w:tc>
          <w:tcPr>
            <w:tcW w:w="2349" w:type="dxa"/>
            <w:tcBorders>
              <w:top w:val="nil"/>
              <w:left w:val="single" w:sz="4" w:space="0" w:color="auto"/>
              <w:bottom w:val="single" w:sz="4" w:space="0" w:color="auto"/>
              <w:right w:val="single" w:sz="4" w:space="0" w:color="auto"/>
            </w:tcBorders>
            <w:shd w:val="clear" w:color="000000" w:fill="FFCCFF"/>
            <w:noWrap/>
            <w:vAlign w:val="bottom"/>
            <w:hideMark/>
          </w:tcPr>
          <w:p w14:paraId="084DDB5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w:t>
            </w:r>
          </w:p>
        </w:tc>
        <w:tc>
          <w:tcPr>
            <w:tcW w:w="2177" w:type="dxa"/>
            <w:tcBorders>
              <w:top w:val="nil"/>
              <w:left w:val="nil"/>
              <w:bottom w:val="single" w:sz="4" w:space="0" w:color="auto"/>
              <w:right w:val="single" w:sz="4" w:space="0" w:color="auto"/>
            </w:tcBorders>
            <w:shd w:val="clear" w:color="000000" w:fill="FFCCFF"/>
            <w:noWrap/>
            <w:vAlign w:val="bottom"/>
            <w:hideMark/>
          </w:tcPr>
          <w:p w14:paraId="2DE4EDC7"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 (1+10%)] ^4</w:t>
            </w:r>
          </w:p>
        </w:tc>
        <w:tc>
          <w:tcPr>
            <w:tcW w:w="2558" w:type="dxa"/>
            <w:tcBorders>
              <w:top w:val="nil"/>
              <w:left w:val="nil"/>
              <w:bottom w:val="single" w:sz="4" w:space="0" w:color="auto"/>
              <w:right w:val="single" w:sz="4" w:space="0" w:color="auto"/>
            </w:tcBorders>
            <w:shd w:val="clear" w:color="000000" w:fill="FFCCFF"/>
            <w:noWrap/>
            <w:vAlign w:val="bottom"/>
            <w:hideMark/>
          </w:tcPr>
          <w:p w14:paraId="4282BC37"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0.683013455</w:t>
            </w:r>
          </w:p>
        </w:tc>
        <w:tc>
          <w:tcPr>
            <w:tcW w:w="2045" w:type="dxa"/>
            <w:tcBorders>
              <w:top w:val="nil"/>
              <w:left w:val="nil"/>
              <w:bottom w:val="single" w:sz="4" w:space="0" w:color="auto"/>
              <w:right w:val="single" w:sz="4" w:space="0" w:color="auto"/>
            </w:tcBorders>
            <w:shd w:val="clear" w:color="000000" w:fill="FFCCFF"/>
            <w:noWrap/>
            <w:vAlign w:val="bottom"/>
            <w:hideMark/>
          </w:tcPr>
          <w:p w14:paraId="2C7B6A6A"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6.830134554</w:t>
            </w:r>
          </w:p>
        </w:tc>
      </w:tr>
      <w:tr w:rsidR="0081148D" w:rsidRPr="005E07B9" w14:paraId="4836757F" w14:textId="77777777" w:rsidTr="00FD7774">
        <w:trPr>
          <w:trHeight w:val="435"/>
        </w:trPr>
        <w:tc>
          <w:tcPr>
            <w:tcW w:w="2349" w:type="dxa"/>
            <w:tcBorders>
              <w:top w:val="nil"/>
              <w:left w:val="single" w:sz="4" w:space="0" w:color="auto"/>
              <w:bottom w:val="single" w:sz="4" w:space="0" w:color="auto"/>
              <w:right w:val="single" w:sz="4" w:space="0" w:color="auto"/>
            </w:tcBorders>
            <w:shd w:val="clear" w:color="000000" w:fill="FFCCFF"/>
            <w:noWrap/>
            <w:vAlign w:val="bottom"/>
            <w:hideMark/>
          </w:tcPr>
          <w:p w14:paraId="574A5D22"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2177" w:type="dxa"/>
            <w:tcBorders>
              <w:top w:val="nil"/>
              <w:left w:val="nil"/>
              <w:bottom w:val="single" w:sz="4" w:space="0" w:color="auto"/>
              <w:right w:val="single" w:sz="4" w:space="0" w:color="auto"/>
            </w:tcBorders>
            <w:shd w:val="clear" w:color="000000" w:fill="FFCCFF"/>
            <w:noWrap/>
            <w:vAlign w:val="bottom"/>
            <w:hideMark/>
          </w:tcPr>
          <w:p w14:paraId="5AE3D08B"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 (1+10%)] ^5</w:t>
            </w:r>
          </w:p>
        </w:tc>
        <w:tc>
          <w:tcPr>
            <w:tcW w:w="2558" w:type="dxa"/>
            <w:tcBorders>
              <w:top w:val="nil"/>
              <w:left w:val="nil"/>
              <w:bottom w:val="single" w:sz="4" w:space="0" w:color="auto"/>
              <w:right w:val="single" w:sz="4" w:space="0" w:color="auto"/>
            </w:tcBorders>
            <w:shd w:val="clear" w:color="000000" w:fill="FFCCFF"/>
            <w:noWrap/>
            <w:vAlign w:val="bottom"/>
            <w:hideMark/>
          </w:tcPr>
          <w:p w14:paraId="70C4539D"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0.620921323</w:t>
            </w:r>
          </w:p>
        </w:tc>
        <w:tc>
          <w:tcPr>
            <w:tcW w:w="2045" w:type="dxa"/>
            <w:tcBorders>
              <w:top w:val="nil"/>
              <w:left w:val="nil"/>
              <w:bottom w:val="single" w:sz="4" w:space="0" w:color="auto"/>
              <w:right w:val="single" w:sz="4" w:space="0" w:color="auto"/>
            </w:tcBorders>
            <w:shd w:val="clear" w:color="000000" w:fill="FFCCFF"/>
            <w:noWrap/>
            <w:vAlign w:val="bottom"/>
            <w:hideMark/>
          </w:tcPr>
          <w:p w14:paraId="36C89630"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4.967370584</w:t>
            </w:r>
          </w:p>
        </w:tc>
      </w:tr>
      <w:tr w:rsidR="0081148D" w:rsidRPr="005E07B9" w14:paraId="5EBC9A53" w14:textId="77777777" w:rsidTr="00FD7774">
        <w:trPr>
          <w:trHeight w:val="435"/>
        </w:trPr>
        <w:tc>
          <w:tcPr>
            <w:tcW w:w="2349" w:type="dxa"/>
            <w:tcBorders>
              <w:top w:val="nil"/>
              <w:left w:val="single" w:sz="4" w:space="0" w:color="auto"/>
              <w:bottom w:val="single" w:sz="4" w:space="0" w:color="auto"/>
              <w:right w:val="single" w:sz="4" w:space="0" w:color="auto"/>
            </w:tcBorders>
            <w:shd w:val="clear" w:color="000000" w:fill="FFCCFF"/>
            <w:noWrap/>
            <w:vAlign w:val="bottom"/>
            <w:hideMark/>
          </w:tcPr>
          <w:p w14:paraId="6C465C9B"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Total PV</w:t>
            </w:r>
          </w:p>
        </w:tc>
        <w:tc>
          <w:tcPr>
            <w:tcW w:w="2177" w:type="dxa"/>
            <w:tcBorders>
              <w:top w:val="nil"/>
              <w:left w:val="nil"/>
              <w:bottom w:val="single" w:sz="4" w:space="0" w:color="auto"/>
              <w:right w:val="single" w:sz="4" w:space="0" w:color="auto"/>
            </w:tcBorders>
            <w:shd w:val="clear" w:color="000000" w:fill="FFCCFF"/>
            <w:noWrap/>
            <w:vAlign w:val="bottom"/>
            <w:hideMark/>
          </w:tcPr>
          <w:p w14:paraId="625B8D7C"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c>
          <w:tcPr>
            <w:tcW w:w="2558" w:type="dxa"/>
            <w:tcBorders>
              <w:top w:val="nil"/>
              <w:left w:val="nil"/>
              <w:bottom w:val="single" w:sz="4" w:space="0" w:color="auto"/>
              <w:right w:val="single" w:sz="4" w:space="0" w:color="auto"/>
            </w:tcBorders>
            <w:shd w:val="clear" w:color="000000" w:fill="FFCCFF"/>
            <w:noWrap/>
            <w:vAlign w:val="bottom"/>
            <w:hideMark/>
          </w:tcPr>
          <w:p w14:paraId="6D4FAC87"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c>
          <w:tcPr>
            <w:tcW w:w="2045" w:type="dxa"/>
            <w:tcBorders>
              <w:top w:val="nil"/>
              <w:left w:val="nil"/>
              <w:bottom w:val="single" w:sz="4" w:space="0" w:color="auto"/>
              <w:right w:val="single" w:sz="4" w:space="0" w:color="auto"/>
            </w:tcBorders>
            <w:shd w:val="clear" w:color="000000" w:fill="FFCCFF"/>
            <w:noWrap/>
            <w:vAlign w:val="bottom"/>
            <w:hideMark/>
          </w:tcPr>
          <w:p w14:paraId="249AB91F"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41.32417681</w:t>
            </w:r>
          </w:p>
        </w:tc>
      </w:tr>
      <w:tr w:rsidR="0081148D" w:rsidRPr="005E07B9" w14:paraId="6093E142" w14:textId="77777777" w:rsidTr="00FD7774">
        <w:trPr>
          <w:trHeight w:val="435"/>
        </w:trPr>
        <w:tc>
          <w:tcPr>
            <w:tcW w:w="2349" w:type="dxa"/>
            <w:tcBorders>
              <w:top w:val="nil"/>
              <w:left w:val="single" w:sz="4" w:space="0" w:color="auto"/>
              <w:bottom w:val="single" w:sz="4" w:space="0" w:color="auto"/>
              <w:right w:val="single" w:sz="4" w:space="0" w:color="auto"/>
            </w:tcBorders>
            <w:shd w:val="clear" w:color="000000" w:fill="FFCCFF"/>
            <w:noWrap/>
            <w:vAlign w:val="bottom"/>
            <w:hideMark/>
          </w:tcPr>
          <w:p w14:paraId="0479479C"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NPV</w:t>
            </w:r>
          </w:p>
        </w:tc>
        <w:tc>
          <w:tcPr>
            <w:tcW w:w="2177" w:type="dxa"/>
            <w:tcBorders>
              <w:top w:val="nil"/>
              <w:left w:val="nil"/>
              <w:bottom w:val="single" w:sz="4" w:space="0" w:color="auto"/>
              <w:right w:val="single" w:sz="4" w:space="0" w:color="auto"/>
            </w:tcBorders>
            <w:shd w:val="clear" w:color="000000" w:fill="FFCCFF"/>
            <w:noWrap/>
            <w:vAlign w:val="bottom"/>
            <w:hideMark/>
          </w:tcPr>
          <w:p w14:paraId="3BBCDCE6"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1.324176814</w:t>
            </w:r>
          </w:p>
        </w:tc>
        <w:tc>
          <w:tcPr>
            <w:tcW w:w="2558" w:type="dxa"/>
            <w:tcBorders>
              <w:top w:val="nil"/>
              <w:left w:val="nil"/>
              <w:bottom w:val="single" w:sz="4" w:space="0" w:color="auto"/>
              <w:right w:val="single" w:sz="4" w:space="0" w:color="auto"/>
            </w:tcBorders>
            <w:shd w:val="clear" w:color="000000" w:fill="FFCCFF"/>
            <w:noWrap/>
            <w:vAlign w:val="bottom"/>
            <w:hideMark/>
          </w:tcPr>
          <w:p w14:paraId="57734A5B"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c>
          <w:tcPr>
            <w:tcW w:w="2045" w:type="dxa"/>
            <w:tcBorders>
              <w:top w:val="nil"/>
              <w:left w:val="nil"/>
              <w:bottom w:val="single" w:sz="4" w:space="0" w:color="auto"/>
              <w:right w:val="single" w:sz="4" w:space="0" w:color="auto"/>
            </w:tcBorders>
            <w:shd w:val="clear" w:color="000000" w:fill="FFCCFF"/>
            <w:noWrap/>
            <w:vAlign w:val="bottom"/>
            <w:hideMark/>
          </w:tcPr>
          <w:p w14:paraId="7CF866FD"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r>
      <w:tr w:rsidR="0081148D" w:rsidRPr="005E07B9" w14:paraId="6D0D923C" w14:textId="77777777" w:rsidTr="00FD7774">
        <w:trPr>
          <w:trHeight w:val="435"/>
        </w:trPr>
        <w:tc>
          <w:tcPr>
            <w:tcW w:w="4526" w:type="dxa"/>
            <w:gridSpan w:val="2"/>
            <w:tcBorders>
              <w:top w:val="single" w:sz="4" w:space="0" w:color="auto"/>
              <w:left w:val="single" w:sz="4" w:space="0" w:color="auto"/>
              <w:bottom w:val="single" w:sz="4" w:space="0" w:color="auto"/>
              <w:right w:val="single" w:sz="4" w:space="0" w:color="000000"/>
            </w:tcBorders>
            <w:shd w:val="clear" w:color="000000" w:fill="FF99FF"/>
            <w:noWrap/>
            <w:vAlign w:val="bottom"/>
            <w:hideMark/>
          </w:tcPr>
          <w:p w14:paraId="243589CE"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PI</w:t>
            </w:r>
          </w:p>
        </w:tc>
        <w:tc>
          <w:tcPr>
            <w:tcW w:w="2558" w:type="dxa"/>
            <w:tcBorders>
              <w:top w:val="nil"/>
              <w:left w:val="nil"/>
              <w:bottom w:val="nil"/>
              <w:right w:val="nil"/>
            </w:tcBorders>
            <w:noWrap/>
            <w:vAlign w:val="bottom"/>
            <w:hideMark/>
          </w:tcPr>
          <w:p w14:paraId="34F45BBC" w14:textId="77777777" w:rsidR="0081148D" w:rsidRPr="005E07B9" w:rsidRDefault="0081148D" w:rsidP="005E07B9">
            <w:pPr>
              <w:spacing w:after="0"/>
              <w:jc w:val="center"/>
              <w:rPr>
                <w:rFonts w:eastAsia="Times New Roman" w:cs="Arial"/>
                <w:b/>
                <w:bCs/>
                <w:color w:val="000000"/>
                <w:kern w:val="0"/>
                <w:lang w:eastAsia="en-IN"/>
                <w14:ligatures w14:val="none"/>
              </w:rPr>
            </w:pPr>
          </w:p>
        </w:tc>
        <w:tc>
          <w:tcPr>
            <w:tcW w:w="2045" w:type="dxa"/>
            <w:tcBorders>
              <w:top w:val="nil"/>
              <w:left w:val="nil"/>
              <w:bottom w:val="nil"/>
              <w:right w:val="nil"/>
            </w:tcBorders>
            <w:noWrap/>
            <w:vAlign w:val="bottom"/>
            <w:hideMark/>
          </w:tcPr>
          <w:p w14:paraId="1D70021B" w14:textId="77777777" w:rsidR="0081148D" w:rsidRPr="005E07B9" w:rsidRDefault="0081148D" w:rsidP="005E07B9">
            <w:pPr>
              <w:spacing w:after="0"/>
              <w:jc w:val="left"/>
              <w:rPr>
                <w:rFonts w:eastAsia="Times New Roman" w:cs="Arial"/>
                <w:kern w:val="0"/>
                <w:lang w:eastAsia="en-IN"/>
                <w14:ligatures w14:val="none"/>
              </w:rPr>
            </w:pPr>
          </w:p>
        </w:tc>
      </w:tr>
      <w:tr w:rsidR="0081148D" w:rsidRPr="005E07B9" w14:paraId="60D631A2" w14:textId="77777777" w:rsidTr="00FD7774">
        <w:trPr>
          <w:trHeight w:val="435"/>
        </w:trPr>
        <w:tc>
          <w:tcPr>
            <w:tcW w:w="2349" w:type="dxa"/>
            <w:tcBorders>
              <w:top w:val="nil"/>
              <w:left w:val="single" w:sz="4" w:space="0" w:color="auto"/>
              <w:bottom w:val="single" w:sz="4" w:space="0" w:color="auto"/>
              <w:right w:val="single" w:sz="4" w:space="0" w:color="auto"/>
            </w:tcBorders>
            <w:shd w:val="clear" w:color="000000" w:fill="FFCCFF"/>
            <w:noWrap/>
            <w:vAlign w:val="bottom"/>
            <w:hideMark/>
          </w:tcPr>
          <w:p w14:paraId="3CAFEC20"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PI</w:t>
            </w:r>
          </w:p>
        </w:tc>
        <w:tc>
          <w:tcPr>
            <w:tcW w:w="2177" w:type="dxa"/>
            <w:tcBorders>
              <w:top w:val="nil"/>
              <w:left w:val="nil"/>
              <w:bottom w:val="single" w:sz="4" w:space="0" w:color="auto"/>
              <w:right w:val="single" w:sz="4" w:space="0" w:color="auto"/>
            </w:tcBorders>
            <w:shd w:val="clear" w:color="000000" w:fill="FFCCFF"/>
            <w:noWrap/>
            <w:vAlign w:val="bottom"/>
            <w:hideMark/>
          </w:tcPr>
          <w:p w14:paraId="440269DB"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1.03310442</w:t>
            </w:r>
          </w:p>
        </w:tc>
        <w:tc>
          <w:tcPr>
            <w:tcW w:w="2558" w:type="dxa"/>
            <w:tcBorders>
              <w:top w:val="nil"/>
              <w:left w:val="nil"/>
              <w:bottom w:val="nil"/>
              <w:right w:val="nil"/>
            </w:tcBorders>
            <w:noWrap/>
            <w:vAlign w:val="bottom"/>
            <w:hideMark/>
          </w:tcPr>
          <w:p w14:paraId="2BA3D56B" w14:textId="77777777" w:rsidR="0081148D" w:rsidRPr="005E07B9" w:rsidRDefault="0081148D" w:rsidP="005E07B9">
            <w:pPr>
              <w:spacing w:after="0"/>
              <w:jc w:val="right"/>
              <w:rPr>
                <w:rFonts w:eastAsia="Times New Roman" w:cs="Arial"/>
                <w:b/>
                <w:bCs/>
                <w:color w:val="000000"/>
                <w:kern w:val="0"/>
                <w:lang w:eastAsia="en-IN"/>
                <w14:ligatures w14:val="none"/>
              </w:rPr>
            </w:pPr>
          </w:p>
        </w:tc>
        <w:tc>
          <w:tcPr>
            <w:tcW w:w="2045" w:type="dxa"/>
            <w:tcBorders>
              <w:top w:val="nil"/>
              <w:left w:val="nil"/>
              <w:bottom w:val="nil"/>
              <w:right w:val="nil"/>
            </w:tcBorders>
            <w:noWrap/>
            <w:vAlign w:val="bottom"/>
            <w:hideMark/>
          </w:tcPr>
          <w:p w14:paraId="473F4210" w14:textId="77777777" w:rsidR="0081148D" w:rsidRPr="005E07B9" w:rsidRDefault="0081148D" w:rsidP="005E07B9">
            <w:pPr>
              <w:spacing w:after="0"/>
              <w:jc w:val="left"/>
              <w:rPr>
                <w:rFonts w:eastAsia="Times New Roman" w:cs="Arial"/>
                <w:kern w:val="0"/>
                <w:lang w:eastAsia="en-IN"/>
                <w14:ligatures w14:val="none"/>
              </w:rPr>
            </w:pPr>
          </w:p>
        </w:tc>
      </w:tr>
    </w:tbl>
    <w:p w14:paraId="143AFB2E" w14:textId="77777777" w:rsidR="0081148D" w:rsidRPr="005E07B9" w:rsidRDefault="0081148D" w:rsidP="005E07B9">
      <w:pPr>
        <w:rPr>
          <w:rFonts w:cs="Arial"/>
          <w:lang w:val="en-GB"/>
        </w:rPr>
      </w:pPr>
    </w:p>
    <w:tbl>
      <w:tblPr>
        <w:tblW w:w="9838" w:type="dxa"/>
        <w:tblLook w:val="04A0" w:firstRow="1" w:lastRow="0" w:firstColumn="1" w:lastColumn="0" w:noHBand="0" w:noVBand="1"/>
      </w:tblPr>
      <w:tblGrid>
        <w:gridCol w:w="2530"/>
        <w:gridCol w:w="2346"/>
        <w:gridCol w:w="2757"/>
        <w:gridCol w:w="2205"/>
      </w:tblGrid>
      <w:tr w:rsidR="0081148D" w:rsidRPr="005E07B9" w14:paraId="0F264E2B" w14:textId="77777777" w:rsidTr="00FD7774">
        <w:trPr>
          <w:trHeight w:val="517"/>
        </w:trPr>
        <w:tc>
          <w:tcPr>
            <w:tcW w:w="9838" w:type="dxa"/>
            <w:gridSpan w:val="4"/>
            <w:tcBorders>
              <w:top w:val="nil"/>
              <w:left w:val="nil"/>
              <w:bottom w:val="nil"/>
              <w:right w:val="nil"/>
            </w:tcBorders>
            <w:shd w:val="clear" w:color="000000" w:fill="FF99FF"/>
            <w:noWrap/>
            <w:vAlign w:val="bottom"/>
            <w:hideMark/>
          </w:tcPr>
          <w:p w14:paraId="35C2D9B2"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IRR</w:t>
            </w:r>
          </w:p>
        </w:tc>
      </w:tr>
      <w:tr w:rsidR="0081148D" w:rsidRPr="005E07B9" w14:paraId="2AA4E216" w14:textId="77777777" w:rsidTr="00FD7774">
        <w:trPr>
          <w:trHeight w:val="517"/>
        </w:trPr>
        <w:tc>
          <w:tcPr>
            <w:tcW w:w="2530" w:type="dxa"/>
            <w:tcBorders>
              <w:top w:val="single" w:sz="4" w:space="0" w:color="auto"/>
              <w:left w:val="single" w:sz="4" w:space="0" w:color="auto"/>
              <w:bottom w:val="single" w:sz="4" w:space="0" w:color="auto"/>
              <w:right w:val="single" w:sz="4" w:space="0" w:color="auto"/>
            </w:tcBorders>
            <w:shd w:val="clear" w:color="000000" w:fill="FFCCFF"/>
            <w:noWrap/>
            <w:vAlign w:val="bottom"/>
            <w:hideMark/>
          </w:tcPr>
          <w:p w14:paraId="4B918C8E"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Discount Rate</w:t>
            </w:r>
          </w:p>
        </w:tc>
        <w:tc>
          <w:tcPr>
            <w:tcW w:w="2346" w:type="dxa"/>
            <w:tcBorders>
              <w:top w:val="single" w:sz="4" w:space="0" w:color="auto"/>
              <w:left w:val="nil"/>
              <w:bottom w:val="single" w:sz="4" w:space="0" w:color="auto"/>
              <w:right w:val="single" w:sz="4" w:space="0" w:color="auto"/>
            </w:tcBorders>
            <w:shd w:val="clear" w:color="000000" w:fill="FFCCFF"/>
            <w:noWrap/>
            <w:vAlign w:val="bottom"/>
            <w:hideMark/>
          </w:tcPr>
          <w:p w14:paraId="29CA019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20%</w:t>
            </w:r>
          </w:p>
        </w:tc>
        <w:tc>
          <w:tcPr>
            <w:tcW w:w="2757" w:type="dxa"/>
            <w:tcBorders>
              <w:top w:val="nil"/>
              <w:left w:val="nil"/>
              <w:bottom w:val="nil"/>
              <w:right w:val="nil"/>
            </w:tcBorders>
            <w:noWrap/>
            <w:vAlign w:val="bottom"/>
            <w:hideMark/>
          </w:tcPr>
          <w:p w14:paraId="45AD0907" w14:textId="77777777" w:rsidR="0081148D" w:rsidRPr="005E07B9" w:rsidRDefault="0081148D" w:rsidP="005E07B9">
            <w:pPr>
              <w:spacing w:after="0"/>
              <w:jc w:val="right"/>
              <w:rPr>
                <w:rFonts w:eastAsia="Times New Roman" w:cs="Arial"/>
                <w:color w:val="000000"/>
                <w:kern w:val="0"/>
                <w:lang w:eastAsia="en-IN"/>
                <w14:ligatures w14:val="none"/>
              </w:rPr>
            </w:pPr>
          </w:p>
        </w:tc>
        <w:tc>
          <w:tcPr>
            <w:tcW w:w="2204" w:type="dxa"/>
            <w:tcBorders>
              <w:top w:val="nil"/>
              <w:left w:val="nil"/>
              <w:bottom w:val="nil"/>
              <w:right w:val="nil"/>
            </w:tcBorders>
            <w:noWrap/>
            <w:vAlign w:val="bottom"/>
            <w:hideMark/>
          </w:tcPr>
          <w:p w14:paraId="1A402A56" w14:textId="77777777" w:rsidR="0081148D" w:rsidRPr="005E07B9" w:rsidRDefault="0081148D" w:rsidP="005E07B9">
            <w:pPr>
              <w:spacing w:after="0"/>
              <w:jc w:val="left"/>
              <w:rPr>
                <w:rFonts w:eastAsia="Times New Roman" w:cs="Arial"/>
                <w:kern w:val="0"/>
                <w:lang w:eastAsia="en-IN"/>
                <w14:ligatures w14:val="none"/>
              </w:rPr>
            </w:pPr>
          </w:p>
        </w:tc>
      </w:tr>
      <w:tr w:rsidR="0081148D" w:rsidRPr="005E07B9" w14:paraId="461E62A7" w14:textId="77777777" w:rsidTr="00FD7774">
        <w:trPr>
          <w:trHeight w:val="517"/>
        </w:trPr>
        <w:tc>
          <w:tcPr>
            <w:tcW w:w="2530" w:type="dxa"/>
            <w:tcBorders>
              <w:top w:val="nil"/>
              <w:left w:val="single" w:sz="4" w:space="0" w:color="auto"/>
              <w:bottom w:val="single" w:sz="4" w:space="0" w:color="auto"/>
              <w:right w:val="single" w:sz="4" w:space="0" w:color="auto"/>
            </w:tcBorders>
            <w:shd w:val="clear" w:color="000000" w:fill="FFCCFF"/>
            <w:noWrap/>
            <w:vAlign w:val="bottom"/>
            <w:hideMark/>
          </w:tcPr>
          <w:p w14:paraId="12822C5A"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Year</w:t>
            </w:r>
          </w:p>
        </w:tc>
        <w:tc>
          <w:tcPr>
            <w:tcW w:w="2346" w:type="dxa"/>
            <w:tcBorders>
              <w:top w:val="nil"/>
              <w:left w:val="nil"/>
              <w:bottom w:val="single" w:sz="4" w:space="0" w:color="auto"/>
              <w:right w:val="single" w:sz="4" w:space="0" w:color="auto"/>
            </w:tcBorders>
            <w:shd w:val="clear" w:color="000000" w:fill="FFCCFF"/>
            <w:noWrap/>
            <w:vAlign w:val="bottom"/>
            <w:hideMark/>
          </w:tcPr>
          <w:p w14:paraId="26EC41AD"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Formula</w:t>
            </w:r>
          </w:p>
        </w:tc>
        <w:tc>
          <w:tcPr>
            <w:tcW w:w="2757" w:type="dxa"/>
            <w:tcBorders>
              <w:top w:val="single" w:sz="4" w:space="0" w:color="auto"/>
              <w:left w:val="nil"/>
              <w:bottom w:val="single" w:sz="4" w:space="0" w:color="auto"/>
              <w:right w:val="single" w:sz="4" w:space="0" w:color="auto"/>
            </w:tcBorders>
            <w:shd w:val="clear" w:color="000000" w:fill="FFCCFF"/>
            <w:noWrap/>
            <w:vAlign w:val="bottom"/>
            <w:hideMark/>
          </w:tcPr>
          <w:p w14:paraId="50A0608A"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Discount factor</w:t>
            </w:r>
          </w:p>
        </w:tc>
        <w:tc>
          <w:tcPr>
            <w:tcW w:w="2204" w:type="dxa"/>
            <w:tcBorders>
              <w:top w:val="single" w:sz="4" w:space="0" w:color="auto"/>
              <w:left w:val="nil"/>
              <w:bottom w:val="single" w:sz="4" w:space="0" w:color="auto"/>
              <w:right w:val="single" w:sz="4" w:space="0" w:color="auto"/>
            </w:tcBorders>
            <w:shd w:val="clear" w:color="000000" w:fill="FFCCFF"/>
            <w:noWrap/>
            <w:vAlign w:val="bottom"/>
            <w:hideMark/>
          </w:tcPr>
          <w:p w14:paraId="33A46E0B"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PV</w:t>
            </w:r>
          </w:p>
        </w:tc>
      </w:tr>
      <w:tr w:rsidR="0081148D" w:rsidRPr="005E07B9" w14:paraId="2D494C13" w14:textId="77777777" w:rsidTr="00FD7774">
        <w:trPr>
          <w:trHeight w:val="517"/>
        </w:trPr>
        <w:tc>
          <w:tcPr>
            <w:tcW w:w="2530" w:type="dxa"/>
            <w:tcBorders>
              <w:top w:val="nil"/>
              <w:left w:val="single" w:sz="4" w:space="0" w:color="auto"/>
              <w:bottom w:val="single" w:sz="4" w:space="0" w:color="auto"/>
              <w:right w:val="single" w:sz="4" w:space="0" w:color="auto"/>
            </w:tcBorders>
            <w:shd w:val="clear" w:color="000000" w:fill="FFCCFF"/>
            <w:noWrap/>
            <w:vAlign w:val="bottom"/>
            <w:hideMark/>
          </w:tcPr>
          <w:p w14:paraId="16BB8586"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w:t>
            </w:r>
          </w:p>
        </w:tc>
        <w:tc>
          <w:tcPr>
            <w:tcW w:w="2346" w:type="dxa"/>
            <w:tcBorders>
              <w:top w:val="nil"/>
              <w:left w:val="nil"/>
              <w:bottom w:val="single" w:sz="4" w:space="0" w:color="auto"/>
              <w:right w:val="single" w:sz="4" w:space="0" w:color="auto"/>
            </w:tcBorders>
            <w:shd w:val="clear" w:color="000000" w:fill="FFCCFF"/>
            <w:noWrap/>
            <w:vAlign w:val="bottom"/>
            <w:hideMark/>
          </w:tcPr>
          <w:p w14:paraId="32FE2BE3"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[1/(1+20%)]^1</w:t>
            </w:r>
          </w:p>
        </w:tc>
        <w:tc>
          <w:tcPr>
            <w:tcW w:w="2757" w:type="dxa"/>
            <w:tcBorders>
              <w:top w:val="nil"/>
              <w:left w:val="nil"/>
              <w:bottom w:val="single" w:sz="4" w:space="0" w:color="auto"/>
              <w:right w:val="single" w:sz="4" w:space="0" w:color="auto"/>
            </w:tcBorders>
            <w:shd w:val="clear" w:color="000000" w:fill="FFCCFF"/>
            <w:noWrap/>
            <w:vAlign w:val="bottom"/>
            <w:hideMark/>
          </w:tcPr>
          <w:p w14:paraId="5BE684D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0.833333333</w:t>
            </w:r>
          </w:p>
        </w:tc>
        <w:tc>
          <w:tcPr>
            <w:tcW w:w="2204" w:type="dxa"/>
            <w:tcBorders>
              <w:top w:val="nil"/>
              <w:left w:val="nil"/>
              <w:bottom w:val="single" w:sz="4" w:space="0" w:color="auto"/>
              <w:right w:val="single" w:sz="4" w:space="0" w:color="auto"/>
            </w:tcBorders>
            <w:shd w:val="clear" w:color="000000" w:fill="FFCCFF"/>
            <w:noWrap/>
            <w:vAlign w:val="bottom"/>
            <w:hideMark/>
          </w:tcPr>
          <w:p w14:paraId="35843DF2"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8.333333333</w:t>
            </w:r>
          </w:p>
        </w:tc>
      </w:tr>
      <w:tr w:rsidR="0081148D" w:rsidRPr="005E07B9" w14:paraId="46B2C00A" w14:textId="77777777" w:rsidTr="00FD7774">
        <w:trPr>
          <w:trHeight w:val="517"/>
        </w:trPr>
        <w:tc>
          <w:tcPr>
            <w:tcW w:w="2530" w:type="dxa"/>
            <w:tcBorders>
              <w:top w:val="nil"/>
              <w:left w:val="single" w:sz="4" w:space="0" w:color="auto"/>
              <w:bottom w:val="single" w:sz="4" w:space="0" w:color="auto"/>
              <w:right w:val="single" w:sz="4" w:space="0" w:color="auto"/>
            </w:tcBorders>
            <w:shd w:val="clear" w:color="000000" w:fill="FFCCFF"/>
            <w:noWrap/>
            <w:vAlign w:val="bottom"/>
            <w:hideMark/>
          </w:tcPr>
          <w:p w14:paraId="6FF8429A"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w:t>
            </w:r>
          </w:p>
        </w:tc>
        <w:tc>
          <w:tcPr>
            <w:tcW w:w="2346" w:type="dxa"/>
            <w:tcBorders>
              <w:top w:val="nil"/>
              <w:left w:val="nil"/>
              <w:bottom w:val="single" w:sz="4" w:space="0" w:color="auto"/>
              <w:right w:val="single" w:sz="4" w:space="0" w:color="auto"/>
            </w:tcBorders>
            <w:shd w:val="clear" w:color="000000" w:fill="FFCCFF"/>
            <w:noWrap/>
            <w:vAlign w:val="bottom"/>
            <w:hideMark/>
          </w:tcPr>
          <w:p w14:paraId="221FF5A6"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[1/(1+20%)]^2</w:t>
            </w:r>
          </w:p>
        </w:tc>
        <w:tc>
          <w:tcPr>
            <w:tcW w:w="2757" w:type="dxa"/>
            <w:tcBorders>
              <w:top w:val="nil"/>
              <w:left w:val="nil"/>
              <w:bottom w:val="single" w:sz="4" w:space="0" w:color="auto"/>
              <w:right w:val="single" w:sz="4" w:space="0" w:color="auto"/>
            </w:tcBorders>
            <w:shd w:val="clear" w:color="000000" w:fill="FFCCFF"/>
            <w:noWrap/>
            <w:vAlign w:val="bottom"/>
            <w:hideMark/>
          </w:tcPr>
          <w:p w14:paraId="3F1FA3C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0.694444444</w:t>
            </w:r>
          </w:p>
        </w:tc>
        <w:tc>
          <w:tcPr>
            <w:tcW w:w="2204" w:type="dxa"/>
            <w:tcBorders>
              <w:top w:val="nil"/>
              <w:left w:val="nil"/>
              <w:bottom w:val="single" w:sz="4" w:space="0" w:color="auto"/>
              <w:right w:val="single" w:sz="4" w:space="0" w:color="auto"/>
            </w:tcBorders>
            <w:shd w:val="clear" w:color="000000" w:fill="FFCCFF"/>
            <w:noWrap/>
            <w:vAlign w:val="bottom"/>
            <w:hideMark/>
          </w:tcPr>
          <w:p w14:paraId="3BDA7477"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8.333333333</w:t>
            </w:r>
          </w:p>
        </w:tc>
      </w:tr>
      <w:tr w:rsidR="0081148D" w:rsidRPr="005E07B9" w14:paraId="56B03282" w14:textId="77777777" w:rsidTr="00FD7774">
        <w:trPr>
          <w:trHeight w:val="517"/>
        </w:trPr>
        <w:tc>
          <w:tcPr>
            <w:tcW w:w="2530" w:type="dxa"/>
            <w:tcBorders>
              <w:top w:val="nil"/>
              <w:left w:val="single" w:sz="4" w:space="0" w:color="auto"/>
              <w:bottom w:val="single" w:sz="4" w:space="0" w:color="auto"/>
              <w:right w:val="single" w:sz="4" w:space="0" w:color="auto"/>
            </w:tcBorders>
            <w:shd w:val="clear" w:color="000000" w:fill="FFCCFF"/>
            <w:noWrap/>
            <w:vAlign w:val="bottom"/>
            <w:hideMark/>
          </w:tcPr>
          <w:p w14:paraId="527E0C0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w:t>
            </w:r>
          </w:p>
        </w:tc>
        <w:tc>
          <w:tcPr>
            <w:tcW w:w="2346" w:type="dxa"/>
            <w:tcBorders>
              <w:top w:val="nil"/>
              <w:left w:val="nil"/>
              <w:bottom w:val="single" w:sz="4" w:space="0" w:color="auto"/>
              <w:right w:val="single" w:sz="4" w:space="0" w:color="auto"/>
            </w:tcBorders>
            <w:shd w:val="clear" w:color="000000" w:fill="FFCCFF"/>
            <w:noWrap/>
            <w:vAlign w:val="bottom"/>
            <w:hideMark/>
          </w:tcPr>
          <w:p w14:paraId="48A17FC7"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[1/(1+20%)]^3</w:t>
            </w:r>
          </w:p>
        </w:tc>
        <w:tc>
          <w:tcPr>
            <w:tcW w:w="2757" w:type="dxa"/>
            <w:tcBorders>
              <w:top w:val="nil"/>
              <w:left w:val="nil"/>
              <w:bottom w:val="single" w:sz="4" w:space="0" w:color="auto"/>
              <w:right w:val="single" w:sz="4" w:space="0" w:color="auto"/>
            </w:tcBorders>
            <w:shd w:val="clear" w:color="000000" w:fill="FFCCFF"/>
            <w:noWrap/>
            <w:vAlign w:val="bottom"/>
            <w:hideMark/>
          </w:tcPr>
          <w:p w14:paraId="76AFD772"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0.578703704</w:t>
            </w:r>
          </w:p>
        </w:tc>
        <w:tc>
          <w:tcPr>
            <w:tcW w:w="2204" w:type="dxa"/>
            <w:tcBorders>
              <w:top w:val="nil"/>
              <w:left w:val="nil"/>
              <w:bottom w:val="single" w:sz="4" w:space="0" w:color="auto"/>
              <w:right w:val="single" w:sz="4" w:space="0" w:color="auto"/>
            </w:tcBorders>
            <w:shd w:val="clear" w:color="000000" w:fill="FFCCFF"/>
            <w:noWrap/>
            <w:vAlign w:val="bottom"/>
            <w:hideMark/>
          </w:tcPr>
          <w:p w14:paraId="52E92EA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8.101851852</w:t>
            </w:r>
          </w:p>
        </w:tc>
      </w:tr>
      <w:tr w:rsidR="0081148D" w:rsidRPr="005E07B9" w14:paraId="2E79E691" w14:textId="77777777" w:rsidTr="00FD7774">
        <w:trPr>
          <w:trHeight w:val="517"/>
        </w:trPr>
        <w:tc>
          <w:tcPr>
            <w:tcW w:w="2530" w:type="dxa"/>
            <w:tcBorders>
              <w:top w:val="nil"/>
              <w:left w:val="single" w:sz="4" w:space="0" w:color="auto"/>
              <w:bottom w:val="single" w:sz="4" w:space="0" w:color="auto"/>
              <w:right w:val="single" w:sz="4" w:space="0" w:color="auto"/>
            </w:tcBorders>
            <w:shd w:val="clear" w:color="000000" w:fill="FFCCFF"/>
            <w:noWrap/>
            <w:vAlign w:val="bottom"/>
            <w:hideMark/>
          </w:tcPr>
          <w:p w14:paraId="408E7DA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w:t>
            </w:r>
          </w:p>
        </w:tc>
        <w:tc>
          <w:tcPr>
            <w:tcW w:w="2346" w:type="dxa"/>
            <w:tcBorders>
              <w:top w:val="nil"/>
              <w:left w:val="nil"/>
              <w:bottom w:val="single" w:sz="4" w:space="0" w:color="auto"/>
              <w:right w:val="single" w:sz="4" w:space="0" w:color="auto"/>
            </w:tcBorders>
            <w:shd w:val="clear" w:color="000000" w:fill="FFCCFF"/>
            <w:noWrap/>
            <w:vAlign w:val="bottom"/>
            <w:hideMark/>
          </w:tcPr>
          <w:p w14:paraId="3576E34E"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[1/(1+20%)]^4</w:t>
            </w:r>
          </w:p>
        </w:tc>
        <w:tc>
          <w:tcPr>
            <w:tcW w:w="2757" w:type="dxa"/>
            <w:tcBorders>
              <w:top w:val="nil"/>
              <w:left w:val="nil"/>
              <w:bottom w:val="single" w:sz="4" w:space="0" w:color="auto"/>
              <w:right w:val="single" w:sz="4" w:space="0" w:color="auto"/>
            </w:tcBorders>
            <w:shd w:val="clear" w:color="000000" w:fill="FFCCFF"/>
            <w:noWrap/>
            <w:vAlign w:val="bottom"/>
            <w:hideMark/>
          </w:tcPr>
          <w:p w14:paraId="2CFB024D"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0.482253086</w:t>
            </w:r>
          </w:p>
        </w:tc>
        <w:tc>
          <w:tcPr>
            <w:tcW w:w="2204" w:type="dxa"/>
            <w:tcBorders>
              <w:top w:val="nil"/>
              <w:left w:val="nil"/>
              <w:bottom w:val="single" w:sz="4" w:space="0" w:color="auto"/>
              <w:right w:val="single" w:sz="4" w:space="0" w:color="auto"/>
            </w:tcBorders>
            <w:shd w:val="clear" w:color="000000" w:fill="FFCCFF"/>
            <w:noWrap/>
            <w:vAlign w:val="bottom"/>
            <w:hideMark/>
          </w:tcPr>
          <w:p w14:paraId="34940B15"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4.822530864</w:t>
            </w:r>
          </w:p>
        </w:tc>
      </w:tr>
      <w:tr w:rsidR="0081148D" w:rsidRPr="005E07B9" w14:paraId="314F4AF2" w14:textId="77777777" w:rsidTr="00FD7774">
        <w:trPr>
          <w:trHeight w:val="517"/>
        </w:trPr>
        <w:tc>
          <w:tcPr>
            <w:tcW w:w="2530" w:type="dxa"/>
            <w:tcBorders>
              <w:top w:val="nil"/>
              <w:left w:val="single" w:sz="4" w:space="0" w:color="auto"/>
              <w:bottom w:val="single" w:sz="4" w:space="0" w:color="auto"/>
              <w:right w:val="single" w:sz="4" w:space="0" w:color="auto"/>
            </w:tcBorders>
            <w:shd w:val="clear" w:color="000000" w:fill="FFCCFF"/>
            <w:noWrap/>
            <w:vAlign w:val="bottom"/>
            <w:hideMark/>
          </w:tcPr>
          <w:p w14:paraId="158F1C86"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2346" w:type="dxa"/>
            <w:tcBorders>
              <w:top w:val="nil"/>
              <w:left w:val="nil"/>
              <w:bottom w:val="single" w:sz="4" w:space="0" w:color="auto"/>
              <w:right w:val="single" w:sz="4" w:space="0" w:color="auto"/>
            </w:tcBorders>
            <w:shd w:val="clear" w:color="000000" w:fill="FFCCFF"/>
            <w:noWrap/>
            <w:vAlign w:val="bottom"/>
            <w:hideMark/>
          </w:tcPr>
          <w:p w14:paraId="2E45FDF9"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[1/(1+20%)]^5</w:t>
            </w:r>
          </w:p>
        </w:tc>
        <w:tc>
          <w:tcPr>
            <w:tcW w:w="2757" w:type="dxa"/>
            <w:tcBorders>
              <w:top w:val="nil"/>
              <w:left w:val="nil"/>
              <w:bottom w:val="single" w:sz="4" w:space="0" w:color="auto"/>
              <w:right w:val="single" w:sz="4" w:space="0" w:color="auto"/>
            </w:tcBorders>
            <w:shd w:val="clear" w:color="000000" w:fill="FFCCFF"/>
            <w:noWrap/>
            <w:vAlign w:val="bottom"/>
            <w:hideMark/>
          </w:tcPr>
          <w:p w14:paraId="4E2D0343"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0.401877572</w:t>
            </w:r>
          </w:p>
        </w:tc>
        <w:tc>
          <w:tcPr>
            <w:tcW w:w="2204" w:type="dxa"/>
            <w:tcBorders>
              <w:top w:val="nil"/>
              <w:left w:val="nil"/>
              <w:bottom w:val="single" w:sz="4" w:space="0" w:color="auto"/>
              <w:right w:val="single" w:sz="4" w:space="0" w:color="auto"/>
            </w:tcBorders>
            <w:shd w:val="clear" w:color="000000" w:fill="FFCCFF"/>
            <w:noWrap/>
            <w:vAlign w:val="bottom"/>
            <w:hideMark/>
          </w:tcPr>
          <w:p w14:paraId="2FE2F7F5"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3.215020576</w:t>
            </w:r>
          </w:p>
        </w:tc>
      </w:tr>
      <w:tr w:rsidR="0081148D" w:rsidRPr="005E07B9" w14:paraId="3F7CA919" w14:textId="77777777" w:rsidTr="00FD7774">
        <w:trPr>
          <w:trHeight w:val="517"/>
        </w:trPr>
        <w:tc>
          <w:tcPr>
            <w:tcW w:w="2530" w:type="dxa"/>
            <w:tcBorders>
              <w:top w:val="nil"/>
              <w:left w:val="single" w:sz="4" w:space="0" w:color="auto"/>
              <w:bottom w:val="single" w:sz="4" w:space="0" w:color="auto"/>
              <w:right w:val="single" w:sz="4" w:space="0" w:color="auto"/>
            </w:tcBorders>
            <w:shd w:val="clear" w:color="000000" w:fill="FFCCFF"/>
            <w:noWrap/>
            <w:vAlign w:val="bottom"/>
            <w:hideMark/>
          </w:tcPr>
          <w:p w14:paraId="49FAF0B1"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c>
          <w:tcPr>
            <w:tcW w:w="2346" w:type="dxa"/>
            <w:tcBorders>
              <w:top w:val="nil"/>
              <w:left w:val="nil"/>
              <w:bottom w:val="single" w:sz="4" w:space="0" w:color="auto"/>
              <w:right w:val="single" w:sz="4" w:space="0" w:color="auto"/>
            </w:tcBorders>
            <w:shd w:val="clear" w:color="000000" w:fill="FFCCFF"/>
            <w:noWrap/>
            <w:vAlign w:val="bottom"/>
            <w:hideMark/>
          </w:tcPr>
          <w:p w14:paraId="3AF09AC8"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c>
          <w:tcPr>
            <w:tcW w:w="2757" w:type="dxa"/>
            <w:tcBorders>
              <w:top w:val="nil"/>
              <w:left w:val="nil"/>
              <w:bottom w:val="single" w:sz="4" w:space="0" w:color="auto"/>
              <w:right w:val="single" w:sz="4" w:space="0" w:color="auto"/>
            </w:tcBorders>
            <w:shd w:val="clear" w:color="000000" w:fill="FFCCFF"/>
            <w:noWrap/>
            <w:vAlign w:val="bottom"/>
            <w:hideMark/>
          </w:tcPr>
          <w:p w14:paraId="3B6EB463"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c>
          <w:tcPr>
            <w:tcW w:w="2204" w:type="dxa"/>
            <w:tcBorders>
              <w:top w:val="nil"/>
              <w:left w:val="nil"/>
              <w:bottom w:val="single" w:sz="4" w:space="0" w:color="auto"/>
              <w:right w:val="single" w:sz="4" w:space="0" w:color="auto"/>
            </w:tcBorders>
            <w:shd w:val="clear" w:color="000000" w:fill="FFCCFF"/>
            <w:noWrap/>
            <w:vAlign w:val="bottom"/>
            <w:hideMark/>
          </w:tcPr>
          <w:p w14:paraId="210B099E"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32.80606996</w:t>
            </w:r>
          </w:p>
        </w:tc>
      </w:tr>
      <w:tr w:rsidR="0081148D" w:rsidRPr="005E07B9" w14:paraId="74FF425B" w14:textId="77777777" w:rsidTr="00FD7774">
        <w:trPr>
          <w:trHeight w:val="517"/>
        </w:trPr>
        <w:tc>
          <w:tcPr>
            <w:tcW w:w="2530" w:type="dxa"/>
            <w:tcBorders>
              <w:top w:val="nil"/>
              <w:left w:val="single" w:sz="4" w:space="0" w:color="auto"/>
              <w:bottom w:val="single" w:sz="4" w:space="0" w:color="auto"/>
              <w:right w:val="single" w:sz="4" w:space="0" w:color="auto"/>
            </w:tcBorders>
            <w:shd w:val="clear" w:color="000000" w:fill="FFCCFF"/>
            <w:noWrap/>
            <w:vAlign w:val="bottom"/>
            <w:hideMark/>
          </w:tcPr>
          <w:p w14:paraId="2C6FEE7D"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NPV</w:t>
            </w:r>
          </w:p>
        </w:tc>
        <w:tc>
          <w:tcPr>
            <w:tcW w:w="2346" w:type="dxa"/>
            <w:tcBorders>
              <w:top w:val="nil"/>
              <w:left w:val="nil"/>
              <w:bottom w:val="single" w:sz="4" w:space="0" w:color="auto"/>
              <w:right w:val="single" w:sz="4" w:space="0" w:color="auto"/>
            </w:tcBorders>
            <w:shd w:val="clear" w:color="000000" w:fill="FFCCFF"/>
            <w:noWrap/>
            <w:vAlign w:val="bottom"/>
            <w:hideMark/>
          </w:tcPr>
          <w:p w14:paraId="5D1CF30C"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-7.193930041</w:t>
            </w:r>
          </w:p>
        </w:tc>
        <w:tc>
          <w:tcPr>
            <w:tcW w:w="2757" w:type="dxa"/>
            <w:tcBorders>
              <w:top w:val="nil"/>
              <w:left w:val="nil"/>
              <w:bottom w:val="single" w:sz="4" w:space="0" w:color="auto"/>
              <w:right w:val="single" w:sz="4" w:space="0" w:color="auto"/>
            </w:tcBorders>
            <w:shd w:val="clear" w:color="000000" w:fill="FFCCFF"/>
            <w:noWrap/>
            <w:vAlign w:val="bottom"/>
            <w:hideMark/>
          </w:tcPr>
          <w:p w14:paraId="3AA4F1B2"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c>
          <w:tcPr>
            <w:tcW w:w="2204" w:type="dxa"/>
            <w:tcBorders>
              <w:top w:val="nil"/>
              <w:left w:val="nil"/>
              <w:bottom w:val="single" w:sz="4" w:space="0" w:color="auto"/>
              <w:right w:val="single" w:sz="4" w:space="0" w:color="auto"/>
            </w:tcBorders>
            <w:shd w:val="clear" w:color="000000" w:fill="FFCCFF"/>
            <w:noWrap/>
            <w:vAlign w:val="bottom"/>
            <w:hideMark/>
          </w:tcPr>
          <w:p w14:paraId="64D90770"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r>
      <w:tr w:rsidR="0081148D" w:rsidRPr="005E07B9" w14:paraId="592030BC" w14:textId="77777777" w:rsidTr="00FD7774">
        <w:trPr>
          <w:trHeight w:val="517"/>
        </w:trPr>
        <w:tc>
          <w:tcPr>
            <w:tcW w:w="2530" w:type="dxa"/>
            <w:tcBorders>
              <w:top w:val="nil"/>
              <w:left w:val="single" w:sz="4" w:space="0" w:color="auto"/>
              <w:bottom w:val="single" w:sz="4" w:space="0" w:color="auto"/>
              <w:right w:val="single" w:sz="4" w:space="0" w:color="auto"/>
            </w:tcBorders>
            <w:shd w:val="clear" w:color="000000" w:fill="FFCCFF"/>
            <w:noWrap/>
            <w:vAlign w:val="bottom"/>
            <w:hideMark/>
          </w:tcPr>
          <w:p w14:paraId="7FA181C2"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Discount rate</w:t>
            </w:r>
          </w:p>
        </w:tc>
        <w:tc>
          <w:tcPr>
            <w:tcW w:w="2346" w:type="dxa"/>
            <w:tcBorders>
              <w:top w:val="nil"/>
              <w:left w:val="nil"/>
              <w:bottom w:val="single" w:sz="4" w:space="0" w:color="auto"/>
              <w:right w:val="single" w:sz="4" w:space="0" w:color="auto"/>
            </w:tcBorders>
            <w:shd w:val="clear" w:color="000000" w:fill="FFCCFF"/>
            <w:noWrap/>
            <w:vAlign w:val="bottom"/>
            <w:hideMark/>
          </w:tcPr>
          <w:p w14:paraId="71FBF479"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10%</w:t>
            </w:r>
          </w:p>
        </w:tc>
        <w:tc>
          <w:tcPr>
            <w:tcW w:w="2757" w:type="dxa"/>
            <w:tcBorders>
              <w:top w:val="nil"/>
              <w:left w:val="nil"/>
              <w:bottom w:val="single" w:sz="4" w:space="0" w:color="auto"/>
              <w:right w:val="single" w:sz="4" w:space="0" w:color="auto"/>
            </w:tcBorders>
            <w:shd w:val="clear" w:color="000000" w:fill="FFCCFF"/>
            <w:noWrap/>
            <w:vAlign w:val="bottom"/>
            <w:hideMark/>
          </w:tcPr>
          <w:p w14:paraId="69DEAFAE"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20%</w:t>
            </w:r>
          </w:p>
        </w:tc>
        <w:tc>
          <w:tcPr>
            <w:tcW w:w="2204" w:type="dxa"/>
            <w:tcBorders>
              <w:top w:val="nil"/>
              <w:left w:val="nil"/>
              <w:bottom w:val="nil"/>
              <w:right w:val="nil"/>
            </w:tcBorders>
            <w:noWrap/>
            <w:vAlign w:val="bottom"/>
            <w:hideMark/>
          </w:tcPr>
          <w:p w14:paraId="1F068B71"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729330FD" w14:textId="77777777" w:rsidTr="00FD7774">
        <w:trPr>
          <w:trHeight w:val="517"/>
        </w:trPr>
        <w:tc>
          <w:tcPr>
            <w:tcW w:w="2530" w:type="dxa"/>
            <w:tcBorders>
              <w:top w:val="nil"/>
              <w:left w:val="single" w:sz="4" w:space="0" w:color="auto"/>
              <w:bottom w:val="single" w:sz="4" w:space="0" w:color="auto"/>
              <w:right w:val="single" w:sz="4" w:space="0" w:color="auto"/>
            </w:tcBorders>
            <w:shd w:val="clear" w:color="000000" w:fill="FFCCFF"/>
            <w:noWrap/>
            <w:vAlign w:val="bottom"/>
            <w:hideMark/>
          </w:tcPr>
          <w:p w14:paraId="42FA8F76"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NPV</w:t>
            </w:r>
          </w:p>
        </w:tc>
        <w:tc>
          <w:tcPr>
            <w:tcW w:w="2346" w:type="dxa"/>
            <w:tcBorders>
              <w:top w:val="nil"/>
              <w:left w:val="nil"/>
              <w:bottom w:val="single" w:sz="4" w:space="0" w:color="auto"/>
              <w:right w:val="single" w:sz="4" w:space="0" w:color="auto"/>
            </w:tcBorders>
            <w:shd w:val="clear" w:color="000000" w:fill="FFCCFF"/>
            <w:noWrap/>
            <w:vAlign w:val="bottom"/>
            <w:hideMark/>
          </w:tcPr>
          <w:p w14:paraId="215E82AD"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1.324176814</w:t>
            </w:r>
          </w:p>
        </w:tc>
        <w:tc>
          <w:tcPr>
            <w:tcW w:w="2757" w:type="dxa"/>
            <w:tcBorders>
              <w:top w:val="nil"/>
              <w:left w:val="nil"/>
              <w:bottom w:val="single" w:sz="4" w:space="0" w:color="auto"/>
              <w:right w:val="single" w:sz="4" w:space="0" w:color="auto"/>
            </w:tcBorders>
            <w:shd w:val="clear" w:color="000000" w:fill="FFCCFF"/>
            <w:noWrap/>
            <w:vAlign w:val="bottom"/>
            <w:hideMark/>
          </w:tcPr>
          <w:p w14:paraId="41C7F466"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-7.193930041</w:t>
            </w:r>
          </w:p>
        </w:tc>
        <w:tc>
          <w:tcPr>
            <w:tcW w:w="2204" w:type="dxa"/>
            <w:tcBorders>
              <w:top w:val="nil"/>
              <w:left w:val="nil"/>
              <w:bottom w:val="nil"/>
              <w:right w:val="nil"/>
            </w:tcBorders>
            <w:noWrap/>
            <w:vAlign w:val="bottom"/>
            <w:hideMark/>
          </w:tcPr>
          <w:p w14:paraId="2EF7C6D2"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69898432" w14:textId="77777777" w:rsidTr="00FD7774">
        <w:trPr>
          <w:trHeight w:val="517"/>
        </w:trPr>
        <w:tc>
          <w:tcPr>
            <w:tcW w:w="2530" w:type="dxa"/>
            <w:vMerge w:val="restart"/>
            <w:tcBorders>
              <w:top w:val="nil"/>
              <w:left w:val="single" w:sz="4" w:space="0" w:color="auto"/>
              <w:bottom w:val="single" w:sz="4" w:space="0" w:color="000000"/>
              <w:right w:val="single" w:sz="4" w:space="0" w:color="auto"/>
            </w:tcBorders>
            <w:shd w:val="clear" w:color="000000" w:fill="FFCCFF"/>
            <w:noWrap/>
            <w:vAlign w:val="center"/>
            <w:hideMark/>
          </w:tcPr>
          <w:p w14:paraId="13CB5DC9"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IRR</w:t>
            </w:r>
          </w:p>
        </w:tc>
        <w:tc>
          <w:tcPr>
            <w:tcW w:w="2346" w:type="dxa"/>
            <w:tcBorders>
              <w:top w:val="nil"/>
              <w:left w:val="nil"/>
              <w:bottom w:val="single" w:sz="4" w:space="0" w:color="auto"/>
              <w:right w:val="single" w:sz="4" w:space="0" w:color="auto"/>
            </w:tcBorders>
            <w:shd w:val="clear" w:color="000000" w:fill="FFCCFF"/>
            <w:noWrap/>
            <w:vAlign w:val="bottom"/>
            <w:hideMark/>
          </w:tcPr>
          <w:p w14:paraId="7BD9B5DE"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0.115545436</w:t>
            </w:r>
          </w:p>
        </w:tc>
        <w:tc>
          <w:tcPr>
            <w:tcW w:w="2757" w:type="dxa"/>
            <w:tcBorders>
              <w:top w:val="nil"/>
              <w:left w:val="nil"/>
              <w:bottom w:val="nil"/>
              <w:right w:val="nil"/>
            </w:tcBorders>
            <w:noWrap/>
            <w:vAlign w:val="bottom"/>
            <w:hideMark/>
          </w:tcPr>
          <w:p w14:paraId="6A22FB49" w14:textId="77777777" w:rsidR="0081148D" w:rsidRPr="005E07B9" w:rsidRDefault="0081148D" w:rsidP="005E07B9">
            <w:pPr>
              <w:spacing w:after="0"/>
              <w:jc w:val="right"/>
              <w:rPr>
                <w:rFonts w:eastAsia="Times New Roman" w:cs="Arial"/>
                <w:color w:val="000000"/>
                <w:kern w:val="0"/>
                <w:lang w:eastAsia="en-IN"/>
                <w14:ligatures w14:val="none"/>
              </w:rPr>
            </w:pPr>
          </w:p>
        </w:tc>
        <w:tc>
          <w:tcPr>
            <w:tcW w:w="2204" w:type="dxa"/>
            <w:tcBorders>
              <w:top w:val="nil"/>
              <w:left w:val="nil"/>
              <w:bottom w:val="nil"/>
              <w:right w:val="nil"/>
            </w:tcBorders>
            <w:noWrap/>
            <w:vAlign w:val="bottom"/>
            <w:hideMark/>
          </w:tcPr>
          <w:p w14:paraId="5B0F0040" w14:textId="77777777" w:rsidR="0081148D" w:rsidRPr="005E07B9" w:rsidRDefault="0081148D" w:rsidP="005E07B9">
            <w:pPr>
              <w:spacing w:after="0"/>
              <w:jc w:val="left"/>
              <w:rPr>
                <w:rFonts w:eastAsia="Times New Roman" w:cs="Arial"/>
                <w:kern w:val="0"/>
                <w:lang w:eastAsia="en-IN"/>
                <w14:ligatures w14:val="none"/>
              </w:rPr>
            </w:pPr>
          </w:p>
        </w:tc>
      </w:tr>
      <w:tr w:rsidR="0081148D" w:rsidRPr="005E07B9" w14:paraId="53253070" w14:textId="77777777" w:rsidTr="00FD7774">
        <w:trPr>
          <w:trHeight w:val="517"/>
        </w:trPr>
        <w:tc>
          <w:tcPr>
            <w:tcW w:w="2530" w:type="dxa"/>
            <w:vMerge/>
            <w:tcBorders>
              <w:top w:val="nil"/>
              <w:left w:val="single" w:sz="4" w:space="0" w:color="auto"/>
              <w:bottom w:val="single" w:sz="4" w:space="0" w:color="000000"/>
              <w:right w:val="single" w:sz="4" w:space="0" w:color="auto"/>
            </w:tcBorders>
            <w:vAlign w:val="center"/>
            <w:hideMark/>
          </w:tcPr>
          <w:p w14:paraId="5BA1500C" w14:textId="77777777" w:rsidR="0081148D" w:rsidRPr="005E07B9" w:rsidRDefault="0081148D" w:rsidP="005E07B9">
            <w:pPr>
              <w:spacing w:after="0"/>
              <w:jc w:val="left"/>
              <w:rPr>
                <w:rFonts w:eastAsia="Times New Roman" w:cs="Arial"/>
                <w:b/>
                <w:bCs/>
                <w:color w:val="000000"/>
                <w:kern w:val="0"/>
                <w:lang w:eastAsia="en-IN"/>
                <w14:ligatures w14:val="none"/>
              </w:rPr>
            </w:pPr>
          </w:p>
        </w:tc>
        <w:tc>
          <w:tcPr>
            <w:tcW w:w="2346" w:type="dxa"/>
            <w:tcBorders>
              <w:top w:val="nil"/>
              <w:left w:val="nil"/>
              <w:bottom w:val="single" w:sz="4" w:space="0" w:color="auto"/>
              <w:right w:val="single" w:sz="4" w:space="0" w:color="auto"/>
            </w:tcBorders>
            <w:shd w:val="clear" w:color="000000" w:fill="FFCCFF"/>
            <w:noWrap/>
            <w:vAlign w:val="bottom"/>
            <w:hideMark/>
          </w:tcPr>
          <w:p w14:paraId="5688CD0D"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11.55454356</w:t>
            </w:r>
          </w:p>
        </w:tc>
        <w:tc>
          <w:tcPr>
            <w:tcW w:w="2757" w:type="dxa"/>
            <w:tcBorders>
              <w:top w:val="nil"/>
              <w:left w:val="nil"/>
              <w:bottom w:val="nil"/>
              <w:right w:val="nil"/>
            </w:tcBorders>
            <w:noWrap/>
            <w:vAlign w:val="bottom"/>
            <w:hideMark/>
          </w:tcPr>
          <w:p w14:paraId="592F4CC1" w14:textId="77777777" w:rsidR="0081148D" w:rsidRPr="005E07B9" w:rsidRDefault="0081148D" w:rsidP="005E07B9">
            <w:pPr>
              <w:spacing w:after="0"/>
              <w:jc w:val="right"/>
              <w:rPr>
                <w:rFonts w:eastAsia="Times New Roman" w:cs="Arial"/>
                <w:b/>
                <w:bCs/>
                <w:color w:val="000000"/>
                <w:kern w:val="0"/>
                <w:lang w:eastAsia="en-IN"/>
                <w14:ligatures w14:val="none"/>
              </w:rPr>
            </w:pPr>
          </w:p>
        </w:tc>
        <w:tc>
          <w:tcPr>
            <w:tcW w:w="2204" w:type="dxa"/>
            <w:tcBorders>
              <w:top w:val="nil"/>
              <w:left w:val="nil"/>
              <w:bottom w:val="nil"/>
              <w:right w:val="nil"/>
            </w:tcBorders>
            <w:noWrap/>
            <w:vAlign w:val="bottom"/>
            <w:hideMark/>
          </w:tcPr>
          <w:p w14:paraId="06A06A93" w14:textId="77777777" w:rsidR="0081148D" w:rsidRPr="005E07B9" w:rsidRDefault="0081148D" w:rsidP="005E07B9">
            <w:pPr>
              <w:spacing w:after="0"/>
              <w:jc w:val="left"/>
              <w:rPr>
                <w:rFonts w:eastAsia="Times New Roman" w:cs="Arial"/>
                <w:kern w:val="0"/>
                <w:lang w:eastAsia="en-IN"/>
                <w14:ligatures w14:val="none"/>
              </w:rPr>
            </w:pPr>
          </w:p>
        </w:tc>
      </w:tr>
    </w:tbl>
    <w:p w14:paraId="54C02AE1" w14:textId="77777777" w:rsidR="0081148D" w:rsidRPr="005E07B9" w:rsidRDefault="0081148D" w:rsidP="005E07B9">
      <w:pPr>
        <w:rPr>
          <w:rFonts w:cs="Arial"/>
          <w:lang w:val="en-GB"/>
        </w:rPr>
      </w:pPr>
    </w:p>
    <w:p w14:paraId="6B39CCAE" w14:textId="77777777" w:rsidR="0081148D" w:rsidRPr="005E07B9" w:rsidRDefault="0081148D" w:rsidP="005E07B9">
      <w:pPr>
        <w:rPr>
          <w:rFonts w:cs="Arial"/>
          <w:b/>
          <w:bCs/>
          <w:lang w:val="en-GB"/>
        </w:rPr>
      </w:pPr>
      <w:r w:rsidRPr="005E07B9">
        <w:rPr>
          <w:rFonts w:cs="Arial"/>
          <w:b/>
          <w:bCs/>
          <w:lang w:val="en-GB"/>
        </w:rPr>
        <w:t>Project B</w:t>
      </w:r>
    </w:p>
    <w:tbl>
      <w:tblPr>
        <w:tblW w:w="8180" w:type="dxa"/>
        <w:tblLook w:val="04A0" w:firstRow="1" w:lastRow="0" w:firstColumn="1" w:lastColumn="0" w:noHBand="0" w:noVBand="1"/>
      </w:tblPr>
      <w:tblGrid>
        <w:gridCol w:w="3646"/>
        <w:gridCol w:w="1457"/>
        <w:gridCol w:w="3077"/>
      </w:tblGrid>
      <w:tr w:rsidR="0081148D" w:rsidRPr="005E07B9" w14:paraId="558DE249" w14:textId="77777777" w:rsidTr="00FD7774">
        <w:trPr>
          <w:trHeight w:val="420"/>
        </w:trPr>
        <w:tc>
          <w:tcPr>
            <w:tcW w:w="8180" w:type="dxa"/>
            <w:gridSpan w:val="3"/>
            <w:tcBorders>
              <w:top w:val="nil"/>
              <w:left w:val="nil"/>
              <w:bottom w:val="nil"/>
              <w:right w:val="nil"/>
            </w:tcBorders>
            <w:shd w:val="clear" w:color="000000" w:fill="99CCFF"/>
            <w:noWrap/>
            <w:vAlign w:val="bottom"/>
            <w:hideMark/>
          </w:tcPr>
          <w:p w14:paraId="236E3256"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PBP</w:t>
            </w:r>
          </w:p>
        </w:tc>
      </w:tr>
      <w:tr w:rsidR="0081148D" w:rsidRPr="005E07B9" w14:paraId="4E11923A" w14:textId="77777777" w:rsidTr="00FD7774">
        <w:trPr>
          <w:trHeight w:val="420"/>
        </w:trPr>
        <w:tc>
          <w:tcPr>
            <w:tcW w:w="3646" w:type="dxa"/>
            <w:tcBorders>
              <w:top w:val="single" w:sz="4" w:space="0" w:color="auto"/>
              <w:left w:val="single" w:sz="4" w:space="0" w:color="auto"/>
              <w:bottom w:val="single" w:sz="4" w:space="0" w:color="auto"/>
              <w:right w:val="single" w:sz="4" w:space="0" w:color="auto"/>
            </w:tcBorders>
            <w:shd w:val="clear" w:color="000000" w:fill="CCECFF"/>
            <w:noWrap/>
            <w:vAlign w:val="bottom"/>
            <w:hideMark/>
          </w:tcPr>
          <w:p w14:paraId="3F2EEA94"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Year</w:t>
            </w:r>
          </w:p>
        </w:tc>
        <w:tc>
          <w:tcPr>
            <w:tcW w:w="1457" w:type="dxa"/>
            <w:tcBorders>
              <w:top w:val="single" w:sz="4" w:space="0" w:color="auto"/>
              <w:left w:val="nil"/>
              <w:bottom w:val="single" w:sz="4" w:space="0" w:color="auto"/>
              <w:right w:val="single" w:sz="4" w:space="0" w:color="auto"/>
            </w:tcBorders>
            <w:shd w:val="clear" w:color="000000" w:fill="CCECFF"/>
            <w:noWrap/>
            <w:vAlign w:val="bottom"/>
            <w:hideMark/>
          </w:tcPr>
          <w:p w14:paraId="05EA045D"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xml:space="preserve">Cash Flow </w:t>
            </w:r>
          </w:p>
        </w:tc>
        <w:tc>
          <w:tcPr>
            <w:tcW w:w="3077" w:type="dxa"/>
            <w:tcBorders>
              <w:top w:val="single" w:sz="4" w:space="0" w:color="auto"/>
              <w:left w:val="nil"/>
              <w:bottom w:val="single" w:sz="4" w:space="0" w:color="auto"/>
              <w:right w:val="single" w:sz="4" w:space="0" w:color="auto"/>
            </w:tcBorders>
            <w:shd w:val="clear" w:color="000000" w:fill="CCECFF"/>
            <w:noWrap/>
            <w:vAlign w:val="bottom"/>
            <w:hideMark/>
          </w:tcPr>
          <w:p w14:paraId="7DB61A08"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Cumulative Cashflow</w:t>
            </w:r>
          </w:p>
        </w:tc>
      </w:tr>
      <w:tr w:rsidR="0081148D" w:rsidRPr="005E07B9" w14:paraId="44A2ADC6" w14:textId="77777777" w:rsidTr="00FD7774">
        <w:trPr>
          <w:trHeight w:val="420"/>
        </w:trPr>
        <w:tc>
          <w:tcPr>
            <w:tcW w:w="3646" w:type="dxa"/>
            <w:tcBorders>
              <w:top w:val="nil"/>
              <w:left w:val="single" w:sz="4" w:space="0" w:color="auto"/>
              <w:bottom w:val="single" w:sz="4" w:space="0" w:color="auto"/>
              <w:right w:val="single" w:sz="4" w:space="0" w:color="auto"/>
            </w:tcBorders>
            <w:shd w:val="clear" w:color="000000" w:fill="CCECFF"/>
            <w:noWrap/>
            <w:vAlign w:val="bottom"/>
            <w:hideMark/>
          </w:tcPr>
          <w:p w14:paraId="13239583"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w:t>
            </w:r>
          </w:p>
        </w:tc>
        <w:tc>
          <w:tcPr>
            <w:tcW w:w="1457" w:type="dxa"/>
            <w:tcBorders>
              <w:top w:val="nil"/>
              <w:left w:val="nil"/>
              <w:bottom w:val="single" w:sz="4" w:space="0" w:color="auto"/>
              <w:right w:val="single" w:sz="4" w:space="0" w:color="auto"/>
            </w:tcBorders>
            <w:shd w:val="clear" w:color="000000" w:fill="CCECFF"/>
            <w:noWrap/>
            <w:vAlign w:val="bottom"/>
            <w:hideMark/>
          </w:tcPr>
          <w:p w14:paraId="572B7F48"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c>
          <w:tcPr>
            <w:tcW w:w="3077" w:type="dxa"/>
            <w:tcBorders>
              <w:top w:val="nil"/>
              <w:left w:val="nil"/>
              <w:bottom w:val="single" w:sz="4" w:space="0" w:color="auto"/>
              <w:right w:val="single" w:sz="4" w:space="0" w:color="auto"/>
            </w:tcBorders>
            <w:shd w:val="clear" w:color="000000" w:fill="CCECFF"/>
            <w:noWrap/>
            <w:vAlign w:val="bottom"/>
            <w:hideMark/>
          </w:tcPr>
          <w:p w14:paraId="3ABECBF1"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r>
      <w:tr w:rsidR="0081148D" w:rsidRPr="005E07B9" w14:paraId="04CCB2E8" w14:textId="77777777" w:rsidTr="00FD7774">
        <w:trPr>
          <w:trHeight w:val="420"/>
        </w:trPr>
        <w:tc>
          <w:tcPr>
            <w:tcW w:w="3646" w:type="dxa"/>
            <w:tcBorders>
              <w:top w:val="nil"/>
              <w:left w:val="single" w:sz="4" w:space="0" w:color="auto"/>
              <w:bottom w:val="single" w:sz="4" w:space="0" w:color="auto"/>
              <w:right w:val="single" w:sz="4" w:space="0" w:color="auto"/>
            </w:tcBorders>
            <w:shd w:val="clear" w:color="000000" w:fill="CCECFF"/>
            <w:noWrap/>
            <w:vAlign w:val="bottom"/>
            <w:hideMark/>
          </w:tcPr>
          <w:p w14:paraId="2FF15AE0"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w:t>
            </w:r>
          </w:p>
        </w:tc>
        <w:tc>
          <w:tcPr>
            <w:tcW w:w="1457" w:type="dxa"/>
            <w:tcBorders>
              <w:top w:val="nil"/>
              <w:left w:val="nil"/>
              <w:bottom w:val="single" w:sz="4" w:space="0" w:color="auto"/>
              <w:right w:val="single" w:sz="4" w:space="0" w:color="auto"/>
            </w:tcBorders>
            <w:shd w:val="clear" w:color="000000" w:fill="CCECFF"/>
            <w:noWrap/>
            <w:vAlign w:val="bottom"/>
            <w:hideMark/>
          </w:tcPr>
          <w:p w14:paraId="593803F6"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c>
          <w:tcPr>
            <w:tcW w:w="3077" w:type="dxa"/>
            <w:tcBorders>
              <w:top w:val="nil"/>
              <w:left w:val="nil"/>
              <w:bottom w:val="single" w:sz="4" w:space="0" w:color="auto"/>
              <w:right w:val="single" w:sz="4" w:space="0" w:color="auto"/>
            </w:tcBorders>
            <w:shd w:val="clear" w:color="000000" w:fill="CCECFF"/>
            <w:noWrap/>
            <w:vAlign w:val="bottom"/>
            <w:hideMark/>
          </w:tcPr>
          <w:p w14:paraId="54FCE43C"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12</w:t>
            </w:r>
          </w:p>
        </w:tc>
      </w:tr>
      <w:tr w:rsidR="0081148D" w:rsidRPr="005E07B9" w14:paraId="754C9E90" w14:textId="77777777" w:rsidTr="00FD7774">
        <w:trPr>
          <w:trHeight w:val="420"/>
        </w:trPr>
        <w:tc>
          <w:tcPr>
            <w:tcW w:w="3646" w:type="dxa"/>
            <w:tcBorders>
              <w:top w:val="nil"/>
              <w:left w:val="single" w:sz="4" w:space="0" w:color="auto"/>
              <w:bottom w:val="single" w:sz="4" w:space="0" w:color="auto"/>
              <w:right w:val="single" w:sz="4" w:space="0" w:color="auto"/>
            </w:tcBorders>
            <w:shd w:val="clear" w:color="000000" w:fill="CCECFF"/>
            <w:noWrap/>
            <w:vAlign w:val="bottom"/>
            <w:hideMark/>
          </w:tcPr>
          <w:p w14:paraId="3BF83158"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w:t>
            </w:r>
          </w:p>
        </w:tc>
        <w:tc>
          <w:tcPr>
            <w:tcW w:w="1457" w:type="dxa"/>
            <w:tcBorders>
              <w:top w:val="nil"/>
              <w:left w:val="nil"/>
              <w:bottom w:val="single" w:sz="4" w:space="0" w:color="auto"/>
              <w:right w:val="single" w:sz="4" w:space="0" w:color="auto"/>
            </w:tcBorders>
            <w:shd w:val="clear" w:color="000000" w:fill="CCECFF"/>
            <w:noWrap/>
            <w:vAlign w:val="bottom"/>
            <w:hideMark/>
          </w:tcPr>
          <w:p w14:paraId="3B89C640"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c>
          <w:tcPr>
            <w:tcW w:w="3077" w:type="dxa"/>
            <w:tcBorders>
              <w:top w:val="nil"/>
              <w:left w:val="nil"/>
              <w:bottom w:val="single" w:sz="4" w:space="0" w:color="auto"/>
              <w:right w:val="single" w:sz="4" w:space="0" w:color="auto"/>
            </w:tcBorders>
            <w:shd w:val="clear" w:color="000000" w:fill="CCECFF"/>
            <w:noWrap/>
            <w:vAlign w:val="bottom"/>
            <w:hideMark/>
          </w:tcPr>
          <w:p w14:paraId="2F87517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18</w:t>
            </w:r>
          </w:p>
        </w:tc>
      </w:tr>
      <w:tr w:rsidR="0081148D" w:rsidRPr="005E07B9" w14:paraId="35B8BA38" w14:textId="77777777" w:rsidTr="00FD7774">
        <w:trPr>
          <w:trHeight w:val="420"/>
        </w:trPr>
        <w:tc>
          <w:tcPr>
            <w:tcW w:w="3646" w:type="dxa"/>
            <w:tcBorders>
              <w:top w:val="nil"/>
              <w:left w:val="single" w:sz="4" w:space="0" w:color="auto"/>
              <w:bottom w:val="single" w:sz="4" w:space="0" w:color="auto"/>
              <w:right w:val="single" w:sz="4" w:space="0" w:color="auto"/>
            </w:tcBorders>
            <w:shd w:val="clear" w:color="000000" w:fill="CCECFF"/>
            <w:noWrap/>
            <w:vAlign w:val="bottom"/>
            <w:hideMark/>
          </w:tcPr>
          <w:p w14:paraId="176BE8D6"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w:t>
            </w:r>
          </w:p>
        </w:tc>
        <w:tc>
          <w:tcPr>
            <w:tcW w:w="1457" w:type="dxa"/>
            <w:tcBorders>
              <w:top w:val="nil"/>
              <w:left w:val="nil"/>
              <w:bottom w:val="single" w:sz="4" w:space="0" w:color="auto"/>
              <w:right w:val="single" w:sz="4" w:space="0" w:color="auto"/>
            </w:tcBorders>
            <w:shd w:val="clear" w:color="000000" w:fill="CCECFF"/>
            <w:noWrap/>
            <w:vAlign w:val="bottom"/>
            <w:hideMark/>
          </w:tcPr>
          <w:p w14:paraId="21D00A39"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c>
          <w:tcPr>
            <w:tcW w:w="3077" w:type="dxa"/>
            <w:tcBorders>
              <w:top w:val="nil"/>
              <w:left w:val="nil"/>
              <w:bottom w:val="single" w:sz="4" w:space="0" w:color="auto"/>
              <w:right w:val="single" w:sz="4" w:space="0" w:color="auto"/>
            </w:tcBorders>
            <w:shd w:val="clear" w:color="000000" w:fill="CCECFF"/>
            <w:noWrap/>
            <w:vAlign w:val="bottom"/>
            <w:hideMark/>
          </w:tcPr>
          <w:p w14:paraId="4524F430"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24</w:t>
            </w:r>
          </w:p>
        </w:tc>
      </w:tr>
      <w:tr w:rsidR="0081148D" w:rsidRPr="005E07B9" w14:paraId="46BBCC89" w14:textId="77777777" w:rsidTr="00FD7774">
        <w:trPr>
          <w:trHeight w:val="420"/>
        </w:trPr>
        <w:tc>
          <w:tcPr>
            <w:tcW w:w="3646" w:type="dxa"/>
            <w:tcBorders>
              <w:top w:val="nil"/>
              <w:left w:val="single" w:sz="4" w:space="0" w:color="auto"/>
              <w:bottom w:val="single" w:sz="4" w:space="0" w:color="auto"/>
              <w:right w:val="single" w:sz="4" w:space="0" w:color="auto"/>
            </w:tcBorders>
            <w:shd w:val="clear" w:color="000000" w:fill="CCECFF"/>
            <w:noWrap/>
            <w:vAlign w:val="bottom"/>
            <w:hideMark/>
          </w:tcPr>
          <w:p w14:paraId="0ACCB596"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1457" w:type="dxa"/>
            <w:tcBorders>
              <w:top w:val="nil"/>
              <w:left w:val="nil"/>
              <w:bottom w:val="single" w:sz="4" w:space="0" w:color="auto"/>
              <w:right w:val="single" w:sz="4" w:space="0" w:color="auto"/>
            </w:tcBorders>
            <w:shd w:val="clear" w:color="000000" w:fill="CCECFF"/>
            <w:noWrap/>
            <w:vAlign w:val="bottom"/>
            <w:hideMark/>
          </w:tcPr>
          <w:p w14:paraId="6A5EFAA8"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c>
          <w:tcPr>
            <w:tcW w:w="3077" w:type="dxa"/>
            <w:tcBorders>
              <w:top w:val="nil"/>
              <w:left w:val="nil"/>
              <w:bottom w:val="single" w:sz="4" w:space="0" w:color="auto"/>
              <w:right w:val="single" w:sz="4" w:space="0" w:color="auto"/>
            </w:tcBorders>
            <w:shd w:val="clear" w:color="000000" w:fill="CCECFF"/>
            <w:noWrap/>
            <w:vAlign w:val="bottom"/>
            <w:hideMark/>
          </w:tcPr>
          <w:p w14:paraId="58C2DD97"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30</w:t>
            </w:r>
          </w:p>
        </w:tc>
      </w:tr>
      <w:tr w:rsidR="0081148D" w:rsidRPr="005E07B9" w14:paraId="78BEF68E" w14:textId="77777777" w:rsidTr="00FD7774">
        <w:trPr>
          <w:trHeight w:val="420"/>
        </w:trPr>
        <w:tc>
          <w:tcPr>
            <w:tcW w:w="3646" w:type="dxa"/>
            <w:tcBorders>
              <w:top w:val="nil"/>
              <w:left w:val="single" w:sz="4" w:space="0" w:color="auto"/>
              <w:bottom w:val="single" w:sz="4" w:space="0" w:color="auto"/>
              <w:right w:val="single" w:sz="4" w:space="0" w:color="auto"/>
            </w:tcBorders>
            <w:shd w:val="clear" w:color="000000" w:fill="CCECFF"/>
            <w:noWrap/>
            <w:vAlign w:val="bottom"/>
            <w:hideMark/>
          </w:tcPr>
          <w:p w14:paraId="2DA28614"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Investment to recover</w:t>
            </w:r>
          </w:p>
        </w:tc>
        <w:tc>
          <w:tcPr>
            <w:tcW w:w="1457" w:type="dxa"/>
            <w:tcBorders>
              <w:top w:val="nil"/>
              <w:left w:val="nil"/>
              <w:bottom w:val="single" w:sz="4" w:space="0" w:color="auto"/>
              <w:right w:val="single" w:sz="4" w:space="0" w:color="auto"/>
            </w:tcBorders>
            <w:shd w:val="clear" w:color="000000" w:fill="CCECFF"/>
            <w:noWrap/>
            <w:vAlign w:val="bottom"/>
            <w:hideMark/>
          </w:tcPr>
          <w:p w14:paraId="4EFE6CB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30</w:t>
            </w:r>
          </w:p>
        </w:tc>
        <w:tc>
          <w:tcPr>
            <w:tcW w:w="3077" w:type="dxa"/>
            <w:tcBorders>
              <w:top w:val="nil"/>
              <w:left w:val="nil"/>
              <w:bottom w:val="nil"/>
              <w:right w:val="nil"/>
            </w:tcBorders>
            <w:noWrap/>
            <w:vAlign w:val="bottom"/>
            <w:hideMark/>
          </w:tcPr>
          <w:p w14:paraId="119E1602"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28F2F384" w14:textId="77777777" w:rsidTr="00FD7774">
        <w:trPr>
          <w:trHeight w:val="744"/>
        </w:trPr>
        <w:tc>
          <w:tcPr>
            <w:tcW w:w="3646" w:type="dxa"/>
            <w:tcBorders>
              <w:top w:val="nil"/>
              <w:left w:val="single" w:sz="4" w:space="0" w:color="auto"/>
              <w:bottom w:val="single" w:sz="4" w:space="0" w:color="auto"/>
              <w:right w:val="single" w:sz="4" w:space="0" w:color="auto"/>
            </w:tcBorders>
            <w:shd w:val="clear" w:color="000000" w:fill="CCECFF"/>
            <w:vAlign w:val="bottom"/>
            <w:hideMark/>
          </w:tcPr>
          <w:p w14:paraId="5105AFC1"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In the 5th year, the investment fully recovered</w:t>
            </w:r>
          </w:p>
        </w:tc>
        <w:tc>
          <w:tcPr>
            <w:tcW w:w="1457" w:type="dxa"/>
            <w:tcBorders>
              <w:top w:val="nil"/>
              <w:left w:val="nil"/>
              <w:bottom w:val="single" w:sz="4" w:space="0" w:color="auto"/>
              <w:right w:val="single" w:sz="4" w:space="0" w:color="auto"/>
            </w:tcBorders>
            <w:shd w:val="clear" w:color="000000" w:fill="CCECFF"/>
            <w:noWrap/>
            <w:vAlign w:val="bottom"/>
            <w:hideMark/>
          </w:tcPr>
          <w:p w14:paraId="623456DA"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c>
          <w:tcPr>
            <w:tcW w:w="3077" w:type="dxa"/>
            <w:tcBorders>
              <w:top w:val="nil"/>
              <w:left w:val="nil"/>
              <w:bottom w:val="nil"/>
              <w:right w:val="nil"/>
            </w:tcBorders>
            <w:noWrap/>
            <w:vAlign w:val="bottom"/>
            <w:hideMark/>
          </w:tcPr>
          <w:p w14:paraId="0CF4DDF0" w14:textId="77777777" w:rsidR="0081148D" w:rsidRPr="005E07B9" w:rsidRDefault="0081148D" w:rsidP="005E07B9">
            <w:pPr>
              <w:spacing w:after="0"/>
              <w:jc w:val="left"/>
              <w:rPr>
                <w:rFonts w:eastAsia="Times New Roman" w:cs="Arial"/>
                <w:color w:val="000000"/>
                <w:kern w:val="0"/>
                <w:lang w:eastAsia="en-IN"/>
                <w14:ligatures w14:val="none"/>
              </w:rPr>
            </w:pPr>
          </w:p>
        </w:tc>
      </w:tr>
      <w:tr w:rsidR="0081148D" w:rsidRPr="005E07B9" w14:paraId="7BB4F3BF" w14:textId="77777777" w:rsidTr="00FD7774">
        <w:trPr>
          <w:trHeight w:val="420"/>
        </w:trPr>
        <w:tc>
          <w:tcPr>
            <w:tcW w:w="3646" w:type="dxa"/>
            <w:tcBorders>
              <w:top w:val="nil"/>
              <w:left w:val="single" w:sz="4" w:space="0" w:color="auto"/>
              <w:bottom w:val="single" w:sz="4" w:space="0" w:color="auto"/>
              <w:right w:val="single" w:sz="4" w:space="0" w:color="auto"/>
            </w:tcBorders>
            <w:shd w:val="clear" w:color="000000" w:fill="CCECFF"/>
            <w:noWrap/>
            <w:vAlign w:val="bottom"/>
            <w:hideMark/>
          </w:tcPr>
          <w:p w14:paraId="0B74D2B1"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PBP</w:t>
            </w:r>
          </w:p>
        </w:tc>
        <w:tc>
          <w:tcPr>
            <w:tcW w:w="1457" w:type="dxa"/>
            <w:tcBorders>
              <w:top w:val="nil"/>
              <w:left w:val="nil"/>
              <w:bottom w:val="single" w:sz="4" w:space="0" w:color="auto"/>
              <w:right w:val="single" w:sz="4" w:space="0" w:color="auto"/>
            </w:tcBorders>
            <w:shd w:val="clear" w:color="000000" w:fill="CCECFF"/>
            <w:noWrap/>
            <w:vAlign w:val="bottom"/>
            <w:hideMark/>
          </w:tcPr>
          <w:p w14:paraId="1BC38B92"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3077" w:type="dxa"/>
            <w:tcBorders>
              <w:top w:val="nil"/>
              <w:left w:val="nil"/>
              <w:bottom w:val="nil"/>
              <w:right w:val="nil"/>
            </w:tcBorders>
            <w:noWrap/>
            <w:vAlign w:val="bottom"/>
            <w:hideMark/>
          </w:tcPr>
          <w:p w14:paraId="37CE2D84" w14:textId="77777777" w:rsidR="0081148D" w:rsidRPr="005E07B9" w:rsidRDefault="0081148D" w:rsidP="005E07B9">
            <w:pPr>
              <w:spacing w:after="0"/>
              <w:jc w:val="right"/>
              <w:rPr>
                <w:rFonts w:eastAsia="Times New Roman" w:cs="Arial"/>
                <w:color w:val="000000"/>
                <w:kern w:val="0"/>
                <w:lang w:eastAsia="en-IN"/>
                <w14:ligatures w14:val="none"/>
              </w:rPr>
            </w:pPr>
          </w:p>
        </w:tc>
      </w:tr>
    </w:tbl>
    <w:p w14:paraId="67F7DB93" w14:textId="77777777" w:rsidR="0081148D" w:rsidRPr="005E07B9" w:rsidRDefault="0081148D" w:rsidP="005E07B9">
      <w:pPr>
        <w:rPr>
          <w:rFonts w:cs="Arial"/>
          <w:lang w:val="en-GB"/>
        </w:rPr>
      </w:pPr>
    </w:p>
    <w:tbl>
      <w:tblPr>
        <w:tblW w:w="8983" w:type="dxa"/>
        <w:tblLook w:val="04A0" w:firstRow="1" w:lastRow="0" w:firstColumn="1" w:lastColumn="0" w:noHBand="0" w:noVBand="1"/>
      </w:tblPr>
      <w:tblGrid>
        <w:gridCol w:w="3280"/>
        <w:gridCol w:w="3645"/>
        <w:gridCol w:w="2058"/>
      </w:tblGrid>
      <w:tr w:rsidR="0081148D" w:rsidRPr="005E07B9" w14:paraId="27F04682" w14:textId="77777777" w:rsidTr="00FD7774">
        <w:trPr>
          <w:trHeight w:val="505"/>
        </w:trPr>
        <w:tc>
          <w:tcPr>
            <w:tcW w:w="8983" w:type="dxa"/>
            <w:gridSpan w:val="3"/>
            <w:tcBorders>
              <w:top w:val="nil"/>
              <w:left w:val="nil"/>
              <w:bottom w:val="nil"/>
              <w:right w:val="nil"/>
            </w:tcBorders>
            <w:shd w:val="clear" w:color="000000" w:fill="99CCFF"/>
            <w:noWrap/>
            <w:vAlign w:val="bottom"/>
            <w:hideMark/>
          </w:tcPr>
          <w:p w14:paraId="2AAF738A"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ARR</w:t>
            </w:r>
          </w:p>
        </w:tc>
      </w:tr>
      <w:tr w:rsidR="0081148D" w:rsidRPr="005E07B9" w14:paraId="31EBE64A" w14:textId="77777777" w:rsidTr="00FD7774">
        <w:trPr>
          <w:trHeight w:val="505"/>
        </w:trPr>
        <w:tc>
          <w:tcPr>
            <w:tcW w:w="3280" w:type="dxa"/>
            <w:tcBorders>
              <w:top w:val="single" w:sz="4" w:space="0" w:color="auto"/>
              <w:left w:val="single" w:sz="4" w:space="0" w:color="auto"/>
              <w:bottom w:val="single" w:sz="4" w:space="0" w:color="auto"/>
              <w:right w:val="single" w:sz="4" w:space="0" w:color="auto"/>
            </w:tcBorders>
            <w:shd w:val="clear" w:color="000000" w:fill="CCECFF"/>
            <w:noWrap/>
            <w:vAlign w:val="bottom"/>
            <w:hideMark/>
          </w:tcPr>
          <w:p w14:paraId="47CDA6BE"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depreciation</w:t>
            </w:r>
          </w:p>
        </w:tc>
        <w:tc>
          <w:tcPr>
            <w:tcW w:w="3645" w:type="dxa"/>
            <w:tcBorders>
              <w:top w:val="single" w:sz="4" w:space="0" w:color="auto"/>
              <w:left w:val="nil"/>
              <w:bottom w:val="single" w:sz="4" w:space="0" w:color="auto"/>
              <w:right w:val="single" w:sz="4" w:space="0" w:color="auto"/>
            </w:tcBorders>
            <w:shd w:val="clear" w:color="000000" w:fill="CCECFF"/>
            <w:vAlign w:val="bottom"/>
            <w:hideMark/>
          </w:tcPr>
          <w:p w14:paraId="3782A5BC"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straight-line depreciation to zero</w:t>
            </w:r>
          </w:p>
        </w:tc>
        <w:tc>
          <w:tcPr>
            <w:tcW w:w="2057" w:type="dxa"/>
            <w:tcBorders>
              <w:top w:val="nil"/>
              <w:left w:val="nil"/>
              <w:bottom w:val="nil"/>
              <w:right w:val="nil"/>
            </w:tcBorders>
            <w:noWrap/>
            <w:vAlign w:val="bottom"/>
            <w:hideMark/>
          </w:tcPr>
          <w:p w14:paraId="2A1CE78D" w14:textId="77777777" w:rsidR="0081148D" w:rsidRPr="005E07B9" w:rsidRDefault="0081148D" w:rsidP="005E07B9">
            <w:pPr>
              <w:spacing w:after="0"/>
              <w:jc w:val="left"/>
              <w:rPr>
                <w:rFonts w:eastAsia="Times New Roman" w:cs="Arial"/>
                <w:b/>
                <w:bCs/>
                <w:color w:val="000000"/>
                <w:kern w:val="0"/>
                <w:lang w:eastAsia="en-IN"/>
                <w14:ligatures w14:val="none"/>
              </w:rPr>
            </w:pPr>
          </w:p>
        </w:tc>
      </w:tr>
      <w:tr w:rsidR="0081148D" w:rsidRPr="005E07B9" w14:paraId="295E17F2" w14:textId="77777777" w:rsidTr="00FD7774">
        <w:trPr>
          <w:trHeight w:val="505"/>
        </w:trPr>
        <w:tc>
          <w:tcPr>
            <w:tcW w:w="3280" w:type="dxa"/>
            <w:tcBorders>
              <w:top w:val="nil"/>
              <w:left w:val="single" w:sz="4" w:space="0" w:color="auto"/>
              <w:bottom w:val="single" w:sz="4" w:space="0" w:color="auto"/>
              <w:right w:val="single" w:sz="4" w:space="0" w:color="auto"/>
            </w:tcBorders>
            <w:shd w:val="clear" w:color="000000" w:fill="CCECFF"/>
            <w:noWrap/>
            <w:vAlign w:val="bottom"/>
            <w:hideMark/>
          </w:tcPr>
          <w:p w14:paraId="41EE6519"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Initial investment £m</w:t>
            </w:r>
          </w:p>
        </w:tc>
        <w:tc>
          <w:tcPr>
            <w:tcW w:w="3645" w:type="dxa"/>
            <w:tcBorders>
              <w:top w:val="nil"/>
              <w:left w:val="nil"/>
              <w:bottom w:val="single" w:sz="4" w:space="0" w:color="auto"/>
              <w:right w:val="single" w:sz="4" w:space="0" w:color="auto"/>
            </w:tcBorders>
            <w:shd w:val="clear" w:color="000000" w:fill="CCECFF"/>
            <w:noWrap/>
            <w:vAlign w:val="bottom"/>
            <w:hideMark/>
          </w:tcPr>
          <w:p w14:paraId="71A93D1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30</w:t>
            </w:r>
          </w:p>
        </w:tc>
        <w:tc>
          <w:tcPr>
            <w:tcW w:w="2057" w:type="dxa"/>
            <w:tcBorders>
              <w:top w:val="nil"/>
              <w:left w:val="nil"/>
              <w:bottom w:val="nil"/>
              <w:right w:val="nil"/>
            </w:tcBorders>
            <w:noWrap/>
            <w:vAlign w:val="bottom"/>
            <w:hideMark/>
          </w:tcPr>
          <w:p w14:paraId="049A2A86"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18CB7D41" w14:textId="77777777" w:rsidTr="00FD7774">
        <w:trPr>
          <w:trHeight w:val="505"/>
        </w:trPr>
        <w:tc>
          <w:tcPr>
            <w:tcW w:w="3280" w:type="dxa"/>
            <w:tcBorders>
              <w:top w:val="nil"/>
              <w:left w:val="single" w:sz="4" w:space="0" w:color="auto"/>
              <w:bottom w:val="single" w:sz="4" w:space="0" w:color="auto"/>
              <w:right w:val="single" w:sz="4" w:space="0" w:color="auto"/>
            </w:tcBorders>
            <w:shd w:val="clear" w:color="000000" w:fill="CCECFF"/>
            <w:noWrap/>
            <w:vAlign w:val="bottom"/>
            <w:hideMark/>
          </w:tcPr>
          <w:p w14:paraId="19C95A69"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Years</w:t>
            </w:r>
          </w:p>
        </w:tc>
        <w:tc>
          <w:tcPr>
            <w:tcW w:w="3645" w:type="dxa"/>
            <w:tcBorders>
              <w:top w:val="nil"/>
              <w:left w:val="nil"/>
              <w:bottom w:val="single" w:sz="4" w:space="0" w:color="auto"/>
              <w:right w:val="single" w:sz="4" w:space="0" w:color="auto"/>
            </w:tcBorders>
            <w:shd w:val="clear" w:color="000000" w:fill="CCECFF"/>
            <w:noWrap/>
            <w:vAlign w:val="bottom"/>
            <w:hideMark/>
          </w:tcPr>
          <w:p w14:paraId="5C9E2A29"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2057" w:type="dxa"/>
            <w:tcBorders>
              <w:top w:val="nil"/>
              <w:left w:val="nil"/>
              <w:bottom w:val="nil"/>
              <w:right w:val="nil"/>
            </w:tcBorders>
            <w:noWrap/>
            <w:vAlign w:val="bottom"/>
            <w:hideMark/>
          </w:tcPr>
          <w:p w14:paraId="3AC453B1"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2D6E1262" w14:textId="77777777" w:rsidTr="00FD7774">
        <w:trPr>
          <w:trHeight w:val="505"/>
        </w:trPr>
        <w:tc>
          <w:tcPr>
            <w:tcW w:w="3280" w:type="dxa"/>
            <w:tcBorders>
              <w:top w:val="nil"/>
              <w:left w:val="single" w:sz="4" w:space="0" w:color="auto"/>
              <w:bottom w:val="single" w:sz="4" w:space="0" w:color="auto"/>
              <w:right w:val="single" w:sz="4" w:space="0" w:color="auto"/>
            </w:tcBorders>
            <w:shd w:val="clear" w:color="000000" w:fill="CCECFF"/>
            <w:noWrap/>
            <w:vAlign w:val="bottom"/>
            <w:hideMark/>
          </w:tcPr>
          <w:p w14:paraId="5190D2D2"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Annual depreciation</w:t>
            </w:r>
          </w:p>
        </w:tc>
        <w:tc>
          <w:tcPr>
            <w:tcW w:w="3645" w:type="dxa"/>
            <w:tcBorders>
              <w:top w:val="nil"/>
              <w:left w:val="nil"/>
              <w:bottom w:val="single" w:sz="4" w:space="0" w:color="auto"/>
              <w:right w:val="single" w:sz="4" w:space="0" w:color="auto"/>
            </w:tcBorders>
            <w:shd w:val="clear" w:color="000000" w:fill="CCECFF"/>
            <w:noWrap/>
            <w:vAlign w:val="bottom"/>
            <w:hideMark/>
          </w:tcPr>
          <w:p w14:paraId="3BF4A293"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c>
          <w:tcPr>
            <w:tcW w:w="2057" w:type="dxa"/>
            <w:tcBorders>
              <w:top w:val="nil"/>
              <w:left w:val="nil"/>
              <w:bottom w:val="nil"/>
              <w:right w:val="nil"/>
            </w:tcBorders>
            <w:noWrap/>
            <w:vAlign w:val="bottom"/>
            <w:hideMark/>
          </w:tcPr>
          <w:p w14:paraId="330DA48A"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07B184A0" w14:textId="77777777" w:rsidTr="00FD7774">
        <w:trPr>
          <w:trHeight w:val="505"/>
        </w:trPr>
        <w:tc>
          <w:tcPr>
            <w:tcW w:w="3280" w:type="dxa"/>
            <w:tcBorders>
              <w:top w:val="nil"/>
              <w:left w:val="single" w:sz="4" w:space="0" w:color="auto"/>
              <w:bottom w:val="single" w:sz="4" w:space="0" w:color="auto"/>
              <w:right w:val="single" w:sz="4" w:space="0" w:color="auto"/>
            </w:tcBorders>
            <w:shd w:val="clear" w:color="000000" w:fill="CCECFF"/>
            <w:noWrap/>
            <w:vAlign w:val="bottom"/>
            <w:hideMark/>
          </w:tcPr>
          <w:p w14:paraId="72C401AE"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Year</w:t>
            </w:r>
          </w:p>
        </w:tc>
        <w:tc>
          <w:tcPr>
            <w:tcW w:w="3645" w:type="dxa"/>
            <w:tcBorders>
              <w:top w:val="nil"/>
              <w:left w:val="nil"/>
              <w:bottom w:val="single" w:sz="4" w:space="0" w:color="auto"/>
              <w:right w:val="single" w:sz="4" w:space="0" w:color="auto"/>
            </w:tcBorders>
            <w:shd w:val="clear" w:color="000000" w:fill="CCECFF"/>
            <w:noWrap/>
            <w:vAlign w:val="bottom"/>
            <w:hideMark/>
          </w:tcPr>
          <w:p w14:paraId="6481665F"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xml:space="preserve">Cash Flow </w:t>
            </w:r>
          </w:p>
        </w:tc>
        <w:tc>
          <w:tcPr>
            <w:tcW w:w="2057" w:type="dxa"/>
            <w:tcBorders>
              <w:top w:val="single" w:sz="4" w:space="0" w:color="auto"/>
              <w:left w:val="nil"/>
              <w:bottom w:val="single" w:sz="4" w:space="0" w:color="auto"/>
              <w:right w:val="single" w:sz="4" w:space="0" w:color="auto"/>
            </w:tcBorders>
            <w:shd w:val="clear" w:color="000000" w:fill="CCECFF"/>
            <w:noWrap/>
            <w:vAlign w:val="bottom"/>
            <w:hideMark/>
          </w:tcPr>
          <w:p w14:paraId="53413595"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Profit</w:t>
            </w:r>
          </w:p>
        </w:tc>
      </w:tr>
      <w:tr w:rsidR="0081148D" w:rsidRPr="005E07B9" w14:paraId="6268D0E1" w14:textId="77777777" w:rsidTr="00FD7774">
        <w:trPr>
          <w:trHeight w:val="505"/>
        </w:trPr>
        <w:tc>
          <w:tcPr>
            <w:tcW w:w="3280" w:type="dxa"/>
            <w:tcBorders>
              <w:top w:val="nil"/>
              <w:left w:val="single" w:sz="4" w:space="0" w:color="auto"/>
              <w:bottom w:val="single" w:sz="4" w:space="0" w:color="auto"/>
              <w:right w:val="single" w:sz="4" w:space="0" w:color="auto"/>
            </w:tcBorders>
            <w:shd w:val="clear" w:color="000000" w:fill="CCECFF"/>
            <w:noWrap/>
            <w:vAlign w:val="bottom"/>
            <w:hideMark/>
          </w:tcPr>
          <w:p w14:paraId="4039AC6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w:t>
            </w:r>
          </w:p>
        </w:tc>
        <w:tc>
          <w:tcPr>
            <w:tcW w:w="3645" w:type="dxa"/>
            <w:tcBorders>
              <w:top w:val="nil"/>
              <w:left w:val="nil"/>
              <w:bottom w:val="single" w:sz="4" w:space="0" w:color="auto"/>
              <w:right w:val="single" w:sz="4" w:space="0" w:color="auto"/>
            </w:tcBorders>
            <w:shd w:val="clear" w:color="000000" w:fill="CCECFF"/>
            <w:noWrap/>
            <w:vAlign w:val="bottom"/>
            <w:hideMark/>
          </w:tcPr>
          <w:p w14:paraId="7F974FFE"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c>
          <w:tcPr>
            <w:tcW w:w="2057" w:type="dxa"/>
            <w:tcBorders>
              <w:top w:val="nil"/>
              <w:left w:val="nil"/>
              <w:bottom w:val="single" w:sz="4" w:space="0" w:color="auto"/>
              <w:right w:val="single" w:sz="4" w:space="0" w:color="auto"/>
            </w:tcBorders>
            <w:shd w:val="clear" w:color="000000" w:fill="CCECFF"/>
            <w:noWrap/>
            <w:vAlign w:val="bottom"/>
            <w:hideMark/>
          </w:tcPr>
          <w:p w14:paraId="6AE4B10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w:t>
            </w:r>
          </w:p>
        </w:tc>
      </w:tr>
      <w:tr w:rsidR="0081148D" w:rsidRPr="005E07B9" w14:paraId="2147618A" w14:textId="77777777" w:rsidTr="00FD7774">
        <w:trPr>
          <w:trHeight w:val="505"/>
        </w:trPr>
        <w:tc>
          <w:tcPr>
            <w:tcW w:w="3280" w:type="dxa"/>
            <w:tcBorders>
              <w:top w:val="nil"/>
              <w:left w:val="single" w:sz="4" w:space="0" w:color="auto"/>
              <w:bottom w:val="single" w:sz="4" w:space="0" w:color="auto"/>
              <w:right w:val="single" w:sz="4" w:space="0" w:color="auto"/>
            </w:tcBorders>
            <w:shd w:val="clear" w:color="000000" w:fill="CCECFF"/>
            <w:noWrap/>
            <w:vAlign w:val="bottom"/>
            <w:hideMark/>
          </w:tcPr>
          <w:p w14:paraId="6A223881"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w:t>
            </w:r>
          </w:p>
        </w:tc>
        <w:tc>
          <w:tcPr>
            <w:tcW w:w="3645" w:type="dxa"/>
            <w:tcBorders>
              <w:top w:val="nil"/>
              <w:left w:val="nil"/>
              <w:bottom w:val="single" w:sz="4" w:space="0" w:color="auto"/>
              <w:right w:val="single" w:sz="4" w:space="0" w:color="auto"/>
            </w:tcBorders>
            <w:shd w:val="clear" w:color="000000" w:fill="CCECFF"/>
            <w:noWrap/>
            <w:vAlign w:val="bottom"/>
            <w:hideMark/>
          </w:tcPr>
          <w:p w14:paraId="3DDE94DD"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c>
          <w:tcPr>
            <w:tcW w:w="2057" w:type="dxa"/>
            <w:tcBorders>
              <w:top w:val="nil"/>
              <w:left w:val="nil"/>
              <w:bottom w:val="single" w:sz="4" w:space="0" w:color="auto"/>
              <w:right w:val="single" w:sz="4" w:space="0" w:color="auto"/>
            </w:tcBorders>
            <w:shd w:val="clear" w:color="000000" w:fill="CCECFF"/>
            <w:noWrap/>
            <w:vAlign w:val="bottom"/>
            <w:hideMark/>
          </w:tcPr>
          <w:p w14:paraId="1F01C09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w:t>
            </w:r>
          </w:p>
        </w:tc>
      </w:tr>
      <w:tr w:rsidR="0081148D" w:rsidRPr="005E07B9" w14:paraId="4DD64D04" w14:textId="77777777" w:rsidTr="00FD7774">
        <w:trPr>
          <w:trHeight w:val="894"/>
        </w:trPr>
        <w:tc>
          <w:tcPr>
            <w:tcW w:w="3280" w:type="dxa"/>
            <w:tcBorders>
              <w:top w:val="nil"/>
              <w:left w:val="single" w:sz="4" w:space="0" w:color="auto"/>
              <w:bottom w:val="single" w:sz="4" w:space="0" w:color="auto"/>
              <w:right w:val="single" w:sz="4" w:space="0" w:color="auto"/>
            </w:tcBorders>
            <w:shd w:val="clear" w:color="000000" w:fill="CCECFF"/>
            <w:noWrap/>
            <w:vAlign w:val="bottom"/>
            <w:hideMark/>
          </w:tcPr>
          <w:p w14:paraId="4A75B370"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w:t>
            </w:r>
          </w:p>
        </w:tc>
        <w:tc>
          <w:tcPr>
            <w:tcW w:w="3645" w:type="dxa"/>
            <w:tcBorders>
              <w:top w:val="nil"/>
              <w:left w:val="nil"/>
              <w:bottom w:val="single" w:sz="4" w:space="0" w:color="auto"/>
              <w:right w:val="single" w:sz="4" w:space="0" w:color="auto"/>
            </w:tcBorders>
            <w:shd w:val="clear" w:color="000000" w:fill="CCECFF"/>
            <w:noWrap/>
            <w:vAlign w:val="bottom"/>
            <w:hideMark/>
          </w:tcPr>
          <w:p w14:paraId="2071B465"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c>
          <w:tcPr>
            <w:tcW w:w="2057" w:type="dxa"/>
            <w:tcBorders>
              <w:top w:val="nil"/>
              <w:left w:val="nil"/>
              <w:bottom w:val="single" w:sz="4" w:space="0" w:color="auto"/>
              <w:right w:val="single" w:sz="4" w:space="0" w:color="auto"/>
            </w:tcBorders>
            <w:shd w:val="clear" w:color="000000" w:fill="CCECFF"/>
            <w:noWrap/>
            <w:vAlign w:val="bottom"/>
            <w:hideMark/>
          </w:tcPr>
          <w:p w14:paraId="45223EF6"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w:t>
            </w:r>
          </w:p>
        </w:tc>
      </w:tr>
      <w:tr w:rsidR="0081148D" w:rsidRPr="005E07B9" w14:paraId="0E8E1CD4" w14:textId="77777777" w:rsidTr="00FD7774">
        <w:trPr>
          <w:trHeight w:val="505"/>
        </w:trPr>
        <w:tc>
          <w:tcPr>
            <w:tcW w:w="3280" w:type="dxa"/>
            <w:tcBorders>
              <w:top w:val="nil"/>
              <w:left w:val="single" w:sz="4" w:space="0" w:color="auto"/>
              <w:bottom w:val="single" w:sz="4" w:space="0" w:color="auto"/>
              <w:right w:val="single" w:sz="4" w:space="0" w:color="auto"/>
            </w:tcBorders>
            <w:shd w:val="clear" w:color="000000" w:fill="CCECFF"/>
            <w:noWrap/>
            <w:vAlign w:val="bottom"/>
            <w:hideMark/>
          </w:tcPr>
          <w:p w14:paraId="315570A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w:t>
            </w:r>
          </w:p>
        </w:tc>
        <w:tc>
          <w:tcPr>
            <w:tcW w:w="3645" w:type="dxa"/>
            <w:tcBorders>
              <w:top w:val="nil"/>
              <w:left w:val="nil"/>
              <w:bottom w:val="single" w:sz="4" w:space="0" w:color="auto"/>
              <w:right w:val="single" w:sz="4" w:space="0" w:color="auto"/>
            </w:tcBorders>
            <w:shd w:val="clear" w:color="000000" w:fill="CCECFF"/>
            <w:noWrap/>
            <w:vAlign w:val="bottom"/>
            <w:hideMark/>
          </w:tcPr>
          <w:p w14:paraId="35CF036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c>
          <w:tcPr>
            <w:tcW w:w="2057" w:type="dxa"/>
            <w:tcBorders>
              <w:top w:val="nil"/>
              <w:left w:val="nil"/>
              <w:bottom w:val="single" w:sz="4" w:space="0" w:color="auto"/>
              <w:right w:val="single" w:sz="4" w:space="0" w:color="auto"/>
            </w:tcBorders>
            <w:shd w:val="clear" w:color="000000" w:fill="CCECFF"/>
            <w:noWrap/>
            <w:vAlign w:val="bottom"/>
            <w:hideMark/>
          </w:tcPr>
          <w:p w14:paraId="61C2F06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w:t>
            </w:r>
          </w:p>
        </w:tc>
      </w:tr>
      <w:tr w:rsidR="0081148D" w:rsidRPr="005E07B9" w14:paraId="6C6A6219" w14:textId="77777777" w:rsidTr="00FD7774">
        <w:trPr>
          <w:trHeight w:val="505"/>
        </w:trPr>
        <w:tc>
          <w:tcPr>
            <w:tcW w:w="3280" w:type="dxa"/>
            <w:tcBorders>
              <w:top w:val="nil"/>
              <w:left w:val="single" w:sz="4" w:space="0" w:color="auto"/>
              <w:bottom w:val="single" w:sz="4" w:space="0" w:color="auto"/>
              <w:right w:val="single" w:sz="4" w:space="0" w:color="auto"/>
            </w:tcBorders>
            <w:shd w:val="clear" w:color="000000" w:fill="CCECFF"/>
            <w:noWrap/>
            <w:vAlign w:val="bottom"/>
            <w:hideMark/>
          </w:tcPr>
          <w:p w14:paraId="7CF4B05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3645" w:type="dxa"/>
            <w:tcBorders>
              <w:top w:val="nil"/>
              <w:left w:val="nil"/>
              <w:bottom w:val="single" w:sz="4" w:space="0" w:color="auto"/>
              <w:right w:val="single" w:sz="4" w:space="0" w:color="auto"/>
            </w:tcBorders>
            <w:shd w:val="clear" w:color="000000" w:fill="CCECFF"/>
            <w:noWrap/>
            <w:vAlign w:val="bottom"/>
            <w:hideMark/>
          </w:tcPr>
          <w:p w14:paraId="521D7303"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c>
          <w:tcPr>
            <w:tcW w:w="2057" w:type="dxa"/>
            <w:tcBorders>
              <w:top w:val="nil"/>
              <w:left w:val="nil"/>
              <w:bottom w:val="single" w:sz="4" w:space="0" w:color="auto"/>
              <w:right w:val="single" w:sz="4" w:space="0" w:color="auto"/>
            </w:tcBorders>
            <w:shd w:val="clear" w:color="000000" w:fill="CCECFF"/>
            <w:noWrap/>
            <w:vAlign w:val="bottom"/>
            <w:hideMark/>
          </w:tcPr>
          <w:p w14:paraId="4ED21487"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w:t>
            </w:r>
          </w:p>
        </w:tc>
      </w:tr>
      <w:tr w:rsidR="0081148D" w:rsidRPr="005E07B9" w14:paraId="47B7B17C" w14:textId="77777777" w:rsidTr="00FD7774">
        <w:trPr>
          <w:trHeight w:val="505"/>
        </w:trPr>
        <w:tc>
          <w:tcPr>
            <w:tcW w:w="3280" w:type="dxa"/>
            <w:tcBorders>
              <w:top w:val="nil"/>
              <w:left w:val="single" w:sz="4" w:space="0" w:color="auto"/>
              <w:bottom w:val="single" w:sz="4" w:space="0" w:color="auto"/>
              <w:right w:val="single" w:sz="4" w:space="0" w:color="auto"/>
            </w:tcBorders>
            <w:shd w:val="clear" w:color="000000" w:fill="CCECFF"/>
            <w:noWrap/>
            <w:vAlign w:val="bottom"/>
            <w:hideMark/>
          </w:tcPr>
          <w:p w14:paraId="484237DE"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xml:space="preserve">Average Annual profit </w:t>
            </w:r>
          </w:p>
        </w:tc>
        <w:tc>
          <w:tcPr>
            <w:tcW w:w="3645" w:type="dxa"/>
            <w:tcBorders>
              <w:top w:val="nil"/>
              <w:left w:val="nil"/>
              <w:bottom w:val="single" w:sz="4" w:space="0" w:color="auto"/>
              <w:right w:val="single" w:sz="4" w:space="0" w:color="auto"/>
            </w:tcBorders>
            <w:shd w:val="clear" w:color="000000" w:fill="CCECFF"/>
            <w:noWrap/>
            <w:vAlign w:val="bottom"/>
            <w:hideMark/>
          </w:tcPr>
          <w:p w14:paraId="2F6610F2"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w:t>
            </w:r>
          </w:p>
        </w:tc>
        <w:tc>
          <w:tcPr>
            <w:tcW w:w="2057" w:type="dxa"/>
            <w:tcBorders>
              <w:top w:val="nil"/>
              <w:left w:val="nil"/>
              <w:bottom w:val="single" w:sz="4" w:space="0" w:color="auto"/>
              <w:right w:val="single" w:sz="4" w:space="0" w:color="auto"/>
            </w:tcBorders>
            <w:shd w:val="clear" w:color="000000" w:fill="CCECFF"/>
            <w:noWrap/>
            <w:vAlign w:val="bottom"/>
            <w:hideMark/>
          </w:tcPr>
          <w:p w14:paraId="79A4F0D2"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r>
      <w:tr w:rsidR="0081148D" w:rsidRPr="005E07B9" w14:paraId="4F8693CA" w14:textId="77777777" w:rsidTr="00FD7774">
        <w:trPr>
          <w:trHeight w:val="505"/>
        </w:trPr>
        <w:tc>
          <w:tcPr>
            <w:tcW w:w="3280" w:type="dxa"/>
            <w:tcBorders>
              <w:top w:val="nil"/>
              <w:left w:val="single" w:sz="4" w:space="0" w:color="auto"/>
              <w:bottom w:val="single" w:sz="4" w:space="0" w:color="auto"/>
              <w:right w:val="single" w:sz="4" w:space="0" w:color="auto"/>
            </w:tcBorders>
            <w:shd w:val="clear" w:color="000000" w:fill="CCECFF"/>
            <w:noWrap/>
            <w:vAlign w:val="bottom"/>
            <w:hideMark/>
          </w:tcPr>
          <w:p w14:paraId="6D20AC00"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Average Investment</w:t>
            </w:r>
          </w:p>
        </w:tc>
        <w:tc>
          <w:tcPr>
            <w:tcW w:w="3645" w:type="dxa"/>
            <w:tcBorders>
              <w:top w:val="nil"/>
              <w:left w:val="nil"/>
              <w:bottom w:val="single" w:sz="4" w:space="0" w:color="auto"/>
              <w:right w:val="single" w:sz="4" w:space="0" w:color="auto"/>
            </w:tcBorders>
            <w:shd w:val="clear" w:color="000000" w:fill="CCECFF"/>
            <w:noWrap/>
            <w:vAlign w:val="bottom"/>
            <w:hideMark/>
          </w:tcPr>
          <w:p w14:paraId="1973608E"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15</w:t>
            </w:r>
          </w:p>
        </w:tc>
        <w:tc>
          <w:tcPr>
            <w:tcW w:w="2057" w:type="dxa"/>
            <w:tcBorders>
              <w:top w:val="nil"/>
              <w:left w:val="nil"/>
              <w:bottom w:val="single" w:sz="4" w:space="0" w:color="auto"/>
              <w:right w:val="single" w:sz="4" w:space="0" w:color="auto"/>
            </w:tcBorders>
            <w:shd w:val="clear" w:color="000000" w:fill="CCECFF"/>
            <w:noWrap/>
            <w:vAlign w:val="bottom"/>
            <w:hideMark/>
          </w:tcPr>
          <w:p w14:paraId="7A4BF86E"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r>
      <w:tr w:rsidR="0081148D" w:rsidRPr="005E07B9" w14:paraId="228A564A" w14:textId="77777777" w:rsidTr="00FD7774">
        <w:trPr>
          <w:trHeight w:val="505"/>
        </w:trPr>
        <w:tc>
          <w:tcPr>
            <w:tcW w:w="3280" w:type="dxa"/>
            <w:tcBorders>
              <w:top w:val="nil"/>
              <w:left w:val="single" w:sz="4" w:space="0" w:color="auto"/>
              <w:bottom w:val="single" w:sz="4" w:space="0" w:color="auto"/>
              <w:right w:val="single" w:sz="4" w:space="0" w:color="auto"/>
            </w:tcBorders>
            <w:shd w:val="clear" w:color="000000" w:fill="CCECFF"/>
            <w:noWrap/>
            <w:vAlign w:val="bottom"/>
            <w:hideMark/>
          </w:tcPr>
          <w:p w14:paraId="78E081B9"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ARR</w:t>
            </w:r>
          </w:p>
        </w:tc>
        <w:tc>
          <w:tcPr>
            <w:tcW w:w="3645" w:type="dxa"/>
            <w:tcBorders>
              <w:top w:val="nil"/>
              <w:left w:val="nil"/>
              <w:bottom w:val="single" w:sz="4" w:space="0" w:color="auto"/>
              <w:right w:val="single" w:sz="4" w:space="0" w:color="auto"/>
            </w:tcBorders>
            <w:shd w:val="clear" w:color="000000" w:fill="CCECFF"/>
            <w:noWrap/>
            <w:vAlign w:val="bottom"/>
            <w:hideMark/>
          </w:tcPr>
          <w:p w14:paraId="57DD9223"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w:t>
            </w:r>
          </w:p>
        </w:tc>
        <w:tc>
          <w:tcPr>
            <w:tcW w:w="2057" w:type="dxa"/>
            <w:tcBorders>
              <w:top w:val="nil"/>
              <w:left w:val="nil"/>
              <w:bottom w:val="single" w:sz="4" w:space="0" w:color="auto"/>
              <w:right w:val="single" w:sz="4" w:space="0" w:color="auto"/>
            </w:tcBorders>
            <w:shd w:val="clear" w:color="000000" w:fill="CCECFF"/>
            <w:noWrap/>
            <w:vAlign w:val="bottom"/>
            <w:hideMark/>
          </w:tcPr>
          <w:p w14:paraId="6A3C3356"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xml:space="preserve">In percentage </w:t>
            </w:r>
          </w:p>
        </w:tc>
      </w:tr>
    </w:tbl>
    <w:p w14:paraId="301D2BE0" w14:textId="77777777" w:rsidR="0081148D" w:rsidRPr="005E07B9" w:rsidRDefault="0081148D" w:rsidP="005E07B9">
      <w:pPr>
        <w:rPr>
          <w:rFonts w:cs="Arial"/>
          <w:lang w:val="en-GB"/>
        </w:rPr>
      </w:pPr>
    </w:p>
    <w:tbl>
      <w:tblPr>
        <w:tblW w:w="9446" w:type="dxa"/>
        <w:tblLook w:val="04A0" w:firstRow="1" w:lastRow="0" w:firstColumn="1" w:lastColumn="0" w:noHBand="0" w:noVBand="1"/>
      </w:tblPr>
      <w:tblGrid>
        <w:gridCol w:w="2430"/>
        <w:gridCol w:w="2252"/>
        <w:gridCol w:w="2646"/>
        <w:gridCol w:w="2118"/>
      </w:tblGrid>
      <w:tr w:rsidR="0081148D" w:rsidRPr="005E07B9" w14:paraId="42D01948" w14:textId="77777777" w:rsidTr="00FD7774">
        <w:trPr>
          <w:trHeight w:val="471"/>
        </w:trPr>
        <w:tc>
          <w:tcPr>
            <w:tcW w:w="9446" w:type="dxa"/>
            <w:gridSpan w:val="4"/>
            <w:tcBorders>
              <w:top w:val="single" w:sz="4" w:space="0" w:color="auto"/>
              <w:left w:val="single" w:sz="4" w:space="0" w:color="auto"/>
              <w:bottom w:val="single" w:sz="4" w:space="0" w:color="auto"/>
              <w:right w:val="single" w:sz="4" w:space="0" w:color="auto"/>
            </w:tcBorders>
            <w:shd w:val="clear" w:color="000000" w:fill="99CCFF"/>
            <w:noWrap/>
            <w:vAlign w:val="bottom"/>
            <w:hideMark/>
          </w:tcPr>
          <w:p w14:paraId="6A2905CA"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NPV</w:t>
            </w:r>
          </w:p>
        </w:tc>
      </w:tr>
      <w:tr w:rsidR="0081148D" w:rsidRPr="005E07B9" w14:paraId="26EC6E81" w14:textId="77777777" w:rsidTr="00FD7774">
        <w:trPr>
          <w:trHeight w:val="471"/>
        </w:trPr>
        <w:tc>
          <w:tcPr>
            <w:tcW w:w="2430" w:type="dxa"/>
            <w:tcBorders>
              <w:top w:val="nil"/>
              <w:left w:val="single" w:sz="4" w:space="0" w:color="auto"/>
              <w:bottom w:val="nil"/>
              <w:right w:val="single" w:sz="4" w:space="0" w:color="auto"/>
            </w:tcBorders>
            <w:shd w:val="clear" w:color="000000" w:fill="CCECFF"/>
            <w:noWrap/>
            <w:vAlign w:val="bottom"/>
            <w:hideMark/>
          </w:tcPr>
          <w:p w14:paraId="4466C582"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Discount Rate</w:t>
            </w:r>
          </w:p>
        </w:tc>
        <w:tc>
          <w:tcPr>
            <w:tcW w:w="2252" w:type="dxa"/>
            <w:tcBorders>
              <w:top w:val="nil"/>
              <w:left w:val="nil"/>
              <w:bottom w:val="single" w:sz="4" w:space="0" w:color="auto"/>
              <w:right w:val="single" w:sz="4" w:space="0" w:color="auto"/>
            </w:tcBorders>
            <w:shd w:val="clear" w:color="000000" w:fill="CCECFF"/>
            <w:noWrap/>
            <w:vAlign w:val="bottom"/>
            <w:hideMark/>
          </w:tcPr>
          <w:p w14:paraId="35B3EAB6"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10%</w:t>
            </w:r>
          </w:p>
        </w:tc>
        <w:tc>
          <w:tcPr>
            <w:tcW w:w="2646" w:type="dxa"/>
            <w:tcBorders>
              <w:top w:val="nil"/>
              <w:left w:val="nil"/>
              <w:bottom w:val="nil"/>
              <w:right w:val="nil"/>
            </w:tcBorders>
            <w:noWrap/>
            <w:vAlign w:val="bottom"/>
            <w:hideMark/>
          </w:tcPr>
          <w:p w14:paraId="524023D4" w14:textId="77777777" w:rsidR="0081148D" w:rsidRPr="005E07B9" w:rsidRDefault="0081148D" w:rsidP="005E07B9">
            <w:pPr>
              <w:spacing w:after="0"/>
              <w:jc w:val="right"/>
              <w:rPr>
                <w:rFonts w:eastAsia="Times New Roman" w:cs="Arial"/>
                <w:b/>
                <w:bCs/>
                <w:color w:val="000000"/>
                <w:kern w:val="0"/>
                <w:lang w:eastAsia="en-IN"/>
                <w14:ligatures w14:val="none"/>
              </w:rPr>
            </w:pPr>
          </w:p>
        </w:tc>
        <w:tc>
          <w:tcPr>
            <w:tcW w:w="2116" w:type="dxa"/>
            <w:tcBorders>
              <w:top w:val="nil"/>
              <w:left w:val="nil"/>
              <w:bottom w:val="nil"/>
              <w:right w:val="nil"/>
            </w:tcBorders>
            <w:noWrap/>
            <w:vAlign w:val="bottom"/>
            <w:hideMark/>
          </w:tcPr>
          <w:p w14:paraId="01AB6272" w14:textId="77777777" w:rsidR="0081148D" w:rsidRPr="005E07B9" w:rsidRDefault="0081148D" w:rsidP="005E07B9">
            <w:pPr>
              <w:spacing w:after="0"/>
              <w:jc w:val="left"/>
              <w:rPr>
                <w:rFonts w:eastAsia="Times New Roman" w:cs="Arial"/>
                <w:kern w:val="0"/>
                <w:lang w:eastAsia="en-IN"/>
                <w14:ligatures w14:val="none"/>
              </w:rPr>
            </w:pPr>
          </w:p>
        </w:tc>
      </w:tr>
      <w:tr w:rsidR="0081148D" w:rsidRPr="005E07B9" w14:paraId="643F62A5" w14:textId="77777777" w:rsidTr="00FD7774">
        <w:trPr>
          <w:trHeight w:val="471"/>
        </w:trPr>
        <w:tc>
          <w:tcPr>
            <w:tcW w:w="2430" w:type="dxa"/>
            <w:tcBorders>
              <w:top w:val="single" w:sz="4" w:space="0" w:color="auto"/>
              <w:left w:val="single" w:sz="4" w:space="0" w:color="auto"/>
              <w:bottom w:val="single" w:sz="4" w:space="0" w:color="auto"/>
              <w:right w:val="single" w:sz="4" w:space="0" w:color="auto"/>
            </w:tcBorders>
            <w:shd w:val="clear" w:color="000000" w:fill="CCECFF"/>
            <w:noWrap/>
            <w:vAlign w:val="bottom"/>
            <w:hideMark/>
          </w:tcPr>
          <w:p w14:paraId="57582275"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Year</w:t>
            </w:r>
          </w:p>
        </w:tc>
        <w:tc>
          <w:tcPr>
            <w:tcW w:w="2252" w:type="dxa"/>
            <w:tcBorders>
              <w:top w:val="nil"/>
              <w:left w:val="nil"/>
              <w:bottom w:val="single" w:sz="4" w:space="0" w:color="auto"/>
              <w:right w:val="single" w:sz="4" w:space="0" w:color="auto"/>
            </w:tcBorders>
            <w:shd w:val="clear" w:color="000000" w:fill="CCECFF"/>
            <w:noWrap/>
            <w:vAlign w:val="bottom"/>
            <w:hideMark/>
          </w:tcPr>
          <w:p w14:paraId="6B2EB9F1"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Formula</w:t>
            </w:r>
          </w:p>
        </w:tc>
        <w:tc>
          <w:tcPr>
            <w:tcW w:w="2646" w:type="dxa"/>
            <w:tcBorders>
              <w:top w:val="nil"/>
              <w:left w:val="nil"/>
              <w:bottom w:val="single" w:sz="4" w:space="0" w:color="auto"/>
              <w:right w:val="single" w:sz="4" w:space="0" w:color="auto"/>
            </w:tcBorders>
            <w:shd w:val="clear" w:color="000000" w:fill="CCECFF"/>
            <w:noWrap/>
            <w:vAlign w:val="bottom"/>
            <w:hideMark/>
          </w:tcPr>
          <w:p w14:paraId="7AA051C7"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Discount factor</w:t>
            </w:r>
          </w:p>
        </w:tc>
        <w:tc>
          <w:tcPr>
            <w:tcW w:w="2116" w:type="dxa"/>
            <w:tcBorders>
              <w:top w:val="nil"/>
              <w:left w:val="nil"/>
              <w:bottom w:val="single" w:sz="4" w:space="0" w:color="auto"/>
              <w:right w:val="single" w:sz="4" w:space="0" w:color="auto"/>
            </w:tcBorders>
            <w:shd w:val="clear" w:color="000000" w:fill="CCECFF"/>
            <w:noWrap/>
            <w:vAlign w:val="bottom"/>
            <w:hideMark/>
          </w:tcPr>
          <w:p w14:paraId="736E299D"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PV</w:t>
            </w:r>
          </w:p>
        </w:tc>
      </w:tr>
      <w:tr w:rsidR="0081148D" w:rsidRPr="005E07B9" w14:paraId="7E122C9A" w14:textId="77777777" w:rsidTr="00FD7774">
        <w:trPr>
          <w:trHeight w:val="471"/>
        </w:trPr>
        <w:tc>
          <w:tcPr>
            <w:tcW w:w="2430" w:type="dxa"/>
            <w:tcBorders>
              <w:top w:val="nil"/>
              <w:left w:val="single" w:sz="4" w:space="0" w:color="auto"/>
              <w:bottom w:val="single" w:sz="4" w:space="0" w:color="auto"/>
              <w:right w:val="single" w:sz="4" w:space="0" w:color="auto"/>
            </w:tcBorders>
            <w:shd w:val="clear" w:color="000000" w:fill="CCECFF"/>
            <w:noWrap/>
            <w:vAlign w:val="bottom"/>
            <w:hideMark/>
          </w:tcPr>
          <w:p w14:paraId="6EB84275"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w:t>
            </w:r>
          </w:p>
        </w:tc>
        <w:tc>
          <w:tcPr>
            <w:tcW w:w="2252" w:type="dxa"/>
            <w:tcBorders>
              <w:top w:val="nil"/>
              <w:left w:val="nil"/>
              <w:bottom w:val="single" w:sz="4" w:space="0" w:color="auto"/>
              <w:right w:val="single" w:sz="4" w:space="0" w:color="auto"/>
            </w:tcBorders>
            <w:shd w:val="clear" w:color="000000" w:fill="CCECFF"/>
            <w:noWrap/>
            <w:vAlign w:val="bottom"/>
            <w:hideMark/>
          </w:tcPr>
          <w:p w14:paraId="2DDA7FA3"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[1/(1+10%)]^1</w:t>
            </w:r>
          </w:p>
        </w:tc>
        <w:tc>
          <w:tcPr>
            <w:tcW w:w="2646" w:type="dxa"/>
            <w:tcBorders>
              <w:top w:val="nil"/>
              <w:left w:val="nil"/>
              <w:bottom w:val="single" w:sz="4" w:space="0" w:color="auto"/>
              <w:right w:val="single" w:sz="4" w:space="0" w:color="auto"/>
            </w:tcBorders>
            <w:shd w:val="clear" w:color="000000" w:fill="CCECFF"/>
            <w:noWrap/>
            <w:vAlign w:val="bottom"/>
            <w:hideMark/>
          </w:tcPr>
          <w:p w14:paraId="325F50E1"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0.909090909</w:t>
            </w:r>
          </w:p>
        </w:tc>
        <w:tc>
          <w:tcPr>
            <w:tcW w:w="2116" w:type="dxa"/>
            <w:tcBorders>
              <w:top w:val="nil"/>
              <w:left w:val="nil"/>
              <w:bottom w:val="single" w:sz="4" w:space="0" w:color="auto"/>
              <w:right w:val="single" w:sz="4" w:space="0" w:color="auto"/>
            </w:tcBorders>
            <w:shd w:val="clear" w:color="000000" w:fill="CCECFF"/>
            <w:noWrap/>
            <w:vAlign w:val="bottom"/>
            <w:hideMark/>
          </w:tcPr>
          <w:p w14:paraId="0DAE9837"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5.454545455</w:t>
            </w:r>
          </w:p>
        </w:tc>
      </w:tr>
      <w:tr w:rsidR="0081148D" w:rsidRPr="005E07B9" w14:paraId="2DEB3C65" w14:textId="77777777" w:rsidTr="00FD7774">
        <w:trPr>
          <w:trHeight w:val="471"/>
        </w:trPr>
        <w:tc>
          <w:tcPr>
            <w:tcW w:w="2430" w:type="dxa"/>
            <w:tcBorders>
              <w:top w:val="nil"/>
              <w:left w:val="single" w:sz="4" w:space="0" w:color="auto"/>
              <w:bottom w:val="single" w:sz="4" w:space="0" w:color="auto"/>
              <w:right w:val="single" w:sz="4" w:space="0" w:color="auto"/>
            </w:tcBorders>
            <w:shd w:val="clear" w:color="000000" w:fill="CCECFF"/>
            <w:noWrap/>
            <w:vAlign w:val="bottom"/>
            <w:hideMark/>
          </w:tcPr>
          <w:p w14:paraId="1A45F9B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w:t>
            </w:r>
          </w:p>
        </w:tc>
        <w:tc>
          <w:tcPr>
            <w:tcW w:w="2252" w:type="dxa"/>
            <w:tcBorders>
              <w:top w:val="nil"/>
              <w:left w:val="nil"/>
              <w:bottom w:val="single" w:sz="4" w:space="0" w:color="auto"/>
              <w:right w:val="single" w:sz="4" w:space="0" w:color="auto"/>
            </w:tcBorders>
            <w:shd w:val="clear" w:color="000000" w:fill="CCECFF"/>
            <w:noWrap/>
            <w:vAlign w:val="bottom"/>
            <w:hideMark/>
          </w:tcPr>
          <w:p w14:paraId="098ADA26"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[1/(1+10%)]^2</w:t>
            </w:r>
          </w:p>
        </w:tc>
        <w:tc>
          <w:tcPr>
            <w:tcW w:w="2646" w:type="dxa"/>
            <w:tcBorders>
              <w:top w:val="nil"/>
              <w:left w:val="nil"/>
              <w:bottom w:val="single" w:sz="4" w:space="0" w:color="auto"/>
              <w:right w:val="single" w:sz="4" w:space="0" w:color="auto"/>
            </w:tcBorders>
            <w:shd w:val="clear" w:color="000000" w:fill="CCECFF"/>
            <w:noWrap/>
            <w:vAlign w:val="bottom"/>
            <w:hideMark/>
          </w:tcPr>
          <w:p w14:paraId="2EDF9B67"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0.826446281</w:t>
            </w:r>
          </w:p>
        </w:tc>
        <w:tc>
          <w:tcPr>
            <w:tcW w:w="2116" w:type="dxa"/>
            <w:tcBorders>
              <w:top w:val="nil"/>
              <w:left w:val="nil"/>
              <w:bottom w:val="single" w:sz="4" w:space="0" w:color="auto"/>
              <w:right w:val="single" w:sz="4" w:space="0" w:color="auto"/>
            </w:tcBorders>
            <w:shd w:val="clear" w:color="000000" w:fill="CCECFF"/>
            <w:noWrap/>
            <w:vAlign w:val="bottom"/>
            <w:hideMark/>
          </w:tcPr>
          <w:p w14:paraId="53598FB7"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4.958677686</w:t>
            </w:r>
          </w:p>
        </w:tc>
      </w:tr>
      <w:tr w:rsidR="0081148D" w:rsidRPr="005E07B9" w14:paraId="7E54F514" w14:textId="77777777" w:rsidTr="00FD7774">
        <w:trPr>
          <w:trHeight w:val="471"/>
        </w:trPr>
        <w:tc>
          <w:tcPr>
            <w:tcW w:w="2430" w:type="dxa"/>
            <w:tcBorders>
              <w:top w:val="nil"/>
              <w:left w:val="single" w:sz="4" w:space="0" w:color="auto"/>
              <w:bottom w:val="single" w:sz="4" w:space="0" w:color="auto"/>
              <w:right w:val="single" w:sz="4" w:space="0" w:color="auto"/>
            </w:tcBorders>
            <w:shd w:val="clear" w:color="000000" w:fill="CCECFF"/>
            <w:noWrap/>
            <w:vAlign w:val="bottom"/>
            <w:hideMark/>
          </w:tcPr>
          <w:p w14:paraId="3478AB29"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w:t>
            </w:r>
          </w:p>
        </w:tc>
        <w:tc>
          <w:tcPr>
            <w:tcW w:w="2252" w:type="dxa"/>
            <w:tcBorders>
              <w:top w:val="nil"/>
              <w:left w:val="nil"/>
              <w:bottom w:val="single" w:sz="4" w:space="0" w:color="auto"/>
              <w:right w:val="single" w:sz="4" w:space="0" w:color="auto"/>
            </w:tcBorders>
            <w:shd w:val="clear" w:color="000000" w:fill="CCECFF"/>
            <w:noWrap/>
            <w:vAlign w:val="bottom"/>
            <w:hideMark/>
          </w:tcPr>
          <w:p w14:paraId="144B0DC7"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[1/(1+10%)]^3</w:t>
            </w:r>
          </w:p>
        </w:tc>
        <w:tc>
          <w:tcPr>
            <w:tcW w:w="2646" w:type="dxa"/>
            <w:tcBorders>
              <w:top w:val="nil"/>
              <w:left w:val="nil"/>
              <w:bottom w:val="single" w:sz="4" w:space="0" w:color="auto"/>
              <w:right w:val="single" w:sz="4" w:space="0" w:color="auto"/>
            </w:tcBorders>
            <w:shd w:val="clear" w:color="000000" w:fill="CCECFF"/>
            <w:noWrap/>
            <w:vAlign w:val="bottom"/>
            <w:hideMark/>
          </w:tcPr>
          <w:p w14:paraId="1E5C428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0.751314801</w:t>
            </w:r>
          </w:p>
        </w:tc>
        <w:tc>
          <w:tcPr>
            <w:tcW w:w="2116" w:type="dxa"/>
            <w:tcBorders>
              <w:top w:val="nil"/>
              <w:left w:val="nil"/>
              <w:bottom w:val="single" w:sz="4" w:space="0" w:color="auto"/>
              <w:right w:val="single" w:sz="4" w:space="0" w:color="auto"/>
            </w:tcBorders>
            <w:shd w:val="clear" w:color="000000" w:fill="CCECFF"/>
            <w:noWrap/>
            <w:vAlign w:val="bottom"/>
            <w:hideMark/>
          </w:tcPr>
          <w:p w14:paraId="547096C5"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4.507888805</w:t>
            </w:r>
          </w:p>
        </w:tc>
      </w:tr>
      <w:tr w:rsidR="0081148D" w:rsidRPr="005E07B9" w14:paraId="6E088520" w14:textId="77777777" w:rsidTr="00FD7774">
        <w:trPr>
          <w:trHeight w:val="471"/>
        </w:trPr>
        <w:tc>
          <w:tcPr>
            <w:tcW w:w="2430" w:type="dxa"/>
            <w:tcBorders>
              <w:top w:val="nil"/>
              <w:left w:val="single" w:sz="4" w:space="0" w:color="auto"/>
              <w:bottom w:val="single" w:sz="4" w:space="0" w:color="auto"/>
              <w:right w:val="single" w:sz="4" w:space="0" w:color="auto"/>
            </w:tcBorders>
            <w:shd w:val="clear" w:color="000000" w:fill="CCECFF"/>
            <w:noWrap/>
            <w:vAlign w:val="bottom"/>
            <w:hideMark/>
          </w:tcPr>
          <w:p w14:paraId="1C4B0797"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w:t>
            </w:r>
          </w:p>
        </w:tc>
        <w:tc>
          <w:tcPr>
            <w:tcW w:w="2252" w:type="dxa"/>
            <w:tcBorders>
              <w:top w:val="nil"/>
              <w:left w:val="nil"/>
              <w:bottom w:val="single" w:sz="4" w:space="0" w:color="auto"/>
              <w:right w:val="single" w:sz="4" w:space="0" w:color="auto"/>
            </w:tcBorders>
            <w:shd w:val="clear" w:color="000000" w:fill="CCECFF"/>
            <w:noWrap/>
            <w:vAlign w:val="bottom"/>
            <w:hideMark/>
          </w:tcPr>
          <w:p w14:paraId="056EE122"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[1/(1+10%)]^4</w:t>
            </w:r>
          </w:p>
        </w:tc>
        <w:tc>
          <w:tcPr>
            <w:tcW w:w="2646" w:type="dxa"/>
            <w:tcBorders>
              <w:top w:val="nil"/>
              <w:left w:val="nil"/>
              <w:bottom w:val="single" w:sz="4" w:space="0" w:color="auto"/>
              <w:right w:val="single" w:sz="4" w:space="0" w:color="auto"/>
            </w:tcBorders>
            <w:shd w:val="clear" w:color="000000" w:fill="CCECFF"/>
            <w:noWrap/>
            <w:vAlign w:val="bottom"/>
            <w:hideMark/>
          </w:tcPr>
          <w:p w14:paraId="09BF8E73"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0.683013455</w:t>
            </w:r>
          </w:p>
        </w:tc>
        <w:tc>
          <w:tcPr>
            <w:tcW w:w="2116" w:type="dxa"/>
            <w:tcBorders>
              <w:top w:val="nil"/>
              <w:left w:val="nil"/>
              <w:bottom w:val="single" w:sz="4" w:space="0" w:color="auto"/>
              <w:right w:val="single" w:sz="4" w:space="0" w:color="auto"/>
            </w:tcBorders>
            <w:shd w:val="clear" w:color="000000" w:fill="CCECFF"/>
            <w:noWrap/>
            <w:vAlign w:val="bottom"/>
            <w:hideMark/>
          </w:tcPr>
          <w:p w14:paraId="14C894FE"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4.098080732</w:t>
            </w:r>
          </w:p>
        </w:tc>
      </w:tr>
      <w:tr w:rsidR="0081148D" w:rsidRPr="005E07B9" w14:paraId="20C98BFA" w14:textId="77777777" w:rsidTr="00FD7774">
        <w:trPr>
          <w:trHeight w:val="471"/>
        </w:trPr>
        <w:tc>
          <w:tcPr>
            <w:tcW w:w="2430" w:type="dxa"/>
            <w:tcBorders>
              <w:top w:val="nil"/>
              <w:left w:val="single" w:sz="4" w:space="0" w:color="auto"/>
              <w:bottom w:val="single" w:sz="4" w:space="0" w:color="auto"/>
              <w:right w:val="single" w:sz="4" w:space="0" w:color="auto"/>
            </w:tcBorders>
            <w:shd w:val="clear" w:color="000000" w:fill="CCECFF"/>
            <w:noWrap/>
            <w:vAlign w:val="bottom"/>
            <w:hideMark/>
          </w:tcPr>
          <w:p w14:paraId="57E806F2"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2252" w:type="dxa"/>
            <w:tcBorders>
              <w:top w:val="nil"/>
              <w:left w:val="nil"/>
              <w:bottom w:val="single" w:sz="4" w:space="0" w:color="auto"/>
              <w:right w:val="single" w:sz="4" w:space="0" w:color="auto"/>
            </w:tcBorders>
            <w:shd w:val="clear" w:color="000000" w:fill="CCECFF"/>
            <w:noWrap/>
            <w:vAlign w:val="bottom"/>
            <w:hideMark/>
          </w:tcPr>
          <w:p w14:paraId="7B5F6886"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[1/(1+10%)]^5</w:t>
            </w:r>
          </w:p>
        </w:tc>
        <w:tc>
          <w:tcPr>
            <w:tcW w:w="2646" w:type="dxa"/>
            <w:tcBorders>
              <w:top w:val="nil"/>
              <w:left w:val="nil"/>
              <w:bottom w:val="single" w:sz="4" w:space="0" w:color="auto"/>
              <w:right w:val="single" w:sz="4" w:space="0" w:color="auto"/>
            </w:tcBorders>
            <w:shd w:val="clear" w:color="000000" w:fill="CCECFF"/>
            <w:noWrap/>
            <w:vAlign w:val="bottom"/>
            <w:hideMark/>
          </w:tcPr>
          <w:p w14:paraId="1639CB20"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0.620921323</w:t>
            </w:r>
          </w:p>
        </w:tc>
        <w:tc>
          <w:tcPr>
            <w:tcW w:w="2116" w:type="dxa"/>
            <w:tcBorders>
              <w:top w:val="nil"/>
              <w:left w:val="nil"/>
              <w:bottom w:val="single" w:sz="4" w:space="0" w:color="auto"/>
              <w:right w:val="single" w:sz="4" w:space="0" w:color="auto"/>
            </w:tcBorders>
            <w:shd w:val="clear" w:color="000000" w:fill="CCECFF"/>
            <w:noWrap/>
            <w:vAlign w:val="bottom"/>
            <w:hideMark/>
          </w:tcPr>
          <w:p w14:paraId="42325A93"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3.725527938</w:t>
            </w:r>
          </w:p>
        </w:tc>
      </w:tr>
      <w:tr w:rsidR="0081148D" w:rsidRPr="005E07B9" w14:paraId="237F73A1" w14:textId="77777777" w:rsidTr="00FD7774">
        <w:trPr>
          <w:trHeight w:val="471"/>
        </w:trPr>
        <w:tc>
          <w:tcPr>
            <w:tcW w:w="2430" w:type="dxa"/>
            <w:tcBorders>
              <w:top w:val="nil"/>
              <w:left w:val="single" w:sz="4" w:space="0" w:color="auto"/>
              <w:bottom w:val="single" w:sz="4" w:space="0" w:color="auto"/>
              <w:right w:val="single" w:sz="4" w:space="0" w:color="auto"/>
            </w:tcBorders>
            <w:shd w:val="clear" w:color="000000" w:fill="CCECFF"/>
            <w:noWrap/>
            <w:vAlign w:val="bottom"/>
            <w:hideMark/>
          </w:tcPr>
          <w:p w14:paraId="6F0BAFBD"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c>
          <w:tcPr>
            <w:tcW w:w="2252" w:type="dxa"/>
            <w:tcBorders>
              <w:top w:val="nil"/>
              <w:left w:val="nil"/>
              <w:bottom w:val="single" w:sz="4" w:space="0" w:color="auto"/>
              <w:right w:val="single" w:sz="4" w:space="0" w:color="auto"/>
            </w:tcBorders>
            <w:shd w:val="clear" w:color="000000" w:fill="CCECFF"/>
            <w:noWrap/>
            <w:vAlign w:val="bottom"/>
            <w:hideMark/>
          </w:tcPr>
          <w:p w14:paraId="2E61CF29"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c>
          <w:tcPr>
            <w:tcW w:w="2646" w:type="dxa"/>
            <w:tcBorders>
              <w:top w:val="nil"/>
              <w:left w:val="nil"/>
              <w:bottom w:val="single" w:sz="4" w:space="0" w:color="auto"/>
              <w:right w:val="single" w:sz="4" w:space="0" w:color="auto"/>
            </w:tcBorders>
            <w:shd w:val="clear" w:color="000000" w:fill="CCECFF"/>
            <w:noWrap/>
            <w:vAlign w:val="bottom"/>
            <w:hideMark/>
          </w:tcPr>
          <w:p w14:paraId="79552824"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c>
          <w:tcPr>
            <w:tcW w:w="2116" w:type="dxa"/>
            <w:tcBorders>
              <w:top w:val="nil"/>
              <w:left w:val="nil"/>
              <w:bottom w:val="single" w:sz="4" w:space="0" w:color="auto"/>
              <w:right w:val="single" w:sz="4" w:space="0" w:color="auto"/>
            </w:tcBorders>
            <w:shd w:val="clear" w:color="000000" w:fill="CCECFF"/>
            <w:noWrap/>
            <w:vAlign w:val="bottom"/>
            <w:hideMark/>
          </w:tcPr>
          <w:p w14:paraId="52F1DB86"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22.74472062</w:t>
            </w:r>
          </w:p>
        </w:tc>
      </w:tr>
      <w:tr w:rsidR="0081148D" w:rsidRPr="005E07B9" w14:paraId="0982BF61" w14:textId="77777777" w:rsidTr="00FD7774">
        <w:trPr>
          <w:trHeight w:val="471"/>
        </w:trPr>
        <w:tc>
          <w:tcPr>
            <w:tcW w:w="2430" w:type="dxa"/>
            <w:tcBorders>
              <w:top w:val="nil"/>
              <w:left w:val="single" w:sz="4" w:space="0" w:color="auto"/>
              <w:bottom w:val="single" w:sz="4" w:space="0" w:color="auto"/>
              <w:right w:val="single" w:sz="4" w:space="0" w:color="auto"/>
            </w:tcBorders>
            <w:shd w:val="clear" w:color="000000" w:fill="CCECFF"/>
            <w:noWrap/>
            <w:vAlign w:val="bottom"/>
            <w:hideMark/>
          </w:tcPr>
          <w:p w14:paraId="6B83BA0F"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NPV</w:t>
            </w:r>
          </w:p>
        </w:tc>
        <w:tc>
          <w:tcPr>
            <w:tcW w:w="2252" w:type="dxa"/>
            <w:tcBorders>
              <w:top w:val="nil"/>
              <w:left w:val="nil"/>
              <w:bottom w:val="single" w:sz="4" w:space="0" w:color="auto"/>
              <w:right w:val="single" w:sz="4" w:space="0" w:color="auto"/>
            </w:tcBorders>
            <w:shd w:val="clear" w:color="000000" w:fill="CCECFF"/>
            <w:noWrap/>
            <w:vAlign w:val="bottom"/>
            <w:hideMark/>
          </w:tcPr>
          <w:p w14:paraId="3785B1BC"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-7.255279384</w:t>
            </w:r>
          </w:p>
        </w:tc>
        <w:tc>
          <w:tcPr>
            <w:tcW w:w="2646" w:type="dxa"/>
            <w:tcBorders>
              <w:top w:val="nil"/>
              <w:left w:val="nil"/>
              <w:bottom w:val="single" w:sz="4" w:space="0" w:color="auto"/>
              <w:right w:val="single" w:sz="4" w:space="0" w:color="auto"/>
            </w:tcBorders>
            <w:shd w:val="clear" w:color="000000" w:fill="CCECFF"/>
            <w:noWrap/>
            <w:vAlign w:val="bottom"/>
            <w:hideMark/>
          </w:tcPr>
          <w:p w14:paraId="1F003C83"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c>
          <w:tcPr>
            <w:tcW w:w="2116" w:type="dxa"/>
            <w:tcBorders>
              <w:top w:val="nil"/>
              <w:left w:val="nil"/>
              <w:bottom w:val="single" w:sz="4" w:space="0" w:color="auto"/>
              <w:right w:val="single" w:sz="4" w:space="0" w:color="auto"/>
            </w:tcBorders>
            <w:shd w:val="clear" w:color="000000" w:fill="CCECFF"/>
            <w:noWrap/>
            <w:vAlign w:val="bottom"/>
            <w:hideMark/>
          </w:tcPr>
          <w:p w14:paraId="671E1E71"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r>
      <w:tr w:rsidR="0081148D" w:rsidRPr="005E07B9" w14:paraId="591EC7F6" w14:textId="77777777" w:rsidTr="00FD7774">
        <w:trPr>
          <w:trHeight w:val="471"/>
        </w:trPr>
        <w:tc>
          <w:tcPr>
            <w:tcW w:w="4682" w:type="dxa"/>
            <w:gridSpan w:val="2"/>
            <w:tcBorders>
              <w:top w:val="single" w:sz="4" w:space="0" w:color="auto"/>
              <w:left w:val="single" w:sz="4" w:space="0" w:color="auto"/>
              <w:bottom w:val="single" w:sz="4" w:space="0" w:color="auto"/>
              <w:right w:val="single" w:sz="4" w:space="0" w:color="auto"/>
            </w:tcBorders>
            <w:shd w:val="clear" w:color="000000" w:fill="99CCFF"/>
            <w:noWrap/>
            <w:vAlign w:val="bottom"/>
            <w:hideMark/>
          </w:tcPr>
          <w:p w14:paraId="77F4960C"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PI</w:t>
            </w:r>
          </w:p>
        </w:tc>
        <w:tc>
          <w:tcPr>
            <w:tcW w:w="2646" w:type="dxa"/>
            <w:tcBorders>
              <w:top w:val="nil"/>
              <w:left w:val="nil"/>
              <w:bottom w:val="nil"/>
              <w:right w:val="nil"/>
            </w:tcBorders>
            <w:noWrap/>
            <w:vAlign w:val="bottom"/>
            <w:hideMark/>
          </w:tcPr>
          <w:p w14:paraId="7D2D31D5" w14:textId="77777777" w:rsidR="0081148D" w:rsidRPr="005E07B9" w:rsidRDefault="0081148D" w:rsidP="005E07B9">
            <w:pPr>
              <w:spacing w:after="0"/>
              <w:jc w:val="center"/>
              <w:rPr>
                <w:rFonts w:eastAsia="Times New Roman" w:cs="Arial"/>
                <w:b/>
                <w:bCs/>
                <w:color w:val="000000"/>
                <w:kern w:val="0"/>
                <w:lang w:eastAsia="en-IN"/>
                <w14:ligatures w14:val="none"/>
              </w:rPr>
            </w:pPr>
          </w:p>
        </w:tc>
        <w:tc>
          <w:tcPr>
            <w:tcW w:w="2116" w:type="dxa"/>
            <w:tcBorders>
              <w:top w:val="nil"/>
              <w:left w:val="nil"/>
              <w:bottom w:val="nil"/>
              <w:right w:val="nil"/>
            </w:tcBorders>
            <w:noWrap/>
            <w:vAlign w:val="bottom"/>
            <w:hideMark/>
          </w:tcPr>
          <w:p w14:paraId="49DDB2BD" w14:textId="77777777" w:rsidR="0081148D" w:rsidRPr="005E07B9" w:rsidRDefault="0081148D" w:rsidP="005E07B9">
            <w:pPr>
              <w:spacing w:after="0"/>
              <w:jc w:val="left"/>
              <w:rPr>
                <w:rFonts w:eastAsia="Times New Roman" w:cs="Arial"/>
                <w:kern w:val="0"/>
                <w:lang w:eastAsia="en-IN"/>
                <w14:ligatures w14:val="none"/>
              </w:rPr>
            </w:pPr>
          </w:p>
        </w:tc>
      </w:tr>
      <w:tr w:rsidR="0081148D" w:rsidRPr="005E07B9" w14:paraId="71EFD5BA" w14:textId="77777777" w:rsidTr="00FD7774">
        <w:trPr>
          <w:trHeight w:val="471"/>
        </w:trPr>
        <w:tc>
          <w:tcPr>
            <w:tcW w:w="2430" w:type="dxa"/>
            <w:tcBorders>
              <w:top w:val="nil"/>
              <w:left w:val="single" w:sz="4" w:space="0" w:color="auto"/>
              <w:bottom w:val="single" w:sz="4" w:space="0" w:color="auto"/>
              <w:right w:val="single" w:sz="4" w:space="0" w:color="auto"/>
            </w:tcBorders>
            <w:shd w:val="clear" w:color="000000" w:fill="CCECFF"/>
            <w:noWrap/>
            <w:vAlign w:val="bottom"/>
            <w:hideMark/>
          </w:tcPr>
          <w:p w14:paraId="0CEA1744"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PI</w:t>
            </w:r>
          </w:p>
        </w:tc>
        <w:tc>
          <w:tcPr>
            <w:tcW w:w="2252" w:type="dxa"/>
            <w:tcBorders>
              <w:top w:val="nil"/>
              <w:left w:val="nil"/>
              <w:bottom w:val="single" w:sz="4" w:space="0" w:color="auto"/>
              <w:right w:val="single" w:sz="4" w:space="0" w:color="auto"/>
            </w:tcBorders>
            <w:shd w:val="clear" w:color="000000" w:fill="CCECFF"/>
            <w:noWrap/>
            <w:vAlign w:val="bottom"/>
            <w:hideMark/>
          </w:tcPr>
          <w:p w14:paraId="0B8B3897"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0.758157354</w:t>
            </w:r>
          </w:p>
        </w:tc>
        <w:tc>
          <w:tcPr>
            <w:tcW w:w="2646" w:type="dxa"/>
            <w:tcBorders>
              <w:top w:val="nil"/>
              <w:left w:val="nil"/>
              <w:bottom w:val="nil"/>
              <w:right w:val="nil"/>
            </w:tcBorders>
            <w:noWrap/>
            <w:vAlign w:val="bottom"/>
            <w:hideMark/>
          </w:tcPr>
          <w:p w14:paraId="7706A4C3" w14:textId="77777777" w:rsidR="0081148D" w:rsidRPr="005E07B9" w:rsidRDefault="0081148D" w:rsidP="005E07B9">
            <w:pPr>
              <w:spacing w:after="0"/>
              <w:jc w:val="right"/>
              <w:rPr>
                <w:rFonts w:eastAsia="Times New Roman" w:cs="Arial"/>
                <w:color w:val="000000"/>
                <w:kern w:val="0"/>
                <w:lang w:eastAsia="en-IN"/>
                <w14:ligatures w14:val="none"/>
              </w:rPr>
            </w:pPr>
          </w:p>
        </w:tc>
        <w:tc>
          <w:tcPr>
            <w:tcW w:w="2116" w:type="dxa"/>
            <w:tcBorders>
              <w:top w:val="nil"/>
              <w:left w:val="nil"/>
              <w:bottom w:val="nil"/>
              <w:right w:val="nil"/>
            </w:tcBorders>
            <w:noWrap/>
            <w:vAlign w:val="bottom"/>
            <w:hideMark/>
          </w:tcPr>
          <w:p w14:paraId="54EBB79D" w14:textId="77777777" w:rsidR="0081148D" w:rsidRPr="005E07B9" w:rsidRDefault="0081148D" w:rsidP="005E07B9">
            <w:pPr>
              <w:spacing w:after="0"/>
              <w:jc w:val="left"/>
              <w:rPr>
                <w:rFonts w:eastAsia="Times New Roman" w:cs="Arial"/>
                <w:kern w:val="0"/>
                <w:lang w:eastAsia="en-IN"/>
                <w14:ligatures w14:val="none"/>
              </w:rPr>
            </w:pPr>
          </w:p>
        </w:tc>
      </w:tr>
    </w:tbl>
    <w:p w14:paraId="18E73CA7" w14:textId="77777777" w:rsidR="0081148D" w:rsidRPr="005E07B9" w:rsidRDefault="0081148D" w:rsidP="005E07B9">
      <w:pPr>
        <w:rPr>
          <w:rFonts w:cs="Arial"/>
          <w:lang w:val="en-GB"/>
        </w:rPr>
      </w:pPr>
    </w:p>
    <w:tbl>
      <w:tblPr>
        <w:tblW w:w="9062" w:type="dxa"/>
        <w:tblLook w:val="04A0" w:firstRow="1" w:lastRow="0" w:firstColumn="1" w:lastColumn="0" w:noHBand="0" w:noVBand="1"/>
      </w:tblPr>
      <w:tblGrid>
        <w:gridCol w:w="2812"/>
        <w:gridCol w:w="2586"/>
        <w:gridCol w:w="3063"/>
        <w:gridCol w:w="601"/>
      </w:tblGrid>
      <w:tr w:rsidR="0081148D" w:rsidRPr="005E07B9" w14:paraId="1ED1D65A" w14:textId="77777777" w:rsidTr="00FD7774">
        <w:trPr>
          <w:trHeight w:val="506"/>
        </w:trPr>
        <w:tc>
          <w:tcPr>
            <w:tcW w:w="9062" w:type="dxa"/>
            <w:gridSpan w:val="4"/>
            <w:tcBorders>
              <w:top w:val="single" w:sz="4" w:space="0" w:color="auto"/>
              <w:left w:val="single" w:sz="4" w:space="0" w:color="auto"/>
              <w:bottom w:val="single" w:sz="4" w:space="0" w:color="auto"/>
              <w:right w:val="single" w:sz="4" w:space="0" w:color="auto"/>
            </w:tcBorders>
            <w:shd w:val="clear" w:color="000000" w:fill="99CCFF"/>
            <w:noWrap/>
            <w:vAlign w:val="bottom"/>
            <w:hideMark/>
          </w:tcPr>
          <w:p w14:paraId="7A0EA4B6"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IRR</w:t>
            </w:r>
          </w:p>
        </w:tc>
      </w:tr>
      <w:tr w:rsidR="0081148D" w:rsidRPr="005E07B9" w14:paraId="2455F366" w14:textId="77777777" w:rsidTr="00FD7774">
        <w:trPr>
          <w:trHeight w:val="506"/>
        </w:trPr>
        <w:tc>
          <w:tcPr>
            <w:tcW w:w="2812" w:type="dxa"/>
            <w:tcBorders>
              <w:top w:val="nil"/>
              <w:left w:val="single" w:sz="4" w:space="0" w:color="auto"/>
              <w:bottom w:val="nil"/>
              <w:right w:val="single" w:sz="4" w:space="0" w:color="auto"/>
            </w:tcBorders>
            <w:shd w:val="clear" w:color="000000" w:fill="CCECFF"/>
            <w:noWrap/>
            <w:vAlign w:val="bottom"/>
            <w:hideMark/>
          </w:tcPr>
          <w:p w14:paraId="7318F476"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Discount Rate</w:t>
            </w:r>
          </w:p>
        </w:tc>
        <w:tc>
          <w:tcPr>
            <w:tcW w:w="2586" w:type="dxa"/>
            <w:tcBorders>
              <w:top w:val="nil"/>
              <w:left w:val="nil"/>
              <w:bottom w:val="nil"/>
              <w:right w:val="single" w:sz="4" w:space="0" w:color="auto"/>
            </w:tcBorders>
            <w:shd w:val="clear" w:color="000000" w:fill="CCECFF"/>
            <w:noWrap/>
            <w:vAlign w:val="bottom"/>
            <w:hideMark/>
          </w:tcPr>
          <w:p w14:paraId="1F6754CC"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1%</w:t>
            </w:r>
          </w:p>
        </w:tc>
        <w:tc>
          <w:tcPr>
            <w:tcW w:w="3063" w:type="dxa"/>
            <w:tcBorders>
              <w:top w:val="nil"/>
              <w:left w:val="nil"/>
              <w:bottom w:val="nil"/>
              <w:right w:val="nil"/>
            </w:tcBorders>
            <w:noWrap/>
            <w:vAlign w:val="bottom"/>
            <w:hideMark/>
          </w:tcPr>
          <w:p w14:paraId="5A2CC863" w14:textId="77777777" w:rsidR="0081148D" w:rsidRPr="005E07B9" w:rsidRDefault="0081148D" w:rsidP="005E07B9">
            <w:pPr>
              <w:spacing w:after="0"/>
              <w:jc w:val="right"/>
              <w:rPr>
                <w:rFonts w:eastAsia="Times New Roman" w:cs="Arial"/>
                <w:b/>
                <w:bCs/>
                <w:color w:val="000000"/>
                <w:kern w:val="0"/>
                <w:lang w:eastAsia="en-IN"/>
                <w14:ligatures w14:val="none"/>
              </w:rPr>
            </w:pPr>
          </w:p>
        </w:tc>
        <w:tc>
          <w:tcPr>
            <w:tcW w:w="600" w:type="dxa"/>
            <w:tcBorders>
              <w:top w:val="nil"/>
              <w:left w:val="nil"/>
              <w:bottom w:val="nil"/>
              <w:right w:val="nil"/>
            </w:tcBorders>
            <w:noWrap/>
            <w:vAlign w:val="bottom"/>
            <w:hideMark/>
          </w:tcPr>
          <w:p w14:paraId="0310533D" w14:textId="77777777" w:rsidR="0081148D" w:rsidRPr="005E07B9" w:rsidRDefault="0081148D" w:rsidP="005E07B9">
            <w:pPr>
              <w:spacing w:after="0"/>
              <w:jc w:val="left"/>
              <w:rPr>
                <w:rFonts w:eastAsia="Times New Roman" w:cs="Arial"/>
                <w:kern w:val="0"/>
                <w:lang w:eastAsia="en-IN"/>
                <w14:ligatures w14:val="none"/>
              </w:rPr>
            </w:pPr>
          </w:p>
        </w:tc>
      </w:tr>
      <w:tr w:rsidR="0081148D" w:rsidRPr="005E07B9" w14:paraId="265B6031" w14:textId="77777777" w:rsidTr="00FD7774">
        <w:trPr>
          <w:trHeight w:val="506"/>
        </w:trPr>
        <w:tc>
          <w:tcPr>
            <w:tcW w:w="2812" w:type="dxa"/>
            <w:tcBorders>
              <w:top w:val="single" w:sz="4" w:space="0" w:color="auto"/>
              <w:left w:val="single" w:sz="4" w:space="0" w:color="auto"/>
              <w:bottom w:val="single" w:sz="4" w:space="0" w:color="auto"/>
              <w:right w:val="single" w:sz="4" w:space="0" w:color="auto"/>
            </w:tcBorders>
            <w:shd w:val="clear" w:color="000000" w:fill="CCECFF"/>
            <w:noWrap/>
            <w:vAlign w:val="bottom"/>
            <w:hideMark/>
          </w:tcPr>
          <w:p w14:paraId="1067584B"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Year</w:t>
            </w:r>
          </w:p>
        </w:tc>
        <w:tc>
          <w:tcPr>
            <w:tcW w:w="2586" w:type="dxa"/>
            <w:tcBorders>
              <w:top w:val="single" w:sz="4" w:space="0" w:color="auto"/>
              <w:left w:val="nil"/>
              <w:bottom w:val="single" w:sz="4" w:space="0" w:color="auto"/>
              <w:right w:val="single" w:sz="4" w:space="0" w:color="auto"/>
            </w:tcBorders>
            <w:shd w:val="clear" w:color="000000" w:fill="CCECFF"/>
            <w:noWrap/>
            <w:vAlign w:val="bottom"/>
            <w:hideMark/>
          </w:tcPr>
          <w:p w14:paraId="67B2DD41"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Formula</w:t>
            </w:r>
          </w:p>
        </w:tc>
        <w:tc>
          <w:tcPr>
            <w:tcW w:w="3063" w:type="dxa"/>
            <w:tcBorders>
              <w:top w:val="single" w:sz="4" w:space="0" w:color="auto"/>
              <w:left w:val="nil"/>
              <w:bottom w:val="single" w:sz="4" w:space="0" w:color="auto"/>
              <w:right w:val="single" w:sz="4" w:space="0" w:color="auto"/>
            </w:tcBorders>
            <w:shd w:val="clear" w:color="000000" w:fill="CCECFF"/>
            <w:noWrap/>
            <w:vAlign w:val="bottom"/>
            <w:hideMark/>
          </w:tcPr>
          <w:p w14:paraId="53DF06AA"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Discount factor</w:t>
            </w:r>
          </w:p>
        </w:tc>
        <w:tc>
          <w:tcPr>
            <w:tcW w:w="600" w:type="dxa"/>
            <w:tcBorders>
              <w:top w:val="single" w:sz="4" w:space="0" w:color="auto"/>
              <w:left w:val="nil"/>
              <w:bottom w:val="single" w:sz="4" w:space="0" w:color="auto"/>
              <w:right w:val="single" w:sz="4" w:space="0" w:color="auto"/>
            </w:tcBorders>
            <w:shd w:val="clear" w:color="000000" w:fill="CCECFF"/>
            <w:noWrap/>
            <w:vAlign w:val="bottom"/>
            <w:hideMark/>
          </w:tcPr>
          <w:p w14:paraId="2E0F91DC"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PV</w:t>
            </w:r>
          </w:p>
        </w:tc>
      </w:tr>
      <w:tr w:rsidR="0081148D" w:rsidRPr="005E07B9" w14:paraId="59B6E1C7" w14:textId="77777777" w:rsidTr="00FD7774">
        <w:trPr>
          <w:trHeight w:val="506"/>
        </w:trPr>
        <w:tc>
          <w:tcPr>
            <w:tcW w:w="2812" w:type="dxa"/>
            <w:tcBorders>
              <w:top w:val="nil"/>
              <w:left w:val="single" w:sz="4" w:space="0" w:color="auto"/>
              <w:bottom w:val="single" w:sz="4" w:space="0" w:color="auto"/>
              <w:right w:val="single" w:sz="4" w:space="0" w:color="auto"/>
            </w:tcBorders>
            <w:shd w:val="clear" w:color="000000" w:fill="CCECFF"/>
            <w:noWrap/>
            <w:vAlign w:val="bottom"/>
            <w:hideMark/>
          </w:tcPr>
          <w:p w14:paraId="1A860547"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w:t>
            </w:r>
          </w:p>
        </w:tc>
        <w:tc>
          <w:tcPr>
            <w:tcW w:w="2586" w:type="dxa"/>
            <w:tcBorders>
              <w:top w:val="nil"/>
              <w:left w:val="nil"/>
              <w:bottom w:val="single" w:sz="4" w:space="0" w:color="auto"/>
              <w:right w:val="single" w:sz="4" w:space="0" w:color="auto"/>
            </w:tcBorders>
            <w:shd w:val="clear" w:color="000000" w:fill="CCECFF"/>
            <w:noWrap/>
            <w:vAlign w:val="bottom"/>
            <w:hideMark/>
          </w:tcPr>
          <w:p w14:paraId="22854797"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[1/(1+1%)]^1</w:t>
            </w:r>
          </w:p>
        </w:tc>
        <w:tc>
          <w:tcPr>
            <w:tcW w:w="3063" w:type="dxa"/>
            <w:tcBorders>
              <w:top w:val="nil"/>
              <w:left w:val="nil"/>
              <w:bottom w:val="single" w:sz="4" w:space="0" w:color="auto"/>
              <w:right w:val="single" w:sz="4" w:space="0" w:color="auto"/>
            </w:tcBorders>
            <w:shd w:val="clear" w:color="000000" w:fill="CCECFF"/>
            <w:noWrap/>
            <w:vAlign w:val="bottom"/>
            <w:hideMark/>
          </w:tcPr>
          <w:p w14:paraId="6E183AAD"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w:t>
            </w:r>
          </w:p>
        </w:tc>
        <w:tc>
          <w:tcPr>
            <w:tcW w:w="600" w:type="dxa"/>
            <w:tcBorders>
              <w:top w:val="nil"/>
              <w:left w:val="nil"/>
              <w:bottom w:val="single" w:sz="4" w:space="0" w:color="auto"/>
              <w:right w:val="single" w:sz="4" w:space="0" w:color="auto"/>
            </w:tcBorders>
            <w:shd w:val="clear" w:color="000000" w:fill="CCECFF"/>
            <w:noWrap/>
            <w:vAlign w:val="bottom"/>
            <w:hideMark/>
          </w:tcPr>
          <w:p w14:paraId="32900259"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r>
      <w:tr w:rsidR="0081148D" w:rsidRPr="005E07B9" w14:paraId="68D5CA37" w14:textId="77777777" w:rsidTr="00FD7774">
        <w:trPr>
          <w:trHeight w:val="506"/>
        </w:trPr>
        <w:tc>
          <w:tcPr>
            <w:tcW w:w="2812" w:type="dxa"/>
            <w:tcBorders>
              <w:top w:val="nil"/>
              <w:left w:val="single" w:sz="4" w:space="0" w:color="auto"/>
              <w:bottom w:val="single" w:sz="4" w:space="0" w:color="auto"/>
              <w:right w:val="single" w:sz="4" w:space="0" w:color="auto"/>
            </w:tcBorders>
            <w:shd w:val="clear" w:color="000000" w:fill="CCECFF"/>
            <w:noWrap/>
            <w:vAlign w:val="bottom"/>
            <w:hideMark/>
          </w:tcPr>
          <w:p w14:paraId="58007A2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w:t>
            </w:r>
          </w:p>
        </w:tc>
        <w:tc>
          <w:tcPr>
            <w:tcW w:w="2586" w:type="dxa"/>
            <w:tcBorders>
              <w:top w:val="nil"/>
              <w:left w:val="nil"/>
              <w:bottom w:val="single" w:sz="4" w:space="0" w:color="auto"/>
              <w:right w:val="single" w:sz="4" w:space="0" w:color="auto"/>
            </w:tcBorders>
            <w:shd w:val="clear" w:color="000000" w:fill="CCECFF"/>
            <w:noWrap/>
            <w:vAlign w:val="bottom"/>
            <w:hideMark/>
          </w:tcPr>
          <w:p w14:paraId="255A91AB"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[1/(1+1%)]^2</w:t>
            </w:r>
          </w:p>
        </w:tc>
        <w:tc>
          <w:tcPr>
            <w:tcW w:w="3063" w:type="dxa"/>
            <w:tcBorders>
              <w:top w:val="nil"/>
              <w:left w:val="nil"/>
              <w:bottom w:val="single" w:sz="4" w:space="0" w:color="auto"/>
              <w:right w:val="single" w:sz="4" w:space="0" w:color="auto"/>
            </w:tcBorders>
            <w:shd w:val="clear" w:color="000000" w:fill="CCECFF"/>
            <w:noWrap/>
            <w:vAlign w:val="bottom"/>
            <w:hideMark/>
          </w:tcPr>
          <w:p w14:paraId="1E9317C1"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w:t>
            </w:r>
          </w:p>
        </w:tc>
        <w:tc>
          <w:tcPr>
            <w:tcW w:w="600" w:type="dxa"/>
            <w:tcBorders>
              <w:top w:val="nil"/>
              <w:left w:val="nil"/>
              <w:bottom w:val="single" w:sz="4" w:space="0" w:color="auto"/>
              <w:right w:val="single" w:sz="4" w:space="0" w:color="auto"/>
            </w:tcBorders>
            <w:shd w:val="clear" w:color="000000" w:fill="CCECFF"/>
            <w:noWrap/>
            <w:vAlign w:val="bottom"/>
            <w:hideMark/>
          </w:tcPr>
          <w:p w14:paraId="0C02F74C"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r>
      <w:tr w:rsidR="0081148D" w:rsidRPr="005E07B9" w14:paraId="209D0A12" w14:textId="77777777" w:rsidTr="00FD7774">
        <w:trPr>
          <w:trHeight w:val="506"/>
        </w:trPr>
        <w:tc>
          <w:tcPr>
            <w:tcW w:w="2812" w:type="dxa"/>
            <w:tcBorders>
              <w:top w:val="nil"/>
              <w:left w:val="single" w:sz="4" w:space="0" w:color="auto"/>
              <w:bottom w:val="single" w:sz="4" w:space="0" w:color="auto"/>
              <w:right w:val="single" w:sz="4" w:space="0" w:color="auto"/>
            </w:tcBorders>
            <w:shd w:val="clear" w:color="000000" w:fill="CCECFF"/>
            <w:noWrap/>
            <w:vAlign w:val="bottom"/>
            <w:hideMark/>
          </w:tcPr>
          <w:p w14:paraId="6CBB953E"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w:t>
            </w:r>
          </w:p>
        </w:tc>
        <w:tc>
          <w:tcPr>
            <w:tcW w:w="2586" w:type="dxa"/>
            <w:tcBorders>
              <w:top w:val="nil"/>
              <w:left w:val="nil"/>
              <w:bottom w:val="single" w:sz="4" w:space="0" w:color="auto"/>
              <w:right w:val="single" w:sz="4" w:space="0" w:color="auto"/>
            </w:tcBorders>
            <w:shd w:val="clear" w:color="000000" w:fill="CCECFF"/>
            <w:noWrap/>
            <w:vAlign w:val="bottom"/>
            <w:hideMark/>
          </w:tcPr>
          <w:p w14:paraId="73594FA0"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[1/(1+1%)]^3</w:t>
            </w:r>
          </w:p>
        </w:tc>
        <w:tc>
          <w:tcPr>
            <w:tcW w:w="3063" w:type="dxa"/>
            <w:tcBorders>
              <w:top w:val="nil"/>
              <w:left w:val="nil"/>
              <w:bottom w:val="single" w:sz="4" w:space="0" w:color="auto"/>
              <w:right w:val="single" w:sz="4" w:space="0" w:color="auto"/>
            </w:tcBorders>
            <w:shd w:val="clear" w:color="000000" w:fill="CCECFF"/>
            <w:noWrap/>
            <w:vAlign w:val="bottom"/>
            <w:hideMark/>
          </w:tcPr>
          <w:p w14:paraId="4450A0BD"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w:t>
            </w:r>
          </w:p>
        </w:tc>
        <w:tc>
          <w:tcPr>
            <w:tcW w:w="600" w:type="dxa"/>
            <w:tcBorders>
              <w:top w:val="nil"/>
              <w:left w:val="nil"/>
              <w:bottom w:val="single" w:sz="4" w:space="0" w:color="auto"/>
              <w:right w:val="single" w:sz="4" w:space="0" w:color="auto"/>
            </w:tcBorders>
            <w:shd w:val="clear" w:color="000000" w:fill="CCECFF"/>
            <w:noWrap/>
            <w:vAlign w:val="bottom"/>
            <w:hideMark/>
          </w:tcPr>
          <w:p w14:paraId="643356FD"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r>
      <w:tr w:rsidR="0081148D" w:rsidRPr="005E07B9" w14:paraId="30D69660" w14:textId="77777777" w:rsidTr="00FD7774">
        <w:trPr>
          <w:trHeight w:val="506"/>
        </w:trPr>
        <w:tc>
          <w:tcPr>
            <w:tcW w:w="2812" w:type="dxa"/>
            <w:tcBorders>
              <w:top w:val="nil"/>
              <w:left w:val="single" w:sz="4" w:space="0" w:color="auto"/>
              <w:bottom w:val="single" w:sz="4" w:space="0" w:color="auto"/>
              <w:right w:val="single" w:sz="4" w:space="0" w:color="auto"/>
            </w:tcBorders>
            <w:shd w:val="clear" w:color="000000" w:fill="CCECFF"/>
            <w:noWrap/>
            <w:vAlign w:val="bottom"/>
            <w:hideMark/>
          </w:tcPr>
          <w:p w14:paraId="43980611"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w:t>
            </w:r>
          </w:p>
        </w:tc>
        <w:tc>
          <w:tcPr>
            <w:tcW w:w="2586" w:type="dxa"/>
            <w:tcBorders>
              <w:top w:val="nil"/>
              <w:left w:val="nil"/>
              <w:bottom w:val="single" w:sz="4" w:space="0" w:color="auto"/>
              <w:right w:val="single" w:sz="4" w:space="0" w:color="auto"/>
            </w:tcBorders>
            <w:shd w:val="clear" w:color="000000" w:fill="CCECFF"/>
            <w:noWrap/>
            <w:vAlign w:val="bottom"/>
            <w:hideMark/>
          </w:tcPr>
          <w:p w14:paraId="3A2D967D"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[1/(1+1%)]^4</w:t>
            </w:r>
          </w:p>
        </w:tc>
        <w:tc>
          <w:tcPr>
            <w:tcW w:w="3063" w:type="dxa"/>
            <w:tcBorders>
              <w:top w:val="nil"/>
              <w:left w:val="nil"/>
              <w:bottom w:val="single" w:sz="4" w:space="0" w:color="auto"/>
              <w:right w:val="single" w:sz="4" w:space="0" w:color="auto"/>
            </w:tcBorders>
            <w:shd w:val="clear" w:color="000000" w:fill="CCECFF"/>
            <w:noWrap/>
            <w:vAlign w:val="bottom"/>
            <w:hideMark/>
          </w:tcPr>
          <w:p w14:paraId="01F30ADC"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w:t>
            </w:r>
          </w:p>
        </w:tc>
        <w:tc>
          <w:tcPr>
            <w:tcW w:w="600" w:type="dxa"/>
            <w:tcBorders>
              <w:top w:val="nil"/>
              <w:left w:val="nil"/>
              <w:bottom w:val="single" w:sz="4" w:space="0" w:color="auto"/>
              <w:right w:val="single" w:sz="4" w:space="0" w:color="auto"/>
            </w:tcBorders>
            <w:shd w:val="clear" w:color="000000" w:fill="CCECFF"/>
            <w:noWrap/>
            <w:vAlign w:val="bottom"/>
            <w:hideMark/>
          </w:tcPr>
          <w:p w14:paraId="63F45E68"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r>
      <w:tr w:rsidR="0081148D" w:rsidRPr="005E07B9" w14:paraId="01D8208E" w14:textId="77777777" w:rsidTr="00FD7774">
        <w:trPr>
          <w:trHeight w:val="506"/>
        </w:trPr>
        <w:tc>
          <w:tcPr>
            <w:tcW w:w="2812" w:type="dxa"/>
            <w:tcBorders>
              <w:top w:val="nil"/>
              <w:left w:val="single" w:sz="4" w:space="0" w:color="auto"/>
              <w:bottom w:val="single" w:sz="4" w:space="0" w:color="auto"/>
              <w:right w:val="single" w:sz="4" w:space="0" w:color="auto"/>
            </w:tcBorders>
            <w:shd w:val="clear" w:color="000000" w:fill="CCECFF"/>
            <w:noWrap/>
            <w:vAlign w:val="bottom"/>
            <w:hideMark/>
          </w:tcPr>
          <w:p w14:paraId="33539C25"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2586" w:type="dxa"/>
            <w:tcBorders>
              <w:top w:val="nil"/>
              <w:left w:val="nil"/>
              <w:bottom w:val="single" w:sz="4" w:space="0" w:color="auto"/>
              <w:right w:val="single" w:sz="4" w:space="0" w:color="auto"/>
            </w:tcBorders>
            <w:shd w:val="clear" w:color="000000" w:fill="CCECFF"/>
            <w:noWrap/>
            <w:vAlign w:val="bottom"/>
            <w:hideMark/>
          </w:tcPr>
          <w:p w14:paraId="299A04EB"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[1/(1+1%)]^5</w:t>
            </w:r>
          </w:p>
        </w:tc>
        <w:tc>
          <w:tcPr>
            <w:tcW w:w="3063" w:type="dxa"/>
            <w:tcBorders>
              <w:top w:val="nil"/>
              <w:left w:val="nil"/>
              <w:bottom w:val="single" w:sz="4" w:space="0" w:color="auto"/>
              <w:right w:val="single" w:sz="4" w:space="0" w:color="auto"/>
            </w:tcBorders>
            <w:shd w:val="clear" w:color="000000" w:fill="CCECFF"/>
            <w:noWrap/>
            <w:vAlign w:val="bottom"/>
            <w:hideMark/>
          </w:tcPr>
          <w:p w14:paraId="14BB7E2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w:t>
            </w:r>
          </w:p>
        </w:tc>
        <w:tc>
          <w:tcPr>
            <w:tcW w:w="600" w:type="dxa"/>
            <w:tcBorders>
              <w:top w:val="nil"/>
              <w:left w:val="nil"/>
              <w:bottom w:val="single" w:sz="4" w:space="0" w:color="auto"/>
              <w:right w:val="single" w:sz="4" w:space="0" w:color="auto"/>
            </w:tcBorders>
            <w:shd w:val="clear" w:color="000000" w:fill="CCECFF"/>
            <w:noWrap/>
            <w:vAlign w:val="bottom"/>
            <w:hideMark/>
          </w:tcPr>
          <w:p w14:paraId="77E40671"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w:t>
            </w:r>
          </w:p>
        </w:tc>
      </w:tr>
      <w:tr w:rsidR="0081148D" w:rsidRPr="005E07B9" w14:paraId="61BE19DD" w14:textId="77777777" w:rsidTr="00FD7774">
        <w:trPr>
          <w:trHeight w:val="506"/>
        </w:trPr>
        <w:tc>
          <w:tcPr>
            <w:tcW w:w="2812" w:type="dxa"/>
            <w:tcBorders>
              <w:top w:val="nil"/>
              <w:left w:val="single" w:sz="4" w:space="0" w:color="auto"/>
              <w:bottom w:val="single" w:sz="4" w:space="0" w:color="auto"/>
              <w:right w:val="single" w:sz="4" w:space="0" w:color="auto"/>
            </w:tcBorders>
            <w:shd w:val="clear" w:color="000000" w:fill="CCECFF"/>
            <w:noWrap/>
            <w:vAlign w:val="bottom"/>
            <w:hideMark/>
          </w:tcPr>
          <w:p w14:paraId="5B6592AB"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c>
          <w:tcPr>
            <w:tcW w:w="2586" w:type="dxa"/>
            <w:tcBorders>
              <w:top w:val="nil"/>
              <w:left w:val="nil"/>
              <w:bottom w:val="single" w:sz="4" w:space="0" w:color="auto"/>
              <w:right w:val="single" w:sz="4" w:space="0" w:color="auto"/>
            </w:tcBorders>
            <w:shd w:val="clear" w:color="000000" w:fill="CCECFF"/>
            <w:noWrap/>
            <w:vAlign w:val="bottom"/>
            <w:hideMark/>
          </w:tcPr>
          <w:p w14:paraId="62B894F8"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c>
          <w:tcPr>
            <w:tcW w:w="3063" w:type="dxa"/>
            <w:tcBorders>
              <w:top w:val="nil"/>
              <w:left w:val="nil"/>
              <w:bottom w:val="single" w:sz="4" w:space="0" w:color="auto"/>
              <w:right w:val="single" w:sz="4" w:space="0" w:color="auto"/>
            </w:tcBorders>
            <w:shd w:val="clear" w:color="000000" w:fill="CCECFF"/>
            <w:noWrap/>
            <w:vAlign w:val="bottom"/>
            <w:hideMark/>
          </w:tcPr>
          <w:p w14:paraId="5E37DFAF"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c>
          <w:tcPr>
            <w:tcW w:w="600" w:type="dxa"/>
            <w:tcBorders>
              <w:top w:val="nil"/>
              <w:left w:val="nil"/>
              <w:bottom w:val="single" w:sz="4" w:space="0" w:color="auto"/>
              <w:right w:val="single" w:sz="4" w:space="0" w:color="auto"/>
            </w:tcBorders>
            <w:shd w:val="clear" w:color="000000" w:fill="CCECFF"/>
            <w:noWrap/>
            <w:vAlign w:val="bottom"/>
            <w:hideMark/>
          </w:tcPr>
          <w:p w14:paraId="208D2481"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30</w:t>
            </w:r>
          </w:p>
        </w:tc>
      </w:tr>
      <w:tr w:rsidR="0081148D" w:rsidRPr="005E07B9" w14:paraId="7C1F75A2" w14:textId="77777777" w:rsidTr="00FD7774">
        <w:trPr>
          <w:trHeight w:val="506"/>
        </w:trPr>
        <w:tc>
          <w:tcPr>
            <w:tcW w:w="2812" w:type="dxa"/>
            <w:tcBorders>
              <w:top w:val="nil"/>
              <w:left w:val="single" w:sz="4" w:space="0" w:color="auto"/>
              <w:bottom w:val="single" w:sz="4" w:space="0" w:color="auto"/>
              <w:right w:val="single" w:sz="4" w:space="0" w:color="auto"/>
            </w:tcBorders>
            <w:shd w:val="clear" w:color="000000" w:fill="CCECFF"/>
            <w:noWrap/>
            <w:vAlign w:val="bottom"/>
            <w:hideMark/>
          </w:tcPr>
          <w:p w14:paraId="54F32B8B"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NPV</w:t>
            </w:r>
          </w:p>
        </w:tc>
        <w:tc>
          <w:tcPr>
            <w:tcW w:w="2586" w:type="dxa"/>
            <w:tcBorders>
              <w:top w:val="nil"/>
              <w:left w:val="nil"/>
              <w:bottom w:val="single" w:sz="4" w:space="0" w:color="auto"/>
              <w:right w:val="single" w:sz="4" w:space="0" w:color="auto"/>
            </w:tcBorders>
            <w:shd w:val="clear" w:color="000000" w:fill="CCECFF"/>
            <w:noWrap/>
            <w:vAlign w:val="bottom"/>
            <w:hideMark/>
          </w:tcPr>
          <w:p w14:paraId="0FDA61CB"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0</w:t>
            </w:r>
          </w:p>
        </w:tc>
        <w:tc>
          <w:tcPr>
            <w:tcW w:w="3063" w:type="dxa"/>
            <w:tcBorders>
              <w:top w:val="nil"/>
              <w:left w:val="nil"/>
              <w:bottom w:val="single" w:sz="4" w:space="0" w:color="auto"/>
              <w:right w:val="single" w:sz="4" w:space="0" w:color="auto"/>
            </w:tcBorders>
            <w:shd w:val="clear" w:color="000000" w:fill="CCECFF"/>
            <w:noWrap/>
            <w:vAlign w:val="bottom"/>
            <w:hideMark/>
          </w:tcPr>
          <w:p w14:paraId="47E66A9C"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c>
          <w:tcPr>
            <w:tcW w:w="600" w:type="dxa"/>
            <w:tcBorders>
              <w:top w:val="nil"/>
              <w:left w:val="nil"/>
              <w:bottom w:val="single" w:sz="4" w:space="0" w:color="auto"/>
              <w:right w:val="single" w:sz="4" w:space="0" w:color="auto"/>
            </w:tcBorders>
            <w:shd w:val="clear" w:color="000000" w:fill="CCECFF"/>
            <w:noWrap/>
            <w:vAlign w:val="bottom"/>
            <w:hideMark/>
          </w:tcPr>
          <w:p w14:paraId="6D94AF8C"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r>
      <w:tr w:rsidR="0081148D" w:rsidRPr="005E07B9" w14:paraId="697A2DF6" w14:textId="77777777" w:rsidTr="00FD7774">
        <w:trPr>
          <w:trHeight w:val="506"/>
        </w:trPr>
        <w:tc>
          <w:tcPr>
            <w:tcW w:w="2812" w:type="dxa"/>
            <w:tcBorders>
              <w:top w:val="nil"/>
              <w:left w:val="single" w:sz="4" w:space="0" w:color="auto"/>
              <w:bottom w:val="single" w:sz="4" w:space="0" w:color="auto"/>
              <w:right w:val="single" w:sz="4" w:space="0" w:color="auto"/>
            </w:tcBorders>
            <w:shd w:val="clear" w:color="000000" w:fill="CCECFF"/>
            <w:noWrap/>
            <w:vAlign w:val="bottom"/>
            <w:hideMark/>
          </w:tcPr>
          <w:p w14:paraId="5DF0B7B8"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Discount rate</w:t>
            </w:r>
          </w:p>
        </w:tc>
        <w:tc>
          <w:tcPr>
            <w:tcW w:w="2586" w:type="dxa"/>
            <w:tcBorders>
              <w:top w:val="nil"/>
              <w:left w:val="nil"/>
              <w:bottom w:val="single" w:sz="4" w:space="0" w:color="auto"/>
              <w:right w:val="single" w:sz="4" w:space="0" w:color="auto"/>
            </w:tcBorders>
            <w:shd w:val="clear" w:color="000000" w:fill="CCECFF"/>
            <w:noWrap/>
            <w:vAlign w:val="bottom"/>
            <w:hideMark/>
          </w:tcPr>
          <w:p w14:paraId="76C4EF06"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10%</w:t>
            </w:r>
          </w:p>
        </w:tc>
        <w:tc>
          <w:tcPr>
            <w:tcW w:w="3063" w:type="dxa"/>
            <w:tcBorders>
              <w:top w:val="nil"/>
              <w:left w:val="nil"/>
              <w:bottom w:val="single" w:sz="4" w:space="0" w:color="auto"/>
              <w:right w:val="single" w:sz="4" w:space="0" w:color="auto"/>
            </w:tcBorders>
            <w:shd w:val="clear" w:color="000000" w:fill="CCECFF"/>
            <w:noWrap/>
            <w:vAlign w:val="bottom"/>
            <w:hideMark/>
          </w:tcPr>
          <w:p w14:paraId="7C12A992"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w:t>
            </w:r>
          </w:p>
        </w:tc>
        <w:tc>
          <w:tcPr>
            <w:tcW w:w="600" w:type="dxa"/>
            <w:tcBorders>
              <w:top w:val="nil"/>
              <w:left w:val="nil"/>
              <w:bottom w:val="nil"/>
              <w:right w:val="nil"/>
            </w:tcBorders>
            <w:noWrap/>
            <w:vAlign w:val="bottom"/>
            <w:hideMark/>
          </w:tcPr>
          <w:p w14:paraId="7300318F"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22CD13D1" w14:textId="77777777" w:rsidTr="00FD7774">
        <w:trPr>
          <w:trHeight w:val="506"/>
        </w:trPr>
        <w:tc>
          <w:tcPr>
            <w:tcW w:w="2812" w:type="dxa"/>
            <w:tcBorders>
              <w:top w:val="nil"/>
              <w:left w:val="single" w:sz="4" w:space="0" w:color="auto"/>
              <w:bottom w:val="single" w:sz="4" w:space="0" w:color="auto"/>
              <w:right w:val="single" w:sz="4" w:space="0" w:color="auto"/>
            </w:tcBorders>
            <w:shd w:val="clear" w:color="000000" w:fill="CCECFF"/>
            <w:noWrap/>
            <w:vAlign w:val="bottom"/>
            <w:hideMark/>
          </w:tcPr>
          <w:p w14:paraId="0F422FAE"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NPV</w:t>
            </w:r>
          </w:p>
        </w:tc>
        <w:tc>
          <w:tcPr>
            <w:tcW w:w="2586" w:type="dxa"/>
            <w:tcBorders>
              <w:top w:val="nil"/>
              <w:left w:val="nil"/>
              <w:bottom w:val="single" w:sz="4" w:space="0" w:color="auto"/>
              <w:right w:val="single" w:sz="4" w:space="0" w:color="auto"/>
            </w:tcBorders>
            <w:shd w:val="clear" w:color="000000" w:fill="CCECFF"/>
            <w:noWrap/>
            <w:vAlign w:val="bottom"/>
            <w:hideMark/>
          </w:tcPr>
          <w:p w14:paraId="792BDC9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-7.255279384</w:t>
            </w:r>
          </w:p>
        </w:tc>
        <w:tc>
          <w:tcPr>
            <w:tcW w:w="3063" w:type="dxa"/>
            <w:tcBorders>
              <w:top w:val="nil"/>
              <w:left w:val="nil"/>
              <w:bottom w:val="single" w:sz="4" w:space="0" w:color="auto"/>
              <w:right w:val="single" w:sz="4" w:space="0" w:color="auto"/>
            </w:tcBorders>
            <w:shd w:val="clear" w:color="000000" w:fill="CCECFF"/>
            <w:noWrap/>
            <w:vAlign w:val="bottom"/>
            <w:hideMark/>
          </w:tcPr>
          <w:p w14:paraId="22BB2191"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w:t>
            </w:r>
          </w:p>
        </w:tc>
        <w:tc>
          <w:tcPr>
            <w:tcW w:w="600" w:type="dxa"/>
            <w:tcBorders>
              <w:top w:val="nil"/>
              <w:left w:val="nil"/>
              <w:bottom w:val="nil"/>
              <w:right w:val="nil"/>
            </w:tcBorders>
            <w:noWrap/>
            <w:vAlign w:val="bottom"/>
            <w:hideMark/>
          </w:tcPr>
          <w:p w14:paraId="000389E0"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72382BB9" w14:textId="77777777" w:rsidTr="00FD7774">
        <w:trPr>
          <w:trHeight w:val="506"/>
        </w:trPr>
        <w:tc>
          <w:tcPr>
            <w:tcW w:w="2812" w:type="dxa"/>
            <w:tcBorders>
              <w:top w:val="nil"/>
              <w:left w:val="single" w:sz="4" w:space="0" w:color="auto"/>
              <w:bottom w:val="single" w:sz="4" w:space="0" w:color="auto"/>
              <w:right w:val="single" w:sz="4" w:space="0" w:color="auto"/>
            </w:tcBorders>
            <w:shd w:val="clear" w:color="000000" w:fill="CCECFF"/>
            <w:noWrap/>
            <w:vAlign w:val="bottom"/>
            <w:hideMark/>
          </w:tcPr>
          <w:p w14:paraId="307E10AB"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IRR</w:t>
            </w:r>
          </w:p>
        </w:tc>
        <w:tc>
          <w:tcPr>
            <w:tcW w:w="2586" w:type="dxa"/>
            <w:tcBorders>
              <w:top w:val="nil"/>
              <w:left w:val="nil"/>
              <w:bottom w:val="single" w:sz="4" w:space="0" w:color="auto"/>
              <w:right w:val="single" w:sz="4" w:space="0" w:color="auto"/>
            </w:tcBorders>
            <w:shd w:val="clear" w:color="000000" w:fill="CCECFF"/>
            <w:noWrap/>
            <w:vAlign w:val="bottom"/>
            <w:hideMark/>
          </w:tcPr>
          <w:p w14:paraId="6F524C51"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w:t>
            </w:r>
          </w:p>
        </w:tc>
        <w:tc>
          <w:tcPr>
            <w:tcW w:w="3063" w:type="dxa"/>
            <w:tcBorders>
              <w:top w:val="nil"/>
              <w:left w:val="nil"/>
              <w:bottom w:val="nil"/>
              <w:right w:val="nil"/>
            </w:tcBorders>
            <w:noWrap/>
            <w:vAlign w:val="bottom"/>
            <w:hideMark/>
          </w:tcPr>
          <w:p w14:paraId="4346BFF7" w14:textId="77777777" w:rsidR="0081148D" w:rsidRPr="005E07B9" w:rsidRDefault="0081148D" w:rsidP="005E07B9">
            <w:pPr>
              <w:spacing w:after="0"/>
              <w:jc w:val="right"/>
              <w:rPr>
                <w:rFonts w:eastAsia="Times New Roman" w:cs="Arial"/>
                <w:color w:val="000000"/>
                <w:kern w:val="0"/>
                <w:lang w:eastAsia="en-IN"/>
                <w14:ligatures w14:val="none"/>
              </w:rPr>
            </w:pPr>
          </w:p>
        </w:tc>
        <w:tc>
          <w:tcPr>
            <w:tcW w:w="600" w:type="dxa"/>
            <w:tcBorders>
              <w:top w:val="nil"/>
              <w:left w:val="nil"/>
              <w:bottom w:val="nil"/>
              <w:right w:val="nil"/>
            </w:tcBorders>
            <w:noWrap/>
            <w:vAlign w:val="bottom"/>
            <w:hideMark/>
          </w:tcPr>
          <w:p w14:paraId="0C3F449E" w14:textId="77777777" w:rsidR="0081148D" w:rsidRPr="005E07B9" w:rsidRDefault="0081148D" w:rsidP="005E07B9">
            <w:pPr>
              <w:spacing w:after="0"/>
              <w:jc w:val="left"/>
              <w:rPr>
                <w:rFonts w:eastAsia="Times New Roman" w:cs="Arial"/>
                <w:kern w:val="0"/>
                <w:lang w:eastAsia="en-IN"/>
                <w14:ligatures w14:val="none"/>
              </w:rPr>
            </w:pPr>
          </w:p>
        </w:tc>
      </w:tr>
    </w:tbl>
    <w:p w14:paraId="6FF25F9A" w14:textId="77777777" w:rsidR="0081148D" w:rsidRPr="005E07B9" w:rsidRDefault="0081148D" w:rsidP="005E07B9">
      <w:pPr>
        <w:rPr>
          <w:rFonts w:cs="Arial"/>
          <w:lang w:val="en-GB"/>
        </w:rPr>
      </w:pPr>
    </w:p>
    <w:p w14:paraId="404A797A" w14:textId="77777777" w:rsidR="0081148D" w:rsidRPr="005E07B9" w:rsidRDefault="0081148D" w:rsidP="005E07B9">
      <w:pPr>
        <w:rPr>
          <w:rFonts w:cs="Arial"/>
          <w:b/>
          <w:bCs/>
          <w:lang w:val="en-GB"/>
        </w:rPr>
      </w:pPr>
      <w:r w:rsidRPr="005E07B9">
        <w:rPr>
          <w:rFonts w:cs="Arial"/>
          <w:b/>
          <w:bCs/>
          <w:lang w:val="en-GB"/>
        </w:rPr>
        <w:t>Project C</w:t>
      </w:r>
    </w:p>
    <w:tbl>
      <w:tblPr>
        <w:tblW w:w="8380" w:type="dxa"/>
        <w:tblLook w:val="04A0" w:firstRow="1" w:lastRow="0" w:firstColumn="1" w:lastColumn="0" w:noHBand="0" w:noVBand="1"/>
      </w:tblPr>
      <w:tblGrid>
        <w:gridCol w:w="3628"/>
        <w:gridCol w:w="1527"/>
        <w:gridCol w:w="3225"/>
      </w:tblGrid>
      <w:tr w:rsidR="0081148D" w:rsidRPr="005E07B9" w14:paraId="506D5AE1" w14:textId="77777777" w:rsidTr="00FD7774">
        <w:trPr>
          <w:trHeight w:val="420"/>
        </w:trPr>
        <w:tc>
          <w:tcPr>
            <w:tcW w:w="8380" w:type="dxa"/>
            <w:gridSpan w:val="3"/>
            <w:tcBorders>
              <w:top w:val="nil"/>
              <w:left w:val="nil"/>
              <w:bottom w:val="single" w:sz="4" w:space="0" w:color="auto"/>
              <w:right w:val="nil"/>
            </w:tcBorders>
            <w:shd w:val="clear" w:color="000000" w:fill="A9D08E"/>
            <w:noWrap/>
            <w:vAlign w:val="bottom"/>
            <w:hideMark/>
          </w:tcPr>
          <w:p w14:paraId="042311C5"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PBP</w:t>
            </w:r>
          </w:p>
        </w:tc>
      </w:tr>
      <w:tr w:rsidR="0081148D" w:rsidRPr="005E07B9" w14:paraId="40F5B0B3" w14:textId="77777777" w:rsidTr="00FD7774">
        <w:trPr>
          <w:trHeight w:val="420"/>
        </w:trPr>
        <w:tc>
          <w:tcPr>
            <w:tcW w:w="3628" w:type="dxa"/>
            <w:tcBorders>
              <w:top w:val="nil"/>
              <w:left w:val="single" w:sz="4" w:space="0" w:color="auto"/>
              <w:bottom w:val="single" w:sz="4" w:space="0" w:color="auto"/>
              <w:right w:val="single" w:sz="4" w:space="0" w:color="auto"/>
            </w:tcBorders>
            <w:shd w:val="clear" w:color="000000" w:fill="E2EFDA"/>
            <w:noWrap/>
            <w:vAlign w:val="bottom"/>
            <w:hideMark/>
          </w:tcPr>
          <w:p w14:paraId="0E4438F1"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Year</w:t>
            </w:r>
          </w:p>
        </w:tc>
        <w:tc>
          <w:tcPr>
            <w:tcW w:w="1527" w:type="dxa"/>
            <w:tcBorders>
              <w:top w:val="nil"/>
              <w:left w:val="nil"/>
              <w:bottom w:val="single" w:sz="4" w:space="0" w:color="auto"/>
              <w:right w:val="single" w:sz="4" w:space="0" w:color="auto"/>
            </w:tcBorders>
            <w:shd w:val="clear" w:color="000000" w:fill="E2EFDA"/>
            <w:noWrap/>
            <w:vAlign w:val="bottom"/>
            <w:hideMark/>
          </w:tcPr>
          <w:p w14:paraId="6A4928CD" w14:textId="77777777" w:rsidR="0081148D" w:rsidRPr="005E07B9" w:rsidRDefault="0081148D" w:rsidP="005E07B9">
            <w:pPr>
              <w:spacing w:after="0"/>
              <w:jc w:val="center"/>
              <w:rPr>
                <w:rFonts w:eastAsia="Times New Roman" w:cs="Arial"/>
                <w:b/>
                <w:bCs/>
                <w:color w:val="000000"/>
                <w:kern w:val="0"/>
                <w:lang w:eastAsia="en-IN"/>
                <w14:ligatures w14:val="none"/>
              </w:rPr>
            </w:pPr>
            <w:proofErr w:type="spellStart"/>
            <w:r w:rsidRPr="005E07B9">
              <w:rPr>
                <w:rFonts w:eastAsia="Times New Roman" w:cs="Arial"/>
                <w:b/>
                <w:bCs/>
                <w:color w:val="000000"/>
                <w:kern w:val="0"/>
                <w:lang w:eastAsia="en-IN"/>
                <w14:ligatures w14:val="none"/>
              </w:rPr>
              <w:t>CashFlow</w:t>
            </w:r>
            <w:proofErr w:type="spellEnd"/>
            <w:r w:rsidRPr="005E07B9">
              <w:rPr>
                <w:rFonts w:eastAsia="Times New Roman" w:cs="Arial"/>
                <w:b/>
                <w:bCs/>
                <w:color w:val="000000"/>
                <w:kern w:val="0"/>
                <w:lang w:eastAsia="en-IN"/>
                <w14:ligatures w14:val="none"/>
              </w:rPr>
              <w:t xml:space="preserve"> </w:t>
            </w:r>
          </w:p>
        </w:tc>
        <w:tc>
          <w:tcPr>
            <w:tcW w:w="3225" w:type="dxa"/>
            <w:tcBorders>
              <w:top w:val="nil"/>
              <w:left w:val="nil"/>
              <w:bottom w:val="single" w:sz="4" w:space="0" w:color="auto"/>
              <w:right w:val="single" w:sz="4" w:space="0" w:color="auto"/>
            </w:tcBorders>
            <w:shd w:val="clear" w:color="000000" w:fill="E2EFDA"/>
            <w:noWrap/>
            <w:vAlign w:val="bottom"/>
            <w:hideMark/>
          </w:tcPr>
          <w:p w14:paraId="13AF239B"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Cumulative Cashflow</w:t>
            </w:r>
          </w:p>
        </w:tc>
      </w:tr>
      <w:tr w:rsidR="0081148D" w:rsidRPr="005E07B9" w14:paraId="71B27977" w14:textId="77777777" w:rsidTr="00FD7774">
        <w:trPr>
          <w:trHeight w:val="420"/>
        </w:trPr>
        <w:tc>
          <w:tcPr>
            <w:tcW w:w="3628" w:type="dxa"/>
            <w:tcBorders>
              <w:top w:val="nil"/>
              <w:left w:val="single" w:sz="4" w:space="0" w:color="auto"/>
              <w:bottom w:val="single" w:sz="4" w:space="0" w:color="auto"/>
              <w:right w:val="single" w:sz="4" w:space="0" w:color="auto"/>
            </w:tcBorders>
            <w:shd w:val="clear" w:color="000000" w:fill="E2EFDA"/>
            <w:noWrap/>
            <w:vAlign w:val="bottom"/>
            <w:hideMark/>
          </w:tcPr>
          <w:p w14:paraId="2C889021"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w:t>
            </w:r>
          </w:p>
        </w:tc>
        <w:tc>
          <w:tcPr>
            <w:tcW w:w="1527" w:type="dxa"/>
            <w:tcBorders>
              <w:top w:val="nil"/>
              <w:left w:val="nil"/>
              <w:bottom w:val="single" w:sz="4" w:space="0" w:color="auto"/>
              <w:right w:val="single" w:sz="4" w:space="0" w:color="auto"/>
            </w:tcBorders>
            <w:shd w:val="clear" w:color="000000" w:fill="E2EFDA"/>
            <w:noWrap/>
            <w:vAlign w:val="bottom"/>
            <w:hideMark/>
          </w:tcPr>
          <w:p w14:paraId="0E0E184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3225" w:type="dxa"/>
            <w:tcBorders>
              <w:top w:val="nil"/>
              <w:left w:val="nil"/>
              <w:bottom w:val="single" w:sz="4" w:space="0" w:color="auto"/>
              <w:right w:val="single" w:sz="4" w:space="0" w:color="auto"/>
            </w:tcBorders>
            <w:shd w:val="clear" w:color="000000" w:fill="E2EFDA"/>
            <w:noWrap/>
            <w:vAlign w:val="bottom"/>
            <w:hideMark/>
          </w:tcPr>
          <w:p w14:paraId="4DC74BC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r>
      <w:tr w:rsidR="0081148D" w:rsidRPr="005E07B9" w14:paraId="3C6B2295" w14:textId="77777777" w:rsidTr="00FD7774">
        <w:trPr>
          <w:trHeight w:val="420"/>
        </w:trPr>
        <w:tc>
          <w:tcPr>
            <w:tcW w:w="3628" w:type="dxa"/>
            <w:tcBorders>
              <w:top w:val="nil"/>
              <w:left w:val="single" w:sz="4" w:space="0" w:color="auto"/>
              <w:bottom w:val="single" w:sz="4" w:space="0" w:color="auto"/>
              <w:right w:val="single" w:sz="4" w:space="0" w:color="auto"/>
            </w:tcBorders>
            <w:shd w:val="clear" w:color="000000" w:fill="E2EFDA"/>
            <w:noWrap/>
            <w:vAlign w:val="bottom"/>
            <w:hideMark/>
          </w:tcPr>
          <w:p w14:paraId="66EAAD35"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w:t>
            </w:r>
          </w:p>
        </w:tc>
        <w:tc>
          <w:tcPr>
            <w:tcW w:w="1527" w:type="dxa"/>
            <w:tcBorders>
              <w:top w:val="nil"/>
              <w:left w:val="nil"/>
              <w:bottom w:val="single" w:sz="4" w:space="0" w:color="auto"/>
              <w:right w:val="single" w:sz="4" w:space="0" w:color="auto"/>
            </w:tcBorders>
            <w:shd w:val="clear" w:color="000000" w:fill="E2EFDA"/>
            <w:noWrap/>
            <w:vAlign w:val="bottom"/>
            <w:hideMark/>
          </w:tcPr>
          <w:p w14:paraId="5403C882"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10</w:t>
            </w:r>
          </w:p>
        </w:tc>
        <w:tc>
          <w:tcPr>
            <w:tcW w:w="3225" w:type="dxa"/>
            <w:tcBorders>
              <w:top w:val="nil"/>
              <w:left w:val="nil"/>
              <w:bottom w:val="single" w:sz="4" w:space="0" w:color="auto"/>
              <w:right w:val="single" w:sz="4" w:space="0" w:color="auto"/>
            </w:tcBorders>
            <w:shd w:val="clear" w:color="000000" w:fill="E2EFDA"/>
            <w:noWrap/>
            <w:vAlign w:val="bottom"/>
            <w:hideMark/>
          </w:tcPr>
          <w:p w14:paraId="302FFF8A"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15</w:t>
            </w:r>
          </w:p>
        </w:tc>
      </w:tr>
      <w:tr w:rsidR="0081148D" w:rsidRPr="005E07B9" w14:paraId="5F613986" w14:textId="77777777" w:rsidTr="00FD7774">
        <w:trPr>
          <w:trHeight w:val="420"/>
        </w:trPr>
        <w:tc>
          <w:tcPr>
            <w:tcW w:w="3628" w:type="dxa"/>
            <w:tcBorders>
              <w:top w:val="nil"/>
              <w:left w:val="single" w:sz="4" w:space="0" w:color="auto"/>
              <w:bottom w:val="single" w:sz="4" w:space="0" w:color="auto"/>
              <w:right w:val="single" w:sz="4" w:space="0" w:color="auto"/>
            </w:tcBorders>
            <w:shd w:val="clear" w:color="000000" w:fill="E2EFDA"/>
            <w:noWrap/>
            <w:vAlign w:val="bottom"/>
            <w:hideMark/>
          </w:tcPr>
          <w:p w14:paraId="751A729C"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w:t>
            </w:r>
          </w:p>
        </w:tc>
        <w:tc>
          <w:tcPr>
            <w:tcW w:w="1527" w:type="dxa"/>
            <w:tcBorders>
              <w:top w:val="nil"/>
              <w:left w:val="nil"/>
              <w:bottom w:val="single" w:sz="4" w:space="0" w:color="auto"/>
              <w:right w:val="single" w:sz="4" w:space="0" w:color="auto"/>
            </w:tcBorders>
            <w:shd w:val="clear" w:color="000000" w:fill="E2EFDA"/>
            <w:noWrap/>
            <w:vAlign w:val="bottom"/>
            <w:hideMark/>
          </w:tcPr>
          <w:p w14:paraId="12ABCBA0"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20</w:t>
            </w:r>
          </w:p>
        </w:tc>
        <w:tc>
          <w:tcPr>
            <w:tcW w:w="3225" w:type="dxa"/>
            <w:tcBorders>
              <w:top w:val="nil"/>
              <w:left w:val="nil"/>
              <w:bottom w:val="single" w:sz="4" w:space="0" w:color="auto"/>
              <w:right w:val="single" w:sz="4" w:space="0" w:color="auto"/>
            </w:tcBorders>
            <w:shd w:val="clear" w:color="000000" w:fill="E2EFDA"/>
            <w:noWrap/>
            <w:vAlign w:val="bottom"/>
            <w:hideMark/>
          </w:tcPr>
          <w:p w14:paraId="63AF83D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35</w:t>
            </w:r>
          </w:p>
        </w:tc>
      </w:tr>
      <w:tr w:rsidR="0081148D" w:rsidRPr="005E07B9" w14:paraId="11059C93" w14:textId="77777777" w:rsidTr="00FD7774">
        <w:trPr>
          <w:trHeight w:val="420"/>
        </w:trPr>
        <w:tc>
          <w:tcPr>
            <w:tcW w:w="3628" w:type="dxa"/>
            <w:tcBorders>
              <w:top w:val="nil"/>
              <w:left w:val="single" w:sz="4" w:space="0" w:color="auto"/>
              <w:bottom w:val="single" w:sz="4" w:space="0" w:color="auto"/>
              <w:right w:val="single" w:sz="4" w:space="0" w:color="auto"/>
            </w:tcBorders>
            <w:shd w:val="clear" w:color="000000" w:fill="E2EFDA"/>
            <w:noWrap/>
            <w:vAlign w:val="bottom"/>
            <w:hideMark/>
          </w:tcPr>
          <w:p w14:paraId="2FE8BDE5"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w:t>
            </w:r>
          </w:p>
        </w:tc>
        <w:tc>
          <w:tcPr>
            <w:tcW w:w="1527" w:type="dxa"/>
            <w:tcBorders>
              <w:top w:val="nil"/>
              <w:left w:val="nil"/>
              <w:bottom w:val="single" w:sz="4" w:space="0" w:color="auto"/>
              <w:right w:val="single" w:sz="4" w:space="0" w:color="auto"/>
            </w:tcBorders>
            <w:shd w:val="clear" w:color="000000" w:fill="E2EFDA"/>
            <w:noWrap/>
            <w:vAlign w:val="bottom"/>
            <w:hideMark/>
          </w:tcPr>
          <w:p w14:paraId="0EC9C978"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25</w:t>
            </w:r>
          </w:p>
        </w:tc>
        <w:tc>
          <w:tcPr>
            <w:tcW w:w="3225" w:type="dxa"/>
            <w:tcBorders>
              <w:top w:val="nil"/>
              <w:left w:val="nil"/>
              <w:bottom w:val="single" w:sz="4" w:space="0" w:color="auto"/>
              <w:right w:val="single" w:sz="4" w:space="0" w:color="auto"/>
            </w:tcBorders>
            <w:shd w:val="clear" w:color="000000" w:fill="E2EFDA"/>
            <w:noWrap/>
            <w:vAlign w:val="bottom"/>
            <w:hideMark/>
          </w:tcPr>
          <w:p w14:paraId="6E42BAC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60</w:t>
            </w:r>
          </w:p>
        </w:tc>
      </w:tr>
      <w:tr w:rsidR="0081148D" w:rsidRPr="005E07B9" w14:paraId="5789673F" w14:textId="77777777" w:rsidTr="00FD7774">
        <w:trPr>
          <w:trHeight w:val="420"/>
        </w:trPr>
        <w:tc>
          <w:tcPr>
            <w:tcW w:w="3628" w:type="dxa"/>
            <w:tcBorders>
              <w:top w:val="nil"/>
              <w:left w:val="single" w:sz="4" w:space="0" w:color="auto"/>
              <w:bottom w:val="single" w:sz="4" w:space="0" w:color="auto"/>
              <w:right w:val="single" w:sz="4" w:space="0" w:color="auto"/>
            </w:tcBorders>
            <w:shd w:val="clear" w:color="000000" w:fill="E2EFDA"/>
            <w:noWrap/>
            <w:vAlign w:val="bottom"/>
            <w:hideMark/>
          </w:tcPr>
          <w:p w14:paraId="1F54732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1527" w:type="dxa"/>
            <w:tcBorders>
              <w:top w:val="nil"/>
              <w:left w:val="nil"/>
              <w:bottom w:val="single" w:sz="4" w:space="0" w:color="auto"/>
              <w:right w:val="single" w:sz="4" w:space="0" w:color="auto"/>
            </w:tcBorders>
            <w:shd w:val="clear" w:color="000000" w:fill="E2EFDA"/>
            <w:noWrap/>
            <w:vAlign w:val="bottom"/>
            <w:hideMark/>
          </w:tcPr>
          <w:p w14:paraId="05D3023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15</w:t>
            </w:r>
          </w:p>
        </w:tc>
        <w:tc>
          <w:tcPr>
            <w:tcW w:w="3225" w:type="dxa"/>
            <w:tcBorders>
              <w:top w:val="nil"/>
              <w:left w:val="nil"/>
              <w:bottom w:val="single" w:sz="4" w:space="0" w:color="auto"/>
              <w:right w:val="single" w:sz="4" w:space="0" w:color="auto"/>
            </w:tcBorders>
            <w:shd w:val="clear" w:color="000000" w:fill="E2EFDA"/>
            <w:noWrap/>
            <w:vAlign w:val="bottom"/>
            <w:hideMark/>
          </w:tcPr>
          <w:p w14:paraId="0B08469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75</w:t>
            </w:r>
          </w:p>
        </w:tc>
      </w:tr>
      <w:tr w:rsidR="0081148D" w:rsidRPr="005E07B9" w14:paraId="0726D441" w14:textId="77777777" w:rsidTr="00FD7774">
        <w:trPr>
          <w:trHeight w:val="420"/>
        </w:trPr>
        <w:tc>
          <w:tcPr>
            <w:tcW w:w="3628" w:type="dxa"/>
            <w:tcBorders>
              <w:top w:val="nil"/>
              <w:left w:val="single" w:sz="4" w:space="0" w:color="auto"/>
              <w:bottom w:val="single" w:sz="4" w:space="0" w:color="auto"/>
              <w:right w:val="single" w:sz="4" w:space="0" w:color="auto"/>
            </w:tcBorders>
            <w:shd w:val="clear" w:color="000000" w:fill="E2EFDA"/>
            <w:noWrap/>
            <w:vAlign w:val="bottom"/>
            <w:hideMark/>
          </w:tcPr>
          <w:p w14:paraId="4D4ACBE7"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Investment to recover</w:t>
            </w:r>
          </w:p>
        </w:tc>
        <w:tc>
          <w:tcPr>
            <w:tcW w:w="1527" w:type="dxa"/>
            <w:tcBorders>
              <w:top w:val="nil"/>
              <w:left w:val="nil"/>
              <w:bottom w:val="single" w:sz="4" w:space="0" w:color="auto"/>
              <w:right w:val="single" w:sz="4" w:space="0" w:color="auto"/>
            </w:tcBorders>
            <w:shd w:val="clear" w:color="000000" w:fill="E2EFDA"/>
            <w:noWrap/>
            <w:vAlign w:val="bottom"/>
            <w:hideMark/>
          </w:tcPr>
          <w:p w14:paraId="497D4BF6"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50</w:t>
            </w:r>
          </w:p>
        </w:tc>
        <w:tc>
          <w:tcPr>
            <w:tcW w:w="3225" w:type="dxa"/>
            <w:tcBorders>
              <w:top w:val="nil"/>
              <w:left w:val="nil"/>
              <w:bottom w:val="nil"/>
              <w:right w:val="nil"/>
            </w:tcBorders>
            <w:noWrap/>
            <w:vAlign w:val="bottom"/>
            <w:hideMark/>
          </w:tcPr>
          <w:p w14:paraId="66D7FD8C"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304B2CA5" w14:textId="77777777" w:rsidTr="00FD7774">
        <w:trPr>
          <w:trHeight w:val="420"/>
        </w:trPr>
        <w:tc>
          <w:tcPr>
            <w:tcW w:w="3628" w:type="dxa"/>
            <w:tcBorders>
              <w:top w:val="nil"/>
              <w:left w:val="single" w:sz="4" w:space="0" w:color="auto"/>
              <w:bottom w:val="single" w:sz="4" w:space="0" w:color="auto"/>
              <w:right w:val="single" w:sz="4" w:space="0" w:color="auto"/>
            </w:tcBorders>
            <w:shd w:val="clear" w:color="000000" w:fill="E2EFDA"/>
            <w:noWrap/>
            <w:vAlign w:val="bottom"/>
            <w:hideMark/>
          </w:tcPr>
          <w:p w14:paraId="77A986C5"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After 3 years, recovered</w:t>
            </w:r>
          </w:p>
        </w:tc>
        <w:tc>
          <w:tcPr>
            <w:tcW w:w="1527" w:type="dxa"/>
            <w:tcBorders>
              <w:top w:val="nil"/>
              <w:left w:val="nil"/>
              <w:bottom w:val="single" w:sz="4" w:space="0" w:color="auto"/>
              <w:right w:val="single" w:sz="4" w:space="0" w:color="auto"/>
            </w:tcBorders>
            <w:shd w:val="clear" w:color="000000" w:fill="E2EFDA"/>
            <w:noWrap/>
            <w:vAlign w:val="bottom"/>
            <w:hideMark/>
          </w:tcPr>
          <w:p w14:paraId="3DA42682"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35</w:t>
            </w:r>
          </w:p>
        </w:tc>
        <w:tc>
          <w:tcPr>
            <w:tcW w:w="3225" w:type="dxa"/>
            <w:tcBorders>
              <w:top w:val="nil"/>
              <w:left w:val="nil"/>
              <w:bottom w:val="nil"/>
              <w:right w:val="nil"/>
            </w:tcBorders>
            <w:noWrap/>
            <w:vAlign w:val="bottom"/>
            <w:hideMark/>
          </w:tcPr>
          <w:p w14:paraId="5D661547"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73B8D0F4" w14:textId="77777777" w:rsidTr="00FD7774">
        <w:trPr>
          <w:trHeight w:val="420"/>
        </w:trPr>
        <w:tc>
          <w:tcPr>
            <w:tcW w:w="3628" w:type="dxa"/>
            <w:tcBorders>
              <w:top w:val="nil"/>
              <w:left w:val="single" w:sz="4" w:space="0" w:color="auto"/>
              <w:bottom w:val="single" w:sz="4" w:space="0" w:color="auto"/>
              <w:right w:val="single" w:sz="4" w:space="0" w:color="auto"/>
            </w:tcBorders>
            <w:shd w:val="clear" w:color="000000" w:fill="E2EFDA"/>
            <w:noWrap/>
            <w:vAlign w:val="bottom"/>
            <w:hideMark/>
          </w:tcPr>
          <w:p w14:paraId="4EFC8657"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xml:space="preserve">Amount remaining </w:t>
            </w:r>
          </w:p>
        </w:tc>
        <w:tc>
          <w:tcPr>
            <w:tcW w:w="1527" w:type="dxa"/>
            <w:tcBorders>
              <w:top w:val="nil"/>
              <w:left w:val="nil"/>
              <w:bottom w:val="single" w:sz="4" w:space="0" w:color="auto"/>
              <w:right w:val="single" w:sz="4" w:space="0" w:color="auto"/>
            </w:tcBorders>
            <w:shd w:val="clear" w:color="000000" w:fill="E2EFDA"/>
            <w:noWrap/>
            <w:vAlign w:val="bottom"/>
            <w:hideMark/>
          </w:tcPr>
          <w:p w14:paraId="48BA8D9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15</w:t>
            </w:r>
          </w:p>
        </w:tc>
        <w:tc>
          <w:tcPr>
            <w:tcW w:w="3225" w:type="dxa"/>
            <w:tcBorders>
              <w:top w:val="nil"/>
              <w:left w:val="nil"/>
              <w:bottom w:val="nil"/>
              <w:right w:val="nil"/>
            </w:tcBorders>
            <w:noWrap/>
            <w:vAlign w:val="bottom"/>
            <w:hideMark/>
          </w:tcPr>
          <w:p w14:paraId="37D7FAAF"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2D95FE65" w14:textId="77777777" w:rsidTr="00FD7774">
        <w:trPr>
          <w:trHeight w:val="420"/>
        </w:trPr>
        <w:tc>
          <w:tcPr>
            <w:tcW w:w="3628" w:type="dxa"/>
            <w:tcBorders>
              <w:top w:val="nil"/>
              <w:left w:val="single" w:sz="4" w:space="0" w:color="auto"/>
              <w:bottom w:val="single" w:sz="4" w:space="0" w:color="auto"/>
              <w:right w:val="single" w:sz="4" w:space="0" w:color="auto"/>
            </w:tcBorders>
            <w:shd w:val="clear" w:color="000000" w:fill="E2EFDA"/>
            <w:noWrap/>
            <w:vAlign w:val="bottom"/>
            <w:hideMark/>
          </w:tcPr>
          <w:p w14:paraId="1435287D"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Year 4 Inflow</w:t>
            </w:r>
          </w:p>
        </w:tc>
        <w:tc>
          <w:tcPr>
            <w:tcW w:w="1527" w:type="dxa"/>
            <w:tcBorders>
              <w:top w:val="nil"/>
              <w:left w:val="nil"/>
              <w:bottom w:val="single" w:sz="4" w:space="0" w:color="auto"/>
              <w:right w:val="single" w:sz="4" w:space="0" w:color="auto"/>
            </w:tcBorders>
            <w:shd w:val="clear" w:color="000000" w:fill="E2EFDA"/>
            <w:noWrap/>
            <w:vAlign w:val="bottom"/>
            <w:hideMark/>
          </w:tcPr>
          <w:p w14:paraId="565F0306"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25</w:t>
            </w:r>
          </w:p>
        </w:tc>
        <w:tc>
          <w:tcPr>
            <w:tcW w:w="3225" w:type="dxa"/>
            <w:tcBorders>
              <w:top w:val="nil"/>
              <w:left w:val="nil"/>
              <w:bottom w:val="nil"/>
              <w:right w:val="nil"/>
            </w:tcBorders>
            <w:noWrap/>
            <w:vAlign w:val="bottom"/>
            <w:hideMark/>
          </w:tcPr>
          <w:p w14:paraId="1603DF30"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4EC50D4E" w14:textId="77777777" w:rsidTr="00FD7774">
        <w:trPr>
          <w:trHeight w:val="420"/>
        </w:trPr>
        <w:tc>
          <w:tcPr>
            <w:tcW w:w="3628" w:type="dxa"/>
            <w:tcBorders>
              <w:top w:val="nil"/>
              <w:left w:val="single" w:sz="4" w:space="0" w:color="auto"/>
              <w:bottom w:val="single" w:sz="4" w:space="0" w:color="auto"/>
              <w:right w:val="single" w:sz="4" w:space="0" w:color="auto"/>
            </w:tcBorders>
            <w:shd w:val="clear" w:color="000000" w:fill="E2EFDA"/>
            <w:noWrap/>
            <w:vAlign w:val="bottom"/>
            <w:hideMark/>
          </w:tcPr>
          <w:p w14:paraId="6E4D26E1"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c>
          <w:tcPr>
            <w:tcW w:w="1527" w:type="dxa"/>
            <w:tcBorders>
              <w:top w:val="nil"/>
              <w:left w:val="nil"/>
              <w:bottom w:val="single" w:sz="4" w:space="0" w:color="auto"/>
              <w:right w:val="single" w:sz="4" w:space="0" w:color="auto"/>
            </w:tcBorders>
            <w:shd w:val="clear" w:color="000000" w:fill="E2EFDA"/>
            <w:noWrap/>
            <w:vAlign w:val="bottom"/>
            <w:hideMark/>
          </w:tcPr>
          <w:p w14:paraId="20D97CCD"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c>
          <w:tcPr>
            <w:tcW w:w="3225" w:type="dxa"/>
            <w:tcBorders>
              <w:top w:val="nil"/>
              <w:left w:val="nil"/>
              <w:bottom w:val="nil"/>
              <w:right w:val="nil"/>
            </w:tcBorders>
            <w:noWrap/>
            <w:vAlign w:val="bottom"/>
            <w:hideMark/>
          </w:tcPr>
          <w:p w14:paraId="52959013" w14:textId="77777777" w:rsidR="0081148D" w:rsidRPr="005E07B9" w:rsidRDefault="0081148D" w:rsidP="005E07B9">
            <w:pPr>
              <w:spacing w:after="0"/>
              <w:jc w:val="left"/>
              <w:rPr>
                <w:rFonts w:eastAsia="Times New Roman" w:cs="Arial"/>
                <w:color w:val="000000"/>
                <w:kern w:val="0"/>
                <w:lang w:eastAsia="en-IN"/>
                <w14:ligatures w14:val="none"/>
              </w:rPr>
            </w:pPr>
          </w:p>
        </w:tc>
      </w:tr>
      <w:tr w:rsidR="0081148D" w:rsidRPr="005E07B9" w14:paraId="60A25C95" w14:textId="77777777" w:rsidTr="00FD7774">
        <w:trPr>
          <w:trHeight w:val="420"/>
        </w:trPr>
        <w:tc>
          <w:tcPr>
            <w:tcW w:w="3628" w:type="dxa"/>
            <w:tcBorders>
              <w:top w:val="nil"/>
              <w:left w:val="single" w:sz="4" w:space="0" w:color="auto"/>
              <w:bottom w:val="single" w:sz="4" w:space="0" w:color="auto"/>
              <w:right w:val="single" w:sz="4" w:space="0" w:color="auto"/>
            </w:tcBorders>
            <w:shd w:val="clear" w:color="000000" w:fill="E2EFDA"/>
            <w:noWrap/>
            <w:vAlign w:val="bottom"/>
            <w:hideMark/>
          </w:tcPr>
          <w:p w14:paraId="789C5275"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PBP</w:t>
            </w:r>
          </w:p>
        </w:tc>
        <w:tc>
          <w:tcPr>
            <w:tcW w:w="1527" w:type="dxa"/>
            <w:tcBorders>
              <w:top w:val="nil"/>
              <w:left w:val="nil"/>
              <w:bottom w:val="single" w:sz="4" w:space="0" w:color="auto"/>
              <w:right w:val="single" w:sz="4" w:space="0" w:color="auto"/>
            </w:tcBorders>
            <w:shd w:val="clear" w:color="000000" w:fill="E2EFDA"/>
            <w:noWrap/>
            <w:vAlign w:val="bottom"/>
            <w:hideMark/>
          </w:tcPr>
          <w:p w14:paraId="20144CA4"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3.6</w:t>
            </w:r>
          </w:p>
        </w:tc>
        <w:tc>
          <w:tcPr>
            <w:tcW w:w="3225" w:type="dxa"/>
            <w:tcBorders>
              <w:top w:val="nil"/>
              <w:left w:val="nil"/>
              <w:bottom w:val="nil"/>
              <w:right w:val="nil"/>
            </w:tcBorders>
            <w:noWrap/>
            <w:vAlign w:val="bottom"/>
            <w:hideMark/>
          </w:tcPr>
          <w:p w14:paraId="45CCE60D" w14:textId="77777777" w:rsidR="0081148D" w:rsidRPr="005E07B9" w:rsidRDefault="0081148D" w:rsidP="005E07B9">
            <w:pPr>
              <w:spacing w:after="0"/>
              <w:jc w:val="right"/>
              <w:rPr>
                <w:rFonts w:eastAsia="Times New Roman" w:cs="Arial"/>
                <w:b/>
                <w:bCs/>
                <w:color w:val="000000"/>
                <w:kern w:val="0"/>
                <w:lang w:eastAsia="en-IN"/>
                <w14:ligatures w14:val="none"/>
              </w:rPr>
            </w:pPr>
          </w:p>
        </w:tc>
      </w:tr>
    </w:tbl>
    <w:p w14:paraId="4FC6B47E" w14:textId="77777777" w:rsidR="0081148D" w:rsidRPr="005E07B9" w:rsidRDefault="0081148D" w:rsidP="005E07B9">
      <w:pPr>
        <w:rPr>
          <w:rFonts w:cs="Arial"/>
          <w:b/>
          <w:bCs/>
          <w:lang w:val="en-GB"/>
        </w:rPr>
      </w:pPr>
    </w:p>
    <w:tbl>
      <w:tblPr>
        <w:tblW w:w="8605" w:type="dxa"/>
        <w:tblLook w:val="04A0" w:firstRow="1" w:lastRow="0" w:firstColumn="1" w:lastColumn="0" w:noHBand="0" w:noVBand="1"/>
      </w:tblPr>
      <w:tblGrid>
        <w:gridCol w:w="3142"/>
        <w:gridCol w:w="3491"/>
        <w:gridCol w:w="1972"/>
      </w:tblGrid>
      <w:tr w:rsidR="0081148D" w:rsidRPr="005E07B9" w14:paraId="4DD5F5E3" w14:textId="77777777" w:rsidTr="00FD7774">
        <w:trPr>
          <w:trHeight w:val="469"/>
        </w:trPr>
        <w:tc>
          <w:tcPr>
            <w:tcW w:w="8605" w:type="dxa"/>
            <w:gridSpan w:val="3"/>
            <w:tcBorders>
              <w:top w:val="single" w:sz="4" w:space="0" w:color="auto"/>
              <w:left w:val="single" w:sz="4" w:space="0" w:color="auto"/>
              <w:bottom w:val="single" w:sz="4" w:space="0" w:color="auto"/>
              <w:right w:val="single" w:sz="4" w:space="0" w:color="auto"/>
            </w:tcBorders>
            <w:shd w:val="clear" w:color="000000" w:fill="A9D08E"/>
            <w:noWrap/>
            <w:vAlign w:val="bottom"/>
            <w:hideMark/>
          </w:tcPr>
          <w:p w14:paraId="150722FD"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ARR</w:t>
            </w:r>
          </w:p>
        </w:tc>
      </w:tr>
      <w:tr w:rsidR="0081148D" w:rsidRPr="005E07B9" w14:paraId="23DB4825" w14:textId="77777777" w:rsidTr="00FD7774">
        <w:trPr>
          <w:trHeight w:val="469"/>
        </w:trPr>
        <w:tc>
          <w:tcPr>
            <w:tcW w:w="3142" w:type="dxa"/>
            <w:tcBorders>
              <w:top w:val="nil"/>
              <w:left w:val="single" w:sz="4" w:space="0" w:color="auto"/>
              <w:bottom w:val="single" w:sz="4" w:space="0" w:color="auto"/>
              <w:right w:val="single" w:sz="4" w:space="0" w:color="auto"/>
            </w:tcBorders>
            <w:shd w:val="clear" w:color="000000" w:fill="E2EFDA"/>
            <w:noWrap/>
            <w:vAlign w:val="bottom"/>
            <w:hideMark/>
          </w:tcPr>
          <w:p w14:paraId="2446E53A"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depreciation</w:t>
            </w:r>
          </w:p>
        </w:tc>
        <w:tc>
          <w:tcPr>
            <w:tcW w:w="3491" w:type="dxa"/>
            <w:tcBorders>
              <w:top w:val="nil"/>
              <w:left w:val="nil"/>
              <w:bottom w:val="single" w:sz="4" w:space="0" w:color="auto"/>
              <w:right w:val="single" w:sz="4" w:space="0" w:color="auto"/>
            </w:tcBorders>
            <w:shd w:val="clear" w:color="000000" w:fill="E2EFDA"/>
            <w:vAlign w:val="bottom"/>
            <w:hideMark/>
          </w:tcPr>
          <w:p w14:paraId="4ED49ACA"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straight-line depreciation to zero</w:t>
            </w:r>
          </w:p>
        </w:tc>
        <w:tc>
          <w:tcPr>
            <w:tcW w:w="1971" w:type="dxa"/>
            <w:tcBorders>
              <w:top w:val="nil"/>
              <w:left w:val="nil"/>
              <w:bottom w:val="nil"/>
              <w:right w:val="nil"/>
            </w:tcBorders>
            <w:noWrap/>
            <w:vAlign w:val="bottom"/>
            <w:hideMark/>
          </w:tcPr>
          <w:p w14:paraId="4D43247A" w14:textId="77777777" w:rsidR="0081148D" w:rsidRPr="005E07B9" w:rsidRDefault="0081148D" w:rsidP="005E07B9">
            <w:pPr>
              <w:spacing w:after="0"/>
              <w:jc w:val="left"/>
              <w:rPr>
                <w:rFonts w:eastAsia="Times New Roman" w:cs="Arial"/>
                <w:b/>
                <w:bCs/>
                <w:color w:val="000000"/>
                <w:kern w:val="0"/>
                <w:lang w:eastAsia="en-IN"/>
                <w14:ligatures w14:val="none"/>
              </w:rPr>
            </w:pPr>
          </w:p>
        </w:tc>
      </w:tr>
      <w:tr w:rsidR="0081148D" w:rsidRPr="005E07B9" w14:paraId="017FEDBC" w14:textId="77777777" w:rsidTr="00FD7774">
        <w:trPr>
          <w:trHeight w:val="469"/>
        </w:trPr>
        <w:tc>
          <w:tcPr>
            <w:tcW w:w="3142" w:type="dxa"/>
            <w:tcBorders>
              <w:top w:val="nil"/>
              <w:left w:val="single" w:sz="4" w:space="0" w:color="auto"/>
              <w:bottom w:val="single" w:sz="4" w:space="0" w:color="auto"/>
              <w:right w:val="single" w:sz="4" w:space="0" w:color="auto"/>
            </w:tcBorders>
            <w:shd w:val="clear" w:color="000000" w:fill="E2EFDA"/>
            <w:noWrap/>
            <w:vAlign w:val="bottom"/>
            <w:hideMark/>
          </w:tcPr>
          <w:p w14:paraId="2E6B7588"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Initial investment £m</w:t>
            </w:r>
          </w:p>
        </w:tc>
        <w:tc>
          <w:tcPr>
            <w:tcW w:w="3491" w:type="dxa"/>
            <w:tcBorders>
              <w:top w:val="nil"/>
              <w:left w:val="nil"/>
              <w:bottom w:val="single" w:sz="4" w:space="0" w:color="auto"/>
              <w:right w:val="single" w:sz="4" w:space="0" w:color="auto"/>
            </w:tcBorders>
            <w:shd w:val="clear" w:color="000000" w:fill="E2EFDA"/>
            <w:noWrap/>
            <w:vAlign w:val="bottom"/>
            <w:hideMark/>
          </w:tcPr>
          <w:p w14:paraId="6B889DD2"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50</w:t>
            </w:r>
          </w:p>
        </w:tc>
        <w:tc>
          <w:tcPr>
            <w:tcW w:w="1971" w:type="dxa"/>
            <w:tcBorders>
              <w:top w:val="nil"/>
              <w:left w:val="nil"/>
              <w:bottom w:val="nil"/>
              <w:right w:val="nil"/>
            </w:tcBorders>
            <w:noWrap/>
            <w:vAlign w:val="bottom"/>
            <w:hideMark/>
          </w:tcPr>
          <w:p w14:paraId="731B8310"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17F86828" w14:textId="77777777" w:rsidTr="00FD7774">
        <w:trPr>
          <w:trHeight w:val="469"/>
        </w:trPr>
        <w:tc>
          <w:tcPr>
            <w:tcW w:w="3142" w:type="dxa"/>
            <w:tcBorders>
              <w:top w:val="nil"/>
              <w:left w:val="single" w:sz="4" w:space="0" w:color="auto"/>
              <w:bottom w:val="single" w:sz="4" w:space="0" w:color="auto"/>
              <w:right w:val="single" w:sz="4" w:space="0" w:color="auto"/>
            </w:tcBorders>
            <w:shd w:val="clear" w:color="000000" w:fill="E2EFDA"/>
            <w:noWrap/>
            <w:vAlign w:val="bottom"/>
            <w:hideMark/>
          </w:tcPr>
          <w:p w14:paraId="23CFEE96"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Years</w:t>
            </w:r>
          </w:p>
        </w:tc>
        <w:tc>
          <w:tcPr>
            <w:tcW w:w="3491" w:type="dxa"/>
            <w:tcBorders>
              <w:top w:val="nil"/>
              <w:left w:val="nil"/>
              <w:bottom w:val="single" w:sz="4" w:space="0" w:color="auto"/>
              <w:right w:val="single" w:sz="4" w:space="0" w:color="auto"/>
            </w:tcBorders>
            <w:shd w:val="clear" w:color="000000" w:fill="E2EFDA"/>
            <w:noWrap/>
            <w:vAlign w:val="bottom"/>
            <w:hideMark/>
          </w:tcPr>
          <w:p w14:paraId="7B00A730"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1971" w:type="dxa"/>
            <w:tcBorders>
              <w:top w:val="nil"/>
              <w:left w:val="nil"/>
              <w:bottom w:val="nil"/>
              <w:right w:val="nil"/>
            </w:tcBorders>
            <w:noWrap/>
            <w:vAlign w:val="bottom"/>
            <w:hideMark/>
          </w:tcPr>
          <w:p w14:paraId="631AD8B4"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23B3334D" w14:textId="77777777" w:rsidTr="00FD7774">
        <w:trPr>
          <w:trHeight w:val="469"/>
        </w:trPr>
        <w:tc>
          <w:tcPr>
            <w:tcW w:w="3142" w:type="dxa"/>
            <w:tcBorders>
              <w:top w:val="nil"/>
              <w:left w:val="single" w:sz="4" w:space="0" w:color="auto"/>
              <w:bottom w:val="single" w:sz="4" w:space="0" w:color="auto"/>
              <w:right w:val="single" w:sz="4" w:space="0" w:color="auto"/>
            </w:tcBorders>
            <w:shd w:val="clear" w:color="000000" w:fill="E2EFDA"/>
            <w:noWrap/>
            <w:vAlign w:val="bottom"/>
            <w:hideMark/>
          </w:tcPr>
          <w:p w14:paraId="2FC07630"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Annual depreciation</w:t>
            </w:r>
          </w:p>
        </w:tc>
        <w:tc>
          <w:tcPr>
            <w:tcW w:w="3491" w:type="dxa"/>
            <w:tcBorders>
              <w:top w:val="nil"/>
              <w:left w:val="nil"/>
              <w:bottom w:val="single" w:sz="4" w:space="0" w:color="auto"/>
              <w:right w:val="single" w:sz="4" w:space="0" w:color="auto"/>
            </w:tcBorders>
            <w:shd w:val="clear" w:color="000000" w:fill="E2EFDA"/>
            <w:noWrap/>
            <w:vAlign w:val="bottom"/>
            <w:hideMark/>
          </w:tcPr>
          <w:p w14:paraId="0582D6F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10</w:t>
            </w:r>
          </w:p>
        </w:tc>
        <w:tc>
          <w:tcPr>
            <w:tcW w:w="1971" w:type="dxa"/>
            <w:tcBorders>
              <w:top w:val="nil"/>
              <w:left w:val="nil"/>
              <w:bottom w:val="nil"/>
              <w:right w:val="nil"/>
            </w:tcBorders>
            <w:noWrap/>
            <w:vAlign w:val="bottom"/>
            <w:hideMark/>
          </w:tcPr>
          <w:p w14:paraId="077EBA06"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09415AA5" w14:textId="77777777" w:rsidTr="00FD7774">
        <w:trPr>
          <w:trHeight w:val="469"/>
        </w:trPr>
        <w:tc>
          <w:tcPr>
            <w:tcW w:w="3142" w:type="dxa"/>
            <w:tcBorders>
              <w:top w:val="nil"/>
              <w:left w:val="single" w:sz="4" w:space="0" w:color="auto"/>
              <w:bottom w:val="single" w:sz="4" w:space="0" w:color="auto"/>
              <w:right w:val="single" w:sz="4" w:space="0" w:color="auto"/>
            </w:tcBorders>
            <w:shd w:val="clear" w:color="000000" w:fill="E2EFDA"/>
            <w:noWrap/>
            <w:vAlign w:val="bottom"/>
            <w:hideMark/>
          </w:tcPr>
          <w:p w14:paraId="2CC3D083"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Year</w:t>
            </w:r>
          </w:p>
        </w:tc>
        <w:tc>
          <w:tcPr>
            <w:tcW w:w="3491" w:type="dxa"/>
            <w:tcBorders>
              <w:top w:val="nil"/>
              <w:left w:val="nil"/>
              <w:bottom w:val="single" w:sz="4" w:space="0" w:color="auto"/>
              <w:right w:val="single" w:sz="4" w:space="0" w:color="auto"/>
            </w:tcBorders>
            <w:shd w:val="clear" w:color="000000" w:fill="E2EFDA"/>
            <w:noWrap/>
            <w:vAlign w:val="bottom"/>
            <w:hideMark/>
          </w:tcPr>
          <w:p w14:paraId="6F230CA0"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xml:space="preserve">Cash Flow </w:t>
            </w:r>
          </w:p>
        </w:tc>
        <w:tc>
          <w:tcPr>
            <w:tcW w:w="1971" w:type="dxa"/>
            <w:tcBorders>
              <w:top w:val="single" w:sz="4" w:space="0" w:color="auto"/>
              <w:left w:val="nil"/>
              <w:bottom w:val="single" w:sz="4" w:space="0" w:color="auto"/>
              <w:right w:val="single" w:sz="4" w:space="0" w:color="auto"/>
            </w:tcBorders>
            <w:shd w:val="clear" w:color="000000" w:fill="E2EFDA"/>
            <w:noWrap/>
            <w:vAlign w:val="bottom"/>
            <w:hideMark/>
          </w:tcPr>
          <w:p w14:paraId="2EA84A91"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Profit</w:t>
            </w:r>
          </w:p>
        </w:tc>
      </w:tr>
      <w:tr w:rsidR="0081148D" w:rsidRPr="005E07B9" w14:paraId="563C3732" w14:textId="77777777" w:rsidTr="00FD7774">
        <w:trPr>
          <w:trHeight w:val="469"/>
        </w:trPr>
        <w:tc>
          <w:tcPr>
            <w:tcW w:w="3142" w:type="dxa"/>
            <w:tcBorders>
              <w:top w:val="nil"/>
              <w:left w:val="single" w:sz="4" w:space="0" w:color="auto"/>
              <w:bottom w:val="single" w:sz="4" w:space="0" w:color="auto"/>
              <w:right w:val="single" w:sz="4" w:space="0" w:color="auto"/>
            </w:tcBorders>
            <w:shd w:val="clear" w:color="000000" w:fill="E2EFDA"/>
            <w:noWrap/>
            <w:vAlign w:val="bottom"/>
            <w:hideMark/>
          </w:tcPr>
          <w:p w14:paraId="2B3F27BC"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w:t>
            </w:r>
          </w:p>
        </w:tc>
        <w:tc>
          <w:tcPr>
            <w:tcW w:w="3491" w:type="dxa"/>
            <w:tcBorders>
              <w:top w:val="nil"/>
              <w:left w:val="nil"/>
              <w:bottom w:val="single" w:sz="4" w:space="0" w:color="auto"/>
              <w:right w:val="single" w:sz="4" w:space="0" w:color="auto"/>
            </w:tcBorders>
            <w:shd w:val="clear" w:color="000000" w:fill="E2EFDA"/>
            <w:noWrap/>
            <w:vAlign w:val="bottom"/>
            <w:hideMark/>
          </w:tcPr>
          <w:p w14:paraId="30E42F30"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1971" w:type="dxa"/>
            <w:tcBorders>
              <w:top w:val="nil"/>
              <w:left w:val="nil"/>
              <w:bottom w:val="single" w:sz="4" w:space="0" w:color="auto"/>
              <w:right w:val="single" w:sz="4" w:space="0" w:color="auto"/>
            </w:tcBorders>
            <w:shd w:val="clear" w:color="000000" w:fill="E2EFDA"/>
            <w:noWrap/>
            <w:vAlign w:val="bottom"/>
            <w:hideMark/>
          </w:tcPr>
          <w:p w14:paraId="3CF320C0"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r>
      <w:tr w:rsidR="0081148D" w:rsidRPr="005E07B9" w14:paraId="451BC0A6" w14:textId="77777777" w:rsidTr="00FD7774">
        <w:trPr>
          <w:trHeight w:val="469"/>
        </w:trPr>
        <w:tc>
          <w:tcPr>
            <w:tcW w:w="3142" w:type="dxa"/>
            <w:tcBorders>
              <w:top w:val="nil"/>
              <w:left w:val="single" w:sz="4" w:space="0" w:color="auto"/>
              <w:bottom w:val="single" w:sz="4" w:space="0" w:color="auto"/>
              <w:right w:val="single" w:sz="4" w:space="0" w:color="auto"/>
            </w:tcBorders>
            <w:shd w:val="clear" w:color="000000" w:fill="E2EFDA"/>
            <w:noWrap/>
            <w:vAlign w:val="bottom"/>
            <w:hideMark/>
          </w:tcPr>
          <w:p w14:paraId="5F1E6403"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w:t>
            </w:r>
          </w:p>
        </w:tc>
        <w:tc>
          <w:tcPr>
            <w:tcW w:w="3491" w:type="dxa"/>
            <w:tcBorders>
              <w:top w:val="nil"/>
              <w:left w:val="nil"/>
              <w:bottom w:val="single" w:sz="4" w:space="0" w:color="auto"/>
              <w:right w:val="single" w:sz="4" w:space="0" w:color="auto"/>
            </w:tcBorders>
            <w:shd w:val="clear" w:color="000000" w:fill="E2EFDA"/>
            <w:noWrap/>
            <w:vAlign w:val="bottom"/>
            <w:hideMark/>
          </w:tcPr>
          <w:p w14:paraId="2BEFA1AE"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10</w:t>
            </w:r>
          </w:p>
        </w:tc>
        <w:tc>
          <w:tcPr>
            <w:tcW w:w="1971" w:type="dxa"/>
            <w:tcBorders>
              <w:top w:val="nil"/>
              <w:left w:val="nil"/>
              <w:bottom w:val="single" w:sz="4" w:space="0" w:color="auto"/>
              <w:right w:val="single" w:sz="4" w:space="0" w:color="auto"/>
            </w:tcBorders>
            <w:shd w:val="clear" w:color="000000" w:fill="E2EFDA"/>
            <w:noWrap/>
            <w:vAlign w:val="bottom"/>
            <w:hideMark/>
          </w:tcPr>
          <w:p w14:paraId="231A5AD7"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w:t>
            </w:r>
          </w:p>
        </w:tc>
      </w:tr>
      <w:tr w:rsidR="0081148D" w:rsidRPr="005E07B9" w14:paraId="3B70A108" w14:textId="77777777" w:rsidTr="00FD7774">
        <w:trPr>
          <w:trHeight w:val="469"/>
        </w:trPr>
        <w:tc>
          <w:tcPr>
            <w:tcW w:w="3142" w:type="dxa"/>
            <w:tcBorders>
              <w:top w:val="nil"/>
              <w:left w:val="single" w:sz="4" w:space="0" w:color="auto"/>
              <w:bottom w:val="single" w:sz="4" w:space="0" w:color="auto"/>
              <w:right w:val="single" w:sz="4" w:space="0" w:color="auto"/>
            </w:tcBorders>
            <w:shd w:val="clear" w:color="000000" w:fill="E2EFDA"/>
            <w:noWrap/>
            <w:vAlign w:val="bottom"/>
            <w:hideMark/>
          </w:tcPr>
          <w:p w14:paraId="54BA7246"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w:t>
            </w:r>
          </w:p>
        </w:tc>
        <w:tc>
          <w:tcPr>
            <w:tcW w:w="3491" w:type="dxa"/>
            <w:tcBorders>
              <w:top w:val="nil"/>
              <w:left w:val="nil"/>
              <w:bottom w:val="single" w:sz="4" w:space="0" w:color="auto"/>
              <w:right w:val="single" w:sz="4" w:space="0" w:color="auto"/>
            </w:tcBorders>
            <w:shd w:val="clear" w:color="000000" w:fill="E2EFDA"/>
            <w:noWrap/>
            <w:vAlign w:val="bottom"/>
            <w:hideMark/>
          </w:tcPr>
          <w:p w14:paraId="0FBEDCB2"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20</w:t>
            </w:r>
          </w:p>
        </w:tc>
        <w:tc>
          <w:tcPr>
            <w:tcW w:w="1971" w:type="dxa"/>
            <w:tcBorders>
              <w:top w:val="nil"/>
              <w:left w:val="nil"/>
              <w:bottom w:val="single" w:sz="4" w:space="0" w:color="auto"/>
              <w:right w:val="single" w:sz="4" w:space="0" w:color="auto"/>
            </w:tcBorders>
            <w:shd w:val="clear" w:color="000000" w:fill="E2EFDA"/>
            <w:noWrap/>
            <w:vAlign w:val="bottom"/>
            <w:hideMark/>
          </w:tcPr>
          <w:p w14:paraId="28255668"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10</w:t>
            </w:r>
          </w:p>
        </w:tc>
      </w:tr>
      <w:tr w:rsidR="0081148D" w:rsidRPr="005E07B9" w14:paraId="0F029077" w14:textId="77777777" w:rsidTr="00FD7774">
        <w:trPr>
          <w:trHeight w:val="469"/>
        </w:trPr>
        <w:tc>
          <w:tcPr>
            <w:tcW w:w="3142" w:type="dxa"/>
            <w:tcBorders>
              <w:top w:val="nil"/>
              <w:left w:val="single" w:sz="4" w:space="0" w:color="auto"/>
              <w:bottom w:val="single" w:sz="4" w:space="0" w:color="auto"/>
              <w:right w:val="single" w:sz="4" w:space="0" w:color="auto"/>
            </w:tcBorders>
            <w:shd w:val="clear" w:color="000000" w:fill="E2EFDA"/>
            <w:noWrap/>
            <w:vAlign w:val="bottom"/>
            <w:hideMark/>
          </w:tcPr>
          <w:p w14:paraId="6ADE9428"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w:t>
            </w:r>
          </w:p>
        </w:tc>
        <w:tc>
          <w:tcPr>
            <w:tcW w:w="3491" w:type="dxa"/>
            <w:tcBorders>
              <w:top w:val="nil"/>
              <w:left w:val="nil"/>
              <w:bottom w:val="single" w:sz="4" w:space="0" w:color="auto"/>
              <w:right w:val="single" w:sz="4" w:space="0" w:color="auto"/>
            </w:tcBorders>
            <w:shd w:val="clear" w:color="000000" w:fill="E2EFDA"/>
            <w:noWrap/>
            <w:vAlign w:val="bottom"/>
            <w:hideMark/>
          </w:tcPr>
          <w:p w14:paraId="77E6C41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25</w:t>
            </w:r>
          </w:p>
        </w:tc>
        <w:tc>
          <w:tcPr>
            <w:tcW w:w="1971" w:type="dxa"/>
            <w:tcBorders>
              <w:top w:val="nil"/>
              <w:left w:val="nil"/>
              <w:bottom w:val="single" w:sz="4" w:space="0" w:color="auto"/>
              <w:right w:val="single" w:sz="4" w:space="0" w:color="auto"/>
            </w:tcBorders>
            <w:shd w:val="clear" w:color="000000" w:fill="E2EFDA"/>
            <w:noWrap/>
            <w:vAlign w:val="bottom"/>
            <w:hideMark/>
          </w:tcPr>
          <w:p w14:paraId="6AFD35B7"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15</w:t>
            </w:r>
          </w:p>
        </w:tc>
      </w:tr>
      <w:tr w:rsidR="0081148D" w:rsidRPr="005E07B9" w14:paraId="5509B9DD" w14:textId="77777777" w:rsidTr="00FD7774">
        <w:trPr>
          <w:trHeight w:val="469"/>
        </w:trPr>
        <w:tc>
          <w:tcPr>
            <w:tcW w:w="3142" w:type="dxa"/>
            <w:tcBorders>
              <w:top w:val="nil"/>
              <w:left w:val="single" w:sz="4" w:space="0" w:color="auto"/>
              <w:bottom w:val="single" w:sz="4" w:space="0" w:color="auto"/>
              <w:right w:val="single" w:sz="4" w:space="0" w:color="auto"/>
            </w:tcBorders>
            <w:shd w:val="clear" w:color="000000" w:fill="E2EFDA"/>
            <w:noWrap/>
            <w:vAlign w:val="bottom"/>
            <w:hideMark/>
          </w:tcPr>
          <w:p w14:paraId="706CD6C1"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3491" w:type="dxa"/>
            <w:tcBorders>
              <w:top w:val="nil"/>
              <w:left w:val="nil"/>
              <w:bottom w:val="single" w:sz="4" w:space="0" w:color="auto"/>
              <w:right w:val="single" w:sz="4" w:space="0" w:color="auto"/>
            </w:tcBorders>
            <w:shd w:val="clear" w:color="000000" w:fill="E2EFDA"/>
            <w:noWrap/>
            <w:vAlign w:val="bottom"/>
            <w:hideMark/>
          </w:tcPr>
          <w:p w14:paraId="1A77ACCA"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15</w:t>
            </w:r>
          </w:p>
        </w:tc>
        <w:tc>
          <w:tcPr>
            <w:tcW w:w="1971" w:type="dxa"/>
            <w:tcBorders>
              <w:top w:val="nil"/>
              <w:left w:val="nil"/>
              <w:bottom w:val="single" w:sz="4" w:space="0" w:color="auto"/>
              <w:right w:val="single" w:sz="4" w:space="0" w:color="auto"/>
            </w:tcBorders>
            <w:shd w:val="clear" w:color="000000" w:fill="E2EFDA"/>
            <w:noWrap/>
            <w:vAlign w:val="bottom"/>
            <w:hideMark/>
          </w:tcPr>
          <w:p w14:paraId="7C2C92D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r>
      <w:tr w:rsidR="0081148D" w:rsidRPr="005E07B9" w14:paraId="68449F66" w14:textId="77777777" w:rsidTr="00FD7774">
        <w:trPr>
          <w:trHeight w:val="469"/>
        </w:trPr>
        <w:tc>
          <w:tcPr>
            <w:tcW w:w="3142" w:type="dxa"/>
            <w:tcBorders>
              <w:top w:val="nil"/>
              <w:left w:val="single" w:sz="4" w:space="0" w:color="auto"/>
              <w:bottom w:val="single" w:sz="4" w:space="0" w:color="auto"/>
              <w:right w:val="single" w:sz="4" w:space="0" w:color="auto"/>
            </w:tcBorders>
            <w:shd w:val="clear" w:color="000000" w:fill="E2EFDA"/>
            <w:noWrap/>
            <w:vAlign w:val="bottom"/>
            <w:hideMark/>
          </w:tcPr>
          <w:p w14:paraId="712C2E05"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xml:space="preserve">Average Annual profit </w:t>
            </w:r>
          </w:p>
        </w:tc>
        <w:tc>
          <w:tcPr>
            <w:tcW w:w="3491" w:type="dxa"/>
            <w:tcBorders>
              <w:top w:val="nil"/>
              <w:left w:val="nil"/>
              <w:bottom w:val="single" w:sz="4" w:space="0" w:color="auto"/>
              <w:right w:val="single" w:sz="4" w:space="0" w:color="auto"/>
            </w:tcBorders>
            <w:shd w:val="clear" w:color="000000" w:fill="E2EFDA"/>
            <w:noWrap/>
            <w:vAlign w:val="bottom"/>
            <w:hideMark/>
          </w:tcPr>
          <w:p w14:paraId="46EE74B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1971" w:type="dxa"/>
            <w:tcBorders>
              <w:top w:val="nil"/>
              <w:left w:val="nil"/>
              <w:bottom w:val="single" w:sz="4" w:space="0" w:color="auto"/>
              <w:right w:val="single" w:sz="4" w:space="0" w:color="auto"/>
            </w:tcBorders>
            <w:shd w:val="clear" w:color="000000" w:fill="E2EFDA"/>
            <w:noWrap/>
            <w:vAlign w:val="bottom"/>
            <w:hideMark/>
          </w:tcPr>
          <w:p w14:paraId="450191D6"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r>
      <w:tr w:rsidR="0081148D" w:rsidRPr="005E07B9" w14:paraId="0A0561ED" w14:textId="77777777" w:rsidTr="00FD7774">
        <w:trPr>
          <w:trHeight w:val="469"/>
        </w:trPr>
        <w:tc>
          <w:tcPr>
            <w:tcW w:w="3142" w:type="dxa"/>
            <w:tcBorders>
              <w:top w:val="nil"/>
              <w:left w:val="single" w:sz="4" w:space="0" w:color="auto"/>
              <w:bottom w:val="single" w:sz="4" w:space="0" w:color="auto"/>
              <w:right w:val="single" w:sz="4" w:space="0" w:color="auto"/>
            </w:tcBorders>
            <w:shd w:val="clear" w:color="000000" w:fill="E2EFDA"/>
            <w:noWrap/>
            <w:vAlign w:val="bottom"/>
            <w:hideMark/>
          </w:tcPr>
          <w:p w14:paraId="2BA3F209"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Average Investment</w:t>
            </w:r>
          </w:p>
        </w:tc>
        <w:tc>
          <w:tcPr>
            <w:tcW w:w="3491" w:type="dxa"/>
            <w:tcBorders>
              <w:top w:val="nil"/>
              <w:left w:val="nil"/>
              <w:bottom w:val="single" w:sz="4" w:space="0" w:color="auto"/>
              <w:right w:val="single" w:sz="4" w:space="0" w:color="auto"/>
            </w:tcBorders>
            <w:shd w:val="clear" w:color="000000" w:fill="E2EFDA"/>
            <w:noWrap/>
            <w:vAlign w:val="bottom"/>
            <w:hideMark/>
          </w:tcPr>
          <w:p w14:paraId="4B88FEE9"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25</w:t>
            </w:r>
          </w:p>
        </w:tc>
        <w:tc>
          <w:tcPr>
            <w:tcW w:w="1971" w:type="dxa"/>
            <w:tcBorders>
              <w:top w:val="nil"/>
              <w:left w:val="nil"/>
              <w:bottom w:val="single" w:sz="4" w:space="0" w:color="auto"/>
              <w:right w:val="single" w:sz="4" w:space="0" w:color="auto"/>
            </w:tcBorders>
            <w:shd w:val="clear" w:color="000000" w:fill="E2EFDA"/>
            <w:noWrap/>
            <w:vAlign w:val="bottom"/>
            <w:hideMark/>
          </w:tcPr>
          <w:p w14:paraId="61A820F6"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r>
      <w:tr w:rsidR="0081148D" w:rsidRPr="005E07B9" w14:paraId="21BF21BC" w14:textId="77777777" w:rsidTr="00FD7774">
        <w:trPr>
          <w:trHeight w:val="469"/>
        </w:trPr>
        <w:tc>
          <w:tcPr>
            <w:tcW w:w="3142" w:type="dxa"/>
            <w:tcBorders>
              <w:top w:val="nil"/>
              <w:left w:val="single" w:sz="4" w:space="0" w:color="auto"/>
              <w:bottom w:val="single" w:sz="4" w:space="0" w:color="auto"/>
              <w:right w:val="single" w:sz="4" w:space="0" w:color="auto"/>
            </w:tcBorders>
            <w:shd w:val="clear" w:color="000000" w:fill="E2EFDA"/>
            <w:noWrap/>
            <w:vAlign w:val="bottom"/>
            <w:hideMark/>
          </w:tcPr>
          <w:p w14:paraId="0B8A6B70"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ARR</w:t>
            </w:r>
          </w:p>
        </w:tc>
        <w:tc>
          <w:tcPr>
            <w:tcW w:w="3491" w:type="dxa"/>
            <w:tcBorders>
              <w:top w:val="nil"/>
              <w:left w:val="nil"/>
              <w:bottom w:val="single" w:sz="4" w:space="0" w:color="auto"/>
              <w:right w:val="single" w:sz="4" w:space="0" w:color="auto"/>
            </w:tcBorders>
            <w:shd w:val="clear" w:color="000000" w:fill="E2EFDA"/>
            <w:noWrap/>
            <w:vAlign w:val="bottom"/>
            <w:hideMark/>
          </w:tcPr>
          <w:p w14:paraId="58484CDA"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20</w:t>
            </w:r>
          </w:p>
        </w:tc>
        <w:tc>
          <w:tcPr>
            <w:tcW w:w="1971" w:type="dxa"/>
            <w:tcBorders>
              <w:top w:val="nil"/>
              <w:left w:val="nil"/>
              <w:bottom w:val="single" w:sz="4" w:space="0" w:color="auto"/>
              <w:right w:val="single" w:sz="4" w:space="0" w:color="auto"/>
            </w:tcBorders>
            <w:shd w:val="clear" w:color="000000" w:fill="E2EFDA"/>
            <w:noWrap/>
            <w:vAlign w:val="bottom"/>
            <w:hideMark/>
          </w:tcPr>
          <w:p w14:paraId="68B924A1"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xml:space="preserve">In percentage </w:t>
            </w:r>
          </w:p>
        </w:tc>
      </w:tr>
    </w:tbl>
    <w:p w14:paraId="3C7DFCB1" w14:textId="77777777" w:rsidR="0081148D" w:rsidRPr="005E07B9" w:rsidRDefault="0081148D" w:rsidP="005E07B9">
      <w:pPr>
        <w:rPr>
          <w:rFonts w:cs="Arial"/>
          <w:b/>
          <w:bCs/>
          <w:lang w:val="en-GB"/>
        </w:rPr>
      </w:pPr>
    </w:p>
    <w:tbl>
      <w:tblPr>
        <w:tblW w:w="9604" w:type="dxa"/>
        <w:tblLook w:val="04A0" w:firstRow="1" w:lastRow="0" w:firstColumn="1" w:lastColumn="0" w:noHBand="0" w:noVBand="1"/>
      </w:tblPr>
      <w:tblGrid>
        <w:gridCol w:w="2470"/>
        <w:gridCol w:w="2291"/>
        <w:gridCol w:w="2691"/>
        <w:gridCol w:w="2152"/>
      </w:tblGrid>
      <w:tr w:rsidR="0081148D" w:rsidRPr="005E07B9" w14:paraId="578B47C2" w14:textId="77777777" w:rsidTr="00FD7774">
        <w:trPr>
          <w:trHeight w:val="557"/>
        </w:trPr>
        <w:tc>
          <w:tcPr>
            <w:tcW w:w="9604" w:type="dxa"/>
            <w:gridSpan w:val="4"/>
            <w:tcBorders>
              <w:top w:val="single" w:sz="4" w:space="0" w:color="auto"/>
              <w:left w:val="single" w:sz="4" w:space="0" w:color="auto"/>
              <w:bottom w:val="single" w:sz="4" w:space="0" w:color="auto"/>
              <w:right w:val="single" w:sz="4" w:space="0" w:color="auto"/>
            </w:tcBorders>
            <w:shd w:val="clear" w:color="000000" w:fill="A9D08E"/>
            <w:noWrap/>
            <w:vAlign w:val="bottom"/>
            <w:hideMark/>
          </w:tcPr>
          <w:p w14:paraId="4853F282"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NPV</w:t>
            </w:r>
          </w:p>
        </w:tc>
      </w:tr>
      <w:tr w:rsidR="0081148D" w:rsidRPr="005E07B9" w14:paraId="287A24E4" w14:textId="77777777" w:rsidTr="00FD7774">
        <w:trPr>
          <w:trHeight w:val="557"/>
        </w:trPr>
        <w:tc>
          <w:tcPr>
            <w:tcW w:w="2470" w:type="dxa"/>
            <w:tcBorders>
              <w:top w:val="nil"/>
              <w:left w:val="single" w:sz="4" w:space="0" w:color="auto"/>
              <w:bottom w:val="single" w:sz="4" w:space="0" w:color="auto"/>
              <w:right w:val="single" w:sz="4" w:space="0" w:color="auto"/>
            </w:tcBorders>
            <w:shd w:val="clear" w:color="000000" w:fill="E2EFDA"/>
            <w:noWrap/>
            <w:vAlign w:val="bottom"/>
            <w:hideMark/>
          </w:tcPr>
          <w:p w14:paraId="154CB1D9"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Discount Rate</w:t>
            </w:r>
          </w:p>
        </w:tc>
        <w:tc>
          <w:tcPr>
            <w:tcW w:w="2290" w:type="dxa"/>
            <w:tcBorders>
              <w:top w:val="nil"/>
              <w:left w:val="nil"/>
              <w:bottom w:val="single" w:sz="4" w:space="0" w:color="auto"/>
              <w:right w:val="single" w:sz="4" w:space="0" w:color="auto"/>
            </w:tcBorders>
            <w:shd w:val="clear" w:color="000000" w:fill="E2EFDA"/>
            <w:noWrap/>
            <w:vAlign w:val="bottom"/>
            <w:hideMark/>
          </w:tcPr>
          <w:p w14:paraId="3A4F998A"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10%</w:t>
            </w:r>
          </w:p>
        </w:tc>
        <w:tc>
          <w:tcPr>
            <w:tcW w:w="2691" w:type="dxa"/>
            <w:tcBorders>
              <w:top w:val="nil"/>
              <w:left w:val="nil"/>
              <w:bottom w:val="nil"/>
              <w:right w:val="nil"/>
            </w:tcBorders>
            <w:noWrap/>
            <w:vAlign w:val="bottom"/>
            <w:hideMark/>
          </w:tcPr>
          <w:p w14:paraId="1AC21675" w14:textId="77777777" w:rsidR="0081148D" w:rsidRPr="005E07B9" w:rsidRDefault="0081148D" w:rsidP="005E07B9">
            <w:pPr>
              <w:spacing w:after="0"/>
              <w:jc w:val="right"/>
              <w:rPr>
                <w:rFonts w:eastAsia="Times New Roman" w:cs="Arial"/>
                <w:color w:val="000000"/>
                <w:kern w:val="0"/>
                <w:lang w:eastAsia="en-IN"/>
                <w14:ligatures w14:val="none"/>
              </w:rPr>
            </w:pPr>
          </w:p>
        </w:tc>
        <w:tc>
          <w:tcPr>
            <w:tcW w:w="2152" w:type="dxa"/>
            <w:tcBorders>
              <w:top w:val="nil"/>
              <w:left w:val="nil"/>
              <w:bottom w:val="nil"/>
              <w:right w:val="nil"/>
            </w:tcBorders>
            <w:noWrap/>
            <w:vAlign w:val="bottom"/>
            <w:hideMark/>
          </w:tcPr>
          <w:p w14:paraId="22E43962" w14:textId="77777777" w:rsidR="0081148D" w:rsidRPr="005E07B9" w:rsidRDefault="0081148D" w:rsidP="005E07B9">
            <w:pPr>
              <w:spacing w:after="0"/>
              <w:jc w:val="left"/>
              <w:rPr>
                <w:rFonts w:eastAsia="Times New Roman" w:cs="Arial"/>
                <w:kern w:val="0"/>
                <w:lang w:eastAsia="en-IN"/>
                <w14:ligatures w14:val="none"/>
              </w:rPr>
            </w:pPr>
          </w:p>
        </w:tc>
      </w:tr>
      <w:tr w:rsidR="0081148D" w:rsidRPr="005E07B9" w14:paraId="4DF9A0AC" w14:textId="77777777" w:rsidTr="00FD7774">
        <w:trPr>
          <w:trHeight w:val="557"/>
        </w:trPr>
        <w:tc>
          <w:tcPr>
            <w:tcW w:w="2470" w:type="dxa"/>
            <w:tcBorders>
              <w:top w:val="nil"/>
              <w:left w:val="single" w:sz="4" w:space="0" w:color="auto"/>
              <w:bottom w:val="nil"/>
              <w:right w:val="single" w:sz="4" w:space="0" w:color="auto"/>
            </w:tcBorders>
            <w:shd w:val="clear" w:color="000000" w:fill="E2EFDA"/>
            <w:noWrap/>
            <w:vAlign w:val="bottom"/>
            <w:hideMark/>
          </w:tcPr>
          <w:p w14:paraId="70E612D2"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Year</w:t>
            </w:r>
          </w:p>
        </w:tc>
        <w:tc>
          <w:tcPr>
            <w:tcW w:w="2290" w:type="dxa"/>
            <w:tcBorders>
              <w:top w:val="nil"/>
              <w:left w:val="nil"/>
              <w:bottom w:val="nil"/>
              <w:right w:val="single" w:sz="4" w:space="0" w:color="auto"/>
            </w:tcBorders>
            <w:shd w:val="clear" w:color="000000" w:fill="E2EFDA"/>
            <w:noWrap/>
            <w:vAlign w:val="bottom"/>
            <w:hideMark/>
          </w:tcPr>
          <w:p w14:paraId="456CF3E1"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Formula</w:t>
            </w:r>
          </w:p>
        </w:tc>
        <w:tc>
          <w:tcPr>
            <w:tcW w:w="2691" w:type="dxa"/>
            <w:tcBorders>
              <w:top w:val="single" w:sz="4" w:space="0" w:color="auto"/>
              <w:left w:val="nil"/>
              <w:bottom w:val="single" w:sz="4" w:space="0" w:color="auto"/>
              <w:right w:val="single" w:sz="4" w:space="0" w:color="auto"/>
            </w:tcBorders>
            <w:shd w:val="clear" w:color="000000" w:fill="E2EFDA"/>
            <w:noWrap/>
            <w:vAlign w:val="bottom"/>
            <w:hideMark/>
          </w:tcPr>
          <w:p w14:paraId="7FD4E6A9"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Discount factor</w:t>
            </w:r>
          </w:p>
        </w:tc>
        <w:tc>
          <w:tcPr>
            <w:tcW w:w="2152" w:type="dxa"/>
            <w:tcBorders>
              <w:top w:val="single" w:sz="4" w:space="0" w:color="auto"/>
              <w:left w:val="nil"/>
              <w:bottom w:val="single" w:sz="4" w:space="0" w:color="auto"/>
              <w:right w:val="single" w:sz="4" w:space="0" w:color="auto"/>
            </w:tcBorders>
            <w:shd w:val="clear" w:color="000000" w:fill="E2EFDA"/>
            <w:noWrap/>
            <w:vAlign w:val="bottom"/>
            <w:hideMark/>
          </w:tcPr>
          <w:p w14:paraId="25A1DF20"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PV</w:t>
            </w:r>
          </w:p>
        </w:tc>
      </w:tr>
      <w:tr w:rsidR="0081148D" w:rsidRPr="005E07B9" w14:paraId="21D18ACC" w14:textId="77777777" w:rsidTr="00FD7774">
        <w:trPr>
          <w:trHeight w:val="557"/>
        </w:trPr>
        <w:tc>
          <w:tcPr>
            <w:tcW w:w="247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7C95BC59"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w:t>
            </w:r>
          </w:p>
        </w:tc>
        <w:tc>
          <w:tcPr>
            <w:tcW w:w="2290" w:type="dxa"/>
            <w:tcBorders>
              <w:top w:val="single" w:sz="4" w:space="0" w:color="auto"/>
              <w:left w:val="nil"/>
              <w:bottom w:val="single" w:sz="4" w:space="0" w:color="auto"/>
              <w:right w:val="single" w:sz="4" w:space="0" w:color="auto"/>
            </w:tcBorders>
            <w:shd w:val="clear" w:color="000000" w:fill="E2EFDA"/>
            <w:noWrap/>
            <w:vAlign w:val="bottom"/>
            <w:hideMark/>
          </w:tcPr>
          <w:p w14:paraId="1767A8AE"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[1/(1+10%)]^1</w:t>
            </w:r>
          </w:p>
        </w:tc>
        <w:tc>
          <w:tcPr>
            <w:tcW w:w="2691" w:type="dxa"/>
            <w:tcBorders>
              <w:top w:val="nil"/>
              <w:left w:val="nil"/>
              <w:bottom w:val="single" w:sz="4" w:space="0" w:color="auto"/>
              <w:right w:val="single" w:sz="4" w:space="0" w:color="auto"/>
            </w:tcBorders>
            <w:shd w:val="clear" w:color="000000" w:fill="E2EFDA"/>
            <w:noWrap/>
            <w:vAlign w:val="bottom"/>
            <w:hideMark/>
          </w:tcPr>
          <w:p w14:paraId="7EBEE8E8"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0.909090909</w:t>
            </w:r>
          </w:p>
        </w:tc>
        <w:tc>
          <w:tcPr>
            <w:tcW w:w="2152" w:type="dxa"/>
            <w:tcBorders>
              <w:top w:val="nil"/>
              <w:left w:val="nil"/>
              <w:bottom w:val="single" w:sz="4" w:space="0" w:color="auto"/>
              <w:right w:val="single" w:sz="4" w:space="0" w:color="auto"/>
            </w:tcBorders>
            <w:shd w:val="clear" w:color="000000" w:fill="E2EFDA"/>
            <w:noWrap/>
            <w:vAlign w:val="bottom"/>
            <w:hideMark/>
          </w:tcPr>
          <w:p w14:paraId="7CFA1A58"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4.545454545</w:t>
            </w:r>
          </w:p>
        </w:tc>
      </w:tr>
      <w:tr w:rsidR="0081148D" w:rsidRPr="005E07B9" w14:paraId="2BFB8815" w14:textId="77777777" w:rsidTr="00FD7774">
        <w:trPr>
          <w:trHeight w:val="557"/>
        </w:trPr>
        <w:tc>
          <w:tcPr>
            <w:tcW w:w="2470" w:type="dxa"/>
            <w:tcBorders>
              <w:top w:val="nil"/>
              <w:left w:val="single" w:sz="4" w:space="0" w:color="auto"/>
              <w:bottom w:val="single" w:sz="4" w:space="0" w:color="auto"/>
              <w:right w:val="single" w:sz="4" w:space="0" w:color="auto"/>
            </w:tcBorders>
            <w:shd w:val="clear" w:color="000000" w:fill="E2EFDA"/>
            <w:noWrap/>
            <w:vAlign w:val="bottom"/>
            <w:hideMark/>
          </w:tcPr>
          <w:p w14:paraId="7EC66C1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w:t>
            </w:r>
          </w:p>
        </w:tc>
        <w:tc>
          <w:tcPr>
            <w:tcW w:w="2290" w:type="dxa"/>
            <w:tcBorders>
              <w:top w:val="nil"/>
              <w:left w:val="nil"/>
              <w:bottom w:val="single" w:sz="4" w:space="0" w:color="auto"/>
              <w:right w:val="single" w:sz="4" w:space="0" w:color="auto"/>
            </w:tcBorders>
            <w:shd w:val="clear" w:color="000000" w:fill="E2EFDA"/>
            <w:noWrap/>
            <w:vAlign w:val="bottom"/>
            <w:hideMark/>
          </w:tcPr>
          <w:p w14:paraId="1D2D2F68"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[1/(1+10%)]^2</w:t>
            </w:r>
          </w:p>
        </w:tc>
        <w:tc>
          <w:tcPr>
            <w:tcW w:w="2691" w:type="dxa"/>
            <w:tcBorders>
              <w:top w:val="nil"/>
              <w:left w:val="nil"/>
              <w:bottom w:val="single" w:sz="4" w:space="0" w:color="auto"/>
              <w:right w:val="single" w:sz="4" w:space="0" w:color="auto"/>
            </w:tcBorders>
            <w:shd w:val="clear" w:color="000000" w:fill="E2EFDA"/>
            <w:noWrap/>
            <w:vAlign w:val="bottom"/>
            <w:hideMark/>
          </w:tcPr>
          <w:p w14:paraId="6980713C"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0.826446281</w:t>
            </w:r>
          </w:p>
        </w:tc>
        <w:tc>
          <w:tcPr>
            <w:tcW w:w="2152" w:type="dxa"/>
            <w:tcBorders>
              <w:top w:val="nil"/>
              <w:left w:val="nil"/>
              <w:bottom w:val="single" w:sz="4" w:space="0" w:color="auto"/>
              <w:right w:val="single" w:sz="4" w:space="0" w:color="auto"/>
            </w:tcBorders>
            <w:shd w:val="clear" w:color="000000" w:fill="E2EFDA"/>
            <w:noWrap/>
            <w:vAlign w:val="bottom"/>
            <w:hideMark/>
          </w:tcPr>
          <w:p w14:paraId="7F84FD6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8.26446281</w:t>
            </w:r>
          </w:p>
        </w:tc>
      </w:tr>
      <w:tr w:rsidR="0081148D" w:rsidRPr="005E07B9" w14:paraId="70B6221F" w14:textId="77777777" w:rsidTr="00FD7774">
        <w:trPr>
          <w:trHeight w:val="557"/>
        </w:trPr>
        <w:tc>
          <w:tcPr>
            <w:tcW w:w="2470" w:type="dxa"/>
            <w:tcBorders>
              <w:top w:val="nil"/>
              <w:left w:val="single" w:sz="4" w:space="0" w:color="auto"/>
              <w:bottom w:val="single" w:sz="4" w:space="0" w:color="auto"/>
              <w:right w:val="single" w:sz="4" w:space="0" w:color="auto"/>
            </w:tcBorders>
            <w:shd w:val="clear" w:color="000000" w:fill="E2EFDA"/>
            <w:noWrap/>
            <w:vAlign w:val="bottom"/>
            <w:hideMark/>
          </w:tcPr>
          <w:p w14:paraId="6BA051BD"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w:t>
            </w:r>
          </w:p>
        </w:tc>
        <w:tc>
          <w:tcPr>
            <w:tcW w:w="2290" w:type="dxa"/>
            <w:tcBorders>
              <w:top w:val="nil"/>
              <w:left w:val="nil"/>
              <w:bottom w:val="single" w:sz="4" w:space="0" w:color="auto"/>
              <w:right w:val="single" w:sz="4" w:space="0" w:color="auto"/>
            </w:tcBorders>
            <w:shd w:val="clear" w:color="000000" w:fill="E2EFDA"/>
            <w:noWrap/>
            <w:vAlign w:val="bottom"/>
            <w:hideMark/>
          </w:tcPr>
          <w:p w14:paraId="006C9DC6"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[1/(1+10%)]^3</w:t>
            </w:r>
          </w:p>
        </w:tc>
        <w:tc>
          <w:tcPr>
            <w:tcW w:w="2691" w:type="dxa"/>
            <w:tcBorders>
              <w:top w:val="nil"/>
              <w:left w:val="nil"/>
              <w:bottom w:val="single" w:sz="4" w:space="0" w:color="auto"/>
              <w:right w:val="single" w:sz="4" w:space="0" w:color="auto"/>
            </w:tcBorders>
            <w:shd w:val="clear" w:color="000000" w:fill="E2EFDA"/>
            <w:noWrap/>
            <w:vAlign w:val="bottom"/>
            <w:hideMark/>
          </w:tcPr>
          <w:p w14:paraId="61ED6DCC"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0.751314801</w:t>
            </w:r>
          </w:p>
        </w:tc>
        <w:tc>
          <w:tcPr>
            <w:tcW w:w="2152" w:type="dxa"/>
            <w:tcBorders>
              <w:top w:val="nil"/>
              <w:left w:val="nil"/>
              <w:bottom w:val="single" w:sz="4" w:space="0" w:color="auto"/>
              <w:right w:val="single" w:sz="4" w:space="0" w:color="auto"/>
            </w:tcBorders>
            <w:shd w:val="clear" w:color="000000" w:fill="E2EFDA"/>
            <w:noWrap/>
            <w:vAlign w:val="bottom"/>
            <w:hideMark/>
          </w:tcPr>
          <w:p w14:paraId="6C9A262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15.02629602</w:t>
            </w:r>
          </w:p>
        </w:tc>
      </w:tr>
      <w:tr w:rsidR="0081148D" w:rsidRPr="005E07B9" w14:paraId="73B67419" w14:textId="77777777" w:rsidTr="00FD7774">
        <w:trPr>
          <w:trHeight w:val="557"/>
        </w:trPr>
        <w:tc>
          <w:tcPr>
            <w:tcW w:w="2470" w:type="dxa"/>
            <w:tcBorders>
              <w:top w:val="nil"/>
              <w:left w:val="single" w:sz="4" w:space="0" w:color="auto"/>
              <w:bottom w:val="single" w:sz="4" w:space="0" w:color="auto"/>
              <w:right w:val="single" w:sz="4" w:space="0" w:color="auto"/>
            </w:tcBorders>
            <w:shd w:val="clear" w:color="000000" w:fill="E2EFDA"/>
            <w:noWrap/>
            <w:vAlign w:val="bottom"/>
            <w:hideMark/>
          </w:tcPr>
          <w:p w14:paraId="1647E099"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w:t>
            </w:r>
          </w:p>
        </w:tc>
        <w:tc>
          <w:tcPr>
            <w:tcW w:w="2290" w:type="dxa"/>
            <w:tcBorders>
              <w:top w:val="nil"/>
              <w:left w:val="nil"/>
              <w:bottom w:val="single" w:sz="4" w:space="0" w:color="auto"/>
              <w:right w:val="single" w:sz="4" w:space="0" w:color="auto"/>
            </w:tcBorders>
            <w:shd w:val="clear" w:color="000000" w:fill="E2EFDA"/>
            <w:noWrap/>
            <w:vAlign w:val="bottom"/>
            <w:hideMark/>
          </w:tcPr>
          <w:p w14:paraId="5E7FFF42"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[1/(1+10%)]^4</w:t>
            </w:r>
          </w:p>
        </w:tc>
        <w:tc>
          <w:tcPr>
            <w:tcW w:w="2691" w:type="dxa"/>
            <w:tcBorders>
              <w:top w:val="nil"/>
              <w:left w:val="nil"/>
              <w:bottom w:val="single" w:sz="4" w:space="0" w:color="auto"/>
              <w:right w:val="single" w:sz="4" w:space="0" w:color="auto"/>
            </w:tcBorders>
            <w:shd w:val="clear" w:color="000000" w:fill="E2EFDA"/>
            <w:noWrap/>
            <w:vAlign w:val="bottom"/>
            <w:hideMark/>
          </w:tcPr>
          <w:p w14:paraId="6F707139"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0.683013455</w:t>
            </w:r>
          </w:p>
        </w:tc>
        <w:tc>
          <w:tcPr>
            <w:tcW w:w="2152" w:type="dxa"/>
            <w:tcBorders>
              <w:top w:val="nil"/>
              <w:left w:val="nil"/>
              <w:bottom w:val="single" w:sz="4" w:space="0" w:color="auto"/>
              <w:right w:val="single" w:sz="4" w:space="0" w:color="auto"/>
            </w:tcBorders>
            <w:shd w:val="clear" w:color="000000" w:fill="E2EFDA"/>
            <w:noWrap/>
            <w:vAlign w:val="bottom"/>
            <w:hideMark/>
          </w:tcPr>
          <w:p w14:paraId="47B48746"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17.07533638</w:t>
            </w:r>
          </w:p>
        </w:tc>
      </w:tr>
      <w:tr w:rsidR="0081148D" w:rsidRPr="005E07B9" w14:paraId="0C57CE9F" w14:textId="77777777" w:rsidTr="00FD7774">
        <w:trPr>
          <w:trHeight w:val="557"/>
        </w:trPr>
        <w:tc>
          <w:tcPr>
            <w:tcW w:w="2470" w:type="dxa"/>
            <w:tcBorders>
              <w:top w:val="nil"/>
              <w:left w:val="single" w:sz="4" w:space="0" w:color="auto"/>
              <w:bottom w:val="single" w:sz="4" w:space="0" w:color="auto"/>
              <w:right w:val="single" w:sz="4" w:space="0" w:color="auto"/>
            </w:tcBorders>
            <w:shd w:val="clear" w:color="000000" w:fill="E2EFDA"/>
            <w:noWrap/>
            <w:vAlign w:val="bottom"/>
            <w:hideMark/>
          </w:tcPr>
          <w:p w14:paraId="3990E3F6"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2290" w:type="dxa"/>
            <w:tcBorders>
              <w:top w:val="nil"/>
              <w:left w:val="nil"/>
              <w:bottom w:val="single" w:sz="4" w:space="0" w:color="auto"/>
              <w:right w:val="single" w:sz="4" w:space="0" w:color="auto"/>
            </w:tcBorders>
            <w:shd w:val="clear" w:color="000000" w:fill="E2EFDA"/>
            <w:noWrap/>
            <w:vAlign w:val="bottom"/>
            <w:hideMark/>
          </w:tcPr>
          <w:p w14:paraId="06861808"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[1/(1+10%)]^5</w:t>
            </w:r>
          </w:p>
        </w:tc>
        <w:tc>
          <w:tcPr>
            <w:tcW w:w="2691" w:type="dxa"/>
            <w:tcBorders>
              <w:top w:val="nil"/>
              <w:left w:val="nil"/>
              <w:bottom w:val="single" w:sz="4" w:space="0" w:color="auto"/>
              <w:right w:val="single" w:sz="4" w:space="0" w:color="auto"/>
            </w:tcBorders>
            <w:shd w:val="clear" w:color="000000" w:fill="E2EFDA"/>
            <w:noWrap/>
            <w:vAlign w:val="bottom"/>
            <w:hideMark/>
          </w:tcPr>
          <w:p w14:paraId="61549F3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0.620921323</w:t>
            </w:r>
          </w:p>
        </w:tc>
        <w:tc>
          <w:tcPr>
            <w:tcW w:w="2152" w:type="dxa"/>
            <w:tcBorders>
              <w:top w:val="nil"/>
              <w:left w:val="nil"/>
              <w:bottom w:val="single" w:sz="4" w:space="0" w:color="auto"/>
              <w:right w:val="single" w:sz="4" w:space="0" w:color="auto"/>
            </w:tcBorders>
            <w:shd w:val="clear" w:color="000000" w:fill="E2EFDA"/>
            <w:noWrap/>
            <w:vAlign w:val="bottom"/>
            <w:hideMark/>
          </w:tcPr>
          <w:p w14:paraId="066C85D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9.313819846</w:t>
            </w:r>
          </w:p>
        </w:tc>
      </w:tr>
      <w:tr w:rsidR="0081148D" w:rsidRPr="005E07B9" w14:paraId="0F6DD79A" w14:textId="77777777" w:rsidTr="00FD7774">
        <w:trPr>
          <w:trHeight w:val="557"/>
        </w:trPr>
        <w:tc>
          <w:tcPr>
            <w:tcW w:w="2470" w:type="dxa"/>
            <w:tcBorders>
              <w:top w:val="nil"/>
              <w:left w:val="single" w:sz="4" w:space="0" w:color="auto"/>
              <w:bottom w:val="single" w:sz="4" w:space="0" w:color="auto"/>
              <w:right w:val="single" w:sz="4" w:space="0" w:color="auto"/>
            </w:tcBorders>
            <w:shd w:val="clear" w:color="000000" w:fill="E2EFDA"/>
            <w:noWrap/>
            <w:vAlign w:val="bottom"/>
            <w:hideMark/>
          </w:tcPr>
          <w:p w14:paraId="1F9E55BF"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c>
          <w:tcPr>
            <w:tcW w:w="2290" w:type="dxa"/>
            <w:tcBorders>
              <w:top w:val="nil"/>
              <w:left w:val="nil"/>
              <w:bottom w:val="single" w:sz="4" w:space="0" w:color="auto"/>
              <w:right w:val="single" w:sz="4" w:space="0" w:color="auto"/>
            </w:tcBorders>
            <w:shd w:val="clear" w:color="000000" w:fill="E2EFDA"/>
            <w:noWrap/>
            <w:vAlign w:val="bottom"/>
            <w:hideMark/>
          </w:tcPr>
          <w:p w14:paraId="184C4BC4"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c>
          <w:tcPr>
            <w:tcW w:w="2691" w:type="dxa"/>
            <w:tcBorders>
              <w:top w:val="nil"/>
              <w:left w:val="nil"/>
              <w:bottom w:val="single" w:sz="4" w:space="0" w:color="auto"/>
              <w:right w:val="single" w:sz="4" w:space="0" w:color="auto"/>
            </w:tcBorders>
            <w:shd w:val="clear" w:color="000000" w:fill="E2EFDA"/>
            <w:noWrap/>
            <w:vAlign w:val="bottom"/>
            <w:hideMark/>
          </w:tcPr>
          <w:p w14:paraId="42036DB4"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c>
          <w:tcPr>
            <w:tcW w:w="2152" w:type="dxa"/>
            <w:tcBorders>
              <w:top w:val="nil"/>
              <w:left w:val="nil"/>
              <w:bottom w:val="single" w:sz="4" w:space="0" w:color="auto"/>
              <w:right w:val="single" w:sz="4" w:space="0" w:color="auto"/>
            </w:tcBorders>
            <w:shd w:val="clear" w:color="000000" w:fill="E2EFDA"/>
            <w:noWrap/>
            <w:vAlign w:val="bottom"/>
            <w:hideMark/>
          </w:tcPr>
          <w:p w14:paraId="18946185"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54.2253696</w:t>
            </w:r>
          </w:p>
        </w:tc>
      </w:tr>
      <w:tr w:rsidR="0081148D" w:rsidRPr="005E07B9" w14:paraId="285133EC" w14:textId="77777777" w:rsidTr="00FD7774">
        <w:trPr>
          <w:trHeight w:val="557"/>
        </w:trPr>
        <w:tc>
          <w:tcPr>
            <w:tcW w:w="2470" w:type="dxa"/>
            <w:tcBorders>
              <w:top w:val="nil"/>
              <w:left w:val="single" w:sz="4" w:space="0" w:color="auto"/>
              <w:bottom w:val="single" w:sz="4" w:space="0" w:color="auto"/>
              <w:right w:val="single" w:sz="4" w:space="0" w:color="auto"/>
            </w:tcBorders>
            <w:shd w:val="clear" w:color="000000" w:fill="E2EFDA"/>
            <w:noWrap/>
            <w:vAlign w:val="bottom"/>
            <w:hideMark/>
          </w:tcPr>
          <w:p w14:paraId="03F4EFD6"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NPV</w:t>
            </w:r>
          </w:p>
        </w:tc>
        <w:tc>
          <w:tcPr>
            <w:tcW w:w="2290" w:type="dxa"/>
            <w:tcBorders>
              <w:top w:val="nil"/>
              <w:left w:val="nil"/>
              <w:bottom w:val="single" w:sz="4" w:space="0" w:color="auto"/>
              <w:right w:val="single" w:sz="4" w:space="0" w:color="auto"/>
            </w:tcBorders>
            <w:shd w:val="clear" w:color="000000" w:fill="E2EFDA"/>
            <w:noWrap/>
            <w:vAlign w:val="bottom"/>
            <w:hideMark/>
          </w:tcPr>
          <w:p w14:paraId="66A1A3C1"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4.225369603</w:t>
            </w:r>
          </w:p>
        </w:tc>
        <w:tc>
          <w:tcPr>
            <w:tcW w:w="2691" w:type="dxa"/>
            <w:tcBorders>
              <w:top w:val="nil"/>
              <w:left w:val="nil"/>
              <w:bottom w:val="single" w:sz="4" w:space="0" w:color="auto"/>
              <w:right w:val="single" w:sz="4" w:space="0" w:color="auto"/>
            </w:tcBorders>
            <w:shd w:val="clear" w:color="000000" w:fill="E2EFDA"/>
            <w:noWrap/>
            <w:vAlign w:val="bottom"/>
            <w:hideMark/>
          </w:tcPr>
          <w:p w14:paraId="62141A19"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c>
          <w:tcPr>
            <w:tcW w:w="2152" w:type="dxa"/>
            <w:tcBorders>
              <w:top w:val="nil"/>
              <w:left w:val="nil"/>
              <w:bottom w:val="single" w:sz="4" w:space="0" w:color="auto"/>
              <w:right w:val="single" w:sz="4" w:space="0" w:color="auto"/>
            </w:tcBorders>
            <w:shd w:val="clear" w:color="000000" w:fill="E2EFDA"/>
            <w:noWrap/>
            <w:vAlign w:val="bottom"/>
            <w:hideMark/>
          </w:tcPr>
          <w:p w14:paraId="383A1C01"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 </w:t>
            </w:r>
          </w:p>
        </w:tc>
      </w:tr>
      <w:tr w:rsidR="0081148D" w:rsidRPr="005E07B9" w14:paraId="5E98F828" w14:textId="77777777" w:rsidTr="00FD7774">
        <w:trPr>
          <w:trHeight w:val="557"/>
        </w:trPr>
        <w:tc>
          <w:tcPr>
            <w:tcW w:w="4761" w:type="dxa"/>
            <w:gridSpan w:val="2"/>
            <w:tcBorders>
              <w:top w:val="single" w:sz="4" w:space="0" w:color="auto"/>
              <w:left w:val="single" w:sz="4" w:space="0" w:color="auto"/>
              <w:bottom w:val="single" w:sz="4" w:space="0" w:color="auto"/>
              <w:right w:val="single" w:sz="4" w:space="0" w:color="auto"/>
            </w:tcBorders>
            <w:shd w:val="clear" w:color="000000" w:fill="A9D08E"/>
            <w:noWrap/>
            <w:vAlign w:val="bottom"/>
            <w:hideMark/>
          </w:tcPr>
          <w:p w14:paraId="4E41AB3E"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PI</w:t>
            </w:r>
          </w:p>
        </w:tc>
        <w:tc>
          <w:tcPr>
            <w:tcW w:w="2691" w:type="dxa"/>
            <w:tcBorders>
              <w:top w:val="nil"/>
              <w:left w:val="nil"/>
              <w:bottom w:val="nil"/>
              <w:right w:val="nil"/>
            </w:tcBorders>
            <w:noWrap/>
            <w:vAlign w:val="bottom"/>
            <w:hideMark/>
          </w:tcPr>
          <w:p w14:paraId="48534071" w14:textId="77777777" w:rsidR="0081148D" w:rsidRPr="005E07B9" w:rsidRDefault="0081148D" w:rsidP="005E07B9">
            <w:pPr>
              <w:spacing w:after="0"/>
              <w:jc w:val="center"/>
              <w:rPr>
                <w:rFonts w:eastAsia="Times New Roman" w:cs="Arial"/>
                <w:b/>
                <w:bCs/>
                <w:color w:val="000000"/>
                <w:kern w:val="0"/>
                <w:lang w:eastAsia="en-IN"/>
                <w14:ligatures w14:val="none"/>
              </w:rPr>
            </w:pPr>
          </w:p>
        </w:tc>
        <w:tc>
          <w:tcPr>
            <w:tcW w:w="2152" w:type="dxa"/>
            <w:tcBorders>
              <w:top w:val="nil"/>
              <w:left w:val="nil"/>
              <w:bottom w:val="nil"/>
              <w:right w:val="nil"/>
            </w:tcBorders>
            <w:noWrap/>
            <w:vAlign w:val="bottom"/>
            <w:hideMark/>
          </w:tcPr>
          <w:p w14:paraId="3CDBFD80" w14:textId="77777777" w:rsidR="0081148D" w:rsidRPr="005E07B9" w:rsidRDefault="0081148D" w:rsidP="005E07B9">
            <w:pPr>
              <w:spacing w:after="0"/>
              <w:jc w:val="left"/>
              <w:rPr>
                <w:rFonts w:eastAsia="Times New Roman" w:cs="Arial"/>
                <w:kern w:val="0"/>
                <w:lang w:eastAsia="en-IN"/>
                <w14:ligatures w14:val="none"/>
              </w:rPr>
            </w:pPr>
          </w:p>
        </w:tc>
      </w:tr>
      <w:tr w:rsidR="0081148D" w:rsidRPr="005E07B9" w14:paraId="1EADEEE8" w14:textId="77777777" w:rsidTr="00FD7774">
        <w:trPr>
          <w:trHeight w:val="557"/>
        </w:trPr>
        <w:tc>
          <w:tcPr>
            <w:tcW w:w="2470" w:type="dxa"/>
            <w:tcBorders>
              <w:top w:val="nil"/>
              <w:left w:val="single" w:sz="4" w:space="0" w:color="auto"/>
              <w:bottom w:val="single" w:sz="4" w:space="0" w:color="auto"/>
              <w:right w:val="single" w:sz="4" w:space="0" w:color="auto"/>
            </w:tcBorders>
            <w:shd w:val="clear" w:color="000000" w:fill="E2EFDA"/>
            <w:noWrap/>
            <w:vAlign w:val="bottom"/>
            <w:hideMark/>
          </w:tcPr>
          <w:p w14:paraId="2D74FC83"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PI</w:t>
            </w:r>
          </w:p>
        </w:tc>
        <w:tc>
          <w:tcPr>
            <w:tcW w:w="2290" w:type="dxa"/>
            <w:tcBorders>
              <w:top w:val="nil"/>
              <w:left w:val="nil"/>
              <w:bottom w:val="single" w:sz="4" w:space="0" w:color="auto"/>
              <w:right w:val="single" w:sz="4" w:space="0" w:color="auto"/>
            </w:tcBorders>
            <w:shd w:val="clear" w:color="000000" w:fill="E2EFDA"/>
            <w:noWrap/>
            <w:vAlign w:val="bottom"/>
            <w:hideMark/>
          </w:tcPr>
          <w:p w14:paraId="7C07E93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1.084507392</w:t>
            </w:r>
          </w:p>
        </w:tc>
        <w:tc>
          <w:tcPr>
            <w:tcW w:w="2691" w:type="dxa"/>
            <w:tcBorders>
              <w:top w:val="nil"/>
              <w:left w:val="nil"/>
              <w:bottom w:val="nil"/>
              <w:right w:val="nil"/>
            </w:tcBorders>
            <w:noWrap/>
            <w:vAlign w:val="bottom"/>
            <w:hideMark/>
          </w:tcPr>
          <w:p w14:paraId="568B6CC0" w14:textId="77777777" w:rsidR="0081148D" w:rsidRPr="005E07B9" w:rsidRDefault="0081148D" w:rsidP="005E07B9">
            <w:pPr>
              <w:spacing w:after="0"/>
              <w:jc w:val="right"/>
              <w:rPr>
                <w:rFonts w:eastAsia="Times New Roman" w:cs="Arial"/>
                <w:color w:val="000000"/>
                <w:kern w:val="0"/>
                <w:lang w:eastAsia="en-IN"/>
                <w14:ligatures w14:val="none"/>
              </w:rPr>
            </w:pPr>
          </w:p>
        </w:tc>
        <w:tc>
          <w:tcPr>
            <w:tcW w:w="2152" w:type="dxa"/>
            <w:tcBorders>
              <w:top w:val="nil"/>
              <w:left w:val="nil"/>
              <w:bottom w:val="nil"/>
              <w:right w:val="nil"/>
            </w:tcBorders>
            <w:noWrap/>
            <w:vAlign w:val="bottom"/>
            <w:hideMark/>
          </w:tcPr>
          <w:p w14:paraId="3DD7E661" w14:textId="77777777" w:rsidR="0081148D" w:rsidRPr="005E07B9" w:rsidRDefault="0081148D" w:rsidP="005E07B9">
            <w:pPr>
              <w:spacing w:after="0"/>
              <w:jc w:val="left"/>
              <w:rPr>
                <w:rFonts w:eastAsia="Times New Roman" w:cs="Arial"/>
                <w:kern w:val="0"/>
                <w:lang w:eastAsia="en-IN"/>
                <w14:ligatures w14:val="none"/>
              </w:rPr>
            </w:pPr>
          </w:p>
        </w:tc>
      </w:tr>
    </w:tbl>
    <w:p w14:paraId="11B301B1" w14:textId="77777777" w:rsidR="0081148D" w:rsidRPr="005E07B9" w:rsidRDefault="0081148D" w:rsidP="005E07B9">
      <w:pPr>
        <w:rPr>
          <w:rFonts w:cs="Arial"/>
          <w:b/>
          <w:bCs/>
          <w:lang w:val="en-GB"/>
        </w:rPr>
      </w:pPr>
    </w:p>
    <w:tbl>
      <w:tblPr>
        <w:tblW w:w="9521" w:type="dxa"/>
        <w:tblLook w:val="04A0" w:firstRow="1" w:lastRow="0" w:firstColumn="1" w:lastColumn="0" w:noHBand="0" w:noVBand="1"/>
      </w:tblPr>
      <w:tblGrid>
        <w:gridCol w:w="2448"/>
        <w:gridCol w:w="2270"/>
        <w:gridCol w:w="2668"/>
        <w:gridCol w:w="2135"/>
      </w:tblGrid>
      <w:tr w:rsidR="0081148D" w:rsidRPr="005E07B9" w14:paraId="17C17B1D" w14:textId="77777777" w:rsidTr="00FD7774">
        <w:trPr>
          <w:trHeight w:val="517"/>
        </w:trPr>
        <w:tc>
          <w:tcPr>
            <w:tcW w:w="9521" w:type="dxa"/>
            <w:gridSpan w:val="4"/>
            <w:tcBorders>
              <w:top w:val="single" w:sz="4" w:space="0" w:color="auto"/>
              <w:left w:val="single" w:sz="4" w:space="0" w:color="auto"/>
              <w:bottom w:val="single" w:sz="4" w:space="0" w:color="auto"/>
              <w:right w:val="single" w:sz="4" w:space="0" w:color="auto"/>
            </w:tcBorders>
            <w:shd w:val="clear" w:color="000000" w:fill="A9D08E"/>
            <w:noWrap/>
            <w:vAlign w:val="bottom"/>
            <w:hideMark/>
          </w:tcPr>
          <w:p w14:paraId="1B549AC0"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IRR</w:t>
            </w:r>
          </w:p>
        </w:tc>
      </w:tr>
      <w:tr w:rsidR="0081148D" w:rsidRPr="005E07B9" w14:paraId="648CA3C1" w14:textId="77777777" w:rsidTr="00FD7774">
        <w:trPr>
          <w:trHeight w:val="517"/>
        </w:trPr>
        <w:tc>
          <w:tcPr>
            <w:tcW w:w="2448" w:type="dxa"/>
            <w:tcBorders>
              <w:top w:val="nil"/>
              <w:left w:val="single" w:sz="4" w:space="0" w:color="auto"/>
              <w:bottom w:val="single" w:sz="4" w:space="0" w:color="auto"/>
              <w:right w:val="single" w:sz="4" w:space="0" w:color="auto"/>
            </w:tcBorders>
            <w:shd w:val="clear" w:color="000000" w:fill="E2EFDA"/>
            <w:noWrap/>
            <w:vAlign w:val="bottom"/>
            <w:hideMark/>
          </w:tcPr>
          <w:p w14:paraId="749CC652"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Discount Rate</w:t>
            </w:r>
          </w:p>
        </w:tc>
        <w:tc>
          <w:tcPr>
            <w:tcW w:w="2270" w:type="dxa"/>
            <w:tcBorders>
              <w:top w:val="nil"/>
              <w:left w:val="nil"/>
              <w:bottom w:val="single" w:sz="4" w:space="0" w:color="auto"/>
              <w:right w:val="single" w:sz="4" w:space="0" w:color="auto"/>
            </w:tcBorders>
            <w:shd w:val="clear" w:color="000000" w:fill="E2EFDA"/>
            <w:noWrap/>
            <w:vAlign w:val="bottom"/>
            <w:hideMark/>
          </w:tcPr>
          <w:p w14:paraId="3D71403C"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20%</w:t>
            </w:r>
          </w:p>
        </w:tc>
        <w:tc>
          <w:tcPr>
            <w:tcW w:w="2668" w:type="dxa"/>
            <w:tcBorders>
              <w:top w:val="nil"/>
              <w:left w:val="nil"/>
              <w:bottom w:val="nil"/>
              <w:right w:val="nil"/>
            </w:tcBorders>
            <w:noWrap/>
            <w:vAlign w:val="bottom"/>
            <w:hideMark/>
          </w:tcPr>
          <w:p w14:paraId="3CBA0ECB" w14:textId="77777777" w:rsidR="0081148D" w:rsidRPr="005E07B9" w:rsidRDefault="0081148D" w:rsidP="005E07B9">
            <w:pPr>
              <w:spacing w:after="0"/>
              <w:jc w:val="right"/>
              <w:rPr>
                <w:rFonts w:eastAsia="Times New Roman" w:cs="Arial"/>
                <w:b/>
                <w:bCs/>
                <w:color w:val="000000"/>
                <w:kern w:val="0"/>
                <w:lang w:eastAsia="en-IN"/>
                <w14:ligatures w14:val="none"/>
              </w:rPr>
            </w:pPr>
          </w:p>
        </w:tc>
        <w:tc>
          <w:tcPr>
            <w:tcW w:w="2133" w:type="dxa"/>
            <w:tcBorders>
              <w:top w:val="nil"/>
              <w:left w:val="nil"/>
              <w:bottom w:val="nil"/>
              <w:right w:val="nil"/>
            </w:tcBorders>
            <w:noWrap/>
            <w:vAlign w:val="bottom"/>
            <w:hideMark/>
          </w:tcPr>
          <w:p w14:paraId="48D66926" w14:textId="77777777" w:rsidR="0081148D" w:rsidRPr="005E07B9" w:rsidRDefault="0081148D" w:rsidP="005E07B9">
            <w:pPr>
              <w:spacing w:after="0"/>
              <w:jc w:val="left"/>
              <w:rPr>
                <w:rFonts w:eastAsia="Times New Roman" w:cs="Arial"/>
                <w:kern w:val="0"/>
                <w:lang w:eastAsia="en-IN"/>
                <w14:ligatures w14:val="none"/>
              </w:rPr>
            </w:pPr>
          </w:p>
        </w:tc>
      </w:tr>
      <w:tr w:rsidR="0081148D" w:rsidRPr="005E07B9" w14:paraId="19382E26" w14:textId="77777777" w:rsidTr="00FD7774">
        <w:trPr>
          <w:trHeight w:val="517"/>
        </w:trPr>
        <w:tc>
          <w:tcPr>
            <w:tcW w:w="2448" w:type="dxa"/>
            <w:tcBorders>
              <w:top w:val="nil"/>
              <w:left w:val="single" w:sz="4" w:space="0" w:color="auto"/>
              <w:bottom w:val="single" w:sz="4" w:space="0" w:color="auto"/>
              <w:right w:val="single" w:sz="4" w:space="0" w:color="auto"/>
            </w:tcBorders>
            <w:shd w:val="clear" w:color="000000" w:fill="E2EFDA"/>
            <w:noWrap/>
            <w:vAlign w:val="bottom"/>
            <w:hideMark/>
          </w:tcPr>
          <w:p w14:paraId="027311DD"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Year</w:t>
            </w:r>
          </w:p>
        </w:tc>
        <w:tc>
          <w:tcPr>
            <w:tcW w:w="2270" w:type="dxa"/>
            <w:tcBorders>
              <w:top w:val="nil"/>
              <w:left w:val="nil"/>
              <w:bottom w:val="single" w:sz="4" w:space="0" w:color="auto"/>
              <w:right w:val="single" w:sz="4" w:space="0" w:color="auto"/>
            </w:tcBorders>
            <w:shd w:val="clear" w:color="000000" w:fill="E2EFDA"/>
            <w:noWrap/>
            <w:vAlign w:val="bottom"/>
            <w:hideMark/>
          </w:tcPr>
          <w:p w14:paraId="1380EA3C"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Formula</w:t>
            </w:r>
          </w:p>
        </w:tc>
        <w:tc>
          <w:tcPr>
            <w:tcW w:w="2668" w:type="dxa"/>
            <w:tcBorders>
              <w:top w:val="single" w:sz="4" w:space="0" w:color="auto"/>
              <w:left w:val="nil"/>
              <w:bottom w:val="single" w:sz="4" w:space="0" w:color="auto"/>
              <w:right w:val="single" w:sz="4" w:space="0" w:color="auto"/>
            </w:tcBorders>
            <w:shd w:val="clear" w:color="000000" w:fill="E2EFDA"/>
            <w:noWrap/>
            <w:vAlign w:val="bottom"/>
            <w:hideMark/>
          </w:tcPr>
          <w:p w14:paraId="53A6B3F3"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Discount factor</w:t>
            </w:r>
          </w:p>
        </w:tc>
        <w:tc>
          <w:tcPr>
            <w:tcW w:w="2133" w:type="dxa"/>
            <w:tcBorders>
              <w:top w:val="single" w:sz="4" w:space="0" w:color="auto"/>
              <w:left w:val="nil"/>
              <w:bottom w:val="single" w:sz="4" w:space="0" w:color="auto"/>
              <w:right w:val="single" w:sz="4" w:space="0" w:color="auto"/>
            </w:tcBorders>
            <w:shd w:val="clear" w:color="000000" w:fill="E2EFDA"/>
            <w:noWrap/>
            <w:vAlign w:val="bottom"/>
            <w:hideMark/>
          </w:tcPr>
          <w:p w14:paraId="3D524BF1"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PV</w:t>
            </w:r>
          </w:p>
        </w:tc>
      </w:tr>
      <w:tr w:rsidR="0081148D" w:rsidRPr="005E07B9" w14:paraId="3E5EFFE0" w14:textId="77777777" w:rsidTr="00FD7774">
        <w:trPr>
          <w:trHeight w:val="517"/>
        </w:trPr>
        <w:tc>
          <w:tcPr>
            <w:tcW w:w="2448" w:type="dxa"/>
            <w:tcBorders>
              <w:top w:val="nil"/>
              <w:left w:val="single" w:sz="4" w:space="0" w:color="auto"/>
              <w:bottom w:val="single" w:sz="4" w:space="0" w:color="auto"/>
              <w:right w:val="single" w:sz="4" w:space="0" w:color="auto"/>
            </w:tcBorders>
            <w:shd w:val="clear" w:color="000000" w:fill="E2EFDA"/>
            <w:noWrap/>
            <w:vAlign w:val="bottom"/>
            <w:hideMark/>
          </w:tcPr>
          <w:p w14:paraId="1B4F3A3A"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w:t>
            </w:r>
          </w:p>
        </w:tc>
        <w:tc>
          <w:tcPr>
            <w:tcW w:w="2270" w:type="dxa"/>
            <w:tcBorders>
              <w:top w:val="nil"/>
              <w:left w:val="nil"/>
              <w:bottom w:val="single" w:sz="4" w:space="0" w:color="auto"/>
              <w:right w:val="single" w:sz="4" w:space="0" w:color="auto"/>
            </w:tcBorders>
            <w:shd w:val="clear" w:color="000000" w:fill="E2EFDA"/>
            <w:noWrap/>
            <w:vAlign w:val="bottom"/>
            <w:hideMark/>
          </w:tcPr>
          <w:p w14:paraId="4979956B"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[1/(1+20%)]^1</w:t>
            </w:r>
          </w:p>
        </w:tc>
        <w:tc>
          <w:tcPr>
            <w:tcW w:w="2668" w:type="dxa"/>
            <w:tcBorders>
              <w:top w:val="nil"/>
              <w:left w:val="nil"/>
              <w:bottom w:val="single" w:sz="4" w:space="0" w:color="auto"/>
              <w:right w:val="single" w:sz="4" w:space="0" w:color="auto"/>
            </w:tcBorders>
            <w:shd w:val="clear" w:color="000000" w:fill="E2EFDA"/>
            <w:noWrap/>
            <w:vAlign w:val="bottom"/>
            <w:hideMark/>
          </w:tcPr>
          <w:p w14:paraId="5865F53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0.833333333</w:t>
            </w:r>
          </w:p>
        </w:tc>
        <w:tc>
          <w:tcPr>
            <w:tcW w:w="2133" w:type="dxa"/>
            <w:tcBorders>
              <w:top w:val="nil"/>
              <w:left w:val="nil"/>
              <w:bottom w:val="single" w:sz="4" w:space="0" w:color="auto"/>
              <w:right w:val="single" w:sz="4" w:space="0" w:color="auto"/>
            </w:tcBorders>
            <w:shd w:val="clear" w:color="000000" w:fill="E2EFDA"/>
            <w:noWrap/>
            <w:vAlign w:val="bottom"/>
            <w:hideMark/>
          </w:tcPr>
          <w:p w14:paraId="5A7E67BF"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4.166666667</w:t>
            </w:r>
          </w:p>
        </w:tc>
      </w:tr>
      <w:tr w:rsidR="0081148D" w:rsidRPr="005E07B9" w14:paraId="7FA2472C" w14:textId="77777777" w:rsidTr="00FD7774">
        <w:trPr>
          <w:trHeight w:val="517"/>
        </w:trPr>
        <w:tc>
          <w:tcPr>
            <w:tcW w:w="2448" w:type="dxa"/>
            <w:tcBorders>
              <w:top w:val="nil"/>
              <w:left w:val="single" w:sz="4" w:space="0" w:color="auto"/>
              <w:bottom w:val="single" w:sz="4" w:space="0" w:color="auto"/>
              <w:right w:val="single" w:sz="4" w:space="0" w:color="auto"/>
            </w:tcBorders>
            <w:shd w:val="clear" w:color="000000" w:fill="E2EFDA"/>
            <w:noWrap/>
            <w:vAlign w:val="bottom"/>
            <w:hideMark/>
          </w:tcPr>
          <w:p w14:paraId="5D8B0705"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w:t>
            </w:r>
          </w:p>
        </w:tc>
        <w:tc>
          <w:tcPr>
            <w:tcW w:w="2270" w:type="dxa"/>
            <w:tcBorders>
              <w:top w:val="nil"/>
              <w:left w:val="nil"/>
              <w:bottom w:val="single" w:sz="4" w:space="0" w:color="auto"/>
              <w:right w:val="single" w:sz="4" w:space="0" w:color="auto"/>
            </w:tcBorders>
            <w:shd w:val="clear" w:color="000000" w:fill="E2EFDA"/>
            <w:noWrap/>
            <w:vAlign w:val="bottom"/>
            <w:hideMark/>
          </w:tcPr>
          <w:p w14:paraId="39993211"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[1/(1+20%)]^2</w:t>
            </w:r>
          </w:p>
        </w:tc>
        <w:tc>
          <w:tcPr>
            <w:tcW w:w="2668" w:type="dxa"/>
            <w:tcBorders>
              <w:top w:val="nil"/>
              <w:left w:val="nil"/>
              <w:bottom w:val="single" w:sz="4" w:space="0" w:color="auto"/>
              <w:right w:val="single" w:sz="4" w:space="0" w:color="auto"/>
            </w:tcBorders>
            <w:shd w:val="clear" w:color="000000" w:fill="E2EFDA"/>
            <w:noWrap/>
            <w:vAlign w:val="bottom"/>
            <w:hideMark/>
          </w:tcPr>
          <w:p w14:paraId="45229B8E"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0.694444444</w:t>
            </w:r>
          </w:p>
        </w:tc>
        <w:tc>
          <w:tcPr>
            <w:tcW w:w="2133" w:type="dxa"/>
            <w:tcBorders>
              <w:top w:val="nil"/>
              <w:left w:val="nil"/>
              <w:bottom w:val="single" w:sz="4" w:space="0" w:color="auto"/>
              <w:right w:val="single" w:sz="4" w:space="0" w:color="auto"/>
            </w:tcBorders>
            <w:shd w:val="clear" w:color="000000" w:fill="E2EFDA"/>
            <w:noWrap/>
            <w:vAlign w:val="bottom"/>
            <w:hideMark/>
          </w:tcPr>
          <w:p w14:paraId="5BB66735"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6.944444444</w:t>
            </w:r>
          </w:p>
        </w:tc>
      </w:tr>
      <w:tr w:rsidR="0081148D" w:rsidRPr="005E07B9" w14:paraId="043DE04D" w14:textId="77777777" w:rsidTr="00FD7774">
        <w:trPr>
          <w:trHeight w:val="517"/>
        </w:trPr>
        <w:tc>
          <w:tcPr>
            <w:tcW w:w="2448" w:type="dxa"/>
            <w:tcBorders>
              <w:top w:val="nil"/>
              <w:left w:val="single" w:sz="4" w:space="0" w:color="auto"/>
              <w:bottom w:val="single" w:sz="4" w:space="0" w:color="auto"/>
              <w:right w:val="single" w:sz="4" w:space="0" w:color="auto"/>
            </w:tcBorders>
            <w:shd w:val="clear" w:color="000000" w:fill="E2EFDA"/>
            <w:noWrap/>
            <w:vAlign w:val="bottom"/>
            <w:hideMark/>
          </w:tcPr>
          <w:p w14:paraId="0F916AE8"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3</w:t>
            </w:r>
          </w:p>
        </w:tc>
        <w:tc>
          <w:tcPr>
            <w:tcW w:w="2270" w:type="dxa"/>
            <w:tcBorders>
              <w:top w:val="nil"/>
              <w:left w:val="nil"/>
              <w:bottom w:val="single" w:sz="4" w:space="0" w:color="auto"/>
              <w:right w:val="single" w:sz="4" w:space="0" w:color="auto"/>
            </w:tcBorders>
            <w:shd w:val="clear" w:color="000000" w:fill="E2EFDA"/>
            <w:noWrap/>
            <w:vAlign w:val="bottom"/>
            <w:hideMark/>
          </w:tcPr>
          <w:p w14:paraId="58BF0CF0"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[1/(1+20%)]^3</w:t>
            </w:r>
          </w:p>
        </w:tc>
        <w:tc>
          <w:tcPr>
            <w:tcW w:w="2668" w:type="dxa"/>
            <w:tcBorders>
              <w:top w:val="nil"/>
              <w:left w:val="nil"/>
              <w:bottom w:val="single" w:sz="4" w:space="0" w:color="auto"/>
              <w:right w:val="single" w:sz="4" w:space="0" w:color="auto"/>
            </w:tcBorders>
            <w:shd w:val="clear" w:color="000000" w:fill="E2EFDA"/>
            <w:noWrap/>
            <w:vAlign w:val="bottom"/>
            <w:hideMark/>
          </w:tcPr>
          <w:p w14:paraId="3460380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0.578703704</w:t>
            </w:r>
          </w:p>
        </w:tc>
        <w:tc>
          <w:tcPr>
            <w:tcW w:w="2133" w:type="dxa"/>
            <w:tcBorders>
              <w:top w:val="nil"/>
              <w:left w:val="nil"/>
              <w:bottom w:val="single" w:sz="4" w:space="0" w:color="auto"/>
              <w:right w:val="single" w:sz="4" w:space="0" w:color="auto"/>
            </w:tcBorders>
            <w:shd w:val="clear" w:color="000000" w:fill="E2EFDA"/>
            <w:noWrap/>
            <w:vAlign w:val="bottom"/>
            <w:hideMark/>
          </w:tcPr>
          <w:p w14:paraId="6A52C434"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11.57407407</w:t>
            </w:r>
          </w:p>
        </w:tc>
      </w:tr>
      <w:tr w:rsidR="0081148D" w:rsidRPr="005E07B9" w14:paraId="103953AE" w14:textId="77777777" w:rsidTr="00FD7774">
        <w:trPr>
          <w:trHeight w:val="517"/>
        </w:trPr>
        <w:tc>
          <w:tcPr>
            <w:tcW w:w="2448" w:type="dxa"/>
            <w:tcBorders>
              <w:top w:val="nil"/>
              <w:left w:val="single" w:sz="4" w:space="0" w:color="auto"/>
              <w:bottom w:val="single" w:sz="4" w:space="0" w:color="auto"/>
              <w:right w:val="single" w:sz="4" w:space="0" w:color="auto"/>
            </w:tcBorders>
            <w:shd w:val="clear" w:color="000000" w:fill="E2EFDA"/>
            <w:noWrap/>
            <w:vAlign w:val="bottom"/>
            <w:hideMark/>
          </w:tcPr>
          <w:p w14:paraId="54D2A28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w:t>
            </w:r>
          </w:p>
        </w:tc>
        <w:tc>
          <w:tcPr>
            <w:tcW w:w="2270" w:type="dxa"/>
            <w:tcBorders>
              <w:top w:val="nil"/>
              <w:left w:val="nil"/>
              <w:bottom w:val="single" w:sz="4" w:space="0" w:color="auto"/>
              <w:right w:val="single" w:sz="4" w:space="0" w:color="auto"/>
            </w:tcBorders>
            <w:shd w:val="clear" w:color="000000" w:fill="E2EFDA"/>
            <w:noWrap/>
            <w:vAlign w:val="bottom"/>
            <w:hideMark/>
          </w:tcPr>
          <w:p w14:paraId="2FB28DA8"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[1/(1+20%)]^4</w:t>
            </w:r>
          </w:p>
        </w:tc>
        <w:tc>
          <w:tcPr>
            <w:tcW w:w="2668" w:type="dxa"/>
            <w:tcBorders>
              <w:top w:val="nil"/>
              <w:left w:val="nil"/>
              <w:bottom w:val="single" w:sz="4" w:space="0" w:color="auto"/>
              <w:right w:val="single" w:sz="4" w:space="0" w:color="auto"/>
            </w:tcBorders>
            <w:shd w:val="clear" w:color="000000" w:fill="E2EFDA"/>
            <w:noWrap/>
            <w:vAlign w:val="bottom"/>
            <w:hideMark/>
          </w:tcPr>
          <w:p w14:paraId="6FF133B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0.482253086</w:t>
            </w:r>
          </w:p>
        </w:tc>
        <w:tc>
          <w:tcPr>
            <w:tcW w:w="2133" w:type="dxa"/>
            <w:tcBorders>
              <w:top w:val="nil"/>
              <w:left w:val="nil"/>
              <w:bottom w:val="single" w:sz="4" w:space="0" w:color="auto"/>
              <w:right w:val="single" w:sz="4" w:space="0" w:color="auto"/>
            </w:tcBorders>
            <w:shd w:val="clear" w:color="000000" w:fill="E2EFDA"/>
            <w:noWrap/>
            <w:vAlign w:val="bottom"/>
            <w:hideMark/>
          </w:tcPr>
          <w:p w14:paraId="135A74A3"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12.05632716</w:t>
            </w:r>
          </w:p>
        </w:tc>
      </w:tr>
      <w:tr w:rsidR="0081148D" w:rsidRPr="005E07B9" w14:paraId="25774674" w14:textId="77777777" w:rsidTr="00FD7774">
        <w:trPr>
          <w:trHeight w:val="517"/>
        </w:trPr>
        <w:tc>
          <w:tcPr>
            <w:tcW w:w="2448" w:type="dxa"/>
            <w:tcBorders>
              <w:top w:val="nil"/>
              <w:left w:val="single" w:sz="4" w:space="0" w:color="auto"/>
              <w:bottom w:val="single" w:sz="4" w:space="0" w:color="auto"/>
              <w:right w:val="single" w:sz="4" w:space="0" w:color="auto"/>
            </w:tcBorders>
            <w:shd w:val="clear" w:color="000000" w:fill="E2EFDA"/>
            <w:noWrap/>
            <w:vAlign w:val="bottom"/>
            <w:hideMark/>
          </w:tcPr>
          <w:p w14:paraId="024BF21D"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5</w:t>
            </w:r>
          </w:p>
        </w:tc>
        <w:tc>
          <w:tcPr>
            <w:tcW w:w="2270" w:type="dxa"/>
            <w:tcBorders>
              <w:top w:val="nil"/>
              <w:left w:val="nil"/>
              <w:bottom w:val="single" w:sz="4" w:space="0" w:color="auto"/>
              <w:right w:val="single" w:sz="4" w:space="0" w:color="auto"/>
            </w:tcBorders>
            <w:shd w:val="clear" w:color="000000" w:fill="E2EFDA"/>
            <w:noWrap/>
            <w:vAlign w:val="bottom"/>
            <w:hideMark/>
          </w:tcPr>
          <w:p w14:paraId="3693E2FB" w14:textId="77777777" w:rsidR="0081148D" w:rsidRPr="005E07B9" w:rsidRDefault="0081148D" w:rsidP="005E07B9">
            <w:pPr>
              <w:spacing w:after="0"/>
              <w:jc w:val="center"/>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[1/(1+20%)]^5</w:t>
            </w:r>
          </w:p>
        </w:tc>
        <w:tc>
          <w:tcPr>
            <w:tcW w:w="2668" w:type="dxa"/>
            <w:tcBorders>
              <w:top w:val="nil"/>
              <w:left w:val="nil"/>
              <w:bottom w:val="single" w:sz="4" w:space="0" w:color="auto"/>
              <w:right w:val="single" w:sz="4" w:space="0" w:color="auto"/>
            </w:tcBorders>
            <w:shd w:val="clear" w:color="000000" w:fill="E2EFDA"/>
            <w:noWrap/>
            <w:vAlign w:val="bottom"/>
            <w:hideMark/>
          </w:tcPr>
          <w:p w14:paraId="6277839C"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0.401877572</w:t>
            </w:r>
          </w:p>
        </w:tc>
        <w:tc>
          <w:tcPr>
            <w:tcW w:w="2133" w:type="dxa"/>
            <w:tcBorders>
              <w:top w:val="nil"/>
              <w:left w:val="nil"/>
              <w:bottom w:val="single" w:sz="4" w:space="0" w:color="auto"/>
              <w:right w:val="single" w:sz="4" w:space="0" w:color="auto"/>
            </w:tcBorders>
            <w:shd w:val="clear" w:color="000000" w:fill="E2EFDA"/>
            <w:noWrap/>
            <w:vAlign w:val="bottom"/>
            <w:hideMark/>
          </w:tcPr>
          <w:p w14:paraId="1E00F302"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6.02816358</w:t>
            </w:r>
          </w:p>
        </w:tc>
      </w:tr>
      <w:tr w:rsidR="0081148D" w:rsidRPr="005E07B9" w14:paraId="58B2DCF8" w14:textId="77777777" w:rsidTr="00FD7774">
        <w:trPr>
          <w:trHeight w:val="517"/>
        </w:trPr>
        <w:tc>
          <w:tcPr>
            <w:tcW w:w="2448" w:type="dxa"/>
            <w:tcBorders>
              <w:top w:val="nil"/>
              <w:left w:val="single" w:sz="4" w:space="0" w:color="auto"/>
              <w:bottom w:val="single" w:sz="4" w:space="0" w:color="auto"/>
              <w:right w:val="single" w:sz="4" w:space="0" w:color="auto"/>
            </w:tcBorders>
            <w:shd w:val="clear" w:color="000000" w:fill="E2EFDA"/>
            <w:noWrap/>
            <w:vAlign w:val="bottom"/>
            <w:hideMark/>
          </w:tcPr>
          <w:p w14:paraId="6BD6A8DA"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c>
          <w:tcPr>
            <w:tcW w:w="2270" w:type="dxa"/>
            <w:tcBorders>
              <w:top w:val="nil"/>
              <w:left w:val="nil"/>
              <w:bottom w:val="single" w:sz="4" w:space="0" w:color="auto"/>
              <w:right w:val="single" w:sz="4" w:space="0" w:color="auto"/>
            </w:tcBorders>
            <w:shd w:val="clear" w:color="000000" w:fill="E2EFDA"/>
            <w:noWrap/>
            <w:vAlign w:val="bottom"/>
            <w:hideMark/>
          </w:tcPr>
          <w:p w14:paraId="2518B5CC"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c>
          <w:tcPr>
            <w:tcW w:w="2668" w:type="dxa"/>
            <w:tcBorders>
              <w:top w:val="nil"/>
              <w:left w:val="nil"/>
              <w:bottom w:val="single" w:sz="4" w:space="0" w:color="auto"/>
              <w:right w:val="single" w:sz="4" w:space="0" w:color="auto"/>
            </w:tcBorders>
            <w:shd w:val="clear" w:color="000000" w:fill="E2EFDA"/>
            <w:noWrap/>
            <w:vAlign w:val="bottom"/>
            <w:hideMark/>
          </w:tcPr>
          <w:p w14:paraId="40031DAA"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c>
          <w:tcPr>
            <w:tcW w:w="2133" w:type="dxa"/>
            <w:tcBorders>
              <w:top w:val="nil"/>
              <w:left w:val="nil"/>
              <w:bottom w:val="single" w:sz="4" w:space="0" w:color="auto"/>
              <w:right w:val="single" w:sz="4" w:space="0" w:color="auto"/>
            </w:tcBorders>
            <w:shd w:val="clear" w:color="000000" w:fill="E2EFDA"/>
            <w:noWrap/>
            <w:vAlign w:val="bottom"/>
            <w:hideMark/>
          </w:tcPr>
          <w:p w14:paraId="5295D255"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40.76967593</w:t>
            </w:r>
          </w:p>
        </w:tc>
      </w:tr>
      <w:tr w:rsidR="0081148D" w:rsidRPr="005E07B9" w14:paraId="29140E07" w14:textId="77777777" w:rsidTr="00FD7774">
        <w:trPr>
          <w:trHeight w:val="517"/>
        </w:trPr>
        <w:tc>
          <w:tcPr>
            <w:tcW w:w="2448" w:type="dxa"/>
            <w:tcBorders>
              <w:top w:val="nil"/>
              <w:left w:val="single" w:sz="4" w:space="0" w:color="auto"/>
              <w:bottom w:val="single" w:sz="4" w:space="0" w:color="auto"/>
              <w:right w:val="single" w:sz="4" w:space="0" w:color="auto"/>
            </w:tcBorders>
            <w:shd w:val="clear" w:color="000000" w:fill="E2EFDA"/>
            <w:noWrap/>
            <w:vAlign w:val="bottom"/>
            <w:hideMark/>
          </w:tcPr>
          <w:p w14:paraId="60D40AFB"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NPV</w:t>
            </w:r>
          </w:p>
        </w:tc>
        <w:tc>
          <w:tcPr>
            <w:tcW w:w="2270" w:type="dxa"/>
            <w:tcBorders>
              <w:top w:val="nil"/>
              <w:left w:val="nil"/>
              <w:bottom w:val="single" w:sz="4" w:space="0" w:color="auto"/>
              <w:right w:val="single" w:sz="4" w:space="0" w:color="auto"/>
            </w:tcBorders>
            <w:shd w:val="clear" w:color="000000" w:fill="E2EFDA"/>
            <w:noWrap/>
            <w:vAlign w:val="bottom"/>
            <w:hideMark/>
          </w:tcPr>
          <w:p w14:paraId="41B626CF" w14:textId="77777777" w:rsidR="0081148D" w:rsidRPr="005E07B9" w:rsidRDefault="0081148D" w:rsidP="005E07B9">
            <w:pPr>
              <w:spacing w:after="0"/>
              <w:jc w:val="righ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-9.230324074</w:t>
            </w:r>
          </w:p>
        </w:tc>
        <w:tc>
          <w:tcPr>
            <w:tcW w:w="2668" w:type="dxa"/>
            <w:tcBorders>
              <w:top w:val="nil"/>
              <w:left w:val="nil"/>
              <w:bottom w:val="single" w:sz="4" w:space="0" w:color="auto"/>
              <w:right w:val="single" w:sz="4" w:space="0" w:color="auto"/>
            </w:tcBorders>
            <w:shd w:val="clear" w:color="000000" w:fill="E2EFDA"/>
            <w:noWrap/>
            <w:vAlign w:val="bottom"/>
            <w:hideMark/>
          </w:tcPr>
          <w:p w14:paraId="03FBB50F"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c>
          <w:tcPr>
            <w:tcW w:w="2133" w:type="dxa"/>
            <w:tcBorders>
              <w:top w:val="nil"/>
              <w:left w:val="nil"/>
              <w:bottom w:val="single" w:sz="4" w:space="0" w:color="auto"/>
              <w:right w:val="single" w:sz="4" w:space="0" w:color="auto"/>
            </w:tcBorders>
            <w:shd w:val="clear" w:color="000000" w:fill="E2EFDA"/>
            <w:noWrap/>
            <w:vAlign w:val="bottom"/>
            <w:hideMark/>
          </w:tcPr>
          <w:p w14:paraId="6A5DBC77" w14:textId="77777777" w:rsidR="0081148D" w:rsidRPr="005E07B9" w:rsidRDefault="0081148D" w:rsidP="005E07B9">
            <w:pPr>
              <w:spacing w:after="0"/>
              <w:jc w:val="lef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 </w:t>
            </w:r>
          </w:p>
        </w:tc>
      </w:tr>
      <w:tr w:rsidR="0081148D" w:rsidRPr="005E07B9" w14:paraId="584647F4" w14:textId="77777777" w:rsidTr="00FD7774">
        <w:trPr>
          <w:trHeight w:val="517"/>
        </w:trPr>
        <w:tc>
          <w:tcPr>
            <w:tcW w:w="2448" w:type="dxa"/>
            <w:tcBorders>
              <w:top w:val="nil"/>
              <w:left w:val="single" w:sz="4" w:space="0" w:color="auto"/>
              <w:bottom w:val="single" w:sz="4" w:space="0" w:color="auto"/>
              <w:right w:val="single" w:sz="4" w:space="0" w:color="auto"/>
            </w:tcBorders>
            <w:shd w:val="clear" w:color="000000" w:fill="E2EFDA"/>
            <w:noWrap/>
            <w:vAlign w:val="bottom"/>
            <w:hideMark/>
          </w:tcPr>
          <w:p w14:paraId="016AF27F"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Discount rate</w:t>
            </w:r>
          </w:p>
        </w:tc>
        <w:tc>
          <w:tcPr>
            <w:tcW w:w="2270" w:type="dxa"/>
            <w:tcBorders>
              <w:top w:val="nil"/>
              <w:left w:val="nil"/>
              <w:bottom w:val="single" w:sz="4" w:space="0" w:color="auto"/>
              <w:right w:val="single" w:sz="4" w:space="0" w:color="auto"/>
            </w:tcBorders>
            <w:shd w:val="clear" w:color="000000" w:fill="E2EFDA"/>
            <w:noWrap/>
            <w:vAlign w:val="bottom"/>
            <w:hideMark/>
          </w:tcPr>
          <w:p w14:paraId="7EE59E57"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10%</w:t>
            </w:r>
          </w:p>
        </w:tc>
        <w:tc>
          <w:tcPr>
            <w:tcW w:w="2668" w:type="dxa"/>
            <w:tcBorders>
              <w:top w:val="nil"/>
              <w:left w:val="nil"/>
              <w:bottom w:val="single" w:sz="4" w:space="0" w:color="auto"/>
              <w:right w:val="single" w:sz="4" w:space="0" w:color="auto"/>
            </w:tcBorders>
            <w:shd w:val="clear" w:color="000000" w:fill="E2EFDA"/>
            <w:noWrap/>
            <w:vAlign w:val="bottom"/>
            <w:hideMark/>
          </w:tcPr>
          <w:p w14:paraId="49F87641"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20%</w:t>
            </w:r>
          </w:p>
        </w:tc>
        <w:tc>
          <w:tcPr>
            <w:tcW w:w="2133" w:type="dxa"/>
            <w:tcBorders>
              <w:top w:val="nil"/>
              <w:left w:val="nil"/>
              <w:bottom w:val="nil"/>
              <w:right w:val="nil"/>
            </w:tcBorders>
            <w:noWrap/>
            <w:vAlign w:val="bottom"/>
            <w:hideMark/>
          </w:tcPr>
          <w:p w14:paraId="5BDD6A5D"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61298995" w14:textId="77777777" w:rsidTr="00FD7774">
        <w:trPr>
          <w:trHeight w:val="517"/>
        </w:trPr>
        <w:tc>
          <w:tcPr>
            <w:tcW w:w="2448" w:type="dxa"/>
            <w:tcBorders>
              <w:top w:val="nil"/>
              <w:left w:val="single" w:sz="4" w:space="0" w:color="auto"/>
              <w:bottom w:val="single" w:sz="4" w:space="0" w:color="auto"/>
              <w:right w:val="single" w:sz="4" w:space="0" w:color="auto"/>
            </w:tcBorders>
            <w:shd w:val="clear" w:color="000000" w:fill="E2EFDA"/>
            <w:noWrap/>
            <w:vAlign w:val="bottom"/>
            <w:hideMark/>
          </w:tcPr>
          <w:p w14:paraId="1B433123" w14:textId="77777777" w:rsidR="0081148D" w:rsidRPr="005E07B9" w:rsidRDefault="0081148D" w:rsidP="005E07B9">
            <w:pPr>
              <w:spacing w:after="0"/>
              <w:jc w:val="left"/>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NPV</w:t>
            </w:r>
          </w:p>
        </w:tc>
        <w:tc>
          <w:tcPr>
            <w:tcW w:w="2270" w:type="dxa"/>
            <w:tcBorders>
              <w:top w:val="nil"/>
              <w:left w:val="nil"/>
              <w:bottom w:val="single" w:sz="4" w:space="0" w:color="auto"/>
              <w:right w:val="single" w:sz="4" w:space="0" w:color="auto"/>
            </w:tcBorders>
            <w:shd w:val="clear" w:color="000000" w:fill="E2EFDA"/>
            <w:noWrap/>
            <w:vAlign w:val="bottom"/>
            <w:hideMark/>
          </w:tcPr>
          <w:p w14:paraId="7BC0C8DA"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4.225369603</w:t>
            </w:r>
          </w:p>
        </w:tc>
        <w:tc>
          <w:tcPr>
            <w:tcW w:w="2668" w:type="dxa"/>
            <w:tcBorders>
              <w:top w:val="nil"/>
              <w:left w:val="nil"/>
              <w:bottom w:val="single" w:sz="4" w:space="0" w:color="auto"/>
              <w:right w:val="single" w:sz="4" w:space="0" w:color="auto"/>
            </w:tcBorders>
            <w:shd w:val="clear" w:color="000000" w:fill="E2EFDA"/>
            <w:noWrap/>
            <w:vAlign w:val="bottom"/>
            <w:hideMark/>
          </w:tcPr>
          <w:p w14:paraId="2DE65BCB"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-9.230324074</w:t>
            </w:r>
          </w:p>
        </w:tc>
        <w:tc>
          <w:tcPr>
            <w:tcW w:w="2133" w:type="dxa"/>
            <w:tcBorders>
              <w:top w:val="nil"/>
              <w:left w:val="nil"/>
              <w:bottom w:val="nil"/>
              <w:right w:val="nil"/>
            </w:tcBorders>
            <w:noWrap/>
            <w:vAlign w:val="bottom"/>
            <w:hideMark/>
          </w:tcPr>
          <w:p w14:paraId="795C3350" w14:textId="77777777" w:rsidR="0081148D" w:rsidRPr="005E07B9" w:rsidRDefault="0081148D" w:rsidP="005E07B9">
            <w:pPr>
              <w:spacing w:after="0"/>
              <w:jc w:val="right"/>
              <w:rPr>
                <w:rFonts w:eastAsia="Times New Roman" w:cs="Arial"/>
                <w:color w:val="000000"/>
                <w:kern w:val="0"/>
                <w:lang w:eastAsia="en-IN"/>
                <w14:ligatures w14:val="none"/>
              </w:rPr>
            </w:pPr>
          </w:p>
        </w:tc>
      </w:tr>
      <w:tr w:rsidR="0081148D" w:rsidRPr="005E07B9" w14:paraId="19C3950E" w14:textId="77777777" w:rsidTr="00FD7774">
        <w:trPr>
          <w:trHeight w:val="517"/>
        </w:trPr>
        <w:tc>
          <w:tcPr>
            <w:tcW w:w="2448" w:type="dxa"/>
            <w:vMerge w:val="restart"/>
            <w:tcBorders>
              <w:top w:val="nil"/>
              <w:left w:val="single" w:sz="4" w:space="0" w:color="auto"/>
              <w:bottom w:val="single" w:sz="4" w:space="0" w:color="000000"/>
              <w:right w:val="single" w:sz="4" w:space="0" w:color="auto"/>
            </w:tcBorders>
            <w:shd w:val="clear" w:color="000000" w:fill="E2EFDA"/>
            <w:noWrap/>
            <w:vAlign w:val="center"/>
            <w:hideMark/>
          </w:tcPr>
          <w:p w14:paraId="11900D59" w14:textId="77777777" w:rsidR="0081148D" w:rsidRPr="005E07B9" w:rsidRDefault="0081148D" w:rsidP="005E07B9">
            <w:pPr>
              <w:spacing w:after="0"/>
              <w:jc w:val="center"/>
              <w:rPr>
                <w:rFonts w:eastAsia="Times New Roman" w:cs="Arial"/>
                <w:b/>
                <w:bCs/>
                <w:color w:val="000000"/>
                <w:kern w:val="0"/>
                <w:lang w:eastAsia="en-IN"/>
                <w14:ligatures w14:val="none"/>
              </w:rPr>
            </w:pPr>
            <w:r w:rsidRPr="005E07B9">
              <w:rPr>
                <w:rFonts w:eastAsia="Times New Roman" w:cs="Arial"/>
                <w:b/>
                <w:bCs/>
                <w:color w:val="000000"/>
                <w:kern w:val="0"/>
                <w:lang w:eastAsia="en-IN"/>
                <w14:ligatures w14:val="none"/>
              </w:rPr>
              <w:t>IRR</w:t>
            </w:r>
          </w:p>
        </w:tc>
        <w:tc>
          <w:tcPr>
            <w:tcW w:w="2270" w:type="dxa"/>
            <w:tcBorders>
              <w:top w:val="nil"/>
              <w:left w:val="nil"/>
              <w:bottom w:val="single" w:sz="4" w:space="0" w:color="auto"/>
              <w:right w:val="single" w:sz="4" w:space="0" w:color="auto"/>
            </w:tcBorders>
            <w:shd w:val="clear" w:color="000000" w:fill="E2EFDA"/>
            <w:noWrap/>
            <w:vAlign w:val="bottom"/>
            <w:hideMark/>
          </w:tcPr>
          <w:p w14:paraId="5E5CB83E"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0.131402094</w:t>
            </w:r>
          </w:p>
        </w:tc>
        <w:tc>
          <w:tcPr>
            <w:tcW w:w="2668" w:type="dxa"/>
            <w:tcBorders>
              <w:top w:val="nil"/>
              <w:left w:val="nil"/>
              <w:bottom w:val="nil"/>
              <w:right w:val="nil"/>
            </w:tcBorders>
            <w:noWrap/>
            <w:vAlign w:val="bottom"/>
            <w:hideMark/>
          </w:tcPr>
          <w:p w14:paraId="2615031C" w14:textId="77777777" w:rsidR="0081148D" w:rsidRPr="005E07B9" w:rsidRDefault="0081148D" w:rsidP="005E07B9">
            <w:pPr>
              <w:spacing w:after="0"/>
              <w:jc w:val="right"/>
              <w:rPr>
                <w:rFonts w:eastAsia="Times New Roman" w:cs="Arial"/>
                <w:color w:val="000000"/>
                <w:kern w:val="0"/>
                <w:lang w:eastAsia="en-IN"/>
                <w14:ligatures w14:val="none"/>
              </w:rPr>
            </w:pPr>
          </w:p>
        </w:tc>
        <w:tc>
          <w:tcPr>
            <w:tcW w:w="2133" w:type="dxa"/>
            <w:tcBorders>
              <w:top w:val="nil"/>
              <w:left w:val="nil"/>
              <w:bottom w:val="nil"/>
              <w:right w:val="nil"/>
            </w:tcBorders>
            <w:noWrap/>
            <w:vAlign w:val="bottom"/>
            <w:hideMark/>
          </w:tcPr>
          <w:p w14:paraId="0F2501D2" w14:textId="77777777" w:rsidR="0081148D" w:rsidRPr="005E07B9" w:rsidRDefault="0081148D" w:rsidP="005E07B9">
            <w:pPr>
              <w:spacing w:after="0"/>
              <w:jc w:val="left"/>
              <w:rPr>
                <w:rFonts w:eastAsia="Times New Roman" w:cs="Arial"/>
                <w:kern w:val="0"/>
                <w:lang w:eastAsia="en-IN"/>
                <w14:ligatures w14:val="none"/>
              </w:rPr>
            </w:pPr>
          </w:p>
        </w:tc>
      </w:tr>
      <w:tr w:rsidR="0081148D" w:rsidRPr="005E07B9" w14:paraId="58D5A8E0" w14:textId="77777777" w:rsidTr="00FD7774">
        <w:trPr>
          <w:trHeight w:val="517"/>
        </w:trPr>
        <w:tc>
          <w:tcPr>
            <w:tcW w:w="2448" w:type="dxa"/>
            <w:vMerge/>
            <w:tcBorders>
              <w:top w:val="nil"/>
              <w:left w:val="single" w:sz="4" w:space="0" w:color="auto"/>
              <w:bottom w:val="single" w:sz="4" w:space="0" w:color="000000"/>
              <w:right w:val="single" w:sz="4" w:space="0" w:color="auto"/>
            </w:tcBorders>
            <w:vAlign w:val="center"/>
            <w:hideMark/>
          </w:tcPr>
          <w:p w14:paraId="7F3A03A9" w14:textId="77777777" w:rsidR="0081148D" w:rsidRPr="005E07B9" w:rsidRDefault="0081148D" w:rsidP="005E07B9">
            <w:pPr>
              <w:spacing w:after="0"/>
              <w:jc w:val="left"/>
              <w:rPr>
                <w:rFonts w:eastAsia="Times New Roman" w:cs="Arial"/>
                <w:b/>
                <w:bCs/>
                <w:color w:val="000000"/>
                <w:kern w:val="0"/>
                <w:lang w:eastAsia="en-IN"/>
                <w14:ligatures w14:val="none"/>
              </w:rPr>
            </w:pPr>
          </w:p>
        </w:tc>
        <w:tc>
          <w:tcPr>
            <w:tcW w:w="2270" w:type="dxa"/>
            <w:tcBorders>
              <w:top w:val="nil"/>
              <w:left w:val="nil"/>
              <w:bottom w:val="single" w:sz="4" w:space="0" w:color="auto"/>
              <w:right w:val="single" w:sz="4" w:space="0" w:color="auto"/>
            </w:tcBorders>
            <w:shd w:val="clear" w:color="000000" w:fill="E2EFDA"/>
            <w:noWrap/>
            <w:vAlign w:val="bottom"/>
            <w:hideMark/>
          </w:tcPr>
          <w:p w14:paraId="6FAB78D5" w14:textId="77777777" w:rsidR="0081148D" w:rsidRPr="005E07B9" w:rsidRDefault="0081148D" w:rsidP="005E07B9">
            <w:pPr>
              <w:spacing w:after="0"/>
              <w:jc w:val="right"/>
              <w:rPr>
                <w:rFonts w:eastAsia="Times New Roman" w:cs="Arial"/>
                <w:color w:val="000000"/>
                <w:kern w:val="0"/>
                <w:lang w:eastAsia="en-IN"/>
                <w14:ligatures w14:val="none"/>
              </w:rPr>
            </w:pPr>
            <w:r w:rsidRPr="005E07B9">
              <w:rPr>
                <w:rFonts w:eastAsia="Times New Roman" w:cs="Arial"/>
                <w:color w:val="000000"/>
                <w:kern w:val="0"/>
                <w:lang w:eastAsia="en-IN"/>
                <w14:ligatures w14:val="none"/>
              </w:rPr>
              <w:t>13.14020942</w:t>
            </w:r>
          </w:p>
        </w:tc>
        <w:tc>
          <w:tcPr>
            <w:tcW w:w="2668" w:type="dxa"/>
            <w:tcBorders>
              <w:top w:val="nil"/>
              <w:left w:val="nil"/>
              <w:bottom w:val="nil"/>
              <w:right w:val="nil"/>
            </w:tcBorders>
            <w:noWrap/>
            <w:vAlign w:val="bottom"/>
            <w:hideMark/>
          </w:tcPr>
          <w:p w14:paraId="204768C2" w14:textId="77777777" w:rsidR="0081148D" w:rsidRPr="005E07B9" w:rsidRDefault="0081148D" w:rsidP="005E07B9">
            <w:pPr>
              <w:spacing w:after="0"/>
              <w:jc w:val="right"/>
              <w:rPr>
                <w:rFonts w:eastAsia="Times New Roman" w:cs="Arial"/>
                <w:color w:val="000000"/>
                <w:kern w:val="0"/>
                <w:lang w:eastAsia="en-IN"/>
                <w14:ligatures w14:val="none"/>
              </w:rPr>
            </w:pPr>
          </w:p>
        </w:tc>
        <w:tc>
          <w:tcPr>
            <w:tcW w:w="2133" w:type="dxa"/>
            <w:tcBorders>
              <w:top w:val="nil"/>
              <w:left w:val="nil"/>
              <w:bottom w:val="nil"/>
              <w:right w:val="nil"/>
            </w:tcBorders>
            <w:noWrap/>
            <w:vAlign w:val="bottom"/>
            <w:hideMark/>
          </w:tcPr>
          <w:p w14:paraId="6E8AAB2C" w14:textId="77777777" w:rsidR="0081148D" w:rsidRPr="005E07B9" w:rsidRDefault="0081148D" w:rsidP="005E07B9">
            <w:pPr>
              <w:spacing w:after="0"/>
              <w:jc w:val="left"/>
              <w:rPr>
                <w:rFonts w:eastAsia="Times New Roman" w:cs="Arial"/>
                <w:kern w:val="0"/>
                <w:lang w:eastAsia="en-IN"/>
                <w14:ligatures w14:val="none"/>
              </w:rPr>
            </w:pPr>
          </w:p>
        </w:tc>
      </w:tr>
      <w:bookmarkEnd w:id="0"/>
    </w:tbl>
    <w:p w14:paraId="1C150960" w14:textId="77777777" w:rsidR="00454A99" w:rsidRPr="005E07B9" w:rsidRDefault="00454A99" w:rsidP="005E07B9">
      <w:pPr>
        <w:rPr>
          <w:rFonts w:cs="Arial"/>
        </w:rPr>
      </w:pPr>
    </w:p>
    <w:sectPr w:rsidR="00454A99" w:rsidRPr="005E07B9" w:rsidSect="009D5DF7">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D97E4A" w14:textId="77777777" w:rsidR="0081285B" w:rsidRDefault="0081285B" w:rsidP="005E07B9">
      <w:pPr>
        <w:spacing w:after="0" w:line="240" w:lineRule="auto"/>
      </w:pPr>
      <w:r>
        <w:separator/>
      </w:r>
    </w:p>
  </w:endnote>
  <w:endnote w:type="continuationSeparator" w:id="0">
    <w:p w14:paraId="7DEE15BC" w14:textId="77777777" w:rsidR="0081285B" w:rsidRDefault="0081285B" w:rsidP="005E0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7877028"/>
      <w:docPartObj>
        <w:docPartGallery w:val="Page Numbers (Bottom of Page)"/>
        <w:docPartUnique/>
      </w:docPartObj>
    </w:sdtPr>
    <w:sdtEndPr>
      <w:rPr>
        <w:noProof/>
      </w:rPr>
    </w:sdtEndPr>
    <w:sdtContent>
      <w:p w14:paraId="01B47C90" w14:textId="1B0BADDE" w:rsidR="008D718E" w:rsidRDefault="008D718E" w:rsidP="00D42BD0">
        <w:pPr>
          <w:pStyle w:val="Footer"/>
          <w:jc w:val="center"/>
        </w:pPr>
        <w:r>
          <w:fldChar w:fldCharType="begin"/>
        </w:r>
        <w:r>
          <w:instrText xml:space="preserve"> PAGE   \* MERGEFORMAT </w:instrText>
        </w:r>
        <w:r>
          <w:fldChar w:fldCharType="separate"/>
        </w:r>
        <w:r w:rsidR="00AE65A5">
          <w:rPr>
            <w:noProof/>
          </w:rPr>
          <w:t>20</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ED0CCF" w14:textId="77777777" w:rsidR="0081285B" w:rsidRDefault="0081285B" w:rsidP="005E07B9">
      <w:pPr>
        <w:spacing w:after="0" w:line="240" w:lineRule="auto"/>
      </w:pPr>
      <w:r>
        <w:separator/>
      </w:r>
    </w:p>
  </w:footnote>
  <w:footnote w:type="continuationSeparator" w:id="0">
    <w:p w14:paraId="597C420B" w14:textId="77777777" w:rsidR="0081285B" w:rsidRDefault="0081285B" w:rsidP="005E07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A34CAC"/>
    <w:multiLevelType w:val="hybridMultilevel"/>
    <w:tmpl w:val="33CA1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removePersonalInformation/>
  <w:removeDateAndTime/>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44D"/>
    <w:rsid w:val="000011A8"/>
    <w:rsid w:val="00003F3F"/>
    <w:rsid w:val="00034FC8"/>
    <w:rsid w:val="00071503"/>
    <w:rsid w:val="00074685"/>
    <w:rsid w:val="000A709D"/>
    <w:rsid w:val="000B41B8"/>
    <w:rsid w:val="00101612"/>
    <w:rsid w:val="00126492"/>
    <w:rsid w:val="00133B62"/>
    <w:rsid w:val="001517C6"/>
    <w:rsid w:val="0019367F"/>
    <w:rsid w:val="00203523"/>
    <w:rsid w:val="00232CE4"/>
    <w:rsid w:val="00233A93"/>
    <w:rsid w:val="00233F30"/>
    <w:rsid w:val="00244164"/>
    <w:rsid w:val="00250C82"/>
    <w:rsid w:val="0025679E"/>
    <w:rsid w:val="00260CC2"/>
    <w:rsid w:val="002709C2"/>
    <w:rsid w:val="00276CEE"/>
    <w:rsid w:val="0029000D"/>
    <w:rsid w:val="002A3DCA"/>
    <w:rsid w:val="00307D0F"/>
    <w:rsid w:val="00313B2D"/>
    <w:rsid w:val="003402CB"/>
    <w:rsid w:val="00367A8C"/>
    <w:rsid w:val="0039291E"/>
    <w:rsid w:val="00392F49"/>
    <w:rsid w:val="00396A10"/>
    <w:rsid w:val="00397260"/>
    <w:rsid w:val="003A4923"/>
    <w:rsid w:val="003E37F3"/>
    <w:rsid w:val="003F0C68"/>
    <w:rsid w:val="003F2053"/>
    <w:rsid w:val="0040660E"/>
    <w:rsid w:val="00422C40"/>
    <w:rsid w:val="00454A99"/>
    <w:rsid w:val="00465F0C"/>
    <w:rsid w:val="00475A4C"/>
    <w:rsid w:val="004926C5"/>
    <w:rsid w:val="004D2836"/>
    <w:rsid w:val="004E1A9E"/>
    <w:rsid w:val="004E7764"/>
    <w:rsid w:val="00503C83"/>
    <w:rsid w:val="00553CC3"/>
    <w:rsid w:val="00555D9C"/>
    <w:rsid w:val="005A5072"/>
    <w:rsid w:val="005B16BB"/>
    <w:rsid w:val="005D0E61"/>
    <w:rsid w:val="005E07B9"/>
    <w:rsid w:val="006060B7"/>
    <w:rsid w:val="00613F0F"/>
    <w:rsid w:val="006227B1"/>
    <w:rsid w:val="00627BD7"/>
    <w:rsid w:val="00632369"/>
    <w:rsid w:val="00635E96"/>
    <w:rsid w:val="0064482F"/>
    <w:rsid w:val="00653646"/>
    <w:rsid w:val="00683CA9"/>
    <w:rsid w:val="00685688"/>
    <w:rsid w:val="00685FBE"/>
    <w:rsid w:val="006B6E83"/>
    <w:rsid w:val="006D1F5B"/>
    <w:rsid w:val="006F48C5"/>
    <w:rsid w:val="00722BE8"/>
    <w:rsid w:val="00727DDD"/>
    <w:rsid w:val="00727FCE"/>
    <w:rsid w:val="00741947"/>
    <w:rsid w:val="00751086"/>
    <w:rsid w:val="0075445B"/>
    <w:rsid w:val="007B2BDD"/>
    <w:rsid w:val="007B6F58"/>
    <w:rsid w:val="007C78C3"/>
    <w:rsid w:val="007D1160"/>
    <w:rsid w:val="007F3867"/>
    <w:rsid w:val="007F5471"/>
    <w:rsid w:val="0081010F"/>
    <w:rsid w:val="0081148D"/>
    <w:rsid w:val="0081285B"/>
    <w:rsid w:val="00820119"/>
    <w:rsid w:val="008217B4"/>
    <w:rsid w:val="0083744D"/>
    <w:rsid w:val="00851889"/>
    <w:rsid w:val="008672BC"/>
    <w:rsid w:val="00873379"/>
    <w:rsid w:val="008A5DBA"/>
    <w:rsid w:val="008B0378"/>
    <w:rsid w:val="008B27D5"/>
    <w:rsid w:val="008D6D8C"/>
    <w:rsid w:val="008D718E"/>
    <w:rsid w:val="00903445"/>
    <w:rsid w:val="0091704A"/>
    <w:rsid w:val="00962130"/>
    <w:rsid w:val="009A0A1B"/>
    <w:rsid w:val="009B0DBA"/>
    <w:rsid w:val="009D0E46"/>
    <w:rsid w:val="009D1C74"/>
    <w:rsid w:val="009D4289"/>
    <w:rsid w:val="009D5DF7"/>
    <w:rsid w:val="009F0665"/>
    <w:rsid w:val="00A25D66"/>
    <w:rsid w:val="00A36096"/>
    <w:rsid w:val="00AA3CD5"/>
    <w:rsid w:val="00AB3927"/>
    <w:rsid w:val="00AB44B3"/>
    <w:rsid w:val="00AC2CC8"/>
    <w:rsid w:val="00AC4A09"/>
    <w:rsid w:val="00AD0BF1"/>
    <w:rsid w:val="00AE06C2"/>
    <w:rsid w:val="00AE65A5"/>
    <w:rsid w:val="00AE7886"/>
    <w:rsid w:val="00B03101"/>
    <w:rsid w:val="00B22B61"/>
    <w:rsid w:val="00B30A55"/>
    <w:rsid w:val="00B63654"/>
    <w:rsid w:val="00B64596"/>
    <w:rsid w:val="00B81A31"/>
    <w:rsid w:val="00B81A97"/>
    <w:rsid w:val="00B904C1"/>
    <w:rsid w:val="00B92FEE"/>
    <w:rsid w:val="00BA3321"/>
    <w:rsid w:val="00BA645B"/>
    <w:rsid w:val="00BA74EB"/>
    <w:rsid w:val="00BB3CD5"/>
    <w:rsid w:val="00BB4346"/>
    <w:rsid w:val="00BB5C1D"/>
    <w:rsid w:val="00BB7C35"/>
    <w:rsid w:val="00BC4F2C"/>
    <w:rsid w:val="00BE6690"/>
    <w:rsid w:val="00BF2BF9"/>
    <w:rsid w:val="00BF75A0"/>
    <w:rsid w:val="00C21C68"/>
    <w:rsid w:val="00C6051A"/>
    <w:rsid w:val="00C97E51"/>
    <w:rsid w:val="00CB03CF"/>
    <w:rsid w:val="00CB78C6"/>
    <w:rsid w:val="00CC2402"/>
    <w:rsid w:val="00CF5167"/>
    <w:rsid w:val="00D012BE"/>
    <w:rsid w:val="00D06599"/>
    <w:rsid w:val="00D13307"/>
    <w:rsid w:val="00D42BD0"/>
    <w:rsid w:val="00D63444"/>
    <w:rsid w:val="00D6662F"/>
    <w:rsid w:val="00D73DFB"/>
    <w:rsid w:val="00DB28E5"/>
    <w:rsid w:val="00DE1A31"/>
    <w:rsid w:val="00DE22AF"/>
    <w:rsid w:val="00E00B75"/>
    <w:rsid w:val="00E06033"/>
    <w:rsid w:val="00E25A50"/>
    <w:rsid w:val="00E575AF"/>
    <w:rsid w:val="00E85510"/>
    <w:rsid w:val="00ED2C86"/>
    <w:rsid w:val="00EE5DA5"/>
    <w:rsid w:val="00EF15CD"/>
    <w:rsid w:val="00EF58AA"/>
    <w:rsid w:val="00F06412"/>
    <w:rsid w:val="00F30A05"/>
    <w:rsid w:val="00F369F9"/>
    <w:rsid w:val="00F3741A"/>
    <w:rsid w:val="00F40128"/>
    <w:rsid w:val="00F41B39"/>
    <w:rsid w:val="00F4200B"/>
    <w:rsid w:val="00F4763D"/>
    <w:rsid w:val="00F511DD"/>
    <w:rsid w:val="00F51A18"/>
    <w:rsid w:val="00F55D75"/>
    <w:rsid w:val="00F71C00"/>
    <w:rsid w:val="00F72712"/>
    <w:rsid w:val="00F862ED"/>
    <w:rsid w:val="00F934CF"/>
    <w:rsid w:val="00F95851"/>
    <w:rsid w:val="00FA1543"/>
    <w:rsid w:val="00FA640A"/>
    <w:rsid w:val="00FC574E"/>
    <w:rsid w:val="00FD40A1"/>
    <w:rsid w:val="00FD77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FAC6A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1947"/>
    <w:pPr>
      <w:spacing w:before="120" w:after="120" w:line="360" w:lineRule="auto"/>
      <w:jc w:val="both"/>
    </w:pPr>
    <w:rPr>
      <w:rFonts w:ascii="Arial" w:hAnsi="Arial" w:cs="Times New Roman"/>
      <w:color w:val="000000" w:themeColor="text1"/>
      <w:sz w:val="24"/>
      <w:szCs w:val="24"/>
    </w:rPr>
  </w:style>
  <w:style w:type="paragraph" w:styleId="Heading1">
    <w:name w:val="heading 1"/>
    <w:basedOn w:val="Heading2"/>
    <w:next w:val="Normal"/>
    <w:link w:val="Heading1Char"/>
    <w:uiPriority w:val="9"/>
    <w:qFormat/>
    <w:rsid w:val="00C97E51"/>
    <w:pPr>
      <w:outlineLvl w:val="0"/>
    </w:pPr>
    <w:rPr>
      <w:sz w:val="28"/>
      <w:szCs w:val="28"/>
    </w:rPr>
  </w:style>
  <w:style w:type="paragraph" w:styleId="Heading2">
    <w:name w:val="heading 2"/>
    <w:basedOn w:val="Normal"/>
    <w:next w:val="Normal"/>
    <w:link w:val="Heading2Char"/>
    <w:uiPriority w:val="9"/>
    <w:unhideWhenUsed/>
    <w:qFormat/>
    <w:rsid w:val="008B0378"/>
    <w:pPr>
      <w:outlineLvl w:val="1"/>
    </w:pPr>
    <w:rPr>
      <w:rFonts w:cs="Arial"/>
      <w:b/>
      <w:bCs/>
      <w:sz w:val="26"/>
      <w:lang w:val="en-GB"/>
    </w:rPr>
  </w:style>
  <w:style w:type="paragraph" w:styleId="Heading3">
    <w:name w:val="heading 3"/>
    <w:basedOn w:val="Normal"/>
    <w:next w:val="Normal"/>
    <w:link w:val="Heading3Char"/>
    <w:uiPriority w:val="9"/>
    <w:unhideWhenUsed/>
    <w:qFormat/>
    <w:rsid w:val="0039291E"/>
    <w:pPr>
      <w:outlineLvl w:val="2"/>
    </w:pPr>
    <w:rPr>
      <w:b/>
      <w:bCs/>
      <w:lang w:val="en-GB"/>
    </w:rPr>
  </w:style>
  <w:style w:type="paragraph" w:styleId="Heading4">
    <w:name w:val="heading 4"/>
    <w:basedOn w:val="Normal"/>
    <w:next w:val="Normal"/>
    <w:link w:val="Heading4Char"/>
    <w:uiPriority w:val="9"/>
    <w:semiHidden/>
    <w:unhideWhenUsed/>
    <w:qFormat/>
    <w:rsid w:val="0083744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3744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3744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3744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3744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3744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E51"/>
    <w:rPr>
      <w:rFonts w:ascii="Arial" w:hAnsi="Arial" w:cs="Arial"/>
      <w:b/>
      <w:bCs/>
      <w:color w:val="000000" w:themeColor="text1"/>
      <w:sz w:val="28"/>
      <w:szCs w:val="28"/>
      <w:lang w:val="en-GB"/>
    </w:rPr>
  </w:style>
  <w:style w:type="character" w:customStyle="1" w:styleId="Heading2Char">
    <w:name w:val="Heading 2 Char"/>
    <w:basedOn w:val="DefaultParagraphFont"/>
    <w:link w:val="Heading2"/>
    <w:uiPriority w:val="9"/>
    <w:rsid w:val="008B0378"/>
    <w:rPr>
      <w:rFonts w:ascii="Arial" w:hAnsi="Arial" w:cs="Arial"/>
      <w:b/>
      <w:bCs/>
      <w:color w:val="000000" w:themeColor="text1"/>
      <w:sz w:val="26"/>
      <w:szCs w:val="24"/>
      <w:lang w:val="en-GB"/>
    </w:rPr>
  </w:style>
  <w:style w:type="character" w:customStyle="1" w:styleId="Heading3Char">
    <w:name w:val="Heading 3 Char"/>
    <w:basedOn w:val="DefaultParagraphFont"/>
    <w:link w:val="Heading3"/>
    <w:uiPriority w:val="9"/>
    <w:rsid w:val="0039291E"/>
    <w:rPr>
      <w:rFonts w:ascii="Times New Roman" w:hAnsi="Times New Roman" w:cs="Times New Roman"/>
      <w:b/>
      <w:bCs/>
      <w:sz w:val="24"/>
      <w:szCs w:val="24"/>
      <w:lang w:val="en-GB"/>
    </w:rPr>
  </w:style>
  <w:style w:type="character" w:customStyle="1" w:styleId="Heading4Char">
    <w:name w:val="Heading 4 Char"/>
    <w:basedOn w:val="DefaultParagraphFont"/>
    <w:link w:val="Heading4"/>
    <w:uiPriority w:val="9"/>
    <w:semiHidden/>
    <w:rsid w:val="0083744D"/>
    <w:rPr>
      <w:rFonts w:eastAsiaTheme="majorEastAsia" w:cstheme="majorBidi"/>
      <w:i/>
      <w:iCs/>
      <w:color w:val="2F5496" w:themeColor="accent1" w:themeShade="BF"/>
      <w:sz w:val="24"/>
      <w:szCs w:val="24"/>
    </w:rPr>
  </w:style>
  <w:style w:type="character" w:customStyle="1" w:styleId="Heading5Char">
    <w:name w:val="Heading 5 Char"/>
    <w:basedOn w:val="DefaultParagraphFont"/>
    <w:link w:val="Heading5"/>
    <w:uiPriority w:val="9"/>
    <w:semiHidden/>
    <w:rsid w:val="0083744D"/>
    <w:rPr>
      <w:rFonts w:eastAsiaTheme="majorEastAsia" w:cstheme="majorBidi"/>
      <w:color w:val="2F5496" w:themeColor="accent1" w:themeShade="BF"/>
      <w:sz w:val="24"/>
      <w:szCs w:val="24"/>
    </w:rPr>
  </w:style>
  <w:style w:type="character" w:customStyle="1" w:styleId="Heading6Char">
    <w:name w:val="Heading 6 Char"/>
    <w:basedOn w:val="DefaultParagraphFont"/>
    <w:link w:val="Heading6"/>
    <w:uiPriority w:val="9"/>
    <w:semiHidden/>
    <w:rsid w:val="0083744D"/>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83744D"/>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83744D"/>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83744D"/>
    <w:rPr>
      <w:rFonts w:eastAsiaTheme="majorEastAsia" w:cstheme="majorBidi"/>
      <w:color w:val="272727" w:themeColor="text1" w:themeTint="D8"/>
      <w:sz w:val="24"/>
      <w:szCs w:val="24"/>
    </w:rPr>
  </w:style>
  <w:style w:type="paragraph" w:styleId="Title">
    <w:name w:val="Title"/>
    <w:basedOn w:val="Normal"/>
    <w:next w:val="Normal"/>
    <w:link w:val="TitleChar"/>
    <w:uiPriority w:val="10"/>
    <w:qFormat/>
    <w:rsid w:val="008374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74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744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74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744D"/>
    <w:pPr>
      <w:spacing w:before="160"/>
      <w:jc w:val="center"/>
    </w:pPr>
    <w:rPr>
      <w:i/>
      <w:iCs/>
      <w:color w:val="404040" w:themeColor="text1" w:themeTint="BF"/>
    </w:rPr>
  </w:style>
  <w:style w:type="character" w:customStyle="1" w:styleId="QuoteChar">
    <w:name w:val="Quote Char"/>
    <w:basedOn w:val="DefaultParagraphFont"/>
    <w:link w:val="Quote"/>
    <w:uiPriority w:val="29"/>
    <w:rsid w:val="0083744D"/>
    <w:rPr>
      <w:rFonts w:ascii="Times New Roman" w:hAnsi="Times New Roman" w:cs="Times New Roman"/>
      <w:i/>
      <w:iCs/>
      <w:color w:val="404040" w:themeColor="text1" w:themeTint="BF"/>
      <w:sz w:val="24"/>
      <w:szCs w:val="24"/>
    </w:rPr>
  </w:style>
  <w:style w:type="paragraph" w:styleId="ListParagraph">
    <w:name w:val="List Paragraph"/>
    <w:basedOn w:val="Normal"/>
    <w:uiPriority w:val="34"/>
    <w:qFormat/>
    <w:rsid w:val="0083744D"/>
    <w:pPr>
      <w:ind w:left="720"/>
      <w:contextualSpacing/>
    </w:pPr>
  </w:style>
  <w:style w:type="character" w:styleId="IntenseEmphasis">
    <w:name w:val="Intense Emphasis"/>
    <w:basedOn w:val="DefaultParagraphFont"/>
    <w:uiPriority w:val="21"/>
    <w:qFormat/>
    <w:rsid w:val="0083744D"/>
    <w:rPr>
      <w:i/>
      <w:iCs/>
      <w:color w:val="2F5496" w:themeColor="accent1" w:themeShade="BF"/>
    </w:rPr>
  </w:style>
  <w:style w:type="paragraph" w:styleId="IntenseQuote">
    <w:name w:val="Intense Quote"/>
    <w:basedOn w:val="Normal"/>
    <w:next w:val="Normal"/>
    <w:link w:val="IntenseQuoteChar"/>
    <w:uiPriority w:val="30"/>
    <w:qFormat/>
    <w:rsid w:val="008374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3744D"/>
    <w:rPr>
      <w:rFonts w:ascii="Times New Roman" w:hAnsi="Times New Roman" w:cs="Times New Roman"/>
      <w:i/>
      <w:iCs/>
      <w:color w:val="2F5496" w:themeColor="accent1" w:themeShade="BF"/>
      <w:sz w:val="24"/>
      <w:szCs w:val="24"/>
    </w:rPr>
  </w:style>
  <w:style w:type="character" w:styleId="IntenseReference">
    <w:name w:val="Intense Reference"/>
    <w:basedOn w:val="DefaultParagraphFont"/>
    <w:uiPriority w:val="32"/>
    <w:qFormat/>
    <w:rsid w:val="0083744D"/>
    <w:rPr>
      <w:b/>
      <w:bCs/>
      <w:smallCaps/>
      <w:color w:val="2F5496" w:themeColor="accent1" w:themeShade="BF"/>
      <w:spacing w:val="5"/>
    </w:rPr>
  </w:style>
  <w:style w:type="character" w:styleId="Hyperlink">
    <w:name w:val="Hyperlink"/>
    <w:basedOn w:val="DefaultParagraphFont"/>
    <w:uiPriority w:val="99"/>
    <w:unhideWhenUsed/>
    <w:rsid w:val="009F0665"/>
    <w:rPr>
      <w:color w:val="0563C1" w:themeColor="hyperlink"/>
      <w:u w:val="single"/>
    </w:rPr>
  </w:style>
  <w:style w:type="character" w:customStyle="1" w:styleId="UnresolvedMention1">
    <w:name w:val="Unresolved Mention1"/>
    <w:basedOn w:val="DefaultParagraphFont"/>
    <w:uiPriority w:val="99"/>
    <w:semiHidden/>
    <w:unhideWhenUsed/>
    <w:rsid w:val="009F0665"/>
    <w:rPr>
      <w:color w:val="605E5C"/>
      <w:shd w:val="clear" w:color="auto" w:fill="E1DFDD"/>
    </w:rPr>
  </w:style>
  <w:style w:type="paragraph" w:styleId="Header">
    <w:name w:val="header"/>
    <w:basedOn w:val="Normal"/>
    <w:link w:val="HeaderChar"/>
    <w:uiPriority w:val="99"/>
    <w:unhideWhenUsed/>
    <w:rsid w:val="005E07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07B9"/>
    <w:rPr>
      <w:rFonts w:ascii="Times New Roman" w:hAnsi="Times New Roman" w:cs="Times New Roman"/>
      <w:sz w:val="24"/>
      <w:szCs w:val="24"/>
    </w:rPr>
  </w:style>
  <w:style w:type="paragraph" w:styleId="Footer">
    <w:name w:val="footer"/>
    <w:basedOn w:val="Normal"/>
    <w:link w:val="FooterChar"/>
    <w:uiPriority w:val="99"/>
    <w:unhideWhenUsed/>
    <w:rsid w:val="005E07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07B9"/>
    <w:rPr>
      <w:rFonts w:ascii="Times New Roman" w:hAnsi="Times New Roman" w:cs="Times New Roman"/>
      <w:sz w:val="24"/>
      <w:szCs w:val="24"/>
    </w:rPr>
  </w:style>
  <w:style w:type="paragraph" w:styleId="TOCHeading">
    <w:name w:val="TOC Heading"/>
    <w:basedOn w:val="Heading1"/>
    <w:next w:val="Normal"/>
    <w:uiPriority w:val="39"/>
    <w:unhideWhenUsed/>
    <w:qFormat/>
    <w:rsid w:val="005E07B9"/>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5E07B9"/>
    <w:pPr>
      <w:spacing w:after="100"/>
    </w:pPr>
  </w:style>
  <w:style w:type="paragraph" w:styleId="TOC2">
    <w:name w:val="toc 2"/>
    <w:basedOn w:val="Normal"/>
    <w:next w:val="Normal"/>
    <w:autoRedefine/>
    <w:uiPriority w:val="39"/>
    <w:unhideWhenUsed/>
    <w:rsid w:val="005E07B9"/>
    <w:pPr>
      <w:spacing w:after="100"/>
      <w:ind w:left="240"/>
    </w:pPr>
  </w:style>
  <w:style w:type="paragraph" w:styleId="TOC3">
    <w:name w:val="toc 3"/>
    <w:basedOn w:val="Normal"/>
    <w:next w:val="Normal"/>
    <w:autoRedefine/>
    <w:uiPriority w:val="39"/>
    <w:unhideWhenUsed/>
    <w:rsid w:val="005E07B9"/>
    <w:pPr>
      <w:spacing w:after="100"/>
      <w:ind w:left="480"/>
    </w:pPr>
  </w:style>
  <w:style w:type="character" w:styleId="CommentReference">
    <w:name w:val="annotation reference"/>
    <w:basedOn w:val="DefaultParagraphFont"/>
    <w:uiPriority w:val="99"/>
    <w:semiHidden/>
    <w:unhideWhenUsed/>
    <w:rsid w:val="00E85510"/>
    <w:rPr>
      <w:sz w:val="16"/>
      <w:szCs w:val="16"/>
    </w:rPr>
  </w:style>
  <w:style w:type="paragraph" w:styleId="CommentText">
    <w:name w:val="annotation text"/>
    <w:basedOn w:val="Normal"/>
    <w:link w:val="CommentTextChar"/>
    <w:uiPriority w:val="99"/>
    <w:semiHidden/>
    <w:unhideWhenUsed/>
    <w:rsid w:val="00E85510"/>
    <w:pPr>
      <w:spacing w:line="240" w:lineRule="auto"/>
    </w:pPr>
    <w:rPr>
      <w:sz w:val="20"/>
      <w:szCs w:val="20"/>
    </w:rPr>
  </w:style>
  <w:style w:type="character" w:customStyle="1" w:styleId="CommentTextChar">
    <w:name w:val="Comment Text Char"/>
    <w:basedOn w:val="DefaultParagraphFont"/>
    <w:link w:val="CommentText"/>
    <w:uiPriority w:val="99"/>
    <w:semiHidden/>
    <w:rsid w:val="00E8551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85510"/>
    <w:rPr>
      <w:b/>
      <w:bCs/>
    </w:rPr>
  </w:style>
  <w:style w:type="character" w:customStyle="1" w:styleId="CommentSubjectChar">
    <w:name w:val="Comment Subject Char"/>
    <w:basedOn w:val="CommentTextChar"/>
    <w:link w:val="CommentSubject"/>
    <w:uiPriority w:val="99"/>
    <w:semiHidden/>
    <w:rsid w:val="00E85510"/>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E855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5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poratefinanceinstitute.com/resources/accounting/days-inventory-outstanding-dio/" TargetMode="External"/><Relationship Id="rId18" Type="http://schemas.openxmlformats.org/officeDocument/2006/relationships/hyperlink" Target="https://www.researchgate.net/profile/Preeti-Aagneya-Alias-Avani-Bharadwaj/publication/392515480_Contents_A_Few_Thoughts_Feature_Articles_1_Managing_Accounts_Payable_for_Optimizing_working_Capital_2_Remote_Management_of_Equipment_in_mines_3_Customer_Servicing_for_B2B_Steel_Industry_4_HR_re-imagin/links/684670868a76251f22ec5f32/Contents-A-Few-Thoughts-Feature-Articles-1-Managing-Accounts-Payable-for-Optimizing-working-Capital-2-Remote-Management-of-Equipment-in-mines-3-Customer-Servicing-for-B2B-Steel-Industry-4-HR-re-imagin.pdf" TargetMode="External"/><Relationship Id="rId26" Type="http://schemas.openxmlformats.org/officeDocument/2006/relationships/hyperlink" Target="https://www.researchgate.net/profile/Katarina-Culkova/publication/340314127_USING_OF_OPTIMIZING_METHODS_IN_INVENTORY_MANAGEMENT_OF_THE_COMPANY/links/60c9b565a6fdcc0c5c869b2a/USING-OF-OPTIMIZING-METHODS-IN-INVENTORY-MANAGEMENT-OF-THE-COMPANY.pdf" TargetMode="External"/><Relationship Id="rId3" Type="http://schemas.openxmlformats.org/officeDocument/2006/relationships/styles" Target="styles.xml"/><Relationship Id="rId21" Type="http://schemas.openxmlformats.org/officeDocument/2006/relationships/hyperlink" Target="https://www.researchgate.net/publication/358587781_Financial_Statement_Analysis_of_General_Electric"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orporatefinanceinstitute.com/resources/accounting/cash-conversion-cycle/" TargetMode="External"/><Relationship Id="rId17" Type="http://schemas.openxmlformats.org/officeDocument/2006/relationships/hyperlink" Target="https://www.highradius.com/resources/Blog/collecting-accounts-receivable/" TargetMode="External"/><Relationship Id="rId25" Type="http://schemas.openxmlformats.org/officeDocument/2006/relationships/hyperlink" Target="http://j13.ef.uns.ac.rs/index.php/AnnalsEFSU/article/download/30/18"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nvestopedia.com/insights/rise-and-fall-ge/" TargetMode="External"/><Relationship Id="rId20" Type="http://schemas.openxmlformats.org/officeDocument/2006/relationships/hyperlink" Target="https://geplat.com/rtep/index.php/tourism/article/download/790/752" TargetMode="External"/><Relationship Id="rId29" Type="http://schemas.openxmlformats.org/officeDocument/2006/relationships/hyperlink" Target="https://doi.org/10.54155/assmjf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financeinstitute.com/resources/commercial-lending/altmans-z-score-model/" TargetMode="External"/><Relationship Id="rId24" Type="http://schemas.openxmlformats.org/officeDocument/2006/relationships/hyperlink" Target="https://fast-socialsciences.com/fss/article/download/26/13"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corporatefinanceinstitute.com/resources/financial-modeling/payback-period/" TargetMode="External"/><Relationship Id="rId23" Type="http://schemas.openxmlformats.org/officeDocument/2006/relationships/hyperlink" Target="https://www.investopedia.com/articles/investing/052216/4-benefits-holding-stocks-long-term.asp" TargetMode="External"/><Relationship Id="rId28" Type="http://schemas.openxmlformats.org/officeDocument/2006/relationships/hyperlink" Target="https://corporatefinanceinstitute.com/resources/valuation/internal-rate-return-irr/" TargetMode="External"/><Relationship Id="rId10" Type="http://schemas.openxmlformats.org/officeDocument/2006/relationships/image" Target="media/image2.png"/><Relationship Id="rId19" Type="http://schemas.openxmlformats.org/officeDocument/2006/relationships/hyperlink" Target="https://www.academia.edu/download/81063588/article_677839_cd06f5c50b09f28acf4802268302e8ba.pdf" TargetMode="External"/><Relationship Id="rId31" Type="http://schemas.openxmlformats.org/officeDocument/2006/relationships/hyperlink" Target="https://unitesi.unive.it/bitstream/20.500.14247/4284/1/872666-1280209.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ginfi.com/general-electric-growth-potential-after-restructuring-and-new-stock-market-records/" TargetMode="External"/><Relationship Id="rId22" Type="http://schemas.openxmlformats.org/officeDocument/2006/relationships/hyperlink" Target="https://dx.doi.org/10.2139/ssrn.5153254" TargetMode="External"/><Relationship Id="rId27" Type="http://schemas.openxmlformats.org/officeDocument/2006/relationships/hyperlink" Target="https://corporatefinanceinstitute.com/resources/accounting/arr-accounting-rate-of-return/" TargetMode="External"/><Relationship Id="rId30" Type="http://schemas.openxmlformats.org/officeDocument/2006/relationships/hyperlink" Target="https://www.ge.com/news/reports/ge-releases-its-4q23-results"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F7676-3D65-4283-A6FC-BCDE20065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7542</Words>
  <Characters>42991</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2025-11-24T09:47:00Z</dcterms:created>
  <dcterms:modified xsi:type="dcterms:W3CDTF">2025-11-24T09:47:00Z</dcterms:modified>
</cp:coreProperties>
</file>