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EDA70" w14:textId="77777777" w:rsidR="00170BB1" w:rsidRPr="008A6414" w:rsidRDefault="00CC17F6" w:rsidP="00CC17F6">
      <w:pPr>
        <w:spacing w:line="360" w:lineRule="auto"/>
        <w:jc w:val="center"/>
        <w:rPr>
          <w:rFonts w:ascii="Times New Roman" w:eastAsia="Times New Roman" w:hAnsi="Times New Roman" w:cs="Times New Roman"/>
          <w:b/>
          <w:sz w:val="32"/>
          <w:szCs w:val="32"/>
          <w:lang w:val="en-GB"/>
        </w:rPr>
      </w:pPr>
      <w:r>
        <w:rPr>
          <w:noProof/>
        </w:rPr>
        <w:drawing>
          <wp:inline distT="0" distB="0" distL="0" distR="0" wp14:anchorId="13F3A7A0" wp14:editId="05726617">
            <wp:extent cx="2505075" cy="1219200"/>
            <wp:effectExtent l="0" t="0" r="9525" b="0"/>
            <wp:docPr id="1427808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08147" name=""/>
                    <pic:cNvPicPr/>
                  </pic:nvPicPr>
                  <pic:blipFill>
                    <a:blip r:embed="rId8"/>
                    <a:stretch>
                      <a:fillRect/>
                    </a:stretch>
                  </pic:blipFill>
                  <pic:spPr>
                    <a:xfrm>
                      <a:off x="0" y="0"/>
                      <a:ext cx="2505075" cy="1219200"/>
                    </a:xfrm>
                    <a:prstGeom prst="rect">
                      <a:avLst/>
                    </a:prstGeom>
                  </pic:spPr>
                </pic:pic>
              </a:graphicData>
            </a:graphic>
          </wp:inline>
        </w:drawing>
      </w:r>
    </w:p>
    <w:p w14:paraId="587EA672"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0DC44041"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3CE1B31D"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39A12D89"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775CBDFA"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3BF11E86" w14:textId="77777777" w:rsidR="00A415CD" w:rsidRDefault="00A415CD" w:rsidP="00E672F9">
      <w:pPr>
        <w:spacing w:line="360" w:lineRule="auto"/>
        <w:jc w:val="center"/>
        <w:rPr>
          <w:rFonts w:ascii="Times New Roman" w:eastAsia="Times New Roman" w:hAnsi="Times New Roman" w:cs="Times New Roman"/>
          <w:b/>
          <w:sz w:val="32"/>
          <w:szCs w:val="32"/>
          <w:lang w:val="en-GB"/>
        </w:rPr>
      </w:pPr>
    </w:p>
    <w:p w14:paraId="2C2CDA84" w14:textId="77777777" w:rsidR="00E5548A" w:rsidRDefault="00297DB0" w:rsidP="00E672F9">
      <w:pPr>
        <w:spacing w:line="360" w:lineRule="auto"/>
        <w:jc w:val="center"/>
        <w:rPr>
          <w:rFonts w:ascii="Times New Roman" w:eastAsia="Times New Roman" w:hAnsi="Times New Roman" w:cs="Times New Roman"/>
          <w:b/>
          <w:sz w:val="32"/>
          <w:szCs w:val="32"/>
          <w:lang w:val="en-GB"/>
        </w:rPr>
      </w:pPr>
      <w:r w:rsidRPr="00297DB0">
        <w:rPr>
          <w:rFonts w:ascii="Times New Roman" w:eastAsia="Times New Roman" w:hAnsi="Times New Roman" w:cs="Times New Roman"/>
          <w:b/>
          <w:sz w:val="40"/>
          <w:szCs w:val="32"/>
          <w:lang w:val="en-GB"/>
        </w:rPr>
        <w:t>Financial Management</w:t>
      </w:r>
    </w:p>
    <w:p w14:paraId="4FC7B9A4" w14:textId="77777777" w:rsidR="00E5548A" w:rsidRDefault="00E5548A" w:rsidP="00E672F9">
      <w:pPr>
        <w:spacing w:line="360" w:lineRule="auto"/>
        <w:jc w:val="center"/>
        <w:rPr>
          <w:rFonts w:ascii="Times New Roman" w:eastAsia="Times New Roman" w:hAnsi="Times New Roman" w:cs="Times New Roman"/>
          <w:b/>
          <w:sz w:val="32"/>
          <w:szCs w:val="32"/>
          <w:lang w:val="en-GB"/>
        </w:rPr>
      </w:pPr>
    </w:p>
    <w:p w14:paraId="3C29B18E" w14:textId="77777777" w:rsidR="00E5548A" w:rsidRDefault="00E5548A" w:rsidP="00E672F9">
      <w:pPr>
        <w:spacing w:line="360" w:lineRule="auto"/>
        <w:jc w:val="center"/>
        <w:rPr>
          <w:rFonts w:ascii="Times New Roman" w:eastAsia="Times New Roman" w:hAnsi="Times New Roman" w:cs="Times New Roman"/>
          <w:b/>
          <w:sz w:val="32"/>
          <w:szCs w:val="32"/>
          <w:lang w:val="en-GB"/>
        </w:rPr>
      </w:pPr>
    </w:p>
    <w:p w14:paraId="268D5A6C" w14:textId="77777777" w:rsidR="00E5548A" w:rsidRPr="00F54177" w:rsidRDefault="00E5548A" w:rsidP="00E672F9">
      <w:pPr>
        <w:spacing w:line="360" w:lineRule="auto"/>
        <w:jc w:val="center"/>
        <w:rPr>
          <w:rFonts w:ascii="Times New Roman" w:eastAsia="Times New Roman" w:hAnsi="Times New Roman" w:cs="Times New Roman"/>
          <w:sz w:val="32"/>
          <w:szCs w:val="32"/>
          <w:lang w:val="en-GB"/>
        </w:rPr>
      </w:pPr>
    </w:p>
    <w:p w14:paraId="17D29FCD" w14:textId="77777777" w:rsidR="00E5548A" w:rsidRPr="00F54177" w:rsidRDefault="001524F4" w:rsidP="00E5548A">
      <w:pPr>
        <w:jc w:val="center"/>
        <w:rPr>
          <w:rFonts w:ascii="Times New Roman" w:eastAsia="Times New Roman" w:hAnsi="Times New Roman" w:cs="Times New Roman"/>
          <w:sz w:val="32"/>
          <w:szCs w:val="32"/>
          <w:lang w:val="en-GB"/>
        </w:rPr>
      </w:pPr>
      <w:r w:rsidRPr="00F54177">
        <w:rPr>
          <w:rFonts w:ascii="Times New Roman" w:eastAsia="Times New Roman" w:hAnsi="Times New Roman" w:cs="Times New Roman"/>
          <w:sz w:val="32"/>
          <w:szCs w:val="32"/>
          <w:lang w:val="en-GB"/>
        </w:rPr>
        <w:t>Student id:</w:t>
      </w:r>
      <w:r w:rsidR="00CC17F6" w:rsidRPr="00CC17F6">
        <w:rPr>
          <w:rFonts w:ascii="Times New Roman" w:eastAsia="Times New Roman" w:hAnsi="Times New Roman" w:cs="Times New Roman"/>
          <w:b/>
          <w:bCs/>
          <w:sz w:val="32"/>
          <w:szCs w:val="32"/>
          <w:lang w:val="en-GB"/>
        </w:rPr>
        <w:t>Adriana Bostina</w:t>
      </w:r>
    </w:p>
    <w:p w14:paraId="064948A7" w14:textId="77777777" w:rsidR="001524F4" w:rsidRPr="00F54177" w:rsidRDefault="001524F4" w:rsidP="00E5548A">
      <w:pPr>
        <w:jc w:val="center"/>
        <w:rPr>
          <w:rFonts w:ascii="Times New Roman" w:eastAsia="Times New Roman" w:hAnsi="Times New Roman" w:cs="Times New Roman"/>
          <w:sz w:val="32"/>
          <w:szCs w:val="32"/>
          <w:lang w:val="en-GB"/>
        </w:rPr>
      </w:pPr>
      <w:r w:rsidRPr="00F54177">
        <w:rPr>
          <w:rFonts w:ascii="Times New Roman" w:eastAsia="Times New Roman" w:hAnsi="Times New Roman" w:cs="Times New Roman"/>
          <w:sz w:val="32"/>
          <w:szCs w:val="32"/>
          <w:lang w:val="en-GB"/>
        </w:rPr>
        <w:t xml:space="preserve">Student name: </w:t>
      </w:r>
      <w:r w:rsidR="00CC17F6">
        <w:rPr>
          <w:rFonts w:ascii="Times New Roman" w:eastAsia="Times New Roman" w:hAnsi="Times New Roman" w:cs="Times New Roman"/>
          <w:sz w:val="32"/>
          <w:szCs w:val="32"/>
          <w:lang w:val="en-GB"/>
        </w:rPr>
        <w:t>1711810</w:t>
      </w:r>
    </w:p>
    <w:p w14:paraId="4474E597" w14:textId="77777777" w:rsidR="003F468C" w:rsidRDefault="001524F4" w:rsidP="00E5548A">
      <w:pPr>
        <w:jc w:val="center"/>
        <w:rPr>
          <w:rFonts w:ascii="Times New Roman" w:eastAsia="Times New Roman" w:hAnsi="Times New Roman" w:cs="Times New Roman"/>
          <w:b/>
          <w:sz w:val="32"/>
          <w:szCs w:val="32"/>
          <w:lang w:val="en-GB"/>
        </w:rPr>
      </w:pPr>
      <w:r w:rsidRPr="00F54177">
        <w:rPr>
          <w:rFonts w:ascii="Times New Roman" w:eastAsia="Times New Roman" w:hAnsi="Times New Roman" w:cs="Times New Roman"/>
          <w:sz w:val="32"/>
          <w:szCs w:val="32"/>
          <w:lang w:val="en-GB"/>
        </w:rPr>
        <w:t>Module code:</w:t>
      </w:r>
      <w:r w:rsidR="00297DB0" w:rsidRPr="00297DB0">
        <w:rPr>
          <w:rFonts w:ascii="Times New Roman" w:eastAsia="Times New Roman" w:hAnsi="Times New Roman" w:cs="Times New Roman"/>
          <w:b/>
          <w:sz w:val="32"/>
          <w:szCs w:val="32"/>
          <w:lang w:val="en-GB"/>
        </w:rPr>
        <w:t>LCMB7002</w:t>
      </w:r>
    </w:p>
    <w:p w14:paraId="23D173E6" w14:textId="75629FE1" w:rsidR="009D28DC" w:rsidRPr="00BA4EE7" w:rsidRDefault="00BA4EE7" w:rsidP="00BA4EE7">
      <w:pPr>
        <w:jc w:val="center"/>
        <w:rPr>
          <w:rFonts w:ascii="Times New Roman" w:eastAsia="Times New Roman" w:hAnsi="Times New Roman" w:cs="Times New Roman"/>
          <w:sz w:val="32"/>
          <w:szCs w:val="32"/>
          <w:lang w:val="en-GB"/>
        </w:rPr>
      </w:pPr>
      <w:r>
        <w:rPr>
          <w:rFonts w:ascii="Times New Roman" w:eastAsia="Times New Roman" w:hAnsi="Times New Roman" w:cs="Times New Roman"/>
          <w:sz w:val="32"/>
          <w:szCs w:val="32"/>
          <w:lang w:val="en-GB"/>
        </w:rPr>
        <w:t>Lecturer name: David Coker</w:t>
      </w:r>
      <w:r w:rsidR="008D5B62">
        <w:rPr>
          <w:rFonts w:ascii="Times New Roman" w:eastAsia="Times New Roman" w:hAnsi="Times New Roman" w:cs="Times New Roman"/>
          <w:b/>
          <w:sz w:val="32"/>
          <w:szCs w:val="32"/>
          <w:lang w:val="en-GB"/>
        </w:rPr>
        <w:br w:type="page"/>
      </w:r>
    </w:p>
    <w:sdt>
      <w:sdtPr>
        <w:rPr>
          <w:rFonts w:ascii="Arial" w:eastAsia="Arial" w:hAnsi="Arial" w:cs="Arial"/>
          <w:b w:val="0"/>
          <w:bCs w:val="0"/>
          <w:color w:val="000000" w:themeColor="text1"/>
          <w:sz w:val="22"/>
          <w:szCs w:val="22"/>
        </w:rPr>
        <w:id w:val="545537813"/>
        <w:docPartObj>
          <w:docPartGallery w:val="Table of Contents"/>
          <w:docPartUnique/>
        </w:docPartObj>
      </w:sdtPr>
      <w:sdtEndPr>
        <w:rPr>
          <w:color w:val="auto"/>
        </w:rPr>
      </w:sdtEndPr>
      <w:sdtContent>
        <w:p w14:paraId="3557F7A7" w14:textId="77777777" w:rsidR="00157C0E" w:rsidRPr="00476307" w:rsidRDefault="00157C0E" w:rsidP="00157C0E">
          <w:pPr>
            <w:pStyle w:val="TOCHeading"/>
            <w:spacing w:line="360" w:lineRule="auto"/>
            <w:jc w:val="center"/>
            <w:rPr>
              <w:rFonts w:ascii="Times New Roman" w:hAnsi="Times New Roman" w:cs="Times New Roman"/>
              <w:color w:val="000000" w:themeColor="text1"/>
            </w:rPr>
          </w:pPr>
          <w:r w:rsidRPr="00476307">
            <w:rPr>
              <w:rFonts w:ascii="Times New Roman" w:hAnsi="Times New Roman" w:cs="Times New Roman"/>
              <w:color w:val="000000" w:themeColor="text1"/>
            </w:rPr>
            <w:t>Table of Contents</w:t>
          </w:r>
        </w:p>
        <w:p w14:paraId="0AC484E2" w14:textId="77777777" w:rsidR="00EB79DE" w:rsidRDefault="001E506A">
          <w:pPr>
            <w:pStyle w:val="TOC1"/>
            <w:tabs>
              <w:tab w:val="right" w:leader="dot" w:pos="9350"/>
            </w:tabs>
            <w:rPr>
              <w:rFonts w:asciiTheme="minorHAnsi" w:eastAsiaTheme="minorEastAsia" w:hAnsiTheme="minorHAnsi" w:cstheme="minorBidi"/>
              <w:noProof/>
              <w:kern w:val="2"/>
              <w:lang w:val="en-IN" w:eastAsia="en-IN"/>
            </w:rPr>
          </w:pPr>
          <w:r w:rsidRPr="00C63012">
            <w:rPr>
              <w:rFonts w:ascii="Times New Roman" w:hAnsi="Times New Roman" w:cs="Times New Roman"/>
              <w:sz w:val="24"/>
              <w:szCs w:val="24"/>
            </w:rPr>
            <w:fldChar w:fldCharType="begin"/>
          </w:r>
          <w:r w:rsidR="00157C0E" w:rsidRPr="00C63012">
            <w:rPr>
              <w:rFonts w:ascii="Times New Roman" w:hAnsi="Times New Roman" w:cs="Times New Roman"/>
              <w:sz w:val="24"/>
              <w:szCs w:val="24"/>
            </w:rPr>
            <w:instrText xml:space="preserve"> TOC \o "1-3" \h \z \u </w:instrText>
          </w:r>
          <w:r w:rsidRPr="00C63012">
            <w:rPr>
              <w:rFonts w:ascii="Times New Roman" w:hAnsi="Times New Roman" w:cs="Times New Roman"/>
              <w:sz w:val="24"/>
              <w:szCs w:val="24"/>
            </w:rPr>
            <w:fldChar w:fldCharType="separate"/>
          </w:r>
          <w:hyperlink w:anchor="_Toc162905745" w:history="1">
            <w:r w:rsidR="00EB79DE" w:rsidRPr="00716B9F">
              <w:rPr>
                <w:rStyle w:val="Hyperlink"/>
                <w:noProof/>
                <w:lang w:val="en-IN" w:eastAsia="en-IN"/>
              </w:rPr>
              <w:t>Part a) History and overview of Apple Inc. (AAPL)</w:t>
            </w:r>
            <w:r w:rsidR="00EB79DE">
              <w:rPr>
                <w:noProof/>
                <w:webHidden/>
              </w:rPr>
              <w:tab/>
            </w:r>
            <w:r>
              <w:rPr>
                <w:noProof/>
                <w:webHidden/>
              </w:rPr>
              <w:fldChar w:fldCharType="begin"/>
            </w:r>
            <w:r w:rsidR="00EB79DE">
              <w:rPr>
                <w:noProof/>
                <w:webHidden/>
              </w:rPr>
              <w:instrText xml:space="preserve"> PAGEREF _Toc162905745 \h </w:instrText>
            </w:r>
            <w:r>
              <w:rPr>
                <w:noProof/>
                <w:webHidden/>
              </w:rPr>
            </w:r>
            <w:r>
              <w:rPr>
                <w:noProof/>
                <w:webHidden/>
              </w:rPr>
              <w:fldChar w:fldCharType="separate"/>
            </w:r>
            <w:r w:rsidR="00EB79DE">
              <w:rPr>
                <w:noProof/>
                <w:webHidden/>
              </w:rPr>
              <w:t>3</w:t>
            </w:r>
            <w:r>
              <w:rPr>
                <w:noProof/>
                <w:webHidden/>
              </w:rPr>
              <w:fldChar w:fldCharType="end"/>
            </w:r>
          </w:hyperlink>
        </w:p>
        <w:p w14:paraId="302A82F5"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46" w:history="1">
            <w:r w:rsidR="00EB79DE" w:rsidRPr="00716B9F">
              <w:rPr>
                <w:rStyle w:val="Hyperlink"/>
                <w:noProof/>
              </w:rPr>
              <w:t>A.1 Industry Overview</w:t>
            </w:r>
            <w:r w:rsidR="00EB79DE">
              <w:rPr>
                <w:noProof/>
                <w:webHidden/>
              </w:rPr>
              <w:tab/>
            </w:r>
            <w:r w:rsidR="001E506A">
              <w:rPr>
                <w:noProof/>
                <w:webHidden/>
              </w:rPr>
              <w:fldChar w:fldCharType="begin"/>
            </w:r>
            <w:r w:rsidR="00EB79DE">
              <w:rPr>
                <w:noProof/>
                <w:webHidden/>
              </w:rPr>
              <w:instrText xml:space="preserve"> PAGEREF _Toc162905746 \h </w:instrText>
            </w:r>
            <w:r w:rsidR="001E506A">
              <w:rPr>
                <w:noProof/>
                <w:webHidden/>
              </w:rPr>
            </w:r>
            <w:r w:rsidR="001E506A">
              <w:rPr>
                <w:noProof/>
                <w:webHidden/>
              </w:rPr>
              <w:fldChar w:fldCharType="separate"/>
            </w:r>
            <w:r w:rsidR="00EB79DE">
              <w:rPr>
                <w:noProof/>
                <w:webHidden/>
              </w:rPr>
              <w:t>3</w:t>
            </w:r>
            <w:r w:rsidR="001E506A">
              <w:rPr>
                <w:noProof/>
                <w:webHidden/>
              </w:rPr>
              <w:fldChar w:fldCharType="end"/>
            </w:r>
          </w:hyperlink>
        </w:p>
        <w:p w14:paraId="69EEB4F6"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47" w:history="1">
            <w:r w:rsidR="00EB79DE" w:rsidRPr="00716B9F">
              <w:rPr>
                <w:rStyle w:val="Hyperlink"/>
                <w:noProof/>
              </w:rPr>
              <w:t>A.2 Business Model analysis</w:t>
            </w:r>
            <w:r w:rsidR="00EB79DE">
              <w:rPr>
                <w:noProof/>
                <w:webHidden/>
              </w:rPr>
              <w:tab/>
            </w:r>
            <w:r w:rsidR="001E506A">
              <w:rPr>
                <w:noProof/>
                <w:webHidden/>
              </w:rPr>
              <w:fldChar w:fldCharType="begin"/>
            </w:r>
            <w:r w:rsidR="00EB79DE">
              <w:rPr>
                <w:noProof/>
                <w:webHidden/>
              </w:rPr>
              <w:instrText xml:space="preserve"> PAGEREF _Toc162905747 \h </w:instrText>
            </w:r>
            <w:r w:rsidR="001E506A">
              <w:rPr>
                <w:noProof/>
                <w:webHidden/>
              </w:rPr>
            </w:r>
            <w:r w:rsidR="001E506A">
              <w:rPr>
                <w:noProof/>
                <w:webHidden/>
              </w:rPr>
              <w:fldChar w:fldCharType="separate"/>
            </w:r>
            <w:r w:rsidR="00EB79DE">
              <w:rPr>
                <w:noProof/>
                <w:webHidden/>
              </w:rPr>
              <w:t>4</w:t>
            </w:r>
            <w:r w:rsidR="001E506A">
              <w:rPr>
                <w:noProof/>
                <w:webHidden/>
              </w:rPr>
              <w:fldChar w:fldCharType="end"/>
            </w:r>
          </w:hyperlink>
        </w:p>
        <w:p w14:paraId="05A137E8"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48" w:history="1">
            <w:r w:rsidR="00EB79DE" w:rsidRPr="00716B9F">
              <w:rPr>
                <w:rStyle w:val="Hyperlink"/>
                <w:noProof/>
              </w:rPr>
              <w:t>A.3 Marketplace and Major Competitors</w:t>
            </w:r>
            <w:r w:rsidR="00EB79DE">
              <w:rPr>
                <w:noProof/>
                <w:webHidden/>
              </w:rPr>
              <w:tab/>
            </w:r>
            <w:r w:rsidR="001E506A">
              <w:rPr>
                <w:noProof/>
                <w:webHidden/>
              </w:rPr>
              <w:fldChar w:fldCharType="begin"/>
            </w:r>
            <w:r w:rsidR="00EB79DE">
              <w:rPr>
                <w:noProof/>
                <w:webHidden/>
              </w:rPr>
              <w:instrText xml:space="preserve"> PAGEREF _Toc162905748 \h </w:instrText>
            </w:r>
            <w:r w:rsidR="001E506A">
              <w:rPr>
                <w:noProof/>
                <w:webHidden/>
              </w:rPr>
            </w:r>
            <w:r w:rsidR="001E506A">
              <w:rPr>
                <w:noProof/>
                <w:webHidden/>
              </w:rPr>
              <w:fldChar w:fldCharType="separate"/>
            </w:r>
            <w:r w:rsidR="00EB79DE">
              <w:rPr>
                <w:noProof/>
                <w:webHidden/>
              </w:rPr>
              <w:t>5</w:t>
            </w:r>
            <w:r w:rsidR="001E506A">
              <w:rPr>
                <w:noProof/>
                <w:webHidden/>
              </w:rPr>
              <w:fldChar w:fldCharType="end"/>
            </w:r>
          </w:hyperlink>
        </w:p>
        <w:p w14:paraId="14EA8066"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49" w:history="1">
            <w:r w:rsidR="00EB79DE" w:rsidRPr="00716B9F">
              <w:rPr>
                <w:rStyle w:val="Hyperlink"/>
                <w:noProof/>
              </w:rPr>
              <w:t>A.4 Major Events Over the Past Five Years</w:t>
            </w:r>
            <w:r w:rsidR="00EB79DE">
              <w:rPr>
                <w:noProof/>
                <w:webHidden/>
              </w:rPr>
              <w:tab/>
            </w:r>
            <w:r w:rsidR="001E506A">
              <w:rPr>
                <w:noProof/>
                <w:webHidden/>
              </w:rPr>
              <w:fldChar w:fldCharType="begin"/>
            </w:r>
            <w:r w:rsidR="00EB79DE">
              <w:rPr>
                <w:noProof/>
                <w:webHidden/>
              </w:rPr>
              <w:instrText xml:space="preserve"> PAGEREF _Toc162905749 \h </w:instrText>
            </w:r>
            <w:r w:rsidR="001E506A">
              <w:rPr>
                <w:noProof/>
                <w:webHidden/>
              </w:rPr>
            </w:r>
            <w:r w:rsidR="001E506A">
              <w:rPr>
                <w:noProof/>
                <w:webHidden/>
              </w:rPr>
              <w:fldChar w:fldCharType="separate"/>
            </w:r>
            <w:r w:rsidR="00EB79DE">
              <w:rPr>
                <w:noProof/>
                <w:webHidden/>
              </w:rPr>
              <w:t>5</w:t>
            </w:r>
            <w:r w:rsidR="001E506A">
              <w:rPr>
                <w:noProof/>
                <w:webHidden/>
              </w:rPr>
              <w:fldChar w:fldCharType="end"/>
            </w:r>
          </w:hyperlink>
        </w:p>
        <w:p w14:paraId="034C769D" w14:textId="77777777" w:rsidR="00EB79DE" w:rsidRDefault="00BA4EE7">
          <w:pPr>
            <w:pStyle w:val="TOC1"/>
            <w:tabs>
              <w:tab w:val="right" w:leader="dot" w:pos="9350"/>
            </w:tabs>
            <w:rPr>
              <w:rFonts w:asciiTheme="minorHAnsi" w:eastAsiaTheme="minorEastAsia" w:hAnsiTheme="minorHAnsi" w:cstheme="minorBidi"/>
              <w:noProof/>
              <w:kern w:val="2"/>
              <w:lang w:val="en-IN" w:eastAsia="en-IN"/>
            </w:rPr>
          </w:pPr>
          <w:hyperlink w:anchor="_Toc162905750" w:history="1">
            <w:r w:rsidR="00EB79DE" w:rsidRPr="00716B9F">
              <w:rPr>
                <w:rStyle w:val="Hyperlink"/>
                <w:noProof/>
                <w:lang w:val="en-IN" w:eastAsia="en-IN"/>
              </w:rPr>
              <w:t>Part b) A critical review of the financial performances: Apple vs. Microsoft</w:t>
            </w:r>
            <w:r w:rsidR="00EB79DE">
              <w:rPr>
                <w:noProof/>
                <w:webHidden/>
              </w:rPr>
              <w:tab/>
            </w:r>
            <w:r w:rsidR="001E506A">
              <w:rPr>
                <w:noProof/>
                <w:webHidden/>
              </w:rPr>
              <w:fldChar w:fldCharType="begin"/>
            </w:r>
            <w:r w:rsidR="00EB79DE">
              <w:rPr>
                <w:noProof/>
                <w:webHidden/>
              </w:rPr>
              <w:instrText xml:space="preserve"> PAGEREF _Toc162905750 \h </w:instrText>
            </w:r>
            <w:r w:rsidR="001E506A">
              <w:rPr>
                <w:noProof/>
                <w:webHidden/>
              </w:rPr>
            </w:r>
            <w:r w:rsidR="001E506A">
              <w:rPr>
                <w:noProof/>
                <w:webHidden/>
              </w:rPr>
              <w:fldChar w:fldCharType="separate"/>
            </w:r>
            <w:r w:rsidR="00EB79DE">
              <w:rPr>
                <w:noProof/>
                <w:webHidden/>
              </w:rPr>
              <w:t>6</w:t>
            </w:r>
            <w:r w:rsidR="001E506A">
              <w:rPr>
                <w:noProof/>
                <w:webHidden/>
              </w:rPr>
              <w:fldChar w:fldCharType="end"/>
            </w:r>
          </w:hyperlink>
        </w:p>
        <w:p w14:paraId="276F294C"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51" w:history="1">
            <w:r w:rsidR="00EB79DE" w:rsidRPr="00716B9F">
              <w:rPr>
                <w:rStyle w:val="Hyperlink"/>
                <w:noProof/>
              </w:rPr>
              <w:t>B.1 Calculation of financial ratios for Apple INC.</w:t>
            </w:r>
            <w:r w:rsidR="00EB79DE">
              <w:rPr>
                <w:noProof/>
                <w:webHidden/>
              </w:rPr>
              <w:tab/>
            </w:r>
            <w:r w:rsidR="001E506A">
              <w:rPr>
                <w:noProof/>
                <w:webHidden/>
              </w:rPr>
              <w:fldChar w:fldCharType="begin"/>
            </w:r>
            <w:r w:rsidR="00EB79DE">
              <w:rPr>
                <w:noProof/>
                <w:webHidden/>
              </w:rPr>
              <w:instrText xml:space="preserve"> PAGEREF _Toc162905751 \h </w:instrText>
            </w:r>
            <w:r w:rsidR="001E506A">
              <w:rPr>
                <w:noProof/>
                <w:webHidden/>
              </w:rPr>
            </w:r>
            <w:r w:rsidR="001E506A">
              <w:rPr>
                <w:noProof/>
                <w:webHidden/>
              </w:rPr>
              <w:fldChar w:fldCharType="separate"/>
            </w:r>
            <w:r w:rsidR="00EB79DE">
              <w:rPr>
                <w:noProof/>
                <w:webHidden/>
              </w:rPr>
              <w:t>6</w:t>
            </w:r>
            <w:r w:rsidR="001E506A">
              <w:rPr>
                <w:noProof/>
                <w:webHidden/>
              </w:rPr>
              <w:fldChar w:fldCharType="end"/>
            </w:r>
          </w:hyperlink>
        </w:p>
        <w:p w14:paraId="6E900E4B"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52" w:history="1">
            <w:r w:rsidR="00EB79DE" w:rsidRPr="00716B9F">
              <w:rPr>
                <w:rStyle w:val="Hyperlink"/>
                <w:noProof/>
              </w:rPr>
              <w:t>B.1.1 Profitability Ratio Calculation</w:t>
            </w:r>
            <w:r w:rsidR="00EB79DE">
              <w:rPr>
                <w:noProof/>
                <w:webHidden/>
              </w:rPr>
              <w:tab/>
            </w:r>
            <w:r w:rsidR="001E506A">
              <w:rPr>
                <w:noProof/>
                <w:webHidden/>
              </w:rPr>
              <w:fldChar w:fldCharType="begin"/>
            </w:r>
            <w:r w:rsidR="00EB79DE">
              <w:rPr>
                <w:noProof/>
                <w:webHidden/>
              </w:rPr>
              <w:instrText xml:space="preserve"> PAGEREF _Toc162905752 \h </w:instrText>
            </w:r>
            <w:r w:rsidR="001E506A">
              <w:rPr>
                <w:noProof/>
                <w:webHidden/>
              </w:rPr>
            </w:r>
            <w:r w:rsidR="001E506A">
              <w:rPr>
                <w:noProof/>
                <w:webHidden/>
              </w:rPr>
              <w:fldChar w:fldCharType="separate"/>
            </w:r>
            <w:r w:rsidR="00EB79DE">
              <w:rPr>
                <w:noProof/>
                <w:webHidden/>
              </w:rPr>
              <w:t>6</w:t>
            </w:r>
            <w:r w:rsidR="001E506A">
              <w:rPr>
                <w:noProof/>
                <w:webHidden/>
              </w:rPr>
              <w:fldChar w:fldCharType="end"/>
            </w:r>
          </w:hyperlink>
        </w:p>
        <w:p w14:paraId="2781413E"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53" w:history="1">
            <w:r w:rsidR="00EB79DE" w:rsidRPr="00716B9F">
              <w:rPr>
                <w:rStyle w:val="Hyperlink"/>
                <w:noProof/>
              </w:rPr>
              <w:t>B.1.2 Liquidity Ratio Calculation</w:t>
            </w:r>
            <w:r w:rsidR="00EB79DE">
              <w:rPr>
                <w:noProof/>
                <w:webHidden/>
              </w:rPr>
              <w:tab/>
            </w:r>
            <w:r w:rsidR="001E506A">
              <w:rPr>
                <w:noProof/>
                <w:webHidden/>
              </w:rPr>
              <w:fldChar w:fldCharType="begin"/>
            </w:r>
            <w:r w:rsidR="00EB79DE">
              <w:rPr>
                <w:noProof/>
                <w:webHidden/>
              </w:rPr>
              <w:instrText xml:space="preserve"> PAGEREF _Toc162905753 \h </w:instrText>
            </w:r>
            <w:r w:rsidR="001E506A">
              <w:rPr>
                <w:noProof/>
                <w:webHidden/>
              </w:rPr>
            </w:r>
            <w:r w:rsidR="001E506A">
              <w:rPr>
                <w:noProof/>
                <w:webHidden/>
              </w:rPr>
              <w:fldChar w:fldCharType="separate"/>
            </w:r>
            <w:r w:rsidR="00EB79DE">
              <w:rPr>
                <w:noProof/>
                <w:webHidden/>
              </w:rPr>
              <w:t>7</w:t>
            </w:r>
            <w:r w:rsidR="001E506A">
              <w:rPr>
                <w:noProof/>
                <w:webHidden/>
              </w:rPr>
              <w:fldChar w:fldCharType="end"/>
            </w:r>
          </w:hyperlink>
        </w:p>
        <w:p w14:paraId="24B0B3E1"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54" w:history="1">
            <w:r w:rsidR="00EB79DE" w:rsidRPr="00716B9F">
              <w:rPr>
                <w:rStyle w:val="Hyperlink"/>
                <w:noProof/>
              </w:rPr>
              <w:t>B.1.3 Gearing/Leverage Ratio Calculation</w:t>
            </w:r>
            <w:r w:rsidR="00EB79DE">
              <w:rPr>
                <w:noProof/>
                <w:webHidden/>
              </w:rPr>
              <w:tab/>
            </w:r>
            <w:r w:rsidR="001E506A">
              <w:rPr>
                <w:noProof/>
                <w:webHidden/>
              </w:rPr>
              <w:fldChar w:fldCharType="begin"/>
            </w:r>
            <w:r w:rsidR="00EB79DE">
              <w:rPr>
                <w:noProof/>
                <w:webHidden/>
              </w:rPr>
              <w:instrText xml:space="preserve"> PAGEREF _Toc162905754 \h </w:instrText>
            </w:r>
            <w:r w:rsidR="001E506A">
              <w:rPr>
                <w:noProof/>
                <w:webHidden/>
              </w:rPr>
            </w:r>
            <w:r w:rsidR="001E506A">
              <w:rPr>
                <w:noProof/>
                <w:webHidden/>
              </w:rPr>
              <w:fldChar w:fldCharType="separate"/>
            </w:r>
            <w:r w:rsidR="00EB79DE">
              <w:rPr>
                <w:noProof/>
                <w:webHidden/>
              </w:rPr>
              <w:t>8</w:t>
            </w:r>
            <w:r w:rsidR="001E506A">
              <w:rPr>
                <w:noProof/>
                <w:webHidden/>
              </w:rPr>
              <w:fldChar w:fldCharType="end"/>
            </w:r>
          </w:hyperlink>
        </w:p>
        <w:p w14:paraId="29F175BD"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55" w:history="1">
            <w:r w:rsidR="00EB79DE" w:rsidRPr="00716B9F">
              <w:rPr>
                <w:rStyle w:val="Hyperlink"/>
                <w:noProof/>
              </w:rPr>
              <w:t>B.1.4 Efficiency Ratio Calculation</w:t>
            </w:r>
            <w:r w:rsidR="00EB79DE">
              <w:rPr>
                <w:noProof/>
                <w:webHidden/>
              </w:rPr>
              <w:tab/>
            </w:r>
            <w:r w:rsidR="001E506A">
              <w:rPr>
                <w:noProof/>
                <w:webHidden/>
              </w:rPr>
              <w:fldChar w:fldCharType="begin"/>
            </w:r>
            <w:r w:rsidR="00EB79DE">
              <w:rPr>
                <w:noProof/>
                <w:webHidden/>
              </w:rPr>
              <w:instrText xml:space="preserve"> PAGEREF _Toc162905755 \h </w:instrText>
            </w:r>
            <w:r w:rsidR="001E506A">
              <w:rPr>
                <w:noProof/>
                <w:webHidden/>
              </w:rPr>
            </w:r>
            <w:r w:rsidR="001E506A">
              <w:rPr>
                <w:noProof/>
                <w:webHidden/>
              </w:rPr>
              <w:fldChar w:fldCharType="separate"/>
            </w:r>
            <w:r w:rsidR="00EB79DE">
              <w:rPr>
                <w:noProof/>
                <w:webHidden/>
              </w:rPr>
              <w:t>8</w:t>
            </w:r>
            <w:r w:rsidR="001E506A">
              <w:rPr>
                <w:noProof/>
                <w:webHidden/>
              </w:rPr>
              <w:fldChar w:fldCharType="end"/>
            </w:r>
          </w:hyperlink>
        </w:p>
        <w:p w14:paraId="2F3E9393"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56" w:history="1">
            <w:r w:rsidR="00EB79DE" w:rsidRPr="00716B9F">
              <w:rPr>
                <w:rStyle w:val="Hyperlink"/>
                <w:noProof/>
              </w:rPr>
              <w:t>B.2 Critical evaluation for the calculated ratios</w:t>
            </w:r>
            <w:r w:rsidR="00EB79DE">
              <w:rPr>
                <w:noProof/>
                <w:webHidden/>
              </w:rPr>
              <w:tab/>
            </w:r>
            <w:r w:rsidR="001E506A">
              <w:rPr>
                <w:noProof/>
                <w:webHidden/>
              </w:rPr>
              <w:fldChar w:fldCharType="begin"/>
            </w:r>
            <w:r w:rsidR="00EB79DE">
              <w:rPr>
                <w:noProof/>
                <w:webHidden/>
              </w:rPr>
              <w:instrText xml:space="preserve"> PAGEREF _Toc162905756 \h </w:instrText>
            </w:r>
            <w:r w:rsidR="001E506A">
              <w:rPr>
                <w:noProof/>
                <w:webHidden/>
              </w:rPr>
            </w:r>
            <w:r w:rsidR="001E506A">
              <w:rPr>
                <w:noProof/>
                <w:webHidden/>
              </w:rPr>
              <w:fldChar w:fldCharType="separate"/>
            </w:r>
            <w:r w:rsidR="00EB79DE">
              <w:rPr>
                <w:noProof/>
                <w:webHidden/>
              </w:rPr>
              <w:t>9</w:t>
            </w:r>
            <w:r w:rsidR="001E506A">
              <w:rPr>
                <w:noProof/>
                <w:webHidden/>
              </w:rPr>
              <w:fldChar w:fldCharType="end"/>
            </w:r>
          </w:hyperlink>
        </w:p>
        <w:p w14:paraId="0EB045EC"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57" w:history="1">
            <w:r w:rsidR="00EB79DE" w:rsidRPr="00716B9F">
              <w:rPr>
                <w:rStyle w:val="Hyperlink"/>
                <w:noProof/>
              </w:rPr>
              <w:t>B.3 Comparison of financial ratios: Apple Inc. vs. Microsoft</w:t>
            </w:r>
            <w:r w:rsidR="00EB79DE">
              <w:rPr>
                <w:noProof/>
                <w:webHidden/>
              </w:rPr>
              <w:tab/>
            </w:r>
            <w:r w:rsidR="001E506A">
              <w:rPr>
                <w:noProof/>
                <w:webHidden/>
              </w:rPr>
              <w:fldChar w:fldCharType="begin"/>
            </w:r>
            <w:r w:rsidR="00EB79DE">
              <w:rPr>
                <w:noProof/>
                <w:webHidden/>
              </w:rPr>
              <w:instrText xml:space="preserve"> PAGEREF _Toc162905757 \h </w:instrText>
            </w:r>
            <w:r w:rsidR="001E506A">
              <w:rPr>
                <w:noProof/>
                <w:webHidden/>
              </w:rPr>
            </w:r>
            <w:r w:rsidR="001E506A">
              <w:rPr>
                <w:noProof/>
                <w:webHidden/>
              </w:rPr>
              <w:fldChar w:fldCharType="separate"/>
            </w:r>
            <w:r w:rsidR="00EB79DE">
              <w:rPr>
                <w:noProof/>
                <w:webHidden/>
              </w:rPr>
              <w:t>11</w:t>
            </w:r>
            <w:r w:rsidR="001E506A">
              <w:rPr>
                <w:noProof/>
                <w:webHidden/>
              </w:rPr>
              <w:fldChar w:fldCharType="end"/>
            </w:r>
          </w:hyperlink>
        </w:p>
        <w:p w14:paraId="1B772835"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58" w:history="1">
            <w:r w:rsidR="00EB79DE" w:rsidRPr="00716B9F">
              <w:rPr>
                <w:rStyle w:val="Hyperlink"/>
                <w:noProof/>
              </w:rPr>
              <w:t>B.3.1 Comparison of Profitability Ratio</w:t>
            </w:r>
            <w:r w:rsidR="00EB79DE">
              <w:rPr>
                <w:noProof/>
                <w:webHidden/>
              </w:rPr>
              <w:tab/>
            </w:r>
            <w:r w:rsidR="001E506A">
              <w:rPr>
                <w:noProof/>
                <w:webHidden/>
              </w:rPr>
              <w:fldChar w:fldCharType="begin"/>
            </w:r>
            <w:r w:rsidR="00EB79DE">
              <w:rPr>
                <w:noProof/>
                <w:webHidden/>
              </w:rPr>
              <w:instrText xml:space="preserve"> PAGEREF _Toc162905758 \h </w:instrText>
            </w:r>
            <w:r w:rsidR="001E506A">
              <w:rPr>
                <w:noProof/>
                <w:webHidden/>
              </w:rPr>
            </w:r>
            <w:r w:rsidR="001E506A">
              <w:rPr>
                <w:noProof/>
                <w:webHidden/>
              </w:rPr>
              <w:fldChar w:fldCharType="separate"/>
            </w:r>
            <w:r w:rsidR="00EB79DE">
              <w:rPr>
                <w:noProof/>
                <w:webHidden/>
              </w:rPr>
              <w:t>11</w:t>
            </w:r>
            <w:r w:rsidR="001E506A">
              <w:rPr>
                <w:noProof/>
                <w:webHidden/>
              </w:rPr>
              <w:fldChar w:fldCharType="end"/>
            </w:r>
          </w:hyperlink>
        </w:p>
        <w:p w14:paraId="454E38F1"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59" w:history="1">
            <w:r w:rsidR="00EB79DE" w:rsidRPr="00716B9F">
              <w:rPr>
                <w:rStyle w:val="Hyperlink"/>
                <w:noProof/>
              </w:rPr>
              <w:t>B.3.2 Comparison of Liquidity Ratio</w:t>
            </w:r>
            <w:r w:rsidR="00EB79DE">
              <w:rPr>
                <w:noProof/>
                <w:webHidden/>
              </w:rPr>
              <w:tab/>
            </w:r>
            <w:r w:rsidR="001E506A">
              <w:rPr>
                <w:noProof/>
                <w:webHidden/>
              </w:rPr>
              <w:fldChar w:fldCharType="begin"/>
            </w:r>
            <w:r w:rsidR="00EB79DE">
              <w:rPr>
                <w:noProof/>
                <w:webHidden/>
              </w:rPr>
              <w:instrText xml:space="preserve"> PAGEREF _Toc162905759 \h </w:instrText>
            </w:r>
            <w:r w:rsidR="001E506A">
              <w:rPr>
                <w:noProof/>
                <w:webHidden/>
              </w:rPr>
            </w:r>
            <w:r w:rsidR="001E506A">
              <w:rPr>
                <w:noProof/>
                <w:webHidden/>
              </w:rPr>
              <w:fldChar w:fldCharType="separate"/>
            </w:r>
            <w:r w:rsidR="00EB79DE">
              <w:rPr>
                <w:noProof/>
                <w:webHidden/>
              </w:rPr>
              <w:t>12</w:t>
            </w:r>
            <w:r w:rsidR="001E506A">
              <w:rPr>
                <w:noProof/>
                <w:webHidden/>
              </w:rPr>
              <w:fldChar w:fldCharType="end"/>
            </w:r>
          </w:hyperlink>
        </w:p>
        <w:p w14:paraId="64EB5E86"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60" w:history="1">
            <w:r w:rsidR="00EB79DE" w:rsidRPr="00716B9F">
              <w:rPr>
                <w:rStyle w:val="Hyperlink"/>
                <w:noProof/>
              </w:rPr>
              <w:t>B.3.3 Comparison of Gearing/Leverage Ratio</w:t>
            </w:r>
            <w:r w:rsidR="00EB79DE">
              <w:rPr>
                <w:noProof/>
                <w:webHidden/>
              </w:rPr>
              <w:tab/>
            </w:r>
            <w:r w:rsidR="001E506A">
              <w:rPr>
                <w:noProof/>
                <w:webHidden/>
              </w:rPr>
              <w:fldChar w:fldCharType="begin"/>
            </w:r>
            <w:r w:rsidR="00EB79DE">
              <w:rPr>
                <w:noProof/>
                <w:webHidden/>
              </w:rPr>
              <w:instrText xml:space="preserve"> PAGEREF _Toc162905760 \h </w:instrText>
            </w:r>
            <w:r w:rsidR="001E506A">
              <w:rPr>
                <w:noProof/>
                <w:webHidden/>
              </w:rPr>
            </w:r>
            <w:r w:rsidR="001E506A">
              <w:rPr>
                <w:noProof/>
                <w:webHidden/>
              </w:rPr>
              <w:fldChar w:fldCharType="separate"/>
            </w:r>
            <w:r w:rsidR="00EB79DE">
              <w:rPr>
                <w:noProof/>
                <w:webHidden/>
              </w:rPr>
              <w:t>13</w:t>
            </w:r>
            <w:r w:rsidR="001E506A">
              <w:rPr>
                <w:noProof/>
                <w:webHidden/>
              </w:rPr>
              <w:fldChar w:fldCharType="end"/>
            </w:r>
          </w:hyperlink>
        </w:p>
        <w:p w14:paraId="349626E1" w14:textId="77777777" w:rsidR="00EB79DE" w:rsidRDefault="00BA4EE7">
          <w:pPr>
            <w:pStyle w:val="TOC3"/>
            <w:tabs>
              <w:tab w:val="right" w:leader="dot" w:pos="9350"/>
            </w:tabs>
            <w:rPr>
              <w:rFonts w:asciiTheme="minorHAnsi" w:eastAsiaTheme="minorEastAsia" w:hAnsiTheme="minorHAnsi" w:cstheme="minorBidi"/>
              <w:noProof/>
              <w:kern w:val="2"/>
              <w:lang w:val="en-IN" w:eastAsia="en-IN"/>
            </w:rPr>
          </w:pPr>
          <w:hyperlink w:anchor="_Toc162905761" w:history="1">
            <w:r w:rsidR="00EB79DE" w:rsidRPr="00716B9F">
              <w:rPr>
                <w:rStyle w:val="Hyperlink"/>
                <w:noProof/>
              </w:rPr>
              <w:t>B.3.4 Comparison of Efficiency Ratio</w:t>
            </w:r>
            <w:r w:rsidR="00EB79DE">
              <w:rPr>
                <w:noProof/>
                <w:webHidden/>
              </w:rPr>
              <w:tab/>
            </w:r>
            <w:r w:rsidR="001E506A">
              <w:rPr>
                <w:noProof/>
                <w:webHidden/>
              </w:rPr>
              <w:fldChar w:fldCharType="begin"/>
            </w:r>
            <w:r w:rsidR="00EB79DE">
              <w:rPr>
                <w:noProof/>
                <w:webHidden/>
              </w:rPr>
              <w:instrText xml:space="preserve"> PAGEREF _Toc162905761 \h </w:instrText>
            </w:r>
            <w:r w:rsidR="001E506A">
              <w:rPr>
                <w:noProof/>
                <w:webHidden/>
              </w:rPr>
            </w:r>
            <w:r w:rsidR="001E506A">
              <w:rPr>
                <w:noProof/>
                <w:webHidden/>
              </w:rPr>
              <w:fldChar w:fldCharType="separate"/>
            </w:r>
            <w:r w:rsidR="00EB79DE">
              <w:rPr>
                <w:noProof/>
                <w:webHidden/>
              </w:rPr>
              <w:t>14</w:t>
            </w:r>
            <w:r w:rsidR="001E506A">
              <w:rPr>
                <w:noProof/>
                <w:webHidden/>
              </w:rPr>
              <w:fldChar w:fldCharType="end"/>
            </w:r>
          </w:hyperlink>
        </w:p>
        <w:p w14:paraId="7F5E444D"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62" w:history="1">
            <w:r w:rsidR="00EB79DE" w:rsidRPr="00716B9F">
              <w:rPr>
                <w:rStyle w:val="Hyperlink"/>
                <w:noProof/>
              </w:rPr>
              <w:t>B.4 Recommendations for improving the Financial Management</w:t>
            </w:r>
            <w:r w:rsidR="00EB79DE">
              <w:rPr>
                <w:noProof/>
                <w:webHidden/>
              </w:rPr>
              <w:tab/>
            </w:r>
            <w:r w:rsidR="001E506A">
              <w:rPr>
                <w:noProof/>
                <w:webHidden/>
              </w:rPr>
              <w:fldChar w:fldCharType="begin"/>
            </w:r>
            <w:r w:rsidR="00EB79DE">
              <w:rPr>
                <w:noProof/>
                <w:webHidden/>
              </w:rPr>
              <w:instrText xml:space="preserve"> PAGEREF _Toc162905762 \h </w:instrText>
            </w:r>
            <w:r w:rsidR="001E506A">
              <w:rPr>
                <w:noProof/>
                <w:webHidden/>
              </w:rPr>
            </w:r>
            <w:r w:rsidR="001E506A">
              <w:rPr>
                <w:noProof/>
                <w:webHidden/>
              </w:rPr>
              <w:fldChar w:fldCharType="separate"/>
            </w:r>
            <w:r w:rsidR="00EB79DE">
              <w:rPr>
                <w:noProof/>
                <w:webHidden/>
              </w:rPr>
              <w:t>15</w:t>
            </w:r>
            <w:r w:rsidR="001E506A">
              <w:rPr>
                <w:noProof/>
                <w:webHidden/>
              </w:rPr>
              <w:fldChar w:fldCharType="end"/>
            </w:r>
          </w:hyperlink>
        </w:p>
        <w:p w14:paraId="5E6F3183" w14:textId="77777777" w:rsidR="00EB79DE" w:rsidRDefault="00BA4EE7">
          <w:pPr>
            <w:pStyle w:val="TOC1"/>
            <w:tabs>
              <w:tab w:val="right" w:leader="dot" w:pos="9350"/>
            </w:tabs>
            <w:rPr>
              <w:rFonts w:asciiTheme="minorHAnsi" w:eastAsiaTheme="minorEastAsia" w:hAnsiTheme="minorHAnsi" w:cstheme="minorBidi"/>
              <w:noProof/>
              <w:kern w:val="2"/>
              <w:lang w:val="en-IN" w:eastAsia="en-IN"/>
            </w:rPr>
          </w:pPr>
          <w:hyperlink w:anchor="_Toc162905763" w:history="1">
            <w:r w:rsidR="00EB79DE" w:rsidRPr="00716B9F">
              <w:rPr>
                <w:rStyle w:val="Hyperlink"/>
                <w:rFonts w:cs="Times New Roman"/>
                <w:noProof/>
                <w:lang w:val="en-GB"/>
              </w:rPr>
              <w:t>Part c) Analysis of investment appraisal techniques</w:t>
            </w:r>
            <w:r w:rsidR="00EB79DE">
              <w:rPr>
                <w:noProof/>
                <w:webHidden/>
              </w:rPr>
              <w:tab/>
            </w:r>
            <w:r w:rsidR="001E506A">
              <w:rPr>
                <w:noProof/>
                <w:webHidden/>
              </w:rPr>
              <w:fldChar w:fldCharType="begin"/>
            </w:r>
            <w:r w:rsidR="00EB79DE">
              <w:rPr>
                <w:noProof/>
                <w:webHidden/>
              </w:rPr>
              <w:instrText xml:space="preserve"> PAGEREF _Toc162905763 \h </w:instrText>
            </w:r>
            <w:r w:rsidR="001E506A">
              <w:rPr>
                <w:noProof/>
                <w:webHidden/>
              </w:rPr>
            </w:r>
            <w:r w:rsidR="001E506A">
              <w:rPr>
                <w:noProof/>
                <w:webHidden/>
              </w:rPr>
              <w:fldChar w:fldCharType="separate"/>
            </w:r>
            <w:r w:rsidR="00EB79DE">
              <w:rPr>
                <w:noProof/>
                <w:webHidden/>
              </w:rPr>
              <w:t>16</w:t>
            </w:r>
            <w:r w:rsidR="001E506A">
              <w:rPr>
                <w:noProof/>
                <w:webHidden/>
              </w:rPr>
              <w:fldChar w:fldCharType="end"/>
            </w:r>
          </w:hyperlink>
        </w:p>
        <w:p w14:paraId="6ACB4C06"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64" w:history="1">
            <w:r w:rsidR="00EB79DE" w:rsidRPr="00716B9F">
              <w:rPr>
                <w:rStyle w:val="Hyperlink"/>
                <w:rFonts w:cs="Times New Roman"/>
                <w:noProof/>
                <w:lang w:val="en-GB"/>
              </w:rPr>
              <w:t>C.1 Calculation of Payback Period (PBP), Accounting Rate of Return (ARR), and Net Present Value (NPV) to recommend the most suitable project with reasons</w:t>
            </w:r>
            <w:r w:rsidR="00EB79DE">
              <w:rPr>
                <w:noProof/>
                <w:webHidden/>
              </w:rPr>
              <w:tab/>
            </w:r>
            <w:r w:rsidR="001E506A">
              <w:rPr>
                <w:noProof/>
                <w:webHidden/>
              </w:rPr>
              <w:fldChar w:fldCharType="begin"/>
            </w:r>
            <w:r w:rsidR="00EB79DE">
              <w:rPr>
                <w:noProof/>
                <w:webHidden/>
              </w:rPr>
              <w:instrText xml:space="preserve"> PAGEREF _Toc162905764 \h </w:instrText>
            </w:r>
            <w:r w:rsidR="001E506A">
              <w:rPr>
                <w:noProof/>
                <w:webHidden/>
              </w:rPr>
            </w:r>
            <w:r w:rsidR="001E506A">
              <w:rPr>
                <w:noProof/>
                <w:webHidden/>
              </w:rPr>
              <w:fldChar w:fldCharType="separate"/>
            </w:r>
            <w:r w:rsidR="00EB79DE">
              <w:rPr>
                <w:noProof/>
                <w:webHidden/>
              </w:rPr>
              <w:t>16</w:t>
            </w:r>
            <w:r w:rsidR="001E506A">
              <w:rPr>
                <w:noProof/>
                <w:webHidden/>
              </w:rPr>
              <w:fldChar w:fldCharType="end"/>
            </w:r>
          </w:hyperlink>
        </w:p>
        <w:p w14:paraId="14306F6E"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65" w:history="1">
            <w:r w:rsidR="00EB79DE" w:rsidRPr="00716B9F">
              <w:rPr>
                <w:rStyle w:val="Hyperlink"/>
                <w:rFonts w:cs="Times New Roman"/>
                <w:noProof/>
                <w:lang w:val="en-GB"/>
              </w:rPr>
              <w:t>C.2 Commenting on the recalculation of NPV to increase initial investment of each project by 10% and cash flow fall by 10%</w:t>
            </w:r>
            <w:r w:rsidR="00EB79DE">
              <w:rPr>
                <w:noProof/>
                <w:webHidden/>
              </w:rPr>
              <w:tab/>
            </w:r>
            <w:r w:rsidR="001E506A">
              <w:rPr>
                <w:noProof/>
                <w:webHidden/>
              </w:rPr>
              <w:fldChar w:fldCharType="begin"/>
            </w:r>
            <w:r w:rsidR="00EB79DE">
              <w:rPr>
                <w:noProof/>
                <w:webHidden/>
              </w:rPr>
              <w:instrText xml:space="preserve"> PAGEREF _Toc162905765 \h </w:instrText>
            </w:r>
            <w:r w:rsidR="001E506A">
              <w:rPr>
                <w:noProof/>
                <w:webHidden/>
              </w:rPr>
            </w:r>
            <w:r w:rsidR="001E506A">
              <w:rPr>
                <w:noProof/>
                <w:webHidden/>
              </w:rPr>
              <w:fldChar w:fldCharType="separate"/>
            </w:r>
            <w:r w:rsidR="00EB79DE">
              <w:rPr>
                <w:noProof/>
                <w:webHidden/>
              </w:rPr>
              <w:t>18</w:t>
            </w:r>
            <w:r w:rsidR="001E506A">
              <w:rPr>
                <w:noProof/>
                <w:webHidden/>
              </w:rPr>
              <w:fldChar w:fldCharType="end"/>
            </w:r>
          </w:hyperlink>
        </w:p>
        <w:p w14:paraId="212F7C25"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66" w:history="1">
            <w:r w:rsidR="00EB79DE" w:rsidRPr="00716B9F">
              <w:rPr>
                <w:rStyle w:val="Hyperlink"/>
                <w:rFonts w:cs="Times New Roman"/>
                <w:noProof/>
                <w:lang w:val="en-GB"/>
              </w:rPr>
              <w:t>C.3 Advantages and shortcomings of PBP, ARR, and NPV techniques</w:t>
            </w:r>
            <w:r w:rsidR="00EB79DE">
              <w:rPr>
                <w:noProof/>
                <w:webHidden/>
              </w:rPr>
              <w:tab/>
            </w:r>
            <w:r w:rsidR="001E506A">
              <w:rPr>
                <w:noProof/>
                <w:webHidden/>
              </w:rPr>
              <w:fldChar w:fldCharType="begin"/>
            </w:r>
            <w:r w:rsidR="00EB79DE">
              <w:rPr>
                <w:noProof/>
                <w:webHidden/>
              </w:rPr>
              <w:instrText xml:space="preserve"> PAGEREF _Toc162905766 \h </w:instrText>
            </w:r>
            <w:r w:rsidR="001E506A">
              <w:rPr>
                <w:noProof/>
                <w:webHidden/>
              </w:rPr>
            </w:r>
            <w:r w:rsidR="001E506A">
              <w:rPr>
                <w:noProof/>
                <w:webHidden/>
              </w:rPr>
              <w:fldChar w:fldCharType="separate"/>
            </w:r>
            <w:r w:rsidR="00EB79DE">
              <w:rPr>
                <w:noProof/>
                <w:webHidden/>
              </w:rPr>
              <w:t>19</w:t>
            </w:r>
            <w:r w:rsidR="001E506A">
              <w:rPr>
                <w:noProof/>
                <w:webHidden/>
              </w:rPr>
              <w:fldChar w:fldCharType="end"/>
            </w:r>
          </w:hyperlink>
        </w:p>
        <w:p w14:paraId="35BA5F39"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67" w:history="1">
            <w:r w:rsidR="00EB79DE" w:rsidRPr="00716B9F">
              <w:rPr>
                <w:rStyle w:val="Hyperlink"/>
                <w:rFonts w:cs="Times New Roman"/>
                <w:noProof/>
                <w:lang w:val="en-GB"/>
              </w:rPr>
              <w:t>C.4 Discussion of the non-financial factors considered by the management</w:t>
            </w:r>
            <w:r w:rsidR="00EB79DE">
              <w:rPr>
                <w:noProof/>
                <w:webHidden/>
              </w:rPr>
              <w:tab/>
            </w:r>
            <w:r w:rsidR="001E506A">
              <w:rPr>
                <w:noProof/>
                <w:webHidden/>
              </w:rPr>
              <w:fldChar w:fldCharType="begin"/>
            </w:r>
            <w:r w:rsidR="00EB79DE">
              <w:rPr>
                <w:noProof/>
                <w:webHidden/>
              </w:rPr>
              <w:instrText xml:space="preserve"> PAGEREF _Toc162905767 \h </w:instrText>
            </w:r>
            <w:r w:rsidR="001E506A">
              <w:rPr>
                <w:noProof/>
                <w:webHidden/>
              </w:rPr>
            </w:r>
            <w:r w:rsidR="001E506A">
              <w:rPr>
                <w:noProof/>
                <w:webHidden/>
              </w:rPr>
              <w:fldChar w:fldCharType="separate"/>
            </w:r>
            <w:r w:rsidR="00EB79DE">
              <w:rPr>
                <w:noProof/>
                <w:webHidden/>
              </w:rPr>
              <w:t>20</w:t>
            </w:r>
            <w:r w:rsidR="001E506A">
              <w:rPr>
                <w:noProof/>
                <w:webHidden/>
              </w:rPr>
              <w:fldChar w:fldCharType="end"/>
            </w:r>
          </w:hyperlink>
        </w:p>
        <w:p w14:paraId="49E3E7FF" w14:textId="77777777" w:rsidR="00EB79DE" w:rsidRDefault="00BA4EE7">
          <w:pPr>
            <w:pStyle w:val="TOC1"/>
            <w:tabs>
              <w:tab w:val="right" w:leader="dot" w:pos="9350"/>
            </w:tabs>
            <w:rPr>
              <w:rFonts w:asciiTheme="minorHAnsi" w:eastAsiaTheme="minorEastAsia" w:hAnsiTheme="minorHAnsi" w:cstheme="minorBidi"/>
              <w:noProof/>
              <w:kern w:val="2"/>
              <w:lang w:val="en-IN" w:eastAsia="en-IN"/>
            </w:rPr>
          </w:pPr>
          <w:hyperlink w:anchor="_Toc162905768" w:history="1">
            <w:r w:rsidR="00EB79DE" w:rsidRPr="00716B9F">
              <w:rPr>
                <w:rStyle w:val="Hyperlink"/>
                <w:noProof/>
                <w:lang w:val="en-GB"/>
              </w:rPr>
              <w:t>References</w:t>
            </w:r>
            <w:r w:rsidR="00EB79DE">
              <w:rPr>
                <w:noProof/>
                <w:webHidden/>
              </w:rPr>
              <w:tab/>
            </w:r>
            <w:r w:rsidR="001E506A">
              <w:rPr>
                <w:noProof/>
                <w:webHidden/>
              </w:rPr>
              <w:fldChar w:fldCharType="begin"/>
            </w:r>
            <w:r w:rsidR="00EB79DE">
              <w:rPr>
                <w:noProof/>
                <w:webHidden/>
              </w:rPr>
              <w:instrText xml:space="preserve"> PAGEREF _Toc162905768 \h </w:instrText>
            </w:r>
            <w:r w:rsidR="001E506A">
              <w:rPr>
                <w:noProof/>
                <w:webHidden/>
              </w:rPr>
            </w:r>
            <w:r w:rsidR="001E506A">
              <w:rPr>
                <w:noProof/>
                <w:webHidden/>
              </w:rPr>
              <w:fldChar w:fldCharType="separate"/>
            </w:r>
            <w:r w:rsidR="00EB79DE">
              <w:rPr>
                <w:noProof/>
                <w:webHidden/>
              </w:rPr>
              <w:t>21</w:t>
            </w:r>
            <w:r w:rsidR="001E506A">
              <w:rPr>
                <w:noProof/>
                <w:webHidden/>
              </w:rPr>
              <w:fldChar w:fldCharType="end"/>
            </w:r>
          </w:hyperlink>
        </w:p>
        <w:p w14:paraId="4747F6C1" w14:textId="77777777" w:rsidR="00EB79DE" w:rsidRDefault="00BA4EE7">
          <w:pPr>
            <w:pStyle w:val="TOC1"/>
            <w:tabs>
              <w:tab w:val="right" w:leader="dot" w:pos="9350"/>
            </w:tabs>
            <w:rPr>
              <w:rFonts w:asciiTheme="minorHAnsi" w:eastAsiaTheme="minorEastAsia" w:hAnsiTheme="minorHAnsi" w:cstheme="minorBidi"/>
              <w:noProof/>
              <w:kern w:val="2"/>
              <w:lang w:val="en-IN" w:eastAsia="en-IN"/>
            </w:rPr>
          </w:pPr>
          <w:hyperlink w:anchor="_Toc162905769" w:history="1">
            <w:r w:rsidR="00EB79DE" w:rsidRPr="00716B9F">
              <w:rPr>
                <w:rStyle w:val="Hyperlink"/>
                <w:noProof/>
                <w:lang w:val="en-IN" w:eastAsia="en-IN"/>
              </w:rPr>
              <w:t>Appendices</w:t>
            </w:r>
            <w:r w:rsidR="00EB79DE">
              <w:rPr>
                <w:noProof/>
                <w:webHidden/>
              </w:rPr>
              <w:tab/>
            </w:r>
            <w:r w:rsidR="001E506A">
              <w:rPr>
                <w:noProof/>
                <w:webHidden/>
              </w:rPr>
              <w:fldChar w:fldCharType="begin"/>
            </w:r>
            <w:r w:rsidR="00EB79DE">
              <w:rPr>
                <w:noProof/>
                <w:webHidden/>
              </w:rPr>
              <w:instrText xml:space="preserve"> PAGEREF _Toc162905769 \h </w:instrText>
            </w:r>
            <w:r w:rsidR="001E506A">
              <w:rPr>
                <w:noProof/>
                <w:webHidden/>
              </w:rPr>
            </w:r>
            <w:r w:rsidR="001E506A">
              <w:rPr>
                <w:noProof/>
                <w:webHidden/>
              </w:rPr>
              <w:fldChar w:fldCharType="separate"/>
            </w:r>
            <w:r w:rsidR="00EB79DE">
              <w:rPr>
                <w:noProof/>
                <w:webHidden/>
              </w:rPr>
              <w:t>27</w:t>
            </w:r>
            <w:r w:rsidR="001E506A">
              <w:rPr>
                <w:noProof/>
                <w:webHidden/>
              </w:rPr>
              <w:fldChar w:fldCharType="end"/>
            </w:r>
          </w:hyperlink>
        </w:p>
        <w:p w14:paraId="2ED23124" w14:textId="77777777" w:rsidR="00EB79DE" w:rsidRDefault="00BA4EE7">
          <w:pPr>
            <w:pStyle w:val="TOC2"/>
            <w:tabs>
              <w:tab w:val="right" w:leader="dot" w:pos="9350"/>
            </w:tabs>
            <w:rPr>
              <w:rFonts w:asciiTheme="minorHAnsi" w:eastAsiaTheme="minorEastAsia" w:hAnsiTheme="minorHAnsi" w:cstheme="minorBidi"/>
              <w:noProof/>
              <w:kern w:val="2"/>
              <w:lang w:val="en-IN" w:eastAsia="en-IN"/>
            </w:rPr>
          </w:pPr>
          <w:hyperlink w:anchor="_Toc162905770" w:history="1">
            <w:r w:rsidR="00EB79DE" w:rsidRPr="00716B9F">
              <w:rPr>
                <w:rStyle w:val="Hyperlink"/>
                <w:noProof/>
              </w:rPr>
              <w:t>Appendix 1: Ratio calculation: Apple vs. Microsoft</w:t>
            </w:r>
            <w:r w:rsidR="00EB79DE">
              <w:rPr>
                <w:noProof/>
                <w:webHidden/>
              </w:rPr>
              <w:tab/>
            </w:r>
            <w:r w:rsidR="001E506A">
              <w:rPr>
                <w:noProof/>
                <w:webHidden/>
              </w:rPr>
              <w:fldChar w:fldCharType="begin"/>
            </w:r>
            <w:r w:rsidR="00EB79DE">
              <w:rPr>
                <w:noProof/>
                <w:webHidden/>
              </w:rPr>
              <w:instrText xml:space="preserve"> PAGEREF _Toc162905770 \h </w:instrText>
            </w:r>
            <w:r w:rsidR="001E506A">
              <w:rPr>
                <w:noProof/>
                <w:webHidden/>
              </w:rPr>
            </w:r>
            <w:r w:rsidR="001E506A">
              <w:rPr>
                <w:noProof/>
                <w:webHidden/>
              </w:rPr>
              <w:fldChar w:fldCharType="separate"/>
            </w:r>
            <w:r w:rsidR="00EB79DE">
              <w:rPr>
                <w:noProof/>
                <w:webHidden/>
              </w:rPr>
              <w:t>27</w:t>
            </w:r>
            <w:r w:rsidR="001E506A">
              <w:rPr>
                <w:noProof/>
                <w:webHidden/>
              </w:rPr>
              <w:fldChar w:fldCharType="end"/>
            </w:r>
          </w:hyperlink>
        </w:p>
        <w:p w14:paraId="50B4028D" w14:textId="77777777" w:rsidR="00157C0E" w:rsidRPr="008A6414" w:rsidRDefault="001E506A" w:rsidP="00C63012">
          <w:pPr>
            <w:spacing w:line="360" w:lineRule="auto"/>
            <w:jc w:val="center"/>
          </w:pPr>
          <w:r w:rsidRPr="00C63012">
            <w:rPr>
              <w:rFonts w:ascii="Times New Roman" w:hAnsi="Times New Roman" w:cs="Times New Roman"/>
              <w:sz w:val="24"/>
              <w:szCs w:val="24"/>
            </w:rPr>
            <w:fldChar w:fldCharType="end"/>
          </w:r>
        </w:p>
      </w:sdtContent>
    </w:sdt>
    <w:p w14:paraId="24D2B836" w14:textId="77777777" w:rsidR="00AF1747" w:rsidRPr="008A6414" w:rsidRDefault="00157C0E" w:rsidP="00CB1D67">
      <w:pPr>
        <w:rPr>
          <w:rFonts w:ascii="Times New Roman" w:eastAsia="Times New Roman" w:hAnsi="Times New Roman" w:cs="Times New Roman"/>
          <w:sz w:val="24"/>
          <w:szCs w:val="24"/>
          <w:lang w:val="en-GB"/>
        </w:rPr>
      </w:pPr>
      <w:r w:rsidRPr="008A6414">
        <w:rPr>
          <w:rFonts w:ascii="Times New Roman" w:eastAsia="Times New Roman" w:hAnsi="Times New Roman" w:cs="Times New Roman"/>
          <w:sz w:val="24"/>
          <w:szCs w:val="24"/>
          <w:lang w:val="en-GB"/>
        </w:rPr>
        <w:br w:type="page"/>
      </w:r>
    </w:p>
    <w:p w14:paraId="42F1B30E" w14:textId="77777777" w:rsidR="00A353BA" w:rsidRDefault="00442C70" w:rsidP="00F42401">
      <w:pPr>
        <w:pStyle w:val="Heading1"/>
      </w:pPr>
      <w:bookmarkStart w:id="0" w:name="_Toc162905745"/>
      <w:r>
        <w:lastRenderedPageBreak/>
        <w:t xml:space="preserve">Introduction </w:t>
      </w:r>
    </w:p>
    <w:p w14:paraId="4D6EE5D8" w14:textId="77777777" w:rsidR="00442C70" w:rsidRPr="00442C70" w:rsidRDefault="00442C70" w:rsidP="00442C70">
      <w:pPr>
        <w:spacing w:line="360" w:lineRule="auto"/>
        <w:jc w:val="both"/>
        <w:rPr>
          <w:rFonts w:ascii="Times New Roman" w:eastAsia="Times New Roman" w:hAnsi="Times New Roman" w:cs="Times New Roman"/>
          <w:sz w:val="24"/>
          <w:szCs w:val="24"/>
        </w:rPr>
      </w:pPr>
      <w:r w:rsidRPr="00442C70">
        <w:rPr>
          <w:rFonts w:ascii="Times New Roman" w:eastAsia="Times New Roman" w:hAnsi="Times New Roman" w:cs="Times New Roman"/>
          <w:sz w:val="24"/>
          <w:szCs w:val="24"/>
        </w:rPr>
        <w:t>This paper provides a comprehensive examination of Apple Inc. (AAPL), a leading technology business. We begin by looking at the overall industrial landscape, emphasising Apple's strengths in brand recognition, user experience, and hardware-software interaction. Following that, we look at Apple's business model, including its closed ecosystem and income streams from products and services. A rival research reveals significant firms such as Samsung and Microsoft, highlighting Apple's reliance on iPhone sales. We then investigate Apple's financial performance using key ratios and compare it to that of Microsoft. This financial analysis is followed by an assessment of investment appraisal methodologies such as the payback period, accounting rate of return, and net present value. Finally, we apply these strategies to select the best investment project and explore the implications of changing variables.</w:t>
      </w:r>
    </w:p>
    <w:p w14:paraId="32746D6E" w14:textId="77777777" w:rsidR="00442C70" w:rsidRPr="00442C70" w:rsidRDefault="00442C70" w:rsidP="00442C70"/>
    <w:p w14:paraId="3796E642" w14:textId="77777777" w:rsidR="00F42401" w:rsidRPr="00F42401" w:rsidRDefault="00F42401" w:rsidP="00F42401">
      <w:pPr>
        <w:pStyle w:val="Heading1"/>
        <w:rPr>
          <w:lang w:val="en-IN" w:eastAsia="en-IN"/>
        </w:rPr>
      </w:pPr>
      <w:r w:rsidRPr="00F42401">
        <w:rPr>
          <w:lang w:val="en-IN" w:eastAsia="en-IN"/>
        </w:rPr>
        <w:t>Part a) History and overview of Apple Inc. (AAPL)</w:t>
      </w:r>
      <w:bookmarkEnd w:id="0"/>
    </w:p>
    <w:p w14:paraId="330C4EE4" w14:textId="77777777" w:rsidR="00F42401" w:rsidRPr="00F42401" w:rsidRDefault="00F42401" w:rsidP="00352A5B">
      <w:pPr>
        <w:pStyle w:val="Heading2"/>
      </w:pPr>
      <w:bookmarkStart w:id="1" w:name="_Toc162905746"/>
      <w:r w:rsidRPr="00F42401">
        <w:t>A.1 Industry Overview</w:t>
      </w:r>
      <w:bookmarkEnd w:id="1"/>
    </w:p>
    <w:p w14:paraId="7A3B3D4B"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noProof/>
          <w:color w:val="000000"/>
          <w:sz w:val="24"/>
          <w:szCs w:val="24"/>
          <w:bdr w:val="none" w:sz="0" w:space="0" w:color="auto" w:frame="1"/>
        </w:rPr>
        <w:drawing>
          <wp:inline distT="0" distB="0" distL="0" distR="0" wp14:anchorId="10C34657" wp14:editId="2E6E441C">
            <wp:extent cx="4572000" cy="2880955"/>
            <wp:effectExtent l="152400" t="152400" r="342900" b="339090"/>
            <wp:docPr id="2" name="Picture 2" descr="https://lh7-us.googleusercontent.com/mS5omSoBJ5TQUefm9PXqZQIgTLbhQlMxWRIXIaNMW5swIrqxDG3rnERUPmVUX4gQJG0sRhf2uyuO5vVE6KIE3qQ7pd2VHKvUSsRTOLBuR358blazeoJuLM0QroAZo4fdhSkb4jg5oodnWRaIvLayp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mS5omSoBJ5TQUefm9PXqZQIgTLbhQlMxWRIXIaNMW5swIrqxDG3rnERUPmVUX4gQJG0sRhf2uyuO5vVE6KIE3qQ7pd2VHKvUSsRTOLBuR358blazeoJuLM0QroAZo4fdhSkb4jg5oodnWRaIvLaypls"/>
                    <pic:cNvPicPr>
                      <a:picLocks noChangeAspect="1" noChangeArrowheads="1"/>
                    </pic:cNvPicPr>
                  </pic:nvPicPr>
                  <pic:blipFill rotWithShape="1">
                    <a:blip r:embed="rId9">
                      <a:extLst>
                        <a:ext uri="{28A0092B-C50C-407E-A947-70E740481C1C}">
                          <a14:useLocalDpi xmlns:a14="http://schemas.microsoft.com/office/drawing/2010/main" val="0"/>
                        </a:ext>
                      </a:extLst>
                    </a:blip>
                    <a:srcRect l="1996" t="3075" r="2636" b="4358"/>
                    <a:stretch/>
                  </pic:blipFill>
                  <pic:spPr bwMode="auto">
                    <a:xfrm>
                      <a:off x="0" y="0"/>
                      <a:ext cx="4592711" cy="289400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4DAB567D"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Figure 1: Apple Market Forecast 2018-2028</w:t>
      </w:r>
    </w:p>
    <w:p w14:paraId="4121D725"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(Source: Technavio, 2024)</w:t>
      </w:r>
    </w:p>
    <w:p w14:paraId="4A478932"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lastRenderedPageBreak/>
        <w:t xml:space="preserve">Apple maintains dominance in a significant portion of the tech industry through strategic manoeuvres across various sectors. Over the past ten years, Apple has made $1.65 trillion from selling iPhones. They expect to ship 235 million units in 2023 (data extracted from Forbes, 2023). Apple has made more money because more people are buying Mac computers. iOS and macOS have been important computer programs for a long time. In 2024, Apple made 58% of its money from selling iPhones (data extracted from Bloomberg, 2019). Significant enhancements have observed in services such as “iCloud” and “Apple Music”. For example, 88 million people have signed up for Apple Music. In 2022, </w:t>
      </w:r>
      <w:r w:rsidR="008C5AC8" w:rsidRPr="00F42401">
        <w:rPr>
          <w:rFonts w:ascii="Times New Roman" w:eastAsia="Times New Roman" w:hAnsi="Times New Roman" w:cs="Times New Roman"/>
          <w:color w:val="000000"/>
          <w:sz w:val="24"/>
          <w:szCs w:val="24"/>
          <w:lang w:val="en-IN" w:eastAsia="en-IN"/>
        </w:rPr>
        <w:t>many</w:t>
      </w:r>
      <w:r w:rsidRPr="00F42401">
        <w:rPr>
          <w:rFonts w:ascii="Times New Roman" w:eastAsia="Times New Roman" w:hAnsi="Times New Roman" w:cs="Times New Roman"/>
          <w:color w:val="000000"/>
          <w:sz w:val="24"/>
          <w:szCs w:val="24"/>
          <w:lang w:val="en-IN" w:eastAsia="en-IN"/>
        </w:rPr>
        <w:t xml:space="preserve"> people bought AirPods and Apple Watches, so it was a good year for wearable technology (data extracted from Technavio, 2024). Apple overcame production obstacles and a downturn in sales, resulting in substantial earnings and a projected future increase to $394.33 billion by 2022 (Markets.ft.com, 2022). This accomplishment shows the company's skill and creativity in the technology field.</w:t>
      </w:r>
    </w:p>
    <w:p w14:paraId="35672C70" w14:textId="77777777" w:rsidR="00F42401" w:rsidRPr="00F42401" w:rsidRDefault="00F42401" w:rsidP="00352A5B">
      <w:pPr>
        <w:pStyle w:val="Heading2"/>
      </w:pPr>
      <w:bookmarkStart w:id="2" w:name="_Toc162905747"/>
      <w:r w:rsidRPr="00F42401">
        <w:t>A.2 Business Model analysis</w:t>
      </w:r>
      <w:bookmarkEnd w:id="2"/>
      <w:r w:rsidRPr="00F42401">
        <w:t> </w:t>
      </w:r>
    </w:p>
    <w:p w14:paraId="5220A665"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has a unique way of doing business in the technology industry because it controls all aspects of its products and creates a connected system for its customers. Apple made more money by focusing on how their products work and how they look. In 2024, Apple made $166.2 billion from selling iPhones. In 2020, iCloud and Apple Music made a record-breaking $53.77 billion in money (data dragged from Ycharts, 2024). </w:t>
      </w:r>
    </w:p>
    <w:p w14:paraId="499C4523"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noProof/>
          <w:color w:val="000000"/>
          <w:sz w:val="24"/>
          <w:szCs w:val="24"/>
          <w:bdr w:val="none" w:sz="0" w:space="0" w:color="auto" w:frame="1"/>
        </w:rPr>
        <w:lastRenderedPageBreak/>
        <w:drawing>
          <wp:inline distT="0" distB="0" distL="0" distR="0" wp14:anchorId="5737AB1B" wp14:editId="0DAC08D9">
            <wp:extent cx="5622925" cy="3521075"/>
            <wp:effectExtent l="152400" t="152400" r="339725" b="346075"/>
            <wp:docPr id="1" name="Picture 1" descr="https://lh7-us.googleusercontent.com/_t24IQoJmAKJ3p_yygGlfJtFSrSuDjQ_yiKqyeusK-5dCUw13SmScJG2C_L9MDZaILowP9ZbFNSJON3uMJABUfYI6cBhKPZggpy-tV1IQnwg0EBLwsq3ic6Hhf5AsHgNBO6o7k93_O17WCc34H9Z8Z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_t24IQoJmAKJ3p_yygGlfJtFSrSuDjQ_yiKqyeusK-5dCUw13SmScJG2C_L9MDZaILowP9ZbFNSJON3uMJABUfYI6cBhKPZggpy-tV1IQnwg0EBLwsq3ic6Hhf5AsHgNBO6o7k93_O17WCc34H9Z8Z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2925" cy="3521075"/>
                    </a:xfrm>
                    <a:prstGeom prst="rect">
                      <a:avLst/>
                    </a:prstGeom>
                    <a:ln>
                      <a:noFill/>
                    </a:ln>
                    <a:effectLst>
                      <a:outerShdw blurRad="292100" dist="139700" dir="2700000" algn="tl" rotWithShape="0">
                        <a:srgbClr val="333333">
                          <a:alpha val="65000"/>
                        </a:srgbClr>
                      </a:outerShdw>
                    </a:effectLst>
                  </pic:spPr>
                </pic:pic>
              </a:graphicData>
            </a:graphic>
          </wp:inline>
        </w:drawing>
      </w:r>
    </w:p>
    <w:p w14:paraId="0B151E65"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Figure 2: Global revenue of Apple from 2004 to 2023</w:t>
      </w:r>
    </w:p>
    <w:p w14:paraId="443BB187"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(Source: Statista, 2023)</w:t>
      </w:r>
    </w:p>
    <w:p w14:paraId="411661A8"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Based on the above statistical data report, Apple’s total net sales were 383.29 billion U.S. dollars in 2023 which is a decrease from the year 2022. In 2022, it was 394.33 billion U.S. dollars. Apple’s annual revenue quadrupled in the last ten years (data extracted from Statista, 2023). The way Apple's products and services work together makes customers want to stick with them. The company's focus on making clients happy and creating new ideas has greatly affected how much money they make. This shows that it can change and do well in the very competitive tech industry.</w:t>
      </w:r>
    </w:p>
    <w:p w14:paraId="12AD4D2A" w14:textId="77777777" w:rsidR="00F42401" w:rsidRPr="00F42401" w:rsidRDefault="00F42401" w:rsidP="00352A5B">
      <w:pPr>
        <w:pStyle w:val="Heading2"/>
      </w:pPr>
      <w:bookmarkStart w:id="3" w:name="_Toc162905748"/>
      <w:r w:rsidRPr="00F42401">
        <w:t>A.3 Marketplace and Major Competitors</w:t>
      </w:r>
      <w:bookmarkEnd w:id="3"/>
    </w:p>
    <w:p w14:paraId="1D7603A6"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The company Apple has a significant presence and customer following worldwide. In 2020, Apple sold 194 million iPhones, which made up 52% of the company's $365 billion revenue. Apple has competitors like Microsoft, Samsung, and Google (Apple Newsroom, 2023). Apple has some problems because it relies too much on selling iPhones and spends a lot of money. </w:t>
      </w:r>
      <w:r w:rsidR="008C5AC8" w:rsidRPr="00F42401">
        <w:rPr>
          <w:rFonts w:ascii="Times New Roman" w:eastAsia="Times New Roman" w:hAnsi="Times New Roman" w:cs="Times New Roman"/>
          <w:color w:val="000000"/>
          <w:sz w:val="24"/>
          <w:szCs w:val="24"/>
          <w:lang w:val="en-IN" w:eastAsia="en-IN"/>
        </w:rPr>
        <w:t>However,</w:t>
      </w:r>
      <w:r w:rsidRPr="00F42401">
        <w:rPr>
          <w:rFonts w:ascii="Times New Roman" w:eastAsia="Times New Roman" w:hAnsi="Times New Roman" w:cs="Times New Roman"/>
          <w:color w:val="000000"/>
          <w:sz w:val="24"/>
          <w:szCs w:val="24"/>
          <w:lang w:val="en-IN" w:eastAsia="en-IN"/>
        </w:rPr>
        <w:t xml:space="preserve"> they have a strong brand, are creative, and have loyal customers. According to the observation of Aanestad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(2019), Apple wants to make its distribution network bigger. </w:t>
      </w:r>
      <w:r w:rsidR="008C5AC8" w:rsidRPr="00F42401">
        <w:rPr>
          <w:rFonts w:ascii="Times New Roman" w:eastAsia="Times New Roman" w:hAnsi="Times New Roman" w:cs="Times New Roman"/>
          <w:color w:val="000000"/>
          <w:sz w:val="24"/>
          <w:szCs w:val="24"/>
          <w:lang w:val="en-IN" w:eastAsia="en-IN"/>
        </w:rPr>
        <w:t>However,</w:t>
      </w:r>
      <w:r w:rsidRPr="00F42401">
        <w:rPr>
          <w:rFonts w:ascii="Times New Roman" w:eastAsia="Times New Roman" w:hAnsi="Times New Roman" w:cs="Times New Roman"/>
          <w:color w:val="000000"/>
          <w:sz w:val="24"/>
          <w:szCs w:val="24"/>
          <w:lang w:val="en-IN" w:eastAsia="en-IN"/>
        </w:rPr>
        <w:t xml:space="preserve"> some things </w:t>
      </w:r>
      <w:r w:rsidRPr="00F42401">
        <w:rPr>
          <w:rFonts w:ascii="Times New Roman" w:eastAsia="Times New Roman" w:hAnsi="Times New Roman" w:cs="Times New Roman"/>
          <w:color w:val="000000"/>
          <w:sz w:val="24"/>
          <w:szCs w:val="24"/>
          <w:lang w:val="en-IN" w:eastAsia="en-IN"/>
        </w:rPr>
        <w:lastRenderedPageBreak/>
        <w:t xml:space="preserve">might make it hard, like </w:t>
      </w:r>
      <w:r w:rsidR="008C5AC8" w:rsidRPr="00F42401">
        <w:rPr>
          <w:rFonts w:ascii="Times New Roman" w:eastAsia="Times New Roman" w:hAnsi="Times New Roman" w:cs="Times New Roman"/>
          <w:color w:val="000000"/>
          <w:sz w:val="24"/>
          <w:szCs w:val="24"/>
          <w:lang w:val="en-IN" w:eastAsia="en-IN"/>
        </w:rPr>
        <w:t>android</w:t>
      </w:r>
      <w:r w:rsidRPr="00F42401">
        <w:rPr>
          <w:rFonts w:ascii="Times New Roman" w:eastAsia="Times New Roman" w:hAnsi="Times New Roman" w:cs="Times New Roman"/>
          <w:color w:val="000000"/>
          <w:sz w:val="24"/>
          <w:szCs w:val="24"/>
          <w:lang w:val="en-IN" w:eastAsia="en-IN"/>
        </w:rPr>
        <w:t xml:space="preserve"> becoming popular and not being able to personalize as much. Apple has a lot of competition from big companies like Samsung, Google, and Microsoft. They all make a lot of different products and operating systems.</w:t>
      </w:r>
    </w:p>
    <w:p w14:paraId="5376C468" w14:textId="77777777" w:rsidR="00F42401" w:rsidRPr="00F42401" w:rsidRDefault="00F42401" w:rsidP="00352A5B">
      <w:pPr>
        <w:pStyle w:val="Heading2"/>
        <w:rPr>
          <w:szCs w:val="32"/>
        </w:rPr>
      </w:pPr>
      <w:bookmarkStart w:id="4" w:name="_Toc162905749"/>
      <w:r w:rsidRPr="00F42401">
        <w:t>A.4 Major Events Over the Past Five Years</w:t>
      </w:r>
      <w:bookmarkEnd w:id="4"/>
    </w:p>
    <w:tbl>
      <w:tblPr>
        <w:tblStyle w:val="GridTable3-Accent51"/>
        <w:tblW w:w="0" w:type="auto"/>
        <w:tblLook w:val="04A0" w:firstRow="1" w:lastRow="0" w:firstColumn="1" w:lastColumn="0" w:noHBand="0" w:noVBand="1"/>
      </w:tblPr>
      <w:tblGrid>
        <w:gridCol w:w="1427"/>
        <w:gridCol w:w="7933"/>
      </w:tblGrid>
      <w:tr w:rsidR="00F42401" w:rsidRPr="00F42401" w14:paraId="37B5F6DA" w14:textId="77777777" w:rsidTr="00F4240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0E59A01A"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Overview </w:t>
            </w:r>
          </w:p>
        </w:tc>
        <w:tc>
          <w:tcPr>
            <w:tcW w:w="0" w:type="auto"/>
            <w:hideMark/>
          </w:tcPr>
          <w:p w14:paraId="1F5FC284" w14:textId="77777777" w:rsidR="00F42401" w:rsidRPr="00F42401" w:rsidRDefault="008C5AC8" w:rsidP="00F4240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24"/>
                <w:szCs w:val="24"/>
                <w:lang w:val="en-IN" w:eastAsia="en-IN"/>
              </w:rPr>
            </w:pPr>
            <w:r w:rsidRPr="00F42401">
              <w:rPr>
                <w:rFonts w:ascii="Times New Roman" w:eastAsia="Times New Roman" w:hAnsi="Times New Roman" w:cs="Times New Roman"/>
                <w:b w:val="0"/>
                <w:color w:val="000000"/>
                <w:sz w:val="24"/>
                <w:szCs w:val="24"/>
                <w:lang w:val="en-IN" w:eastAsia="en-IN"/>
              </w:rPr>
              <w:t>Apple Inc. typically announces major product launches and enhancements</w:t>
            </w:r>
            <w:r w:rsidR="00F42401" w:rsidRPr="00F42401">
              <w:rPr>
                <w:rFonts w:ascii="Times New Roman" w:eastAsia="Times New Roman" w:hAnsi="Times New Roman" w:cs="Times New Roman"/>
                <w:b w:val="0"/>
                <w:color w:val="000000"/>
                <w:sz w:val="24"/>
                <w:szCs w:val="24"/>
                <w:lang w:val="en-IN" w:eastAsia="en-IN"/>
              </w:rPr>
              <w:t xml:space="preserve"> via press conferences, whereas minor updates are frequently disclosed via press releases (as influenced by the author Kollnig</w:t>
            </w:r>
            <w:r w:rsidR="00663DD6" w:rsidRPr="00663DD6">
              <w:rPr>
                <w:rFonts w:ascii="Times New Roman" w:eastAsia="Times New Roman" w:hAnsi="Times New Roman" w:cs="Times New Roman"/>
                <w:b w:val="0"/>
                <w:i/>
                <w:color w:val="000000"/>
                <w:sz w:val="24"/>
                <w:szCs w:val="24"/>
                <w:lang w:val="en-IN" w:eastAsia="en-IN"/>
              </w:rPr>
              <w:t>et al.</w:t>
            </w:r>
            <w:r w:rsidR="00F42401" w:rsidRPr="00F42401">
              <w:rPr>
                <w:rFonts w:ascii="Times New Roman" w:eastAsia="Times New Roman" w:hAnsi="Times New Roman" w:cs="Times New Roman"/>
                <w:b w:val="0"/>
                <w:color w:val="000000"/>
                <w:sz w:val="24"/>
                <w:szCs w:val="24"/>
                <w:lang w:val="en-IN" w:eastAsia="en-IN"/>
              </w:rPr>
              <w:t>, 2022).</w:t>
            </w:r>
          </w:p>
        </w:tc>
      </w:tr>
      <w:tr w:rsidR="00F42401" w:rsidRPr="00F42401" w14:paraId="44CCEA9A" w14:textId="77777777" w:rsidTr="00F42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CBEC2D"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Media Attention</w:t>
            </w:r>
          </w:p>
        </w:tc>
        <w:tc>
          <w:tcPr>
            <w:tcW w:w="0" w:type="auto"/>
            <w:hideMark/>
          </w:tcPr>
          <w:p w14:paraId="5C30522A"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Press conferences have traditionally attracted a substantial audience through various forms of media, including online platforms.</w:t>
            </w:r>
          </w:p>
        </w:tc>
      </w:tr>
      <w:tr w:rsidR="00F42401" w:rsidRPr="00F42401" w14:paraId="40B1A2EC" w14:textId="77777777" w:rsidTr="00F42401">
        <w:tc>
          <w:tcPr>
            <w:cnfStyle w:val="001000000000" w:firstRow="0" w:lastRow="0" w:firstColumn="1" w:lastColumn="0" w:oddVBand="0" w:evenVBand="0" w:oddHBand="0" w:evenHBand="0" w:firstRowFirstColumn="0" w:firstRowLastColumn="0" w:lastRowFirstColumn="0" w:lastRowLastColumn="0"/>
            <w:tcW w:w="0" w:type="auto"/>
            <w:hideMark/>
          </w:tcPr>
          <w:p w14:paraId="0450EB84"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Live Streaming</w:t>
            </w:r>
          </w:p>
        </w:tc>
        <w:tc>
          <w:tcPr>
            <w:tcW w:w="0" w:type="auto"/>
            <w:hideMark/>
          </w:tcPr>
          <w:p w14:paraId="2F67EB10"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Events are streamed live on Apple's website and YouTube channel, with video replays available on Apple's </w:t>
            </w:r>
            <w:r w:rsidRPr="00F42401">
              <w:rPr>
                <w:rFonts w:ascii="Times New Roman" w:eastAsia="Times New Roman" w:hAnsi="Times New Roman" w:cs="Times New Roman"/>
                <w:b/>
                <w:bCs/>
                <w:i/>
                <w:iCs/>
                <w:color w:val="000000"/>
                <w:sz w:val="24"/>
                <w:szCs w:val="24"/>
                <w:lang w:val="en-IN" w:eastAsia="en-IN"/>
              </w:rPr>
              <w:t>'Apple Events'</w:t>
            </w:r>
            <w:r w:rsidRPr="00F42401">
              <w:rPr>
                <w:rFonts w:ascii="Times New Roman" w:eastAsia="Times New Roman" w:hAnsi="Times New Roman" w:cs="Times New Roman"/>
                <w:color w:val="000000"/>
                <w:sz w:val="24"/>
                <w:szCs w:val="24"/>
                <w:lang w:val="en-IN" w:eastAsia="en-IN"/>
              </w:rPr>
              <w:t xml:space="preserve"> podcast since 2007 (Apple, 2023).</w:t>
            </w:r>
          </w:p>
        </w:tc>
      </w:tr>
      <w:tr w:rsidR="00F42401" w:rsidRPr="00F42401" w14:paraId="313AA892" w14:textId="77777777" w:rsidTr="00F42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C416F7"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Annual WWDC</w:t>
            </w:r>
          </w:p>
        </w:tc>
        <w:tc>
          <w:tcPr>
            <w:tcW w:w="0" w:type="auto"/>
            <w:hideMark/>
          </w:tcPr>
          <w:p w14:paraId="72B1FCC3"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has often announced new products at the annual “Apple Worldwide Developers Conference (WWDC)”, despite it being predominantly software-focused (data extracted from Apple Podcasts, 2023).</w:t>
            </w:r>
          </w:p>
        </w:tc>
      </w:tr>
      <w:tr w:rsidR="00F42401" w:rsidRPr="00F42401" w14:paraId="2B5409A8" w14:textId="77777777" w:rsidTr="00F42401">
        <w:tc>
          <w:tcPr>
            <w:cnfStyle w:val="001000000000" w:firstRow="0" w:lastRow="0" w:firstColumn="1" w:lastColumn="0" w:oddVBand="0" w:evenVBand="0" w:oddHBand="0" w:evenHBand="0" w:firstRowFirstColumn="0" w:firstRowLastColumn="0" w:lastRowFirstColumn="0" w:lastRowLastColumn="0"/>
            <w:tcW w:w="0" w:type="auto"/>
            <w:hideMark/>
          </w:tcPr>
          <w:p w14:paraId="3261B9E3"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Notable Venues</w:t>
            </w:r>
          </w:p>
        </w:tc>
        <w:tc>
          <w:tcPr>
            <w:tcW w:w="0" w:type="auto"/>
            <w:hideMark/>
          </w:tcPr>
          <w:p w14:paraId="6A2512ED"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Key platforms for events include the “Flint Center” in Cupertino, where the “Macintosh” and authentic “iMac” were presented.</w:t>
            </w:r>
          </w:p>
        </w:tc>
      </w:tr>
      <w:tr w:rsidR="00F42401" w:rsidRPr="00F42401" w14:paraId="72F93E88" w14:textId="77777777" w:rsidTr="00F42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339A9"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Historical Events</w:t>
            </w:r>
          </w:p>
        </w:tc>
        <w:tc>
          <w:tcPr>
            <w:tcW w:w="0" w:type="auto"/>
            <w:hideMark/>
          </w:tcPr>
          <w:p w14:paraId="60C7FB1C"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Noteworthy historical events include the introduction of the “Apple IIc”, the integration of “NeXT Software technology”, and the launch of the original “iMac” and “Apple Studio Display” (as opined by Snell, 2024).</w:t>
            </w:r>
          </w:p>
        </w:tc>
      </w:tr>
    </w:tbl>
    <w:p w14:paraId="5EE0CDAF"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p w14:paraId="713F8A2A"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Table 1: List of Apple Inc. media events</w:t>
      </w:r>
    </w:p>
    <w:p w14:paraId="2DA45410" w14:textId="77777777" w:rsidR="00F42401" w:rsidRPr="00F42401" w:rsidRDefault="00F42401" w:rsidP="00352A5B">
      <w:pPr>
        <w:pStyle w:val="Heading1"/>
        <w:rPr>
          <w:lang w:val="en-IN" w:eastAsia="en-IN"/>
        </w:rPr>
      </w:pPr>
      <w:bookmarkStart w:id="5" w:name="_Toc162905750"/>
      <w:r w:rsidRPr="00F42401">
        <w:rPr>
          <w:lang w:val="en-IN" w:eastAsia="en-IN"/>
        </w:rPr>
        <w:t xml:space="preserve">Part b) </w:t>
      </w:r>
      <w:r>
        <w:rPr>
          <w:lang w:val="en-IN" w:eastAsia="en-IN"/>
        </w:rPr>
        <w:t>A</w:t>
      </w:r>
      <w:r w:rsidRPr="00F42401">
        <w:rPr>
          <w:lang w:val="en-IN" w:eastAsia="en-IN"/>
        </w:rPr>
        <w:t xml:space="preserve"> critical review of the financial performances: Apple vs. Microsoft</w:t>
      </w:r>
      <w:bookmarkEnd w:id="5"/>
      <w:r w:rsidRPr="00F42401">
        <w:rPr>
          <w:lang w:val="en-IN" w:eastAsia="en-IN"/>
        </w:rPr>
        <w:t> </w:t>
      </w:r>
    </w:p>
    <w:p w14:paraId="1439A562" w14:textId="77777777" w:rsidR="00F42401" w:rsidRPr="00F42401" w:rsidRDefault="00F42401" w:rsidP="00352A5B">
      <w:pPr>
        <w:pStyle w:val="Heading2"/>
      </w:pPr>
      <w:bookmarkStart w:id="6" w:name="_Toc162905751"/>
      <w:r w:rsidRPr="00F42401">
        <w:t>B.1 Calculation of financial ratios for Apple INC.</w:t>
      </w:r>
      <w:bookmarkEnd w:id="6"/>
      <w:r w:rsidRPr="00F42401">
        <w:t> </w:t>
      </w:r>
    </w:p>
    <w:p w14:paraId="028A6397"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The calculation of financial ratios is considered a crucial complex that provides several benefits to a business organization, investors and other stakeholders. According to the opinion of Barnes (1987), financial ratios effectively allow access to a company's financial performance by analyzing multiple aspects such as profitability, liquidity, efficiency, and leverage. Apart from that, financial ratios also enable companies and between companies to perform against the industry average and their historical performances (as influenced by Al Mheiri</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2021). In the case of managing resources and assets, company financial ratio analysis can be used to identify the areas for </w:t>
      </w:r>
      <w:r w:rsidRPr="00F42401">
        <w:rPr>
          <w:rFonts w:ascii="Times New Roman" w:eastAsia="Times New Roman" w:hAnsi="Times New Roman" w:cs="Times New Roman"/>
          <w:color w:val="000000"/>
          <w:sz w:val="24"/>
          <w:szCs w:val="24"/>
          <w:lang w:val="en-IN" w:eastAsia="en-IN"/>
        </w:rPr>
        <w:lastRenderedPageBreak/>
        <w:t xml:space="preserve">improvement and optimize the running processes. </w:t>
      </w:r>
      <w:r w:rsidRPr="00F42401">
        <w:rPr>
          <w:rFonts w:ascii="Times New Roman" w:eastAsia="Times New Roman" w:hAnsi="Times New Roman" w:cs="Times New Roman"/>
          <w:b/>
          <w:bCs/>
          <w:i/>
          <w:iCs/>
          <w:color w:val="000000"/>
          <w:sz w:val="24"/>
          <w:szCs w:val="24"/>
          <w:lang w:val="en-IN" w:eastAsia="en-IN"/>
        </w:rPr>
        <w:t>[For in-depth calculation of Ratio analysis: Refer to Appendix 1]</w:t>
      </w:r>
    </w:p>
    <w:p w14:paraId="121B5A2C" w14:textId="77777777" w:rsidR="00F42401" w:rsidRPr="00352A5B" w:rsidRDefault="00F42401" w:rsidP="00352A5B">
      <w:pPr>
        <w:pStyle w:val="Heading3"/>
      </w:pPr>
      <w:bookmarkStart w:id="7" w:name="_Toc162905752"/>
      <w:r w:rsidRPr="00352A5B">
        <w:t>B.1.1 Profitability Ratio Calculation</w:t>
      </w:r>
      <w:bookmarkEnd w:id="7"/>
      <w:r w:rsidRPr="00352A5B">
        <w:t> </w:t>
      </w:r>
    </w:p>
    <w:p w14:paraId="3E5EF3F2"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tbl>
      <w:tblPr>
        <w:tblStyle w:val="GridTable4-Accent11"/>
        <w:tblW w:w="0" w:type="auto"/>
        <w:jc w:val="center"/>
        <w:tblLook w:val="04A0" w:firstRow="1" w:lastRow="0" w:firstColumn="1" w:lastColumn="0" w:noHBand="0" w:noVBand="1"/>
      </w:tblPr>
      <w:tblGrid>
        <w:gridCol w:w="4097"/>
        <w:gridCol w:w="956"/>
        <w:gridCol w:w="956"/>
      </w:tblGrid>
      <w:tr w:rsidR="00F42401" w:rsidRPr="00F42401" w14:paraId="27179CB5" w14:textId="77777777" w:rsidTr="00352A5B">
        <w:trPr>
          <w:cnfStyle w:val="100000000000" w:firstRow="1" w:lastRow="0" w:firstColumn="0" w:lastColumn="0" w:oddVBand="0" w:evenVBand="0" w:oddHBand="0"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val="restart"/>
            <w:hideMark/>
          </w:tcPr>
          <w:p w14:paraId="5BC170F7" w14:textId="77777777" w:rsidR="00F42401" w:rsidRPr="00F42401" w:rsidRDefault="00F42401" w:rsidP="00297DB0">
            <w:pPr>
              <w:spacing w:line="360" w:lineRule="auto"/>
              <w:jc w:val="center"/>
              <w:rPr>
                <w:rFonts w:ascii="Times New Roman" w:eastAsia="Times New Roman" w:hAnsi="Times New Roman" w:cs="Times New Roman"/>
                <w:sz w:val="28"/>
                <w:szCs w:val="28"/>
                <w:lang w:val="en-IN" w:eastAsia="en-IN"/>
              </w:rPr>
            </w:pPr>
            <w:r w:rsidRPr="00F42401">
              <w:rPr>
                <w:rFonts w:ascii="Times New Roman" w:eastAsia="Times New Roman" w:hAnsi="Times New Roman" w:cs="Times New Roman"/>
                <w:color w:val="000000"/>
                <w:sz w:val="28"/>
                <w:szCs w:val="28"/>
                <w:lang w:val="en-IN" w:eastAsia="en-IN"/>
              </w:rPr>
              <w:t>RATIO ANALYSIS</w:t>
            </w:r>
          </w:p>
        </w:tc>
      </w:tr>
      <w:tr w:rsidR="00F42401" w:rsidRPr="00F42401" w14:paraId="68550C6B" w14:textId="77777777" w:rsidTr="00297DB0">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hideMark/>
          </w:tcPr>
          <w:p w14:paraId="4FE39196"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tc>
      </w:tr>
      <w:tr w:rsidR="00F42401" w:rsidRPr="00F42401" w14:paraId="460E0845"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CA586A"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gridSpan w:val="2"/>
            <w:hideMark/>
          </w:tcPr>
          <w:p w14:paraId="6AAE916E"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w:t>
            </w:r>
          </w:p>
        </w:tc>
      </w:tr>
      <w:tr w:rsidR="00F42401" w:rsidRPr="00F42401" w14:paraId="50E27CFF"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601AB5"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PROFITABILITY RATIOS:</w:t>
            </w:r>
          </w:p>
        </w:tc>
        <w:tc>
          <w:tcPr>
            <w:tcW w:w="0" w:type="auto"/>
            <w:hideMark/>
          </w:tcPr>
          <w:p w14:paraId="38ED4ADA"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2023</w:t>
            </w:r>
          </w:p>
        </w:tc>
        <w:tc>
          <w:tcPr>
            <w:tcW w:w="0" w:type="auto"/>
            <w:hideMark/>
          </w:tcPr>
          <w:p w14:paraId="025D5069"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2022</w:t>
            </w:r>
          </w:p>
        </w:tc>
      </w:tr>
      <w:tr w:rsidR="00F42401" w:rsidRPr="00F42401" w14:paraId="4C6B0306"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BE22CF7"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Gross Margin</w:t>
            </w:r>
          </w:p>
        </w:tc>
        <w:tc>
          <w:tcPr>
            <w:tcW w:w="0" w:type="auto"/>
            <w:hideMark/>
          </w:tcPr>
          <w:p w14:paraId="4EE3C08B"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44.13%</w:t>
            </w:r>
          </w:p>
        </w:tc>
        <w:tc>
          <w:tcPr>
            <w:tcW w:w="0" w:type="auto"/>
            <w:hideMark/>
          </w:tcPr>
          <w:p w14:paraId="125E72E9"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54.01%</w:t>
            </w:r>
          </w:p>
        </w:tc>
      </w:tr>
      <w:tr w:rsidR="00F42401" w:rsidRPr="00F42401" w14:paraId="4CA133EA"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5FE7BA"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Gross Profit/Sales</w:t>
            </w:r>
          </w:p>
        </w:tc>
        <w:tc>
          <w:tcPr>
            <w:tcW w:w="0" w:type="auto"/>
            <w:hideMark/>
          </w:tcPr>
          <w:p w14:paraId="3A49AFA6"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37E44E6B"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674EFDAA"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517810"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Operating Margin</w:t>
            </w:r>
          </w:p>
        </w:tc>
        <w:tc>
          <w:tcPr>
            <w:tcW w:w="0" w:type="auto"/>
            <w:hideMark/>
          </w:tcPr>
          <w:p w14:paraId="5377F8C5"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29.82%</w:t>
            </w:r>
          </w:p>
        </w:tc>
        <w:tc>
          <w:tcPr>
            <w:tcW w:w="0" w:type="auto"/>
            <w:hideMark/>
          </w:tcPr>
          <w:p w14:paraId="3C8F7A2E"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37.77%</w:t>
            </w:r>
          </w:p>
        </w:tc>
      </w:tr>
      <w:tr w:rsidR="00F42401" w:rsidRPr="00F42401" w14:paraId="51558BD3"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C66637C"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Operating Income/Sales</w:t>
            </w:r>
          </w:p>
        </w:tc>
        <w:tc>
          <w:tcPr>
            <w:tcW w:w="0" w:type="auto"/>
            <w:hideMark/>
          </w:tcPr>
          <w:p w14:paraId="5F036822"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20BEC342"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754DF00B"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E1F71E"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Net Profit Margin</w:t>
            </w:r>
          </w:p>
        </w:tc>
        <w:tc>
          <w:tcPr>
            <w:tcW w:w="0" w:type="auto"/>
            <w:hideMark/>
          </w:tcPr>
          <w:p w14:paraId="4CD20F17"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25.31%</w:t>
            </w:r>
          </w:p>
        </w:tc>
        <w:tc>
          <w:tcPr>
            <w:tcW w:w="0" w:type="auto"/>
            <w:hideMark/>
          </w:tcPr>
          <w:p w14:paraId="3199D35A"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31.56%</w:t>
            </w:r>
          </w:p>
        </w:tc>
      </w:tr>
      <w:tr w:rsidR="00F42401" w:rsidRPr="00F42401" w14:paraId="4717CFE8"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FED9B8"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Net Income/Sales</w:t>
            </w:r>
          </w:p>
        </w:tc>
        <w:tc>
          <w:tcPr>
            <w:tcW w:w="0" w:type="auto"/>
            <w:hideMark/>
          </w:tcPr>
          <w:p w14:paraId="50F34E45"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210E9286"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127E9C28"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8FDE14"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Return on Equity (ROE)</w:t>
            </w:r>
          </w:p>
        </w:tc>
        <w:tc>
          <w:tcPr>
            <w:tcW w:w="0" w:type="auto"/>
            <w:hideMark/>
          </w:tcPr>
          <w:p w14:paraId="6547AD8F"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1.56</w:t>
            </w:r>
          </w:p>
        </w:tc>
        <w:tc>
          <w:tcPr>
            <w:tcW w:w="0" w:type="auto"/>
            <w:hideMark/>
          </w:tcPr>
          <w:p w14:paraId="09DA3061"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1.97</w:t>
            </w:r>
          </w:p>
        </w:tc>
      </w:tr>
      <w:tr w:rsidR="00F42401" w:rsidRPr="00F42401" w14:paraId="12C3048E"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3976BC"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Net Income/Tot.Equity</w:t>
            </w:r>
          </w:p>
        </w:tc>
        <w:tc>
          <w:tcPr>
            <w:tcW w:w="0" w:type="auto"/>
            <w:hideMark/>
          </w:tcPr>
          <w:p w14:paraId="1D8CD9B9"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3F89565D"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1DDC6A32"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927C19"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Return on Assets (ROA)</w:t>
            </w:r>
          </w:p>
        </w:tc>
        <w:tc>
          <w:tcPr>
            <w:tcW w:w="0" w:type="auto"/>
            <w:hideMark/>
          </w:tcPr>
          <w:p w14:paraId="34AFB3FC"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0.28</w:t>
            </w:r>
          </w:p>
        </w:tc>
        <w:tc>
          <w:tcPr>
            <w:tcW w:w="0" w:type="auto"/>
            <w:hideMark/>
          </w:tcPr>
          <w:p w14:paraId="53988969"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0.28</w:t>
            </w:r>
          </w:p>
        </w:tc>
      </w:tr>
      <w:tr w:rsidR="00F42401" w:rsidRPr="00F42401" w14:paraId="68E0C256"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E2CCF8"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Net Income/Total Assets</w:t>
            </w:r>
          </w:p>
        </w:tc>
        <w:tc>
          <w:tcPr>
            <w:tcW w:w="0" w:type="auto"/>
            <w:hideMark/>
          </w:tcPr>
          <w:p w14:paraId="36DE008A"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7DC77BAE"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20437647"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18C4E76"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Return on Capital Employed (ROCE)</w:t>
            </w:r>
          </w:p>
        </w:tc>
        <w:tc>
          <w:tcPr>
            <w:tcW w:w="0" w:type="auto"/>
            <w:hideMark/>
          </w:tcPr>
          <w:p w14:paraId="4EAAC9F3"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0.47</w:t>
            </w:r>
          </w:p>
        </w:tc>
        <w:tc>
          <w:tcPr>
            <w:tcW w:w="0" w:type="auto"/>
            <w:hideMark/>
          </w:tcPr>
          <w:p w14:paraId="09125B41"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0.50</w:t>
            </w:r>
          </w:p>
        </w:tc>
      </w:tr>
      <w:tr w:rsidR="00F42401" w:rsidRPr="00F42401" w14:paraId="720AED22"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1D34F8"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Net Income/Capital Employed</w:t>
            </w:r>
          </w:p>
        </w:tc>
        <w:tc>
          <w:tcPr>
            <w:tcW w:w="0" w:type="auto"/>
            <w:hideMark/>
          </w:tcPr>
          <w:p w14:paraId="1685EA42"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2A78A97D"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bl>
    <w:p w14:paraId="2838318E"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p w14:paraId="0ED1E656"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Table 1: Profitability Ratio calculation for Apple INC.</w:t>
      </w:r>
    </w:p>
    <w:p w14:paraId="257E2B3D"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Despite Apple's decreased earnings, it remains in a satisfactory financial position. Between 2022 and 2023, the profit margins decreased by about 10%. According to the discussion by Lu (2024), one possible explanation is that the expenses associated with manufacturing products rose, or perhaps there were constraints on the pricing of the products. The decrease in the net profit margin </w:t>
      </w:r>
      <w:r w:rsidRPr="00F42401">
        <w:rPr>
          <w:rFonts w:ascii="Times New Roman" w:eastAsia="Times New Roman" w:hAnsi="Times New Roman" w:cs="Times New Roman"/>
          <w:color w:val="000000"/>
          <w:sz w:val="24"/>
          <w:szCs w:val="24"/>
          <w:lang w:val="en-IN" w:eastAsia="en-IN"/>
        </w:rPr>
        <w:lastRenderedPageBreak/>
        <w:t>was very small, only 6.25%. The numbers for ROCE and ROE show that the profit is a little lower. Even though Apple has faced some problems, it still makes a lot of money, which shows that it is financially strong.</w:t>
      </w:r>
    </w:p>
    <w:p w14:paraId="744D8D43" w14:textId="77777777" w:rsidR="00F42401" w:rsidRPr="00F42401" w:rsidRDefault="00F42401" w:rsidP="00352A5B">
      <w:pPr>
        <w:pStyle w:val="Heading3"/>
      </w:pPr>
      <w:bookmarkStart w:id="8" w:name="_Toc162905753"/>
      <w:r w:rsidRPr="00F42401">
        <w:t>B.1.2 Liquidity Ratio Calculation</w:t>
      </w:r>
      <w:bookmarkEnd w:id="8"/>
      <w:r w:rsidRPr="00F42401">
        <w:t> </w:t>
      </w:r>
    </w:p>
    <w:tbl>
      <w:tblPr>
        <w:tblStyle w:val="GridTable4-Accent21"/>
        <w:tblW w:w="0" w:type="auto"/>
        <w:jc w:val="center"/>
        <w:tblLook w:val="04A0" w:firstRow="1" w:lastRow="0" w:firstColumn="1" w:lastColumn="0" w:noHBand="0" w:noVBand="1"/>
      </w:tblPr>
      <w:tblGrid>
        <w:gridCol w:w="3749"/>
        <w:gridCol w:w="696"/>
        <w:gridCol w:w="696"/>
      </w:tblGrid>
      <w:tr w:rsidR="00F42401" w:rsidRPr="00F42401" w14:paraId="20EAF4D6" w14:textId="77777777" w:rsidTr="00352A5B">
        <w:trPr>
          <w:cnfStyle w:val="100000000000" w:firstRow="1" w:lastRow="0" w:firstColumn="0" w:lastColumn="0" w:oddVBand="0" w:evenVBand="0" w:oddHBand="0"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val="restart"/>
            <w:hideMark/>
          </w:tcPr>
          <w:p w14:paraId="5E3135D4"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RATIO ANALYSIS</w:t>
            </w:r>
          </w:p>
        </w:tc>
      </w:tr>
      <w:tr w:rsidR="00F42401" w:rsidRPr="00F42401" w14:paraId="7DEBD035" w14:textId="77777777" w:rsidTr="00352A5B">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hideMark/>
          </w:tcPr>
          <w:p w14:paraId="70BF8204"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tc>
      </w:tr>
      <w:tr w:rsidR="00F42401" w:rsidRPr="00F42401" w14:paraId="332E7E51"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A9F6BBA"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gridSpan w:val="2"/>
            <w:hideMark/>
          </w:tcPr>
          <w:p w14:paraId="30F49CC2"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w:t>
            </w:r>
          </w:p>
        </w:tc>
      </w:tr>
      <w:tr w:rsidR="00F42401" w:rsidRPr="00F42401" w14:paraId="774352C8"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B0B9FA"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LIQUIDITY RATIOS:</w:t>
            </w:r>
          </w:p>
        </w:tc>
        <w:tc>
          <w:tcPr>
            <w:tcW w:w="0" w:type="auto"/>
            <w:hideMark/>
          </w:tcPr>
          <w:p w14:paraId="2BDB696A"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2023</w:t>
            </w:r>
          </w:p>
        </w:tc>
        <w:tc>
          <w:tcPr>
            <w:tcW w:w="0" w:type="auto"/>
            <w:hideMark/>
          </w:tcPr>
          <w:p w14:paraId="1B67C6D3"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2022</w:t>
            </w:r>
          </w:p>
        </w:tc>
      </w:tr>
      <w:tr w:rsidR="00F42401" w:rsidRPr="00F42401" w14:paraId="1A63B548"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CCBC375"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Current Ratio</w:t>
            </w:r>
          </w:p>
        </w:tc>
        <w:tc>
          <w:tcPr>
            <w:tcW w:w="0" w:type="auto"/>
            <w:hideMark/>
          </w:tcPr>
          <w:p w14:paraId="601642A2"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0.99</w:t>
            </w:r>
          </w:p>
        </w:tc>
        <w:tc>
          <w:tcPr>
            <w:tcW w:w="0" w:type="auto"/>
            <w:hideMark/>
          </w:tcPr>
          <w:p w14:paraId="510726AE"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0.88</w:t>
            </w:r>
          </w:p>
        </w:tc>
      </w:tr>
      <w:tr w:rsidR="00F42401" w:rsidRPr="00F42401" w14:paraId="6DC177E5"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2E5D59"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Current Assets/Current Liabilities</w:t>
            </w:r>
          </w:p>
        </w:tc>
        <w:tc>
          <w:tcPr>
            <w:tcW w:w="0" w:type="auto"/>
            <w:hideMark/>
          </w:tcPr>
          <w:p w14:paraId="53C02980"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0E04EB3F"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6170AB0E"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2218C3F"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Cash Ratio</w:t>
            </w:r>
          </w:p>
        </w:tc>
        <w:tc>
          <w:tcPr>
            <w:tcW w:w="0" w:type="auto"/>
            <w:hideMark/>
          </w:tcPr>
          <w:p w14:paraId="4C0E10B2"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0.21</w:t>
            </w:r>
          </w:p>
        </w:tc>
        <w:tc>
          <w:tcPr>
            <w:tcW w:w="0" w:type="auto"/>
            <w:hideMark/>
          </w:tcPr>
          <w:p w14:paraId="52A36543"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0.15</w:t>
            </w:r>
          </w:p>
        </w:tc>
      </w:tr>
      <w:tr w:rsidR="00F42401" w:rsidRPr="00F42401" w14:paraId="15794301"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5F319F"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Cash/Current Liabilities</w:t>
            </w:r>
          </w:p>
        </w:tc>
        <w:tc>
          <w:tcPr>
            <w:tcW w:w="0" w:type="auto"/>
            <w:hideMark/>
          </w:tcPr>
          <w:p w14:paraId="70FF6C10"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11E190B6"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bl>
    <w:p w14:paraId="680C2945"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Table 2: Liquidity Ratio calculation for Apple INC. </w:t>
      </w:r>
    </w:p>
    <w:p w14:paraId="359826D7"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After looking at Apple's financials in 2022 and 2023, it seems like the company is doing okay in terms of money. The current ratio, which shows if the company can pay its bills, went up a bit from 0.88 in 2022 to 0.99. This represents the ability to pay off debts more effectively by utilizing our current assets. On the other hand, the cash ratio, which shows the most money available right away for paying debts, is pretty low at 0.21 Although Apple is growing well right now, it can still improve its ability to have enough money on hand to handle any unexpected financial problems in the future (as suggested by Washington, 2023).</w:t>
      </w:r>
    </w:p>
    <w:p w14:paraId="2916D9BA" w14:textId="77777777" w:rsidR="00F42401" w:rsidRPr="00F42401" w:rsidRDefault="00F42401" w:rsidP="00352A5B">
      <w:pPr>
        <w:pStyle w:val="Heading3"/>
      </w:pPr>
      <w:bookmarkStart w:id="9" w:name="_Toc162905754"/>
      <w:r w:rsidRPr="00F42401">
        <w:t>B.1.3 Gearing/Leverage Ratio Calculation</w:t>
      </w:r>
      <w:bookmarkEnd w:id="9"/>
      <w:r w:rsidRPr="00F42401">
        <w:t> </w:t>
      </w:r>
    </w:p>
    <w:tbl>
      <w:tblPr>
        <w:tblStyle w:val="GridTable4-Accent31"/>
        <w:tblW w:w="0" w:type="auto"/>
        <w:jc w:val="center"/>
        <w:tblLook w:val="04A0" w:firstRow="1" w:lastRow="0" w:firstColumn="1" w:lastColumn="0" w:noHBand="0" w:noVBand="1"/>
      </w:tblPr>
      <w:tblGrid>
        <w:gridCol w:w="3627"/>
        <w:gridCol w:w="756"/>
        <w:gridCol w:w="756"/>
      </w:tblGrid>
      <w:tr w:rsidR="00F42401" w:rsidRPr="00F42401" w14:paraId="0AD9B6F6" w14:textId="77777777" w:rsidTr="00352A5B">
        <w:trPr>
          <w:cnfStyle w:val="100000000000" w:firstRow="1" w:lastRow="0" w:firstColumn="0" w:lastColumn="0" w:oddVBand="0" w:evenVBand="0" w:oddHBand="0"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val="restart"/>
            <w:hideMark/>
          </w:tcPr>
          <w:p w14:paraId="6CAB8351"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RATIO ANALYSIS</w:t>
            </w:r>
          </w:p>
        </w:tc>
      </w:tr>
      <w:tr w:rsidR="00F42401" w:rsidRPr="00F42401" w14:paraId="613B6D62" w14:textId="77777777" w:rsidTr="00352A5B">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hideMark/>
          </w:tcPr>
          <w:p w14:paraId="5D4CAAA5"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tc>
      </w:tr>
      <w:tr w:rsidR="00F42401" w:rsidRPr="00F42401" w14:paraId="3A18D861"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E02297"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gridSpan w:val="2"/>
            <w:hideMark/>
          </w:tcPr>
          <w:p w14:paraId="149BDA78"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w:t>
            </w:r>
          </w:p>
        </w:tc>
      </w:tr>
      <w:tr w:rsidR="00F42401" w:rsidRPr="00F42401" w14:paraId="6B90B596"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31D036"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LEVERAGE RATIOS:</w:t>
            </w:r>
          </w:p>
        </w:tc>
        <w:tc>
          <w:tcPr>
            <w:tcW w:w="0" w:type="auto"/>
            <w:hideMark/>
          </w:tcPr>
          <w:p w14:paraId="200D92B1"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2023</w:t>
            </w:r>
          </w:p>
        </w:tc>
        <w:tc>
          <w:tcPr>
            <w:tcW w:w="0" w:type="auto"/>
            <w:hideMark/>
          </w:tcPr>
          <w:p w14:paraId="43C1596E"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2022</w:t>
            </w:r>
          </w:p>
        </w:tc>
      </w:tr>
      <w:tr w:rsidR="00F42401" w:rsidRPr="00F42401" w14:paraId="354E33FB"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933986"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Debt/Equity Ratio</w:t>
            </w:r>
          </w:p>
        </w:tc>
        <w:tc>
          <w:tcPr>
            <w:tcW w:w="0" w:type="auto"/>
            <w:hideMark/>
          </w:tcPr>
          <w:p w14:paraId="1012913D"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1.53</w:t>
            </w:r>
          </w:p>
        </w:tc>
        <w:tc>
          <w:tcPr>
            <w:tcW w:w="0" w:type="auto"/>
            <w:hideMark/>
          </w:tcPr>
          <w:p w14:paraId="335A968B"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1.95</w:t>
            </w:r>
          </w:p>
        </w:tc>
      </w:tr>
      <w:tr w:rsidR="00F42401" w:rsidRPr="00F42401" w14:paraId="02D2EA8D"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2CE3BA"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lastRenderedPageBreak/>
              <w:t>Total Debt/Total Equity</w:t>
            </w:r>
          </w:p>
        </w:tc>
        <w:tc>
          <w:tcPr>
            <w:tcW w:w="0" w:type="auto"/>
            <w:hideMark/>
          </w:tcPr>
          <w:p w14:paraId="19290B3F"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56A13DF6"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75F93E42"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7CD113"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Debt/Capital Ratio</w:t>
            </w:r>
          </w:p>
        </w:tc>
        <w:tc>
          <w:tcPr>
            <w:tcW w:w="0" w:type="auto"/>
            <w:hideMark/>
          </w:tcPr>
          <w:p w14:paraId="7F6DCC66"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0.61</w:t>
            </w:r>
          </w:p>
        </w:tc>
        <w:tc>
          <w:tcPr>
            <w:tcW w:w="0" w:type="auto"/>
            <w:hideMark/>
          </w:tcPr>
          <w:p w14:paraId="3247579F"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0.66</w:t>
            </w:r>
          </w:p>
        </w:tc>
      </w:tr>
      <w:tr w:rsidR="00F42401" w:rsidRPr="00F42401" w14:paraId="7A9D515F"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5D65F76"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Total Debt/(Tot.Equity+To.Debt)</w:t>
            </w:r>
          </w:p>
        </w:tc>
        <w:tc>
          <w:tcPr>
            <w:tcW w:w="0" w:type="auto"/>
            <w:hideMark/>
          </w:tcPr>
          <w:p w14:paraId="3C192AE0"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2C8EBAB4"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6D36385B"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479C62"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Interest Coverage Ratio</w:t>
            </w:r>
          </w:p>
        </w:tc>
        <w:tc>
          <w:tcPr>
            <w:tcW w:w="0" w:type="auto"/>
            <w:hideMark/>
          </w:tcPr>
          <w:p w14:paraId="5646FA3F"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15.33</w:t>
            </w:r>
          </w:p>
        </w:tc>
        <w:tc>
          <w:tcPr>
            <w:tcW w:w="0" w:type="auto"/>
            <w:hideMark/>
          </w:tcPr>
          <w:p w14:paraId="7BFB27E3" w14:textId="77777777" w:rsidR="00F42401" w:rsidRPr="00F42401" w:rsidRDefault="00F42401" w:rsidP="00F4240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20.33</w:t>
            </w:r>
          </w:p>
        </w:tc>
      </w:tr>
      <w:tr w:rsidR="00F42401" w:rsidRPr="00F42401" w14:paraId="5C135759"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41CF5DD"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EBIT/Interest Expense</w:t>
            </w:r>
          </w:p>
        </w:tc>
        <w:tc>
          <w:tcPr>
            <w:tcW w:w="0" w:type="auto"/>
            <w:hideMark/>
          </w:tcPr>
          <w:p w14:paraId="76111465"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0848633A" w14:textId="77777777" w:rsidR="00F42401" w:rsidRPr="00F42401" w:rsidRDefault="00F42401" w:rsidP="00F4240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bl>
    <w:p w14:paraId="6D0AE2C5"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Table 3: Leverage Ratio calculation for Apple INC. </w:t>
      </w:r>
    </w:p>
    <w:p w14:paraId="55AA9FEB"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Based on the data, it looks like Apple is getting stronger financially for 2022 and 2023. The amount of money owed compared to the amount of money invested has gone down from 1.95 in 2022 to 1.53 This means relying less on borrowing money and having a better financial position. Likewise, the debt-to-capital ratio went down from 0.66 to 0.61, showing a better balance between the money the company owes and the money it has (CFI, 2023). However, as influenced by the author Chen (2022), it is important to mention that the organization's ability to pay interest with its operating revenues has decreased from 20.33 to 15.33, which may be a cause for concern. Overall, Apple is in a good financial position with a focus on managing its debt levels.</w:t>
      </w:r>
    </w:p>
    <w:p w14:paraId="0DC5DA0F" w14:textId="77777777" w:rsidR="00F42401" w:rsidRPr="00F42401" w:rsidRDefault="00F42401" w:rsidP="00352A5B">
      <w:pPr>
        <w:pStyle w:val="Heading3"/>
      </w:pPr>
      <w:bookmarkStart w:id="10" w:name="_Toc162905755"/>
      <w:r w:rsidRPr="00F42401">
        <w:t>B.1.4 Efficiency Ratio Calculation</w:t>
      </w:r>
      <w:bookmarkEnd w:id="10"/>
      <w:r w:rsidRPr="00F42401">
        <w:t> </w:t>
      </w:r>
    </w:p>
    <w:p w14:paraId="7A4B2333"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tbl>
      <w:tblPr>
        <w:tblStyle w:val="GridTable4-Accent41"/>
        <w:tblW w:w="0" w:type="auto"/>
        <w:jc w:val="center"/>
        <w:tblLook w:val="04A0" w:firstRow="1" w:lastRow="0" w:firstColumn="1" w:lastColumn="0" w:noHBand="0" w:noVBand="1"/>
      </w:tblPr>
      <w:tblGrid>
        <w:gridCol w:w="4946"/>
        <w:gridCol w:w="1130"/>
        <w:gridCol w:w="1130"/>
      </w:tblGrid>
      <w:tr w:rsidR="00F42401" w:rsidRPr="00F42401" w14:paraId="1A97008C" w14:textId="77777777" w:rsidTr="00352A5B">
        <w:trPr>
          <w:cnfStyle w:val="100000000000" w:firstRow="1" w:lastRow="0" w:firstColumn="0" w:lastColumn="0" w:oddVBand="0" w:evenVBand="0" w:oddHBand="0"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val="restart"/>
            <w:hideMark/>
          </w:tcPr>
          <w:p w14:paraId="2F924CBF"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RATIO ANALYSIS</w:t>
            </w:r>
          </w:p>
        </w:tc>
      </w:tr>
      <w:tr w:rsidR="00F42401" w:rsidRPr="00F42401" w14:paraId="557BDF97" w14:textId="77777777" w:rsidTr="00352A5B">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0" w:type="auto"/>
            <w:gridSpan w:val="3"/>
            <w:vMerge/>
            <w:hideMark/>
          </w:tcPr>
          <w:p w14:paraId="2DFCC770"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tc>
      </w:tr>
      <w:tr w:rsidR="00F42401" w:rsidRPr="00F42401" w14:paraId="07FD1187"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3D7DC6"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gridSpan w:val="2"/>
            <w:hideMark/>
          </w:tcPr>
          <w:p w14:paraId="2E0EC735"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w:t>
            </w:r>
          </w:p>
        </w:tc>
      </w:tr>
      <w:tr w:rsidR="00F42401" w:rsidRPr="00F42401" w14:paraId="7483AEC8"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961048"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EFFICIENCY RATIOS:</w:t>
            </w:r>
          </w:p>
        </w:tc>
        <w:tc>
          <w:tcPr>
            <w:tcW w:w="0" w:type="auto"/>
            <w:hideMark/>
          </w:tcPr>
          <w:p w14:paraId="21FB6264"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2023</w:t>
            </w:r>
          </w:p>
        </w:tc>
        <w:tc>
          <w:tcPr>
            <w:tcW w:w="0" w:type="auto"/>
            <w:hideMark/>
          </w:tcPr>
          <w:p w14:paraId="43FA4DB3"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2022</w:t>
            </w:r>
          </w:p>
        </w:tc>
      </w:tr>
      <w:tr w:rsidR="00F42401" w:rsidRPr="00F42401" w14:paraId="3558719D"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517ED"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Account Receivable Days</w:t>
            </w:r>
          </w:p>
        </w:tc>
        <w:tc>
          <w:tcPr>
            <w:tcW w:w="0" w:type="auto"/>
            <w:hideMark/>
          </w:tcPr>
          <w:p w14:paraId="5C03E73E"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50 Days</w:t>
            </w:r>
          </w:p>
        </w:tc>
        <w:tc>
          <w:tcPr>
            <w:tcW w:w="0" w:type="auto"/>
            <w:hideMark/>
          </w:tcPr>
          <w:p w14:paraId="1CCB1103"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71 Days</w:t>
            </w:r>
          </w:p>
        </w:tc>
      </w:tr>
      <w:tr w:rsidR="00F42401" w:rsidRPr="00F42401" w14:paraId="6BA13A0B"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0B5F7E"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(Account Receivable/Cost of Sales) x 365</w:t>
            </w:r>
          </w:p>
        </w:tc>
        <w:tc>
          <w:tcPr>
            <w:tcW w:w="0" w:type="auto"/>
            <w:hideMark/>
          </w:tcPr>
          <w:p w14:paraId="585B14E0"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393CC6BE"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354D0970"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3C9BBA"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Account Payable Days</w:t>
            </w:r>
          </w:p>
        </w:tc>
        <w:tc>
          <w:tcPr>
            <w:tcW w:w="0" w:type="auto"/>
            <w:hideMark/>
          </w:tcPr>
          <w:p w14:paraId="672EFF6A"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107 Days</w:t>
            </w:r>
          </w:p>
        </w:tc>
        <w:tc>
          <w:tcPr>
            <w:tcW w:w="0" w:type="auto"/>
            <w:hideMark/>
          </w:tcPr>
          <w:p w14:paraId="11098557"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161 Days</w:t>
            </w:r>
          </w:p>
        </w:tc>
      </w:tr>
      <w:tr w:rsidR="00F42401" w:rsidRPr="00F42401" w14:paraId="4F1317F7"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6FD551"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(Account Payable Days/Cost of Sales) x 365</w:t>
            </w:r>
          </w:p>
        </w:tc>
        <w:tc>
          <w:tcPr>
            <w:tcW w:w="0" w:type="auto"/>
            <w:hideMark/>
          </w:tcPr>
          <w:p w14:paraId="48577724"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5E827D70"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r w:rsidR="00F42401" w:rsidRPr="00F42401" w14:paraId="012FB02C" w14:textId="77777777" w:rsidTr="00352A5B">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8B3640"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Working Capital Cycle </w:t>
            </w:r>
          </w:p>
        </w:tc>
        <w:tc>
          <w:tcPr>
            <w:tcW w:w="0" w:type="auto"/>
            <w:hideMark/>
          </w:tcPr>
          <w:p w14:paraId="39ACEEB9"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-56 Days</w:t>
            </w:r>
          </w:p>
        </w:tc>
        <w:tc>
          <w:tcPr>
            <w:tcW w:w="0" w:type="auto"/>
            <w:hideMark/>
          </w:tcPr>
          <w:p w14:paraId="3A4EEEE6" w14:textId="77777777" w:rsidR="00F42401" w:rsidRPr="00F42401" w:rsidRDefault="00F42401" w:rsidP="00F4240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-90 Days</w:t>
            </w:r>
          </w:p>
        </w:tc>
      </w:tr>
      <w:tr w:rsidR="00F42401" w:rsidRPr="00F42401" w14:paraId="63A42AE0" w14:textId="77777777" w:rsidTr="00352A5B">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D862775"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Stock Period + Credit Period - Payable Period</w:t>
            </w:r>
          </w:p>
        </w:tc>
        <w:tc>
          <w:tcPr>
            <w:tcW w:w="0" w:type="auto"/>
            <w:hideMark/>
          </w:tcPr>
          <w:p w14:paraId="3EA47212"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c>
          <w:tcPr>
            <w:tcW w:w="0" w:type="auto"/>
            <w:hideMark/>
          </w:tcPr>
          <w:p w14:paraId="45B8F537" w14:textId="77777777" w:rsidR="00F42401" w:rsidRPr="00F42401" w:rsidRDefault="00F42401" w:rsidP="00F4240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w:t>
            </w:r>
          </w:p>
        </w:tc>
      </w:tr>
    </w:tbl>
    <w:p w14:paraId="2C0DC2CB" w14:textId="77777777" w:rsidR="00F42401" w:rsidRPr="00F42401" w:rsidRDefault="00F42401" w:rsidP="00F42401">
      <w:pPr>
        <w:spacing w:line="360" w:lineRule="auto"/>
        <w:rPr>
          <w:rFonts w:ascii="Times New Roman" w:eastAsia="Times New Roman" w:hAnsi="Times New Roman" w:cs="Times New Roman"/>
          <w:sz w:val="24"/>
          <w:szCs w:val="24"/>
          <w:lang w:val="en-IN" w:eastAsia="en-IN"/>
        </w:rPr>
      </w:pPr>
    </w:p>
    <w:p w14:paraId="26F6C369"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lastRenderedPageBreak/>
        <w:t>Table 4: Efficiency Ratio calculation for Apple INC. </w:t>
      </w:r>
    </w:p>
    <w:p w14:paraId="63B34891"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An examination of Apple's efficiency levels in 2022 and 2023 shows that the company is getting better at managing its money and this suggests that its financial performance is improving. The time it takes to paid by customers went from 71 days to 50 days, so </w:t>
      </w:r>
      <w:r w:rsidR="00EC77E3" w:rsidRPr="00F42401">
        <w:rPr>
          <w:rFonts w:ascii="Times New Roman" w:eastAsia="Times New Roman" w:hAnsi="Times New Roman" w:cs="Times New Roman"/>
          <w:color w:val="000000"/>
          <w:sz w:val="24"/>
          <w:szCs w:val="24"/>
          <w:lang w:val="en-IN" w:eastAsia="en-IN"/>
        </w:rPr>
        <w:t>we are</w:t>
      </w:r>
      <w:r w:rsidR="006B316E" w:rsidRPr="00F42401">
        <w:rPr>
          <w:rFonts w:ascii="Times New Roman" w:eastAsia="Times New Roman" w:hAnsi="Times New Roman" w:cs="Times New Roman"/>
          <w:color w:val="000000"/>
          <w:sz w:val="24"/>
          <w:szCs w:val="24"/>
          <w:lang w:val="en-IN" w:eastAsia="en-IN"/>
        </w:rPr>
        <w:t>being</w:t>
      </w:r>
      <w:r w:rsidRPr="00F42401">
        <w:rPr>
          <w:rFonts w:ascii="Times New Roman" w:eastAsia="Times New Roman" w:hAnsi="Times New Roman" w:cs="Times New Roman"/>
          <w:color w:val="000000"/>
          <w:sz w:val="24"/>
          <w:szCs w:val="24"/>
          <w:lang w:val="en-IN" w:eastAsia="en-IN"/>
        </w:rPr>
        <w:t xml:space="preserve"> paid faster. We have reduced the time it takes to pay bills from 161 days to 107 days, allowing us to make faster payments to our suppliers. Therefore, the time between getting money from sales and paying for materials has decreased from 90 days to 56 days. By accumulating funds from sales before having to pay its suppliers, Apple demonstrates proficient management of working capital and cash flow.</w:t>
      </w:r>
    </w:p>
    <w:p w14:paraId="6FF3D012" w14:textId="77777777" w:rsidR="00F42401" w:rsidRPr="00F42401" w:rsidRDefault="00F42401" w:rsidP="00352A5B">
      <w:pPr>
        <w:pStyle w:val="Heading2"/>
      </w:pPr>
      <w:bookmarkStart w:id="11" w:name="_Toc162905756"/>
      <w:r w:rsidRPr="00F42401">
        <w:t>B.2 Critical evaluation for the calculated ratios</w:t>
      </w:r>
      <w:bookmarkEnd w:id="11"/>
      <w:r w:rsidRPr="00F42401">
        <w:t> </w:t>
      </w:r>
    </w:p>
    <w:p w14:paraId="778223DE"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 critical evaluation of the ratios calculated for Apple and Microsoft reveals strengths and areas for improvement in their financial management strategies. </w:t>
      </w:r>
    </w:p>
    <w:p w14:paraId="56A6FA0D"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i/>
          <w:iCs/>
          <w:color w:val="000000"/>
          <w:sz w:val="24"/>
          <w:szCs w:val="24"/>
          <w:lang w:val="en-IN" w:eastAsia="en-IN"/>
        </w:rPr>
        <w:t>Liquidity Ratios:</w:t>
      </w:r>
    </w:p>
    <w:p w14:paraId="5ED3AF0B"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Apple has a slightly lower current ratio than the best range of 1.5 to 2. This indicates that the company may be lacking the expected amount of funds. The company has more cash available now, which means </w:t>
      </w:r>
      <w:r w:rsidR="008C5AC8" w:rsidRPr="00F42401">
        <w:rPr>
          <w:rFonts w:ascii="Times New Roman" w:eastAsia="Times New Roman" w:hAnsi="Times New Roman" w:cs="Times New Roman"/>
          <w:color w:val="000000"/>
          <w:sz w:val="24"/>
          <w:szCs w:val="24"/>
          <w:lang w:val="en-IN" w:eastAsia="en-IN"/>
        </w:rPr>
        <w:t>it is</w:t>
      </w:r>
      <w:r w:rsidRPr="00F42401">
        <w:rPr>
          <w:rFonts w:ascii="Times New Roman" w:eastAsia="Times New Roman" w:hAnsi="Times New Roman" w:cs="Times New Roman"/>
          <w:color w:val="000000"/>
          <w:sz w:val="24"/>
          <w:szCs w:val="24"/>
          <w:lang w:val="en-IN" w:eastAsia="en-IN"/>
        </w:rPr>
        <w:t xml:space="preserve"> better able to pay its bills on time. Alternatively, Microsoft has a lot of money and cash on hand, which is good for them.</w:t>
      </w:r>
    </w:p>
    <w:p w14:paraId="79EF2F88"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i/>
          <w:iCs/>
          <w:color w:val="000000"/>
          <w:sz w:val="24"/>
          <w:szCs w:val="24"/>
          <w:lang w:val="en-IN" w:eastAsia="en-IN"/>
        </w:rPr>
        <w:t>Leverage Ratios:</w:t>
      </w:r>
    </w:p>
    <w:p w14:paraId="67FF5BE1"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owes a lot more money compared to Microsoft and relies more on borrowing money to finance its operations. According to the opinion of Batrancea (2021), Apple may face the challenge of holding its interest rate steady, a problem stemming from its huge borrowing that could lead to financial risk and restrict its future borrowing ability. Microsoft's debt management has been impeccable. They are as low on debt as they used to be and can cover the interest on their loans easily.</w:t>
      </w:r>
    </w:p>
    <w:p w14:paraId="4A74C119"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i/>
          <w:iCs/>
          <w:color w:val="000000"/>
          <w:sz w:val="24"/>
          <w:szCs w:val="24"/>
          <w:lang w:val="en-IN" w:eastAsia="en-IN"/>
        </w:rPr>
        <w:t>Profitability Ratios:</w:t>
      </w:r>
    </w:p>
    <w:p w14:paraId="7C20A74F"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Profitability is a common feature of both industries, but Microsoft is always ahead of its rivals in terms of financial performance. Despite Apple being able to make money, it cuts the profit compared to the previous years. This could mean they may forced to look for ways that will help them to make more money </w:t>
      </w:r>
      <w:r w:rsidR="008C5AC8" w:rsidRPr="00F42401">
        <w:rPr>
          <w:rFonts w:ascii="Times New Roman" w:eastAsia="Times New Roman" w:hAnsi="Times New Roman" w:cs="Times New Roman"/>
          <w:color w:val="000000"/>
          <w:sz w:val="24"/>
          <w:szCs w:val="24"/>
          <w:lang w:val="en-IN" w:eastAsia="en-IN"/>
        </w:rPr>
        <w:t>while</w:t>
      </w:r>
      <w:r w:rsidRPr="00F42401">
        <w:rPr>
          <w:rFonts w:ascii="Times New Roman" w:eastAsia="Times New Roman" w:hAnsi="Times New Roman" w:cs="Times New Roman"/>
          <w:color w:val="000000"/>
          <w:sz w:val="24"/>
          <w:szCs w:val="24"/>
          <w:lang w:val="en-IN" w:eastAsia="en-IN"/>
        </w:rPr>
        <w:t xml:space="preserve"> remaining profitable (as influenced by Hasanuddin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2021).</w:t>
      </w:r>
    </w:p>
    <w:p w14:paraId="0BBF69A1"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i/>
          <w:iCs/>
          <w:color w:val="000000"/>
          <w:sz w:val="24"/>
          <w:szCs w:val="24"/>
          <w:lang w:val="en-IN" w:eastAsia="en-IN"/>
        </w:rPr>
        <w:t>Efficiency Ratios:</w:t>
      </w:r>
    </w:p>
    <w:p w14:paraId="4943F691"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can certainly deemed</w:t>
      </w:r>
      <w:r w:rsidR="00EC77E3" w:rsidRPr="00F42401">
        <w:rPr>
          <w:rFonts w:ascii="Times New Roman" w:eastAsia="Times New Roman" w:hAnsi="Times New Roman" w:cs="Times New Roman"/>
          <w:color w:val="000000"/>
          <w:sz w:val="24"/>
          <w:szCs w:val="24"/>
          <w:lang w:val="en-IN" w:eastAsia="en-IN"/>
        </w:rPr>
        <w:t>too</w:t>
      </w:r>
      <w:r w:rsidRPr="00F42401">
        <w:rPr>
          <w:rFonts w:ascii="Times New Roman" w:eastAsia="Times New Roman" w:hAnsi="Times New Roman" w:cs="Times New Roman"/>
          <w:color w:val="000000"/>
          <w:sz w:val="24"/>
          <w:szCs w:val="24"/>
          <w:lang w:val="en-IN" w:eastAsia="en-IN"/>
        </w:rPr>
        <w:t xml:space="preserve"> able to manage its funds well. They quickly get their cash into their hands and they do not have many debts from their customers. According to the discussion of </w:t>
      </w:r>
      <w:r w:rsidRPr="00F42401">
        <w:rPr>
          <w:rFonts w:ascii="Times New Roman" w:eastAsia="Times New Roman" w:hAnsi="Times New Roman" w:cs="Times New Roman"/>
          <w:color w:val="000000"/>
          <w:sz w:val="24"/>
          <w:szCs w:val="24"/>
          <w:lang w:val="en-IN" w:eastAsia="en-IN"/>
        </w:rPr>
        <w:lastRenderedPageBreak/>
        <w:t xml:space="preserve">Sharma and Chowhan (2014), it is observed that Microsoft has a very long payment period and a considerable number of days in which they </w:t>
      </w:r>
      <w:r w:rsidR="008C5AC8" w:rsidRPr="00F42401">
        <w:rPr>
          <w:rFonts w:ascii="Times New Roman" w:eastAsia="Times New Roman" w:hAnsi="Times New Roman" w:cs="Times New Roman"/>
          <w:color w:val="000000"/>
          <w:sz w:val="24"/>
          <w:szCs w:val="24"/>
          <w:lang w:val="en-IN" w:eastAsia="en-IN"/>
        </w:rPr>
        <w:t>have not</w:t>
      </w:r>
      <w:r w:rsidRPr="00F42401">
        <w:rPr>
          <w:rFonts w:ascii="Times New Roman" w:eastAsia="Times New Roman" w:hAnsi="Times New Roman" w:cs="Times New Roman"/>
          <w:color w:val="000000"/>
          <w:sz w:val="24"/>
          <w:szCs w:val="24"/>
          <w:lang w:val="en-IN" w:eastAsia="en-IN"/>
        </w:rPr>
        <w:t xml:space="preserve"> paid. It proves that they still need to work on collecting the money owed to them and look at ways to reduce the time it takes to convert sales into cash.</w:t>
      </w:r>
    </w:p>
    <w:p w14:paraId="4F56F18A"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i/>
          <w:iCs/>
          <w:color w:val="000000"/>
          <w:sz w:val="24"/>
          <w:szCs w:val="24"/>
          <w:lang w:val="en-IN" w:eastAsia="en-IN"/>
        </w:rPr>
        <w:t>Justification </w:t>
      </w:r>
    </w:p>
    <w:p w14:paraId="557D254E"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Financial projection and revenue observation of Apple Inc. has considered all of the necessary expenses and they contain much more assets to meet short-term liabilities. According to the opinion of Avagyan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(2021), there are worries about the company's ability to grow and maintain financial stability in the future, as its mounting debt and declining profits are causing concern. The company could do a better job of managing its money. To deal with these problems, Apple could think about doing things like slowly paying off its debts, finding ways to save money, and finding new ways to make money so it can stay successful and safe from risks. Microsoft may consider improving how they collect money they are owed and making their business operations more efficient to help manage their cash flow better (as influenced by the author Zhou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2021). As suggested by the author Agrawal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(2019), it is vital to investigate these features in conjunction with other variables, such as the competitive standing of the company, shifts in the industry, and long-term growth goals. </w:t>
      </w:r>
      <w:r w:rsidR="008C5AC8" w:rsidRPr="00F42401">
        <w:rPr>
          <w:rFonts w:ascii="Times New Roman" w:eastAsia="Times New Roman" w:hAnsi="Times New Roman" w:cs="Times New Roman"/>
          <w:color w:val="000000"/>
          <w:sz w:val="24"/>
          <w:szCs w:val="24"/>
          <w:lang w:val="en-IN" w:eastAsia="en-IN"/>
        </w:rPr>
        <w:t>It is</w:t>
      </w:r>
      <w:r w:rsidRPr="00F42401">
        <w:rPr>
          <w:rFonts w:ascii="Times New Roman" w:eastAsia="Times New Roman" w:hAnsi="Times New Roman" w:cs="Times New Roman"/>
          <w:color w:val="000000"/>
          <w:sz w:val="24"/>
          <w:szCs w:val="24"/>
          <w:lang w:val="en-IN" w:eastAsia="en-IN"/>
        </w:rPr>
        <w:t xml:space="preserve"> essential to understand that these numbers only give a snapshot of the business's financial status. </w:t>
      </w:r>
    </w:p>
    <w:p w14:paraId="3D0D09F0" w14:textId="77777777" w:rsidR="00F42401" w:rsidRPr="00F42401" w:rsidRDefault="00F42401" w:rsidP="00352A5B">
      <w:pPr>
        <w:pStyle w:val="Heading2"/>
      </w:pPr>
      <w:bookmarkStart w:id="12" w:name="_Toc162905757"/>
      <w:r w:rsidRPr="00F42401">
        <w:lastRenderedPageBreak/>
        <w:t>B.3 Comparison of financial ratios: Apple Inc. vs. Microsoft</w:t>
      </w:r>
      <w:bookmarkEnd w:id="12"/>
      <w:r w:rsidRPr="00F42401">
        <w:t> </w:t>
      </w:r>
    </w:p>
    <w:p w14:paraId="3843058B" w14:textId="77777777" w:rsidR="00F42401" w:rsidRPr="00F42401" w:rsidRDefault="00F42401" w:rsidP="00352A5B">
      <w:pPr>
        <w:pStyle w:val="Heading3"/>
      </w:pPr>
      <w:bookmarkStart w:id="13" w:name="_Toc162905758"/>
      <w:r w:rsidRPr="00F42401">
        <w:t>B.3.1 Comparison of Profitability Ratio</w:t>
      </w:r>
      <w:bookmarkEnd w:id="13"/>
      <w:r w:rsidRPr="00F42401">
        <w:t> </w:t>
      </w:r>
    </w:p>
    <w:p w14:paraId="7E3878AA" w14:textId="77777777" w:rsidR="00F42401" w:rsidRPr="00F42401" w:rsidRDefault="00B30FC7" w:rsidP="00B30FC7">
      <w:pPr>
        <w:spacing w:line="360" w:lineRule="auto"/>
        <w:jc w:val="center"/>
        <w:rPr>
          <w:rFonts w:ascii="Times New Roman" w:eastAsia="Times New Roman" w:hAnsi="Times New Roman" w:cs="Times New Roman"/>
          <w:sz w:val="24"/>
          <w:szCs w:val="24"/>
          <w:lang w:val="en-IN" w:eastAsia="en-IN"/>
        </w:rPr>
      </w:pPr>
      <w:r>
        <w:rPr>
          <w:noProof/>
        </w:rPr>
        <w:drawing>
          <wp:inline distT="0" distB="0" distL="0" distR="0" wp14:anchorId="1BDC1EBD" wp14:editId="6693EB16">
            <wp:extent cx="5943600" cy="3084394"/>
            <wp:effectExtent l="0" t="0" r="0" b="190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7A036C"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Figure 3: Visualization of Profitability Ratio comparison </w:t>
      </w:r>
    </w:p>
    <w:p w14:paraId="7EE23533"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(Source: Apple, 2023; Microsoft, 2023)</w:t>
      </w:r>
    </w:p>
    <w:p w14:paraId="471FE61B"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Based on the profitability ratio analysis of Apple and Microsoft for 2022 and 2023, both companies exhibit strong financial performance, albeit with some differences in specific ratios. Apple's gross margin remained relatively stable, hovering around 44% to 54%, indicating a consistent ability to generate profits from its sales. Between 2022 and 2023, the company made less money and had lower returns on its investments. The declining trend suggests that we might have to trim expenses or find ways to bring in additional money. </w:t>
      </w:r>
    </w:p>
    <w:p w14:paraId="2DCB67F6"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On the other hand, Microsoft made more money than it spent because it raised prices and kept expenses low. As discussed by the author Eggert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(2013), despite experiencing a slight dip in revenue from its core operations, the company continued to generate the same level of profit from its stocks, assets, and capital, demonstrating sustained financial success. Microsoft makes a lot of money, so it seems like they are good at handling their money compared to other companies. The company makes a lot of money. In the past, it made money for its owners and managed its money and investments well. This makes it more </w:t>
      </w:r>
      <w:r w:rsidR="008C5AC8" w:rsidRPr="00F42401">
        <w:rPr>
          <w:rFonts w:ascii="Times New Roman" w:eastAsia="Times New Roman" w:hAnsi="Times New Roman" w:cs="Times New Roman"/>
          <w:color w:val="000000"/>
          <w:sz w:val="24"/>
          <w:szCs w:val="24"/>
          <w:lang w:val="en-IN" w:eastAsia="en-IN"/>
        </w:rPr>
        <w:t>likely,</w:t>
      </w:r>
      <w:r w:rsidRPr="00F42401">
        <w:rPr>
          <w:rFonts w:ascii="Times New Roman" w:eastAsia="Times New Roman" w:hAnsi="Times New Roman" w:cs="Times New Roman"/>
          <w:color w:val="000000"/>
          <w:sz w:val="24"/>
          <w:szCs w:val="24"/>
          <w:lang w:val="en-IN" w:eastAsia="en-IN"/>
        </w:rPr>
        <w:t xml:space="preserve"> that the business will make money (as influenced by George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2021). Even though Apple is a big and successful company, it may need to find new ways to make money to avoid owing money.</w:t>
      </w:r>
    </w:p>
    <w:p w14:paraId="6F600D26" w14:textId="77777777" w:rsidR="00F42401" w:rsidRPr="00F42401" w:rsidRDefault="00F42401" w:rsidP="00352A5B">
      <w:pPr>
        <w:pStyle w:val="Heading3"/>
      </w:pPr>
      <w:bookmarkStart w:id="14" w:name="_Toc162905759"/>
      <w:r w:rsidRPr="00F42401">
        <w:lastRenderedPageBreak/>
        <w:t>B.3.2 Comparison of Liquidity Ratio</w:t>
      </w:r>
      <w:bookmarkEnd w:id="14"/>
      <w:r w:rsidRPr="00F42401">
        <w:t> </w:t>
      </w:r>
    </w:p>
    <w:p w14:paraId="52E56144" w14:textId="77777777" w:rsidR="00F42401" w:rsidRPr="00F42401" w:rsidRDefault="00B30FC7" w:rsidP="00B30FC7">
      <w:pPr>
        <w:spacing w:line="360" w:lineRule="auto"/>
        <w:jc w:val="center"/>
        <w:rPr>
          <w:rFonts w:ascii="Times New Roman" w:eastAsia="Times New Roman" w:hAnsi="Times New Roman" w:cs="Times New Roman"/>
          <w:sz w:val="24"/>
          <w:szCs w:val="24"/>
          <w:lang w:val="en-IN" w:eastAsia="en-IN"/>
        </w:rPr>
      </w:pPr>
      <w:r>
        <w:rPr>
          <w:noProof/>
        </w:rPr>
        <w:drawing>
          <wp:inline distT="0" distB="0" distL="0" distR="0" wp14:anchorId="53AE8E32" wp14:editId="6A9200E2">
            <wp:extent cx="5049160" cy="368427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D14E49"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Figure 4: Visualization of Liquidity Ratio comparison </w:t>
      </w:r>
    </w:p>
    <w:p w14:paraId="2CB52588"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(Source: Apple, 2023; Microsoft, 2023)</w:t>
      </w:r>
    </w:p>
    <w:p w14:paraId="3C6D922C"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The current ratio of Microsoft, which shows the firm's ability to quickly settle its financial obligations, is in a </w:t>
      </w:r>
      <w:r w:rsidR="008C5AC8" w:rsidRPr="00F42401">
        <w:rPr>
          <w:rFonts w:ascii="Times New Roman" w:eastAsia="Times New Roman" w:hAnsi="Times New Roman" w:cs="Times New Roman"/>
          <w:color w:val="000000"/>
          <w:sz w:val="24"/>
          <w:szCs w:val="24"/>
          <w:lang w:val="en-IN" w:eastAsia="en-IN"/>
        </w:rPr>
        <w:t>narrow</w:t>
      </w:r>
      <w:r w:rsidRPr="00F42401">
        <w:rPr>
          <w:rFonts w:ascii="Times New Roman" w:eastAsia="Times New Roman" w:hAnsi="Times New Roman" w:cs="Times New Roman"/>
          <w:color w:val="000000"/>
          <w:sz w:val="24"/>
          <w:szCs w:val="24"/>
          <w:lang w:val="en-IN" w:eastAsia="en-IN"/>
        </w:rPr>
        <w:t xml:space="preserve"> range of 1.77 to 1.78. The company has enough current assets to return the current liabilities at present. While the cash ratio of the company by the end of 2022 was equal to 0.15 and that of 2023 was equal to 0.33, the latter indicates that the company has more money on hand. </w:t>
      </w:r>
    </w:p>
    <w:p w14:paraId="528D6B90"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On the contrary, Apple shows a moderate current ratio in 2023, which is higher than Microsoft's ratios of 0.88 in 2022 and 0.99 in 2023. Despite a technical increase, the ratio remains very close to one, which is virtually a synonym for a tighter liquidity framework. In particular, though Apple's cash ratio is still lower than Microsoft's, it has been improving from 0.15 in 2022 to 0.21 in 2023, showing a rising cash strength. Microsoft's liquidity ratios illustrate more robust and stable cash and financial flow in a comparative analysis. According to Errida and Lotfi (2021), the ability of the organization to immediately meet its mature obligations is highly stressed by its persistently elevated current ratio and progressively improved cash ratio. A higher degree of liquidity is also implied. Even if Apple has an adequate liquidity status, it could focus on either increasing the </w:t>
      </w:r>
      <w:r w:rsidRPr="00F42401">
        <w:rPr>
          <w:rFonts w:ascii="Times New Roman" w:eastAsia="Times New Roman" w:hAnsi="Times New Roman" w:cs="Times New Roman"/>
          <w:color w:val="000000"/>
          <w:sz w:val="24"/>
          <w:szCs w:val="24"/>
          <w:lang w:val="en-IN" w:eastAsia="en-IN"/>
        </w:rPr>
        <w:lastRenderedPageBreak/>
        <w:t>company’s current assets or managing the current liabilities better to raise the already satisfactory liquidity coverage ratio.</w:t>
      </w:r>
    </w:p>
    <w:p w14:paraId="16645B64" w14:textId="77777777" w:rsidR="00F42401" w:rsidRPr="00F42401" w:rsidRDefault="00F42401" w:rsidP="00352A5B">
      <w:pPr>
        <w:pStyle w:val="Heading3"/>
      </w:pPr>
      <w:bookmarkStart w:id="15" w:name="_Toc162905760"/>
      <w:r w:rsidRPr="00F42401">
        <w:t>B.3.3 Comparison of Gearing/Leverage Ratio</w:t>
      </w:r>
      <w:bookmarkEnd w:id="15"/>
      <w:r w:rsidRPr="00F42401">
        <w:t> </w:t>
      </w:r>
    </w:p>
    <w:p w14:paraId="2312CA45" w14:textId="77777777" w:rsidR="00F42401" w:rsidRPr="00F42401" w:rsidRDefault="00236294" w:rsidP="00236294">
      <w:pPr>
        <w:spacing w:line="360" w:lineRule="auto"/>
        <w:jc w:val="center"/>
        <w:rPr>
          <w:rFonts w:ascii="Times New Roman" w:eastAsia="Times New Roman" w:hAnsi="Times New Roman" w:cs="Times New Roman"/>
          <w:sz w:val="24"/>
          <w:szCs w:val="24"/>
          <w:lang w:val="en-IN" w:eastAsia="en-IN"/>
        </w:rPr>
      </w:pPr>
      <w:r>
        <w:rPr>
          <w:noProof/>
        </w:rPr>
        <w:drawing>
          <wp:inline distT="0" distB="0" distL="0" distR="0" wp14:anchorId="7E38CD71" wp14:editId="642E651B">
            <wp:extent cx="4944110" cy="3296093"/>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E682B9"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Figure 5: Visualization of Leverage Ratio Comparison </w:t>
      </w:r>
    </w:p>
    <w:p w14:paraId="0031BBE4"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(Source: Apple, 2023; Microsoft, 2023)</w:t>
      </w:r>
    </w:p>
    <w:p w14:paraId="0F01D4A6"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The decline of Microsoft's debt-to-equity ratio from 0.89 in 2022 to 0.72 in 2023 reveals that the company has accumulated a better equity position and relies less on debt financing. Likewise, the balance between debt and capital seems to be improved as the debt-to-capital ratio comes out lower from 0.47 to 0.42. However, there could be a problem in paying off the interest costs from operation profit since the interest coverage ratio declined from 14.20 to 11.87. On the other hand, in contrast to Microsoft, Apple has "</w:t>
      </w:r>
      <w:r w:rsidRPr="00F42401">
        <w:rPr>
          <w:rFonts w:ascii="Times New Roman" w:eastAsia="Times New Roman" w:hAnsi="Times New Roman" w:cs="Times New Roman"/>
          <w:b/>
          <w:bCs/>
          <w:i/>
          <w:iCs/>
          <w:color w:val="000000"/>
          <w:sz w:val="24"/>
          <w:szCs w:val="24"/>
          <w:lang w:val="en-IN" w:eastAsia="en-IN"/>
        </w:rPr>
        <w:t>a higher debt compared to total assets</w:t>
      </w:r>
      <w:r w:rsidRPr="00F42401">
        <w:rPr>
          <w:rFonts w:ascii="Times New Roman" w:eastAsia="Times New Roman" w:hAnsi="Times New Roman" w:cs="Times New Roman"/>
          <w:color w:val="000000"/>
          <w:sz w:val="24"/>
          <w:szCs w:val="24"/>
          <w:lang w:val="en-IN" w:eastAsia="en-IN"/>
        </w:rPr>
        <w:t>". In the year 2023, the debt to equity and debt to capital ratios of Apple are 0.153 and 0.061 respectively. The company may face financial risk since its ratios are higher which implies that the company is borrowing money more for the projects. However, Apple can cover its interest expenses from its operating profits better in 2023 with an interest coverage ratio of 15.33 (Microsoft, 2023).</w:t>
      </w:r>
    </w:p>
    <w:p w14:paraId="5447AE56"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When comparing, it seems like Microsoft has a better and stronger financial position because of its </w:t>
      </w:r>
      <w:r w:rsidR="008C5AC8" w:rsidRPr="00F42401">
        <w:rPr>
          <w:rFonts w:ascii="Times New Roman" w:eastAsia="Times New Roman" w:hAnsi="Times New Roman" w:cs="Times New Roman"/>
          <w:color w:val="000000"/>
          <w:sz w:val="24"/>
          <w:szCs w:val="24"/>
          <w:lang w:val="en-IN" w:eastAsia="en-IN"/>
        </w:rPr>
        <w:t>advantage</w:t>
      </w:r>
      <w:r w:rsidRPr="00F42401">
        <w:rPr>
          <w:rFonts w:ascii="Times New Roman" w:eastAsia="Times New Roman" w:hAnsi="Times New Roman" w:cs="Times New Roman"/>
          <w:color w:val="000000"/>
          <w:sz w:val="24"/>
          <w:szCs w:val="24"/>
          <w:lang w:val="en-IN" w:eastAsia="en-IN"/>
        </w:rPr>
        <w:t xml:space="preserve"> ratios. The company's debt is not excessive in its value and assets, ensuring that it can still meet its interest payments (Sahu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2018). This means they are being cautious with </w:t>
      </w:r>
      <w:r w:rsidRPr="00F42401">
        <w:rPr>
          <w:rFonts w:ascii="Times New Roman" w:eastAsia="Times New Roman" w:hAnsi="Times New Roman" w:cs="Times New Roman"/>
          <w:color w:val="000000"/>
          <w:sz w:val="24"/>
          <w:szCs w:val="24"/>
          <w:lang w:val="en-IN" w:eastAsia="en-IN"/>
        </w:rPr>
        <w:lastRenderedPageBreak/>
        <w:t>their debt and are at lower risk financially. Apple should try to rely less on borrowing money and work on improving its overall financial situation to lower its risk.</w:t>
      </w:r>
    </w:p>
    <w:p w14:paraId="5CF7ECC4" w14:textId="77777777" w:rsidR="00F42401" w:rsidRPr="00F42401" w:rsidRDefault="00F42401" w:rsidP="00352A5B">
      <w:pPr>
        <w:pStyle w:val="Heading3"/>
      </w:pPr>
      <w:bookmarkStart w:id="16" w:name="_Toc162905761"/>
      <w:r w:rsidRPr="00F42401">
        <w:t>B.3.4 Comparison of Efficiency Ratio</w:t>
      </w:r>
      <w:bookmarkEnd w:id="16"/>
      <w:r w:rsidRPr="00F42401">
        <w:t> </w:t>
      </w:r>
    </w:p>
    <w:p w14:paraId="2E431137" w14:textId="77777777" w:rsidR="00F42401" w:rsidRPr="00F42401" w:rsidRDefault="00236294" w:rsidP="00236294">
      <w:pPr>
        <w:spacing w:line="360" w:lineRule="auto"/>
        <w:jc w:val="center"/>
        <w:rPr>
          <w:rFonts w:ascii="Times New Roman" w:eastAsia="Times New Roman" w:hAnsi="Times New Roman" w:cs="Times New Roman"/>
          <w:sz w:val="24"/>
          <w:szCs w:val="24"/>
          <w:lang w:val="en-IN" w:eastAsia="en-IN"/>
        </w:rPr>
      </w:pPr>
      <w:r>
        <w:rPr>
          <w:noProof/>
        </w:rPr>
        <w:drawing>
          <wp:inline distT="0" distB="0" distL="0" distR="0" wp14:anchorId="62E99CCA" wp14:editId="3730E55F">
            <wp:extent cx="5081905" cy="3583172"/>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DF8480A"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b/>
          <w:bCs/>
          <w:color w:val="000000"/>
          <w:sz w:val="24"/>
          <w:szCs w:val="24"/>
          <w:lang w:val="en-IN" w:eastAsia="en-IN"/>
        </w:rPr>
        <w:t>Figure 6: Visualization of Efficiency Ratio Comparison </w:t>
      </w:r>
    </w:p>
    <w:p w14:paraId="18F09867" w14:textId="77777777" w:rsidR="00F42401" w:rsidRPr="00F42401" w:rsidRDefault="00F42401" w:rsidP="00F42401">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(Source: Apple, 2023; Microsoft, 2023)</w:t>
      </w:r>
    </w:p>
    <w:p w14:paraId="6113690E" w14:textId="77777777" w:rsidR="00F42401" w:rsidRPr="00F42401" w:rsidRDefault="00F42401" w:rsidP="00F42401">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Microsoft's accounts receivable days are significantly higher than Apple's, standing at 270 days in 2023 and 258 days in 2022. This indicates a slower collection of customer payments, which could </w:t>
      </w:r>
      <w:r w:rsidR="008C5AC8" w:rsidRPr="00F42401">
        <w:rPr>
          <w:rFonts w:ascii="Times New Roman" w:eastAsia="Times New Roman" w:hAnsi="Times New Roman" w:cs="Times New Roman"/>
          <w:color w:val="000000"/>
          <w:sz w:val="24"/>
          <w:szCs w:val="24"/>
          <w:lang w:val="en-IN" w:eastAsia="en-IN"/>
        </w:rPr>
        <w:t>affect</w:t>
      </w:r>
      <w:r w:rsidRPr="00F42401">
        <w:rPr>
          <w:rFonts w:ascii="Times New Roman" w:eastAsia="Times New Roman" w:hAnsi="Times New Roman" w:cs="Times New Roman"/>
          <w:color w:val="000000"/>
          <w:sz w:val="24"/>
          <w:szCs w:val="24"/>
          <w:lang w:val="en-IN" w:eastAsia="en-IN"/>
        </w:rPr>
        <w:t xml:space="preserve"> cash flow and liquidity. However, Microsoft's accounts payable days are lower, ranging from 100 to 111 days, suggesting a more efficient payment schedule to suppliers. Consequently, Microsoft's working capital cycle, which measures the time between paying for raw materials and receiving cash from sales, is relatively high at 170 days in 2023 and 147 days in 2022, indicating a longer cash conversion cycle (Apple, 2023; Microsoft, 2023). In contrast, Apple receives payment from its customers relatively quickly, with only 50 days in 2023 and 71 days in 2022 for the </w:t>
      </w:r>
      <w:r w:rsidR="008C5AC8" w:rsidRPr="00F42401">
        <w:rPr>
          <w:rFonts w:ascii="Times New Roman" w:eastAsia="Times New Roman" w:hAnsi="Times New Roman" w:cs="Times New Roman"/>
          <w:color w:val="000000"/>
          <w:sz w:val="24"/>
          <w:szCs w:val="24"/>
          <w:lang w:val="en-IN" w:eastAsia="en-IN"/>
        </w:rPr>
        <w:t>money,</w:t>
      </w:r>
      <w:r w:rsidRPr="00F42401">
        <w:rPr>
          <w:rFonts w:ascii="Times New Roman" w:eastAsia="Times New Roman" w:hAnsi="Times New Roman" w:cs="Times New Roman"/>
          <w:color w:val="000000"/>
          <w:sz w:val="24"/>
          <w:szCs w:val="24"/>
          <w:lang w:val="en-IN" w:eastAsia="en-IN"/>
        </w:rPr>
        <w:t xml:space="preserve"> they are owed. </w:t>
      </w:r>
      <w:r w:rsidR="008C5AC8" w:rsidRPr="00F42401">
        <w:rPr>
          <w:rFonts w:ascii="Times New Roman" w:eastAsia="Times New Roman" w:hAnsi="Times New Roman" w:cs="Times New Roman"/>
          <w:color w:val="000000"/>
          <w:sz w:val="24"/>
          <w:szCs w:val="24"/>
          <w:lang w:val="en-IN" w:eastAsia="en-IN"/>
        </w:rPr>
        <w:t>In addition</w:t>
      </w:r>
      <w:r w:rsidRPr="00F42401">
        <w:rPr>
          <w:rFonts w:ascii="Times New Roman" w:eastAsia="Times New Roman" w:hAnsi="Times New Roman" w:cs="Times New Roman"/>
          <w:color w:val="000000"/>
          <w:sz w:val="24"/>
          <w:szCs w:val="24"/>
          <w:lang w:val="en-IN" w:eastAsia="en-IN"/>
        </w:rPr>
        <w:t xml:space="preserve">, Apple takes longer to pay its bills than Microsoft. It takes Apple 107 to 161 days to pay its suppliers, while Microsoft pays its suppliers more quickly. </w:t>
      </w:r>
      <w:r w:rsidR="008C5AC8" w:rsidRPr="00F42401">
        <w:rPr>
          <w:rFonts w:ascii="Times New Roman" w:eastAsia="Times New Roman" w:hAnsi="Times New Roman" w:cs="Times New Roman"/>
          <w:color w:val="000000"/>
          <w:sz w:val="24"/>
          <w:szCs w:val="24"/>
          <w:lang w:val="en-IN" w:eastAsia="en-IN"/>
        </w:rPr>
        <w:t>Therefore</w:t>
      </w:r>
      <w:r w:rsidRPr="00F42401">
        <w:rPr>
          <w:rFonts w:ascii="Times New Roman" w:eastAsia="Times New Roman" w:hAnsi="Times New Roman" w:cs="Times New Roman"/>
          <w:color w:val="000000"/>
          <w:sz w:val="24"/>
          <w:szCs w:val="24"/>
          <w:lang w:val="en-IN" w:eastAsia="en-IN"/>
        </w:rPr>
        <w:t xml:space="preserve">, Apple </w:t>
      </w:r>
      <w:r w:rsidR="008C5AC8" w:rsidRPr="00F42401">
        <w:rPr>
          <w:rFonts w:ascii="Times New Roman" w:eastAsia="Times New Roman" w:hAnsi="Times New Roman" w:cs="Times New Roman"/>
          <w:color w:val="000000"/>
          <w:sz w:val="24"/>
          <w:szCs w:val="24"/>
          <w:lang w:val="en-IN" w:eastAsia="en-IN"/>
        </w:rPr>
        <w:t>does not</w:t>
      </w:r>
      <w:r w:rsidRPr="00F42401">
        <w:rPr>
          <w:rFonts w:ascii="Times New Roman" w:eastAsia="Times New Roman" w:hAnsi="Times New Roman" w:cs="Times New Roman"/>
          <w:color w:val="000000"/>
          <w:sz w:val="24"/>
          <w:szCs w:val="24"/>
          <w:lang w:val="en-IN" w:eastAsia="en-IN"/>
        </w:rPr>
        <w:t xml:space="preserve"> have to wait long to collect money from its sales and use it to pay its suppliers. This shows that Apple manages its money well.</w:t>
      </w:r>
    </w:p>
    <w:p w14:paraId="40B21C6C"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lastRenderedPageBreak/>
        <w:t xml:space="preserve">In comparing companies, Apple seems to have better financial stability and health, based on how they use their money. The company's cash flow management has been </w:t>
      </w:r>
      <w:r w:rsidR="008C5AC8" w:rsidRPr="00F42401">
        <w:rPr>
          <w:rFonts w:ascii="Times New Roman" w:eastAsia="Times New Roman" w:hAnsi="Times New Roman" w:cs="Times New Roman"/>
          <w:color w:val="000000"/>
          <w:sz w:val="24"/>
          <w:szCs w:val="24"/>
          <w:lang w:val="en-IN" w:eastAsia="en-IN"/>
        </w:rPr>
        <w:t>successful;</w:t>
      </w:r>
      <w:r w:rsidRPr="00F42401">
        <w:rPr>
          <w:rFonts w:ascii="Times New Roman" w:eastAsia="Times New Roman" w:hAnsi="Times New Roman" w:cs="Times New Roman"/>
          <w:color w:val="000000"/>
          <w:sz w:val="24"/>
          <w:szCs w:val="24"/>
          <w:lang w:val="en-IN" w:eastAsia="en-IN"/>
        </w:rPr>
        <w:t xml:space="preserve"> as they have reduced the time it takes to receive payments and achieved a negative working capital cycle (Baños-Caballero </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2014). Microsoft might need to work on getting the money </w:t>
      </w:r>
      <w:r w:rsidR="008C5AC8" w:rsidRPr="00F42401">
        <w:rPr>
          <w:rFonts w:ascii="Times New Roman" w:eastAsia="Times New Roman" w:hAnsi="Times New Roman" w:cs="Times New Roman"/>
          <w:color w:val="000000"/>
          <w:sz w:val="24"/>
          <w:szCs w:val="24"/>
          <w:lang w:val="en-IN" w:eastAsia="en-IN"/>
        </w:rPr>
        <w:t>its</w:t>
      </w:r>
      <w:r w:rsidRPr="00F42401">
        <w:rPr>
          <w:rFonts w:ascii="Times New Roman" w:eastAsia="Times New Roman" w:hAnsi="Times New Roman" w:cs="Times New Roman"/>
          <w:color w:val="000000"/>
          <w:sz w:val="24"/>
          <w:szCs w:val="24"/>
          <w:lang w:val="en-IN" w:eastAsia="en-IN"/>
        </w:rPr>
        <w:t xml:space="preserve"> owed and using its money smarter to run its business better and have more cash on hand.</w:t>
      </w:r>
    </w:p>
    <w:p w14:paraId="0BF92903" w14:textId="77777777" w:rsidR="00F42401" w:rsidRPr="00F42401" w:rsidRDefault="00F42401" w:rsidP="00352A5B">
      <w:pPr>
        <w:pStyle w:val="Heading2"/>
      </w:pPr>
      <w:bookmarkStart w:id="17" w:name="_Toc162905762"/>
      <w:r w:rsidRPr="00F42401">
        <w:t>B.</w:t>
      </w:r>
      <w:r w:rsidR="00352A5B">
        <w:t>4</w:t>
      </w:r>
      <w:r w:rsidRPr="00F42401">
        <w:t xml:space="preserve"> Recommendations for improving the Financial Management</w:t>
      </w:r>
      <w:bookmarkEnd w:id="17"/>
      <w:r w:rsidRPr="00F42401">
        <w:t> </w:t>
      </w:r>
    </w:p>
    <w:p w14:paraId="70A72065" w14:textId="77777777" w:rsidR="00F42401" w:rsidRPr="00352A5B" w:rsidRDefault="00F42401" w:rsidP="00352A5B">
      <w:pPr>
        <w:pStyle w:val="ListParagraph"/>
        <w:numPr>
          <w:ilvl w:val="0"/>
          <w:numId w:val="1"/>
        </w:numPr>
        <w:spacing w:line="360" w:lineRule="auto"/>
        <w:jc w:val="both"/>
        <w:rPr>
          <w:rFonts w:ascii="Times New Roman" w:eastAsia="Times New Roman" w:hAnsi="Times New Roman" w:cs="Times New Roman"/>
          <w:sz w:val="24"/>
          <w:szCs w:val="24"/>
          <w:lang w:val="en-IN" w:eastAsia="en-IN"/>
        </w:rPr>
      </w:pPr>
      <w:r w:rsidRPr="00352A5B">
        <w:rPr>
          <w:rFonts w:ascii="Times New Roman" w:eastAsia="Times New Roman" w:hAnsi="Times New Roman" w:cs="Times New Roman"/>
          <w:b/>
          <w:bCs/>
          <w:color w:val="000000"/>
          <w:sz w:val="24"/>
          <w:szCs w:val="24"/>
          <w:lang w:val="en-IN" w:eastAsia="en-IN"/>
        </w:rPr>
        <w:t>Recommendation 1: Optimize capital structure and reduce leverage</w:t>
      </w:r>
    </w:p>
    <w:p w14:paraId="5692A765" w14:textId="77777777" w:rsidR="00F42401" w:rsidRPr="00F42401" w:rsidRDefault="00F42401" w:rsidP="007E6532">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Apple is contemplating a change in its approach to earning money. They might start using money from investors instead of borrowing. This could make their finances more stable and reduce the chance of losing money. According to the suggestion of Al-Hawatmah and Shaban (2023), this company can lessen the bad financial effects of having too much debt by managing its money and reducing how much it owes. This can help lower interest costs and give them more control over their finances. A fairer way of getting money from loans and investors would help the organization handle tough economic times and put money into growing in the future.</w:t>
      </w:r>
    </w:p>
    <w:p w14:paraId="532CAC53" w14:textId="77777777" w:rsidR="00F42401" w:rsidRPr="00352A5B" w:rsidRDefault="00F42401" w:rsidP="00352A5B">
      <w:pPr>
        <w:pStyle w:val="ListParagraph"/>
        <w:numPr>
          <w:ilvl w:val="0"/>
          <w:numId w:val="1"/>
        </w:numPr>
        <w:spacing w:line="360" w:lineRule="auto"/>
        <w:jc w:val="both"/>
        <w:rPr>
          <w:rFonts w:ascii="Times New Roman" w:eastAsia="Times New Roman" w:hAnsi="Times New Roman" w:cs="Times New Roman"/>
          <w:sz w:val="24"/>
          <w:szCs w:val="24"/>
          <w:lang w:val="en-IN" w:eastAsia="en-IN"/>
        </w:rPr>
      </w:pPr>
      <w:r w:rsidRPr="00352A5B">
        <w:rPr>
          <w:rFonts w:ascii="Times New Roman" w:eastAsia="Times New Roman" w:hAnsi="Times New Roman" w:cs="Times New Roman"/>
          <w:b/>
          <w:bCs/>
          <w:color w:val="000000"/>
          <w:sz w:val="24"/>
          <w:szCs w:val="24"/>
          <w:lang w:val="en-IN" w:eastAsia="en-IN"/>
        </w:rPr>
        <w:t>Recommendation 2: Enhance working capital management</w:t>
      </w:r>
    </w:p>
    <w:p w14:paraId="73DBD5CC" w14:textId="77777777" w:rsidR="00F42401" w:rsidRPr="00F42401" w:rsidRDefault="00F42401" w:rsidP="00352A5B">
      <w:pPr>
        <w:spacing w:line="360" w:lineRule="auto"/>
        <w:jc w:val="both"/>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 xml:space="preserve">Apple currently has a negative working capital cycle, which shows that they are good at managing their cash flow. </w:t>
      </w:r>
      <w:r w:rsidR="00175C64" w:rsidRPr="00F42401">
        <w:rPr>
          <w:rFonts w:ascii="Times New Roman" w:eastAsia="Times New Roman" w:hAnsi="Times New Roman" w:cs="Times New Roman"/>
          <w:color w:val="000000"/>
          <w:sz w:val="24"/>
          <w:szCs w:val="24"/>
          <w:lang w:val="en-IN" w:eastAsia="en-IN"/>
        </w:rPr>
        <w:t>Nevertheless,</w:t>
      </w:r>
      <w:r w:rsidRPr="00F42401">
        <w:rPr>
          <w:rFonts w:ascii="Times New Roman" w:eastAsia="Times New Roman" w:hAnsi="Times New Roman" w:cs="Times New Roman"/>
          <w:color w:val="000000"/>
          <w:sz w:val="24"/>
          <w:szCs w:val="24"/>
          <w:lang w:val="en-IN" w:eastAsia="en-IN"/>
        </w:rPr>
        <w:t xml:space="preserve"> they can still do better. The company should aim to improve by delaying payments to suppliers, streamlining inventory management, and enhancing the collection process for owed money. As suggested by Arhinful and Radmehr (2023), by managing its money better, Apple could make its operations run smoother, rely less on outside money, and make better use of its current assets. Controlling inventory, speeding up accounts </w:t>
      </w:r>
      <w:r w:rsidR="008C5AC8" w:rsidRPr="00F42401">
        <w:rPr>
          <w:rFonts w:ascii="Times New Roman" w:eastAsia="Times New Roman" w:hAnsi="Times New Roman" w:cs="Times New Roman"/>
          <w:color w:val="000000"/>
          <w:sz w:val="24"/>
          <w:szCs w:val="24"/>
          <w:lang w:val="en-IN" w:eastAsia="en-IN"/>
        </w:rPr>
        <w:t>receivable</w:t>
      </w:r>
      <w:r w:rsidRPr="00F42401">
        <w:rPr>
          <w:rFonts w:ascii="Times New Roman" w:eastAsia="Times New Roman" w:hAnsi="Times New Roman" w:cs="Times New Roman"/>
          <w:color w:val="000000"/>
          <w:sz w:val="24"/>
          <w:szCs w:val="24"/>
          <w:lang w:val="en-IN" w:eastAsia="en-IN"/>
        </w:rPr>
        <w:t xml:space="preserve"> and extending accounts payable can enable the company to access more cash for critical initiatives, shareholder payouts, and stock repurchases.</w:t>
      </w:r>
    </w:p>
    <w:p w14:paraId="53A5F7A8" w14:textId="77777777" w:rsidR="00F42401" w:rsidRPr="00352A5B" w:rsidRDefault="00F42401" w:rsidP="00352A5B">
      <w:pPr>
        <w:pStyle w:val="ListParagraph"/>
        <w:numPr>
          <w:ilvl w:val="0"/>
          <w:numId w:val="1"/>
        </w:numPr>
        <w:spacing w:line="360" w:lineRule="auto"/>
        <w:jc w:val="both"/>
        <w:rPr>
          <w:rFonts w:ascii="Times New Roman" w:eastAsia="Times New Roman" w:hAnsi="Times New Roman" w:cs="Times New Roman"/>
          <w:sz w:val="24"/>
          <w:szCs w:val="24"/>
          <w:lang w:val="en-IN" w:eastAsia="en-IN"/>
        </w:rPr>
      </w:pPr>
      <w:r w:rsidRPr="00352A5B">
        <w:rPr>
          <w:rFonts w:ascii="Times New Roman" w:eastAsia="Times New Roman" w:hAnsi="Times New Roman" w:cs="Times New Roman"/>
          <w:b/>
          <w:bCs/>
          <w:color w:val="000000"/>
          <w:sz w:val="24"/>
          <w:szCs w:val="24"/>
          <w:lang w:val="en-IN" w:eastAsia="en-IN"/>
        </w:rPr>
        <w:t>Recommendation 3: Diversify revenue streams and explore new growth opportunities</w:t>
      </w:r>
    </w:p>
    <w:p w14:paraId="211ACE50" w14:textId="77777777" w:rsidR="007E6532" w:rsidRDefault="00F42401" w:rsidP="00F42401">
      <w:pPr>
        <w:spacing w:line="360" w:lineRule="auto"/>
        <w:jc w:val="both"/>
        <w:rPr>
          <w:rFonts w:ascii="Times New Roman" w:eastAsia="Times New Roman" w:hAnsi="Times New Roman" w:cs="Times New Roman"/>
          <w:color w:val="000000"/>
          <w:sz w:val="24"/>
          <w:szCs w:val="24"/>
          <w:lang w:val="en-IN" w:eastAsia="en-IN"/>
        </w:rPr>
      </w:pPr>
      <w:r w:rsidRPr="00F42401">
        <w:rPr>
          <w:rFonts w:ascii="Times New Roman" w:eastAsia="Times New Roman" w:hAnsi="Times New Roman" w:cs="Times New Roman"/>
          <w:color w:val="000000"/>
          <w:sz w:val="24"/>
          <w:szCs w:val="24"/>
          <w:lang w:val="en-IN" w:eastAsia="en-IN"/>
        </w:rPr>
        <w:t>Despite making a lot of money, Apple might have problems in the future because they only sell a few products and focus on certain parts of the market. To reduce the impact of these risks, Apple could think about making money from new things like different products, services, or places. Apple can find new markets, reduce risks with their products, and make more money by exploring different ways to earn money and growing in new ways. As per the observation of</w:t>
      </w:r>
      <w:r w:rsidR="00352A5B" w:rsidRPr="00F42401">
        <w:rPr>
          <w:rFonts w:ascii="Times New Roman" w:eastAsia="Times New Roman" w:hAnsi="Times New Roman" w:cs="Times New Roman"/>
          <w:color w:val="000000"/>
          <w:sz w:val="24"/>
          <w:szCs w:val="24"/>
          <w:lang w:val="en-IN" w:eastAsia="en-IN"/>
        </w:rPr>
        <w:t> Olsen</w:t>
      </w:r>
      <w:r w:rsidR="00663DD6" w:rsidRPr="00663DD6">
        <w:rPr>
          <w:rFonts w:ascii="Times New Roman" w:eastAsia="Times New Roman" w:hAnsi="Times New Roman" w:cs="Times New Roman"/>
          <w:i/>
          <w:color w:val="000000"/>
          <w:sz w:val="24"/>
          <w:szCs w:val="24"/>
          <w:lang w:val="en-IN" w:eastAsia="en-IN"/>
        </w:rPr>
        <w:t>et al.</w:t>
      </w:r>
      <w:r w:rsidRPr="00F42401">
        <w:rPr>
          <w:rFonts w:ascii="Times New Roman" w:eastAsia="Times New Roman" w:hAnsi="Times New Roman" w:cs="Times New Roman"/>
          <w:color w:val="000000"/>
          <w:sz w:val="24"/>
          <w:szCs w:val="24"/>
          <w:lang w:val="en-IN" w:eastAsia="en-IN"/>
        </w:rPr>
        <w:t xml:space="preserve"> (2021), by offering a variety of different products and services, the company can stay ahead of its </w:t>
      </w:r>
      <w:r w:rsidRPr="00F42401">
        <w:rPr>
          <w:rFonts w:ascii="Times New Roman" w:eastAsia="Times New Roman" w:hAnsi="Times New Roman" w:cs="Times New Roman"/>
          <w:color w:val="000000"/>
          <w:sz w:val="24"/>
          <w:szCs w:val="24"/>
          <w:lang w:val="en-IN" w:eastAsia="en-IN"/>
        </w:rPr>
        <w:lastRenderedPageBreak/>
        <w:t>competitors and keep growing in the fast-changing technology market. This will use its money, technology skills, and company name.</w:t>
      </w:r>
    </w:p>
    <w:p w14:paraId="1C698438" w14:textId="77777777" w:rsidR="00EC34BE" w:rsidRPr="00EC34BE" w:rsidRDefault="00EC34BE" w:rsidP="00EC34BE">
      <w:pPr>
        <w:pStyle w:val="Heading1"/>
        <w:rPr>
          <w:rFonts w:cs="Times New Roman"/>
          <w:lang w:val="en-GB"/>
        </w:rPr>
      </w:pPr>
      <w:bookmarkStart w:id="18" w:name="_6o4hnoac4zgc" w:colFirst="0" w:colLast="0"/>
      <w:bookmarkStart w:id="19" w:name="_Toc162905763"/>
      <w:bookmarkEnd w:id="18"/>
      <w:r w:rsidRPr="00EC34BE">
        <w:rPr>
          <w:rFonts w:cs="Times New Roman"/>
          <w:lang w:val="en-GB"/>
        </w:rPr>
        <w:t>Part c) Analysis of investment appraisal techniques</w:t>
      </w:r>
      <w:bookmarkEnd w:id="19"/>
    </w:p>
    <w:p w14:paraId="170211D1" w14:textId="77777777" w:rsidR="00EC34BE" w:rsidRPr="00EC34BE" w:rsidRDefault="00EC34BE" w:rsidP="00EC34BE">
      <w:pPr>
        <w:pStyle w:val="Heading2"/>
        <w:rPr>
          <w:rFonts w:cs="Times New Roman"/>
          <w:lang w:val="en-GB"/>
        </w:rPr>
      </w:pPr>
      <w:bookmarkStart w:id="20" w:name="_8rofzyr8zqb2" w:colFirst="0" w:colLast="0"/>
      <w:bookmarkStart w:id="21" w:name="_Toc162905764"/>
      <w:bookmarkEnd w:id="20"/>
      <w:r w:rsidRPr="00EC34BE">
        <w:rPr>
          <w:rFonts w:cs="Times New Roman"/>
          <w:lang w:val="en-GB"/>
        </w:rPr>
        <w:t>C.1 Calculation of Payback Period (PBP), Accounting Rate of Return (ARR), and Net Present Value (NPV) to recommend the most suitable project with reasons</w:t>
      </w:r>
      <w:bookmarkEnd w:id="21"/>
    </w:p>
    <w:p w14:paraId="45723E9D"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Investment appraisal techniques are the measures that help evaluate the future investment project's value to make profitable decisions (Mahmoud, 2023). These techniques involved net present value, payback period, and average rate of return to measure the risk and return involved in the project. In this way, the company analyses the range of new investment opportunities to compare Projects A and B for interpreting different investment appraisal techniques. </w:t>
      </w:r>
    </w:p>
    <w:tbl>
      <w:tblPr>
        <w:tblW w:w="8880" w:type="dxa"/>
        <w:jc w:val="center"/>
        <w:tblBorders>
          <w:top w:val="nil"/>
          <w:left w:val="nil"/>
          <w:bottom w:val="nil"/>
          <w:right w:val="nil"/>
          <w:insideH w:val="nil"/>
          <w:insideV w:val="nil"/>
        </w:tblBorders>
        <w:tblLayout w:type="fixed"/>
        <w:tblLook w:val="0600" w:firstRow="0" w:lastRow="0" w:firstColumn="0" w:lastColumn="0" w:noHBand="1" w:noVBand="1"/>
      </w:tblPr>
      <w:tblGrid>
        <w:gridCol w:w="2400"/>
        <w:gridCol w:w="3240"/>
        <w:gridCol w:w="3240"/>
      </w:tblGrid>
      <w:tr w:rsidR="00EC34BE" w:rsidRPr="00EC34BE" w14:paraId="006296ED" w14:textId="77777777" w:rsidTr="00ED2911">
        <w:trPr>
          <w:trHeight w:val="375"/>
          <w:jc w:val="center"/>
        </w:trPr>
        <w:tc>
          <w:tcPr>
            <w:tcW w:w="8880" w:type="dxa"/>
            <w:gridSpan w:val="3"/>
            <w:tcBorders>
              <w:top w:val="nil"/>
              <w:left w:val="nil"/>
              <w:bottom w:val="single" w:sz="6" w:space="0" w:color="92CDDC"/>
              <w:right w:val="nil"/>
            </w:tcBorders>
            <w:shd w:val="clear" w:color="auto" w:fill="B6DDE8"/>
            <w:tcMar>
              <w:top w:w="0" w:type="dxa"/>
              <w:left w:w="100" w:type="dxa"/>
              <w:bottom w:w="0" w:type="dxa"/>
              <w:right w:w="100" w:type="dxa"/>
            </w:tcMar>
          </w:tcPr>
          <w:p w14:paraId="4AD8F602"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Calculation of Investment Appraisal Techniques</w:t>
            </w:r>
          </w:p>
        </w:tc>
      </w:tr>
      <w:tr w:rsidR="00EC34BE" w:rsidRPr="00EC34BE" w14:paraId="0736EA80"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6144C0A9" w14:textId="77777777" w:rsidR="00EC34BE" w:rsidRPr="00EC34BE" w:rsidRDefault="00EC34BE" w:rsidP="00EC34BE">
            <w:pPr>
              <w:spacing w:before="240" w:after="240" w:line="360" w:lineRule="auto"/>
              <w:jc w:val="both"/>
              <w:rPr>
                <w:rFonts w:ascii="Times New Roman" w:hAnsi="Times New Roman" w:cs="Times New Roman"/>
                <w:b/>
                <w:i/>
                <w:color w:val="000000" w:themeColor="text1"/>
                <w:lang w:val="en-GB"/>
              </w:rPr>
            </w:pPr>
            <w:r w:rsidRPr="00EC34BE">
              <w:rPr>
                <w:rFonts w:ascii="Times New Roman" w:hAnsi="Times New Roman" w:cs="Times New Roman"/>
                <w:b/>
                <w:i/>
                <w:color w:val="000000" w:themeColor="text1"/>
                <w:lang w:val="en-GB"/>
              </w:rPr>
              <w:t>Year</w:t>
            </w:r>
          </w:p>
        </w:tc>
        <w:tc>
          <w:tcPr>
            <w:tcW w:w="6480" w:type="dxa"/>
            <w:gridSpan w:val="2"/>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25A006F0"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Projected Cash Flows (£m)</w:t>
            </w:r>
          </w:p>
        </w:tc>
      </w:tr>
      <w:tr w:rsidR="00EC34BE" w:rsidRPr="00EC34BE" w14:paraId="190FD176"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60CEE4A6" w14:textId="77777777" w:rsidR="00EC34BE" w:rsidRPr="00EC34BE" w:rsidRDefault="00EC34BE" w:rsidP="00EC34BE">
            <w:pPr>
              <w:spacing w:line="360" w:lineRule="auto"/>
              <w:jc w:val="both"/>
              <w:rPr>
                <w:rFonts w:ascii="Times New Roman" w:hAnsi="Times New Roman" w:cs="Times New Roman"/>
                <w:color w:val="000000" w:themeColor="text1"/>
                <w:lang w:val="en-GB"/>
              </w:rPr>
            </w:pP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7C269E53"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A</w:t>
            </w:r>
          </w:p>
        </w:tc>
        <w:tc>
          <w:tcPr>
            <w:tcW w:w="3240" w:type="dxa"/>
            <w:tcBorders>
              <w:top w:val="single" w:sz="6" w:space="0" w:color="92CDDC"/>
              <w:left w:val="nil"/>
              <w:bottom w:val="single" w:sz="6" w:space="0" w:color="92CDDC"/>
              <w:right w:val="single" w:sz="6" w:space="0" w:color="92CDDC"/>
            </w:tcBorders>
            <w:shd w:val="clear" w:color="auto" w:fill="auto"/>
            <w:tcMar>
              <w:top w:w="0" w:type="dxa"/>
              <w:left w:w="100" w:type="dxa"/>
              <w:bottom w:w="0" w:type="dxa"/>
              <w:right w:w="100" w:type="dxa"/>
            </w:tcMar>
          </w:tcPr>
          <w:p w14:paraId="7094D72D"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B</w:t>
            </w:r>
          </w:p>
        </w:tc>
      </w:tr>
      <w:tr w:rsidR="00EC34BE" w:rsidRPr="00EC34BE" w14:paraId="5E5E1A29"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0EE355F1"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0</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4264A943"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5000</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2ABE3759"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1000</w:t>
            </w:r>
          </w:p>
        </w:tc>
      </w:tr>
      <w:tr w:rsidR="00EC34BE" w:rsidRPr="00EC34BE" w14:paraId="497548DC"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5B1E8603" w14:textId="77777777" w:rsidR="00EC34BE" w:rsidRPr="00EC34BE" w:rsidRDefault="00EC34BE" w:rsidP="00EC34BE">
            <w:pPr>
              <w:spacing w:before="240" w:after="240" w:line="360" w:lineRule="auto"/>
              <w:jc w:val="both"/>
              <w:rPr>
                <w:rFonts w:ascii="Times New Roman" w:hAnsi="Times New Roman" w:cs="Times New Roman"/>
                <w:i/>
                <w:color w:val="000000" w:themeColor="text1"/>
                <w:lang w:val="en-GB"/>
              </w:rPr>
            </w:pPr>
            <w:r w:rsidRPr="00EC34BE">
              <w:rPr>
                <w:rFonts w:ascii="Times New Roman" w:hAnsi="Times New Roman" w:cs="Times New Roman"/>
                <w:i/>
                <w:color w:val="000000" w:themeColor="text1"/>
                <w:lang w:val="en-GB"/>
              </w:rPr>
              <w:t>1</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3D08093E"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2500</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7857556E"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1500</w:t>
            </w:r>
          </w:p>
        </w:tc>
      </w:tr>
      <w:tr w:rsidR="00EC34BE" w:rsidRPr="00EC34BE" w14:paraId="779D46FC"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3378E8FA" w14:textId="77777777" w:rsidR="00EC34BE" w:rsidRPr="00EC34BE" w:rsidRDefault="00EC34BE" w:rsidP="00EC34BE">
            <w:pPr>
              <w:spacing w:before="240" w:after="240" w:line="360" w:lineRule="auto"/>
              <w:jc w:val="both"/>
              <w:rPr>
                <w:rFonts w:ascii="Times New Roman" w:hAnsi="Times New Roman" w:cs="Times New Roman"/>
                <w:i/>
                <w:color w:val="000000" w:themeColor="text1"/>
                <w:lang w:val="en-GB"/>
              </w:rPr>
            </w:pPr>
            <w:r w:rsidRPr="00EC34BE">
              <w:rPr>
                <w:rFonts w:ascii="Times New Roman" w:hAnsi="Times New Roman" w:cs="Times New Roman"/>
                <w:i/>
                <w:color w:val="000000" w:themeColor="text1"/>
                <w:lang w:val="en-GB"/>
              </w:rPr>
              <w:t>2</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408E9C7B"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2000</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3A15F679"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1000</w:t>
            </w:r>
          </w:p>
        </w:tc>
      </w:tr>
      <w:tr w:rsidR="00EC34BE" w:rsidRPr="00EC34BE" w14:paraId="44FEF284"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67B9393D" w14:textId="77777777" w:rsidR="00EC34BE" w:rsidRPr="00EC34BE" w:rsidRDefault="00EC34BE" w:rsidP="00EC34BE">
            <w:pPr>
              <w:spacing w:before="240" w:after="240" w:line="360" w:lineRule="auto"/>
              <w:jc w:val="both"/>
              <w:rPr>
                <w:rFonts w:ascii="Times New Roman" w:hAnsi="Times New Roman" w:cs="Times New Roman"/>
                <w:i/>
                <w:color w:val="000000" w:themeColor="text1"/>
                <w:lang w:val="en-GB"/>
              </w:rPr>
            </w:pPr>
            <w:r w:rsidRPr="00EC34BE">
              <w:rPr>
                <w:rFonts w:ascii="Times New Roman" w:hAnsi="Times New Roman" w:cs="Times New Roman"/>
                <w:i/>
                <w:color w:val="000000" w:themeColor="text1"/>
                <w:lang w:val="en-GB"/>
              </w:rPr>
              <w:t>3</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47D5D790"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1000</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71BB998F"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1000</w:t>
            </w:r>
          </w:p>
        </w:tc>
      </w:tr>
      <w:tr w:rsidR="00EC34BE" w:rsidRPr="00EC34BE" w14:paraId="72FC1ED2"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03AA9DA1" w14:textId="77777777" w:rsidR="00EC34BE" w:rsidRPr="00EC34BE" w:rsidRDefault="00EC34BE" w:rsidP="00EC34BE">
            <w:pPr>
              <w:spacing w:before="240" w:after="240" w:line="360" w:lineRule="auto"/>
              <w:jc w:val="both"/>
              <w:rPr>
                <w:rFonts w:ascii="Times New Roman" w:hAnsi="Times New Roman" w:cs="Times New Roman"/>
                <w:i/>
                <w:color w:val="000000" w:themeColor="text1"/>
                <w:lang w:val="en-GB"/>
              </w:rPr>
            </w:pPr>
            <w:r w:rsidRPr="00EC34BE">
              <w:rPr>
                <w:rFonts w:ascii="Times New Roman" w:hAnsi="Times New Roman" w:cs="Times New Roman"/>
                <w:i/>
                <w:color w:val="000000" w:themeColor="text1"/>
                <w:lang w:val="en-GB"/>
              </w:rPr>
              <w:t>4</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436DDDA3"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-442</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68DCA03C"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-470</w:t>
            </w:r>
          </w:p>
        </w:tc>
      </w:tr>
      <w:tr w:rsidR="00EC34BE" w:rsidRPr="00EC34BE" w14:paraId="676A77A5"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4D375640" w14:textId="77777777" w:rsidR="00EC34BE" w:rsidRPr="00EC34BE" w:rsidRDefault="00EC34BE" w:rsidP="00EC34BE">
            <w:pPr>
              <w:spacing w:before="240" w:after="240" w:line="360" w:lineRule="auto"/>
              <w:jc w:val="both"/>
              <w:rPr>
                <w:rFonts w:ascii="Times New Roman" w:hAnsi="Times New Roman" w:cs="Times New Roman"/>
                <w:b/>
                <w:i/>
                <w:color w:val="000000" w:themeColor="text1"/>
                <w:lang w:val="en-GB"/>
              </w:rPr>
            </w:pPr>
            <w:r w:rsidRPr="00EC34BE">
              <w:rPr>
                <w:rFonts w:ascii="Times New Roman" w:hAnsi="Times New Roman" w:cs="Times New Roman"/>
                <w:b/>
                <w:i/>
                <w:color w:val="000000" w:themeColor="text1"/>
                <w:lang w:val="en-GB"/>
              </w:rPr>
              <w:t>NPV</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5EF4A7BF"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5000.57</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6AD423B3"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2995.67</w:t>
            </w:r>
          </w:p>
        </w:tc>
      </w:tr>
      <w:tr w:rsidR="00EC34BE" w:rsidRPr="00EC34BE" w14:paraId="704E524C"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7A7CEB40" w14:textId="77777777" w:rsidR="00EC34BE" w:rsidRPr="00EC34BE" w:rsidRDefault="00EC34BE" w:rsidP="00EC34BE">
            <w:pPr>
              <w:spacing w:before="240" w:after="240" w:line="360" w:lineRule="auto"/>
              <w:jc w:val="both"/>
              <w:rPr>
                <w:rFonts w:ascii="Times New Roman" w:hAnsi="Times New Roman" w:cs="Times New Roman"/>
                <w:b/>
                <w:i/>
                <w:color w:val="000000" w:themeColor="text1"/>
                <w:lang w:val="en-GB"/>
              </w:rPr>
            </w:pPr>
            <w:r w:rsidRPr="00EC34BE">
              <w:rPr>
                <w:rFonts w:ascii="Times New Roman" w:hAnsi="Times New Roman" w:cs="Times New Roman"/>
                <w:b/>
                <w:i/>
                <w:color w:val="000000" w:themeColor="text1"/>
                <w:lang w:val="en-GB"/>
              </w:rPr>
              <w:lastRenderedPageBreak/>
              <w:t>ARR</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2559EF30"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25.29%</w:t>
            </w:r>
          </w:p>
        </w:tc>
        <w:tc>
          <w:tcPr>
            <w:tcW w:w="3240" w:type="dxa"/>
            <w:tcBorders>
              <w:top w:val="nil"/>
              <w:left w:val="nil"/>
              <w:bottom w:val="single" w:sz="6" w:space="0" w:color="92CDDC"/>
              <w:right w:val="single" w:sz="6" w:space="0" w:color="92CDDC"/>
            </w:tcBorders>
            <w:shd w:val="clear" w:color="auto" w:fill="DAEEF3"/>
            <w:tcMar>
              <w:top w:w="0" w:type="dxa"/>
              <w:left w:w="100" w:type="dxa"/>
              <w:bottom w:w="0" w:type="dxa"/>
              <w:right w:w="100" w:type="dxa"/>
            </w:tcMar>
          </w:tcPr>
          <w:p w14:paraId="0639BE83"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75.75%</w:t>
            </w:r>
          </w:p>
        </w:tc>
      </w:tr>
      <w:tr w:rsidR="00EC34BE" w:rsidRPr="00EC34BE" w14:paraId="40547A4C" w14:textId="77777777" w:rsidTr="00ED2911">
        <w:trPr>
          <w:trHeight w:val="375"/>
          <w:jc w:val="center"/>
        </w:trPr>
        <w:tc>
          <w:tcPr>
            <w:tcW w:w="2400" w:type="dxa"/>
            <w:tcBorders>
              <w:top w:val="nil"/>
              <w:left w:val="nil"/>
              <w:bottom w:val="nil"/>
              <w:right w:val="single" w:sz="6" w:space="0" w:color="92CDDC"/>
            </w:tcBorders>
            <w:shd w:val="clear" w:color="auto" w:fill="B6DDE8"/>
            <w:tcMar>
              <w:top w:w="0" w:type="dxa"/>
              <w:left w:w="100" w:type="dxa"/>
              <w:bottom w:w="0" w:type="dxa"/>
              <w:right w:w="100" w:type="dxa"/>
            </w:tcMar>
          </w:tcPr>
          <w:p w14:paraId="07B81BFC" w14:textId="77777777" w:rsidR="00EC34BE" w:rsidRPr="00EC34BE" w:rsidRDefault="00EC34BE" w:rsidP="00EC34BE">
            <w:pPr>
              <w:spacing w:before="240" w:after="240" w:line="360" w:lineRule="auto"/>
              <w:jc w:val="both"/>
              <w:rPr>
                <w:rFonts w:ascii="Times New Roman" w:hAnsi="Times New Roman" w:cs="Times New Roman"/>
                <w:b/>
                <w:i/>
                <w:color w:val="000000" w:themeColor="text1"/>
                <w:lang w:val="en-GB"/>
              </w:rPr>
            </w:pPr>
            <w:r w:rsidRPr="00EC34BE">
              <w:rPr>
                <w:rFonts w:ascii="Times New Roman" w:hAnsi="Times New Roman" w:cs="Times New Roman"/>
                <w:b/>
                <w:i/>
                <w:color w:val="000000" w:themeColor="text1"/>
                <w:lang w:val="en-GB"/>
              </w:rPr>
              <w:t>PBP</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3D163517"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2.50</w:t>
            </w:r>
          </w:p>
        </w:tc>
        <w:tc>
          <w:tcPr>
            <w:tcW w:w="3240" w:type="dxa"/>
            <w:tcBorders>
              <w:top w:val="nil"/>
              <w:left w:val="nil"/>
              <w:bottom w:val="single" w:sz="6" w:space="0" w:color="92CDDC"/>
              <w:right w:val="single" w:sz="6" w:space="0" w:color="92CDDC"/>
            </w:tcBorders>
            <w:shd w:val="clear" w:color="auto" w:fill="auto"/>
            <w:tcMar>
              <w:top w:w="0" w:type="dxa"/>
              <w:left w:w="100" w:type="dxa"/>
              <w:bottom w:w="0" w:type="dxa"/>
              <w:right w:w="100" w:type="dxa"/>
            </w:tcMar>
          </w:tcPr>
          <w:p w14:paraId="17FF8315"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0.67</w:t>
            </w:r>
          </w:p>
        </w:tc>
      </w:tr>
    </w:tbl>
    <w:p w14:paraId="03E47BE5" w14:textId="77777777" w:rsidR="00EC34BE" w:rsidRPr="00EC34BE" w:rsidRDefault="00EC34BE" w:rsidP="00EC34BE">
      <w:pPr>
        <w:spacing w:line="360" w:lineRule="auto"/>
        <w:jc w:val="center"/>
        <w:rPr>
          <w:rFonts w:ascii="Times New Roman" w:hAnsi="Times New Roman" w:cs="Times New Roman"/>
          <w:b/>
          <w:iCs/>
          <w:color w:val="000000" w:themeColor="text1"/>
          <w:lang w:val="en-GB"/>
        </w:rPr>
      </w:pPr>
      <w:r w:rsidRPr="00EC34BE">
        <w:rPr>
          <w:rFonts w:ascii="Times New Roman" w:hAnsi="Times New Roman" w:cs="Times New Roman"/>
          <w:b/>
          <w:iCs/>
          <w:color w:val="000000" w:themeColor="text1"/>
          <w:lang w:val="en-GB"/>
        </w:rPr>
        <w:t>Table 5: Calculation of PBP, NPV, and ARR</w:t>
      </w:r>
    </w:p>
    <w:p w14:paraId="6F71C233" w14:textId="77777777" w:rsidR="00EC34BE" w:rsidRPr="00EC34BE" w:rsidRDefault="00EC34BE" w:rsidP="00EC34BE">
      <w:pPr>
        <w:spacing w:line="360" w:lineRule="auto"/>
        <w:jc w:val="both"/>
        <w:rPr>
          <w:rFonts w:ascii="Times New Roman" w:hAnsi="Times New Roman" w:cs="Times New Roman"/>
          <w:b/>
          <w:color w:val="000000" w:themeColor="text1"/>
          <w:u w:val="single"/>
          <w:lang w:val="en-GB"/>
        </w:rPr>
      </w:pPr>
      <w:r w:rsidRPr="00EC34BE">
        <w:rPr>
          <w:rFonts w:ascii="Times New Roman" w:hAnsi="Times New Roman" w:cs="Times New Roman"/>
          <w:b/>
          <w:color w:val="000000" w:themeColor="text1"/>
          <w:u w:val="single"/>
          <w:lang w:val="en-GB"/>
        </w:rPr>
        <w:t>Payback Period (PBP)</w:t>
      </w:r>
    </w:p>
    <w:p w14:paraId="7A341FB3"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Payback Period (PBP) is the technique used to analyse the period required to cover the project's initial investment to measure the efficiency of the investment decision (Gorshkov et al., 2018). The high PBP is not viable for the project as it takes more time to recover the initial value and affects the profitability of the project later on to increase the financial risk. Therefore, the low PBP is more efficient in recovering the initial value faster. In this way, the calculated PBP of projects A and B of the company indicates 2.50 years and 0.67 years respectively to recover the initial value of £5,000 million and £1,000 million. Based on that, the low PBP of Project B is more viable for the company as it recovers the initial value in months although Project A involves time. Therefore, as per the results of the payback period, Project B is more viable to recover the initial investment value sooner and reduce financial risk. </w:t>
      </w:r>
    </w:p>
    <w:p w14:paraId="3CB11BED" w14:textId="77777777" w:rsidR="00EC34BE" w:rsidRPr="00EC34BE" w:rsidRDefault="00EC34BE" w:rsidP="00EC34BE">
      <w:pPr>
        <w:spacing w:line="360" w:lineRule="auto"/>
        <w:jc w:val="both"/>
        <w:rPr>
          <w:rFonts w:ascii="Times New Roman" w:hAnsi="Times New Roman" w:cs="Times New Roman"/>
          <w:b/>
          <w:color w:val="000000" w:themeColor="text1"/>
          <w:u w:val="single"/>
          <w:lang w:val="en-GB"/>
        </w:rPr>
      </w:pPr>
      <w:r w:rsidRPr="00EC34BE">
        <w:rPr>
          <w:rFonts w:ascii="Times New Roman" w:hAnsi="Times New Roman" w:cs="Times New Roman"/>
          <w:b/>
          <w:color w:val="000000" w:themeColor="text1"/>
          <w:u w:val="single"/>
          <w:lang w:val="en-GB"/>
        </w:rPr>
        <w:t>Accounting Rate of Return (ARR)</w:t>
      </w:r>
    </w:p>
    <w:p w14:paraId="71891D59"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Accounting Rate of Return (ARR) is the investment metric that measures the average return from potential investment decisions (Mollah, Rouf, and Rana, 2021). Further, the high rate of return provides more profit from the project to improve the financial position of the business although low returns affect the overall profitability.  As per the analysis of both projects of the company Project A provides an ARR of 25.29% although Project B ensures 75.75% return from the invested value. Comparatively, the lower initial investment in Project B provides maximum returns from Project A which is beneficial to save the high investment value and ensure maximum rate of returns in the future. Therefore, as per the result of ARR, Project B is more viable due to providing high profitability from the investment. </w:t>
      </w:r>
    </w:p>
    <w:p w14:paraId="3437DFC3" w14:textId="77777777" w:rsidR="00EC34BE" w:rsidRPr="00EC34BE" w:rsidRDefault="00EC34BE" w:rsidP="00EC34BE">
      <w:pPr>
        <w:spacing w:line="360" w:lineRule="auto"/>
        <w:jc w:val="both"/>
        <w:rPr>
          <w:rFonts w:ascii="Times New Roman" w:hAnsi="Times New Roman" w:cs="Times New Roman"/>
          <w:b/>
          <w:color w:val="000000" w:themeColor="text1"/>
          <w:u w:val="single"/>
          <w:lang w:val="en-GB"/>
        </w:rPr>
      </w:pPr>
      <w:r w:rsidRPr="00EC34BE">
        <w:rPr>
          <w:rFonts w:ascii="Times New Roman" w:hAnsi="Times New Roman" w:cs="Times New Roman"/>
          <w:b/>
          <w:color w:val="000000" w:themeColor="text1"/>
          <w:u w:val="single"/>
          <w:lang w:val="en-GB"/>
        </w:rPr>
        <w:t>Net Present Value (NPV)</w:t>
      </w:r>
    </w:p>
    <w:p w14:paraId="5E8FFC34"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Net present value is the most viable technique for making investment decisions as it evaluates the difference between the present value of cash inflows and outflows in a certain time (Wieloch, 2019). In this way, to focus on other non-financial aspects such as inflation, NPV is a viable investment appraisal tool to compare the projected cash flows with initial investment for measuring returns. Further, this technique is beneficial to making profitable decisions to consider the value of future cash flows by applying the concept of the time value of money (Dobrowolski and Drozdowski, 2022). Positive and high NPV is beneficial to develop effective returns and improve the profitability position in the future. In the company, the value of NPV is £5,000.57 and £2,995.67 for projects A and B respectively as per the entail values. Therefore, to focus on </w:t>
      </w:r>
      <w:r w:rsidRPr="00EC34BE">
        <w:rPr>
          <w:rFonts w:ascii="Times New Roman" w:hAnsi="Times New Roman" w:cs="Times New Roman"/>
          <w:color w:val="000000" w:themeColor="text1"/>
          <w:lang w:val="en-GB"/>
        </w:rPr>
        <w:lastRenderedPageBreak/>
        <w:t xml:space="preserve">the initial value of both projects project A involves £5,000 and Project B entails an investment of £1,000 that showcases the high returns proportionally in Project B. Further, the cash flows in 4 years are also optimum in Project B as compared to A with negative returns in the 4th year of both projects. Therefore, to apply the concept of NPV Project B is more viable to address the initial value as in low investment high returns is possible. </w:t>
      </w:r>
    </w:p>
    <w:p w14:paraId="54CB31DA"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As per the consideration of different investment approach techniques including NPV, ARR, and PBP, Project B is more efficient in the company to ensure a high rate of return proportionally as compared to the initial value, and less payback time to reduce risk and develop return capacity. Therefore, the company should approach Project B to gain high profit in less time and develop its financial position. </w:t>
      </w:r>
    </w:p>
    <w:p w14:paraId="124465AB" w14:textId="77777777" w:rsidR="00EC34BE" w:rsidRPr="00EC34BE" w:rsidRDefault="00EC34BE" w:rsidP="00EC34BE">
      <w:pPr>
        <w:pStyle w:val="Heading2"/>
        <w:rPr>
          <w:rFonts w:cs="Times New Roman"/>
          <w:lang w:val="en-GB"/>
        </w:rPr>
      </w:pPr>
      <w:bookmarkStart w:id="22" w:name="_4ap4x5wow74m" w:colFirst="0" w:colLast="0"/>
      <w:bookmarkStart w:id="23" w:name="_Toc162905765"/>
      <w:bookmarkEnd w:id="22"/>
      <w:r w:rsidRPr="00EC34BE">
        <w:rPr>
          <w:rFonts w:cs="Times New Roman"/>
          <w:lang w:val="en-GB"/>
        </w:rPr>
        <w:t>C.2 Commenting on the recalculation of NPV to increase initial investment of each project by 10% and cash flow fall by 10%</w:t>
      </w:r>
      <w:bookmarkEnd w:id="23"/>
    </w:p>
    <w:p w14:paraId="64FD130E"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recalculation of NPV as per the condition of increasing initial investment by 10% of both projects and all cash flows reduces by 10% to analyse the suitability of investment decisions.  The change in cash flows and initial investment value influenced the NPV as the high initial value reduces the NPV keeping all cash flows equal although reducing cash flows lowers the value of NPV (Zhang, 2022). In this way, both conditions of the company are not viable as increasing initial value increases the costs of investment and low cash flow impacts the return capacity. Based on that, the change in initial value is £5,500 for Project A and  £1,100 for Project B although the lower cash flows in the following four years led to NPV of  £4,500.51 and  £2,696.11 respectively. Therefore, the NPV fell from previous values of £5,000.57 and £2,995.67 to £4,500.51 and  £2,696.11 in projects A and B. </w:t>
      </w:r>
    </w:p>
    <w:tbl>
      <w:tblPr>
        <w:tblW w:w="8880" w:type="dxa"/>
        <w:jc w:val="center"/>
        <w:tblBorders>
          <w:top w:val="nil"/>
          <w:left w:val="nil"/>
          <w:bottom w:val="nil"/>
          <w:right w:val="nil"/>
          <w:insideH w:val="nil"/>
          <w:insideV w:val="nil"/>
        </w:tblBorders>
        <w:tblLayout w:type="fixed"/>
        <w:tblLook w:val="0600" w:firstRow="0" w:lastRow="0" w:firstColumn="0" w:lastColumn="0" w:noHBand="1" w:noVBand="1"/>
      </w:tblPr>
      <w:tblGrid>
        <w:gridCol w:w="2370"/>
        <w:gridCol w:w="3255"/>
        <w:gridCol w:w="3255"/>
      </w:tblGrid>
      <w:tr w:rsidR="00EC34BE" w:rsidRPr="00EC34BE" w14:paraId="7B1EF2E6" w14:textId="77777777" w:rsidTr="00ED2911">
        <w:trPr>
          <w:trHeight w:val="375"/>
          <w:jc w:val="center"/>
        </w:trPr>
        <w:tc>
          <w:tcPr>
            <w:tcW w:w="8880" w:type="dxa"/>
            <w:gridSpan w:val="3"/>
            <w:tcBorders>
              <w:top w:val="nil"/>
              <w:left w:val="nil"/>
              <w:bottom w:val="single" w:sz="12" w:space="0" w:color="FABF8F"/>
              <w:right w:val="nil"/>
            </w:tcBorders>
            <w:shd w:val="clear" w:color="auto" w:fill="FABF8F"/>
            <w:tcMar>
              <w:top w:w="0" w:type="dxa"/>
              <w:left w:w="100" w:type="dxa"/>
              <w:bottom w:w="0" w:type="dxa"/>
              <w:right w:w="100" w:type="dxa"/>
            </w:tcMar>
          </w:tcPr>
          <w:p w14:paraId="5BD0FA4B"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Calculation of Investment Appraisal Techniques</w:t>
            </w:r>
          </w:p>
        </w:tc>
      </w:tr>
      <w:tr w:rsidR="00EC34BE" w:rsidRPr="00EC34BE" w14:paraId="3912E38A" w14:textId="77777777" w:rsidTr="00ED2911">
        <w:trPr>
          <w:trHeight w:val="390"/>
          <w:jc w:val="center"/>
        </w:trPr>
        <w:tc>
          <w:tcPr>
            <w:tcW w:w="2370" w:type="dxa"/>
            <w:tcBorders>
              <w:top w:val="nil"/>
              <w:left w:val="nil"/>
              <w:bottom w:val="single" w:sz="6" w:space="0" w:color="FABF8F"/>
              <w:right w:val="single" w:sz="6" w:space="0" w:color="FABF8F"/>
            </w:tcBorders>
            <w:shd w:val="clear" w:color="auto" w:fill="FDE9D9"/>
            <w:tcMar>
              <w:top w:w="0" w:type="dxa"/>
              <w:left w:w="100" w:type="dxa"/>
              <w:bottom w:w="0" w:type="dxa"/>
              <w:right w:w="100" w:type="dxa"/>
            </w:tcMar>
          </w:tcPr>
          <w:p w14:paraId="6D5951B8"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Year</w:t>
            </w:r>
          </w:p>
        </w:tc>
        <w:tc>
          <w:tcPr>
            <w:tcW w:w="6510" w:type="dxa"/>
            <w:gridSpan w:val="2"/>
            <w:tcBorders>
              <w:top w:val="nil"/>
              <w:left w:val="nil"/>
              <w:bottom w:val="single" w:sz="6" w:space="0" w:color="FABF8F"/>
              <w:right w:val="nil"/>
            </w:tcBorders>
            <w:shd w:val="clear" w:color="auto" w:fill="FDE9D9"/>
            <w:tcMar>
              <w:top w:w="0" w:type="dxa"/>
              <w:left w:w="100" w:type="dxa"/>
              <w:bottom w:w="0" w:type="dxa"/>
              <w:right w:w="100" w:type="dxa"/>
            </w:tcMar>
          </w:tcPr>
          <w:p w14:paraId="16A0FCE7"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Projected Cash Flows (£m)</w:t>
            </w:r>
          </w:p>
        </w:tc>
      </w:tr>
      <w:tr w:rsidR="00EC34BE" w:rsidRPr="00EC34BE" w14:paraId="4673AD6A" w14:textId="77777777" w:rsidTr="00ED2911">
        <w:trPr>
          <w:trHeight w:val="375"/>
          <w:jc w:val="center"/>
        </w:trPr>
        <w:tc>
          <w:tcPr>
            <w:tcW w:w="2370"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24AFF2C3" w14:textId="77777777" w:rsidR="00EC34BE" w:rsidRPr="00EC34BE" w:rsidRDefault="00EC34BE" w:rsidP="00EC34BE">
            <w:pPr>
              <w:spacing w:line="360" w:lineRule="auto"/>
              <w:jc w:val="both"/>
              <w:rPr>
                <w:rFonts w:ascii="Times New Roman" w:hAnsi="Times New Roman" w:cs="Times New Roman"/>
                <w:color w:val="000000" w:themeColor="text1"/>
                <w:lang w:val="en-GB"/>
              </w:rPr>
            </w:pPr>
          </w:p>
        </w:tc>
        <w:tc>
          <w:tcPr>
            <w:tcW w:w="3255"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0D00DD36"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A</w:t>
            </w:r>
          </w:p>
        </w:tc>
        <w:tc>
          <w:tcPr>
            <w:tcW w:w="3255" w:type="dxa"/>
            <w:tcBorders>
              <w:top w:val="nil"/>
              <w:left w:val="nil"/>
              <w:bottom w:val="single" w:sz="6" w:space="0" w:color="FABF8F"/>
              <w:right w:val="nil"/>
            </w:tcBorders>
            <w:shd w:val="clear" w:color="auto" w:fill="auto"/>
            <w:tcMar>
              <w:top w:w="0" w:type="dxa"/>
              <w:left w:w="100" w:type="dxa"/>
              <w:bottom w:w="0" w:type="dxa"/>
              <w:right w:w="100" w:type="dxa"/>
            </w:tcMar>
          </w:tcPr>
          <w:p w14:paraId="75332732"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B</w:t>
            </w:r>
          </w:p>
        </w:tc>
      </w:tr>
      <w:tr w:rsidR="00EC34BE" w:rsidRPr="00EC34BE" w14:paraId="41E02492" w14:textId="77777777" w:rsidTr="00ED2911">
        <w:trPr>
          <w:trHeight w:val="375"/>
          <w:jc w:val="center"/>
        </w:trPr>
        <w:tc>
          <w:tcPr>
            <w:tcW w:w="2370" w:type="dxa"/>
            <w:tcBorders>
              <w:top w:val="nil"/>
              <w:left w:val="nil"/>
              <w:bottom w:val="single" w:sz="6" w:space="0" w:color="FABF8F"/>
              <w:right w:val="single" w:sz="6" w:space="0" w:color="FABF8F"/>
            </w:tcBorders>
            <w:shd w:val="clear" w:color="auto" w:fill="FDE9D9"/>
            <w:tcMar>
              <w:top w:w="0" w:type="dxa"/>
              <w:left w:w="100" w:type="dxa"/>
              <w:bottom w:w="0" w:type="dxa"/>
              <w:right w:w="100" w:type="dxa"/>
            </w:tcMar>
          </w:tcPr>
          <w:p w14:paraId="5ED085E9"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0</w:t>
            </w:r>
          </w:p>
        </w:tc>
        <w:tc>
          <w:tcPr>
            <w:tcW w:w="3255" w:type="dxa"/>
            <w:tcBorders>
              <w:top w:val="nil"/>
              <w:left w:val="nil"/>
              <w:bottom w:val="single" w:sz="6" w:space="0" w:color="FABF8F"/>
              <w:right w:val="single" w:sz="6" w:space="0" w:color="FABF8F"/>
            </w:tcBorders>
            <w:shd w:val="clear" w:color="auto" w:fill="FDE9D9"/>
            <w:tcMar>
              <w:top w:w="0" w:type="dxa"/>
              <w:left w:w="100" w:type="dxa"/>
              <w:bottom w:w="0" w:type="dxa"/>
              <w:right w:w="100" w:type="dxa"/>
            </w:tcMar>
          </w:tcPr>
          <w:p w14:paraId="00AE23A6"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5500</w:t>
            </w:r>
          </w:p>
        </w:tc>
        <w:tc>
          <w:tcPr>
            <w:tcW w:w="3255" w:type="dxa"/>
            <w:tcBorders>
              <w:top w:val="nil"/>
              <w:left w:val="nil"/>
              <w:bottom w:val="single" w:sz="6" w:space="0" w:color="FABF8F"/>
              <w:right w:val="nil"/>
            </w:tcBorders>
            <w:shd w:val="clear" w:color="auto" w:fill="FDE9D9"/>
            <w:tcMar>
              <w:top w:w="0" w:type="dxa"/>
              <w:left w:w="100" w:type="dxa"/>
              <w:bottom w:w="0" w:type="dxa"/>
              <w:right w:w="100" w:type="dxa"/>
            </w:tcMar>
          </w:tcPr>
          <w:p w14:paraId="339A4F47"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1100</w:t>
            </w:r>
          </w:p>
        </w:tc>
      </w:tr>
      <w:tr w:rsidR="00EC34BE" w:rsidRPr="00EC34BE" w14:paraId="776B0A9D" w14:textId="77777777" w:rsidTr="00ED2911">
        <w:trPr>
          <w:trHeight w:val="375"/>
          <w:jc w:val="center"/>
        </w:trPr>
        <w:tc>
          <w:tcPr>
            <w:tcW w:w="2370"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4EE7C8D9"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1</w:t>
            </w:r>
          </w:p>
        </w:tc>
        <w:tc>
          <w:tcPr>
            <w:tcW w:w="3255"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2D10F9DC"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2250</w:t>
            </w:r>
          </w:p>
        </w:tc>
        <w:tc>
          <w:tcPr>
            <w:tcW w:w="3255" w:type="dxa"/>
            <w:tcBorders>
              <w:top w:val="nil"/>
              <w:left w:val="nil"/>
              <w:bottom w:val="single" w:sz="6" w:space="0" w:color="FABF8F"/>
              <w:right w:val="nil"/>
            </w:tcBorders>
            <w:shd w:val="clear" w:color="auto" w:fill="auto"/>
            <w:tcMar>
              <w:top w:w="0" w:type="dxa"/>
              <w:left w:w="100" w:type="dxa"/>
              <w:bottom w:w="0" w:type="dxa"/>
              <w:right w:w="100" w:type="dxa"/>
            </w:tcMar>
          </w:tcPr>
          <w:p w14:paraId="7F4E3C44"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1350</w:t>
            </w:r>
          </w:p>
        </w:tc>
      </w:tr>
      <w:tr w:rsidR="00EC34BE" w:rsidRPr="00EC34BE" w14:paraId="2D471EEE" w14:textId="77777777" w:rsidTr="00ED2911">
        <w:trPr>
          <w:trHeight w:val="375"/>
          <w:jc w:val="center"/>
        </w:trPr>
        <w:tc>
          <w:tcPr>
            <w:tcW w:w="2370" w:type="dxa"/>
            <w:tcBorders>
              <w:top w:val="nil"/>
              <w:left w:val="nil"/>
              <w:bottom w:val="single" w:sz="6" w:space="0" w:color="FABF8F"/>
              <w:right w:val="single" w:sz="6" w:space="0" w:color="FABF8F"/>
            </w:tcBorders>
            <w:shd w:val="clear" w:color="auto" w:fill="FDE9D9"/>
            <w:tcMar>
              <w:top w:w="0" w:type="dxa"/>
              <w:left w:w="100" w:type="dxa"/>
              <w:bottom w:w="0" w:type="dxa"/>
              <w:right w:w="100" w:type="dxa"/>
            </w:tcMar>
          </w:tcPr>
          <w:p w14:paraId="60832A6F"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lastRenderedPageBreak/>
              <w:t>2</w:t>
            </w:r>
          </w:p>
        </w:tc>
        <w:tc>
          <w:tcPr>
            <w:tcW w:w="3255" w:type="dxa"/>
            <w:tcBorders>
              <w:top w:val="nil"/>
              <w:left w:val="nil"/>
              <w:bottom w:val="single" w:sz="6" w:space="0" w:color="FABF8F"/>
              <w:right w:val="single" w:sz="6" w:space="0" w:color="FABF8F"/>
            </w:tcBorders>
            <w:shd w:val="clear" w:color="auto" w:fill="FDE9D9"/>
            <w:tcMar>
              <w:top w:w="0" w:type="dxa"/>
              <w:left w:w="100" w:type="dxa"/>
              <w:bottom w:w="0" w:type="dxa"/>
              <w:right w:w="100" w:type="dxa"/>
            </w:tcMar>
          </w:tcPr>
          <w:p w14:paraId="22FFD8D7"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1800</w:t>
            </w:r>
          </w:p>
        </w:tc>
        <w:tc>
          <w:tcPr>
            <w:tcW w:w="3255" w:type="dxa"/>
            <w:tcBorders>
              <w:top w:val="nil"/>
              <w:left w:val="nil"/>
              <w:bottom w:val="single" w:sz="6" w:space="0" w:color="FABF8F"/>
              <w:right w:val="nil"/>
            </w:tcBorders>
            <w:shd w:val="clear" w:color="auto" w:fill="FDE9D9"/>
            <w:tcMar>
              <w:top w:w="0" w:type="dxa"/>
              <w:left w:w="100" w:type="dxa"/>
              <w:bottom w:w="0" w:type="dxa"/>
              <w:right w:w="100" w:type="dxa"/>
            </w:tcMar>
          </w:tcPr>
          <w:p w14:paraId="4C2E74E4"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900</w:t>
            </w:r>
          </w:p>
        </w:tc>
      </w:tr>
      <w:tr w:rsidR="00EC34BE" w:rsidRPr="00EC34BE" w14:paraId="4DFBF155" w14:textId="77777777" w:rsidTr="00ED2911">
        <w:trPr>
          <w:trHeight w:val="375"/>
          <w:jc w:val="center"/>
        </w:trPr>
        <w:tc>
          <w:tcPr>
            <w:tcW w:w="2370"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1C7A4A9C"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3</w:t>
            </w:r>
          </w:p>
        </w:tc>
        <w:tc>
          <w:tcPr>
            <w:tcW w:w="3255"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1A8CF45A"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900</w:t>
            </w:r>
          </w:p>
        </w:tc>
        <w:tc>
          <w:tcPr>
            <w:tcW w:w="3255" w:type="dxa"/>
            <w:tcBorders>
              <w:top w:val="nil"/>
              <w:left w:val="nil"/>
              <w:bottom w:val="single" w:sz="6" w:space="0" w:color="FABF8F"/>
              <w:right w:val="nil"/>
            </w:tcBorders>
            <w:shd w:val="clear" w:color="auto" w:fill="auto"/>
            <w:tcMar>
              <w:top w:w="0" w:type="dxa"/>
              <w:left w:w="100" w:type="dxa"/>
              <w:bottom w:w="0" w:type="dxa"/>
              <w:right w:w="100" w:type="dxa"/>
            </w:tcMar>
          </w:tcPr>
          <w:p w14:paraId="2C86E495"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900</w:t>
            </w:r>
          </w:p>
        </w:tc>
      </w:tr>
      <w:tr w:rsidR="00EC34BE" w:rsidRPr="00EC34BE" w14:paraId="6B61EE3F" w14:textId="77777777" w:rsidTr="00ED2911">
        <w:trPr>
          <w:trHeight w:val="375"/>
          <w:jc w:val="center"/>
        </w:trPr>
        <w:tc>
          <w:tcPr>
            <w:tcW w:w="2370" w:type="dxa"/>
            <w:tcBorders>
              <w:top w:val="nil"/>
              <w:left w:val="nil"/>
              <w:bottom w:val="single" w:sz="6" w:space="0" w:color="FABF8F"/>
              <w:right w:val="single" w:sz="6" w:space="0" w:color="FABF8F"/>
            </w:tcBorders>
            <w:shd w:val="clear" w:color="auto" w:fill="FDE9D9"/>
            <w:tcMar>
              <w:top w:w="0" w:type="dxa"/>
              <w:left w:w="100" w:type="dxa"/>
              <w:bottom w:w="0" w:type="dxa"/>
              <w:right w:w="100" w:type="dxa"/>
            </w:tcMar>
          </w:tcPr>
          <w:p w14:paraId="5566357A"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4</w:t>
            </w:r>
          </w:p>
        </w:tc>
        <w:tc>
          <w:tcPr>
            <w:tcW w:w="3255" w:type="dxa"/>
            <w:tcBorders>
              <w:top w:val="nil"/>
              <w:left w:val="nil"/>
              <w:bottom w:val="single" w:sz="6" w:space="0" w:color="FABF8F"/>
              <w:right w:val="single" w:sz="6" w:space="0" w:color="FABF8F"/>
            </w:tcBorders>
            <w:shd w:val="clear" w:color="auto" w:fill="FDE9D9"/>
            <w:tcMar>
              <w:top w:w="0" w:type="dxa"/>
              <w:left w:w="100" w:type="dxa"/>
              <w:bottom w:w="0" w:type="dxa"/>
              <w:right w:w="100" w:type="dxa"/>
            </w:tcMar>
          </w:tcPr>
          <w:p w14:paraId="4D1E5CDD"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-397.8</w:t>
            </w:r>
          </w:p>
        </w:tc>
        <w:tc>
          <w:tcPr>
            <w:tcW w:w="3255" w:type="dxa"/>
            <w:tcBorders>
              <w:top w:val="nil"/>
              <w:left w:val="nil"/>
              <w:bottom w:val="single" w:sz="6" w:space="0" w:color="FABF8F"/>
              <w:right w:val="nil"/>
            </w:tcBorders>
            <w:shd w:val="clear" w:color="auto" w:fill="FDE9D9"/>
            <w:tcMar>
              <w:top w:w="0" w:type="dxa"/>
              <w:left w:w="100" w:type="dxa"/>
              <w:bottom w:w="0" w:type="dxa"/>
              <w:right w:w="100" w:type="dxa"/>
            </w:tcMar>
          </w:tcPr>
          <w:p w14:paraId="20DD786F" w14:textId="77777777" w:rsidR="00EC34BE" w:rsidRPr="00EC34BE" w:rsidRDefault="00EC34BE" w:rsidP="00EC34BE">
            <w:pPr>
              <w:spacing w:before="240" w:after="240"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-423</w:t>
            </w:r>
          </w:p>
        </w:tc>
      </w:tr>
      <w:tr w:rsidR="00EC34BE" w:rsidRPr="00EC34BE" w14:paraId="31D9FA6D" w14:textId="77777777" w:rsidTr="00ED2911">
        <w:trPr>
          <w:trHeight w:val="375"/>
          <w:jc w:val="center"/>
        </w:trPr>
        <w:tc>
          <w:tcPr>
            <w:tcW w:w="2370"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26FDE25F"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NPV</w:t>
            </w:r>
          </w:p>
        </w:tc>
        <w:tc>
          <w:tcPr>
            <w:tcW w:w="3255" w:type="dxa"/>
            <w:tcBorders>
              <w:top w:val="nil"/>
              <w:left w:val="nil"/>
              <w:bottom w:val="single" w:sz="6" w:space="0" w:color="FABF8F"/>
              <w:right w:val="single" w:sz="6" w:space="0" w:color="FABF8F"/>
            </w:tcBorders>
            <w:shd w:val="clear" w:color="auto" w:fill="auto"/>
            <w:tcMar>
              <w:top w:w="0" w:type="dxa"/>
              <w:left w:w="100" w:type="dxa"/>
              <w:bottom w:w="0" w:type="dxa"/>
              <w:right w:w="100" w:type="dxa"/>
            </w:tcMar>
          </w:tcPr>
          <w:p w14:paraId="74E2172C"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4500.51</w:t>
            </w:r>
          </w:p>
        </w:tc>
        <w:tc>
          <w:tcPr>
            <w:tcW w:w="3255" w:type="dxa"/>
            <w:tcBorders>
              <w:top w:val="nil"/>
              <w:left w:val="nil"/>
              <w:bottom w:val="single" w:sz="6" w:space="0" w:color="FABF8F"/>
              <w:right w:val="nil"/>
            </w:tcBorders>
            <w:shd w:val="clear" w:color="auto" w:fill="auto"/>
            <w:tcMar>
              <w:top w:w="0" w:type="dxa"/>
              <w:left w:w="100" w:type="dxa"/>
              <w:bottom w:w="0" w:type="dxa"/>
              <w:right w:w="100" w:type="dxa"/>
            </w:tcMar>
          </w:tcPr>
          <w:p w14:paraId="209FE9D3" w14:textId="77777777" w:rsidR="00EC34BE" w:rsidRPr="00EC34BE" w:rsidRDefault="00EC34BE" w:rsidP="00EC34BE">
            <w:pPr>
              <w:spacing w:before="240" w:after="240"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2696.11</w:t>
            </w:r>
          </w:p>
        </w:tc>
      </w:tr>
    </w:tbl>
    <w:p w14:paraId="1268F8F9" w14:textId="77777777" w:rsidR="00EC34BE" w:rsidRPr="00EC34BE" w:rsidRDefault="00EC34BE" w:rsidP="00EC34BE">
      <w:pPr>
        <w:spacing w:line="360" w:lineRule="auto"/>
        <w:jc w:val="center"/>
        <w:rPr>
          <w:rFonts w:ascii="Times New Roman" w:hAnsi="Times New Roman" w:cs="Times New Roman"/>
          <w:b/>
          <w:iCs/>
          <w:color w:val="000000" w:themeColor="text1"/>
          <w:lang w:val="en-GB"/>
        </w:rPr>
      </w:pPr>
      <w:r w:rsidRPr="00EC34BE">
        <w:rPr>
          <w:rFonts w:ascii="Times New Roman" w:hAnsi="Times New Roman" w:cs="Times New Roman"/>
          <w:b/>
          <w:iCs/>
          <w:color w:val="000000" w:themeColor="text1"/>
          <w:lang w:val="en-GB"/>
        </w:rPr>
        <w:t>Table 6: Recalculation of NPV</w:t>
      </w:r>
    </w:p>
    <w:p w14:paraId="602425F9"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As per the recalculation of NPV, the result is similar due to the consideration that the NPV of project A is lower than the initial value although project B provides higher returns despite the unfavourable condition of rising initial cost and lowering cash flows. NPV is a viable tool to make appropriate investment decisions to focus on the cash flows generated from the investment and ensure optimum returns (Le, 2021). Therefore, the condition of lower NPV in Project A reduces the profitability position and Project B is more viable to ensure high returns. </w:t>
      </w:r>
    </w:p>
    <w:p w14:paraId="65D1A02A" w14:textId="77777777" w:rsidR="00EC34BE" w:rsidRPr="00EC34BE" w:rsidRDefault="00EC34BE" w:rsidP="00EC34BE">
      <w:pPr>
        <w:pStyle w:val="Heading2"/>
        <w:rPr>
          <w:rFonts w:cs="Times New Roman"/>
          <w:lang w:val="en-GB"/>
        </w:rPr>
      </w:pPr>
      <w:bookmarkStart w:id="24" w:name="_gkyrtam3xt0h" w:colFirst="0" w:colLast="0"/>
      <w:bookmarkStart w:id="25" w:name="_Toc162905766"/>
      <w:bookmarkEnd w:id="24"/>
      <w:r w:rsidRPr="00EC34BE">
        <w:rPr>
          <w:rFonts w:cs="Times New Roman"/>
          <w:lang w:val="en-GB"/>
        </w:rPr>
        <w:t>C.3 Advantages and shortcomings of PBP, ARR, and NPV techniques</w:t>
      </w:r>
      <w:bookmarkEnd w:id="25"/>
    </w:p>
    <w:p w14:paraId="35FA5BE0" w14:textId="77777777" w:rsidR="00EC34BE" w:rsidRPr="00EC34BE" w:rsidRDefault="00EC34BE" w:rsidP="00EC34BE">
      <w:pPr>
        <w:spacing w:line="360" w:lineRule="auto"/>
        <w:jc w:val="both"/>
        <w:rPr>
          <w:rFonts w:ascii="Times New Roman" w:hAnsi="Times New Roman" w:cs="Times New Roman"/>
          <w:b/>
          <w:color w:val="000000" w:themeColor="text1"/>
          <w:u w:val="single"/>
          <w:lang w:val="en-GB"/>
        </w:rPr>
      </w:pPr>
      <w:r w:rsidRPr="00EC34BE">
        <w:rPr>
          <w:rFonts w:ascii="Times New Roman" w:hAnsi="Times New Roman" w:cs="Times New Roman"/>
          <w:b/>
          <w:color w:val="000000" w:themeColor="text1"/>
          <w:u w:val="single"/>
          <w:lang w:val="en-GB"/>
        </w:rPr>
        <w:t>Payback Period (PBP)</w:t>
      </w:r>
    </w:p>
    <w:p w14:paraId="60A37A70" w14:textId="77777777" w:rsidR="00EC34BE" w:rsidRPr="00EC34BE" w:rsidRDefault="00EC34BE" w:rsidP="00EC34BE">
      <w:pPr>
        <w:numPr>
          <w:ilvl w:val="0"/>
          <w:numId w:val="3"/>
        </w:numPr>
        <w:spacing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Advantages</w:t>
      </w:r>
    </w:p>
    <w:p w14:paraId="7A9D0143" w14:textId="77777777" w:rsidR="00EC34BE" w:rsidRPr="00EC34BE" w:rsidRDefault="00EC34BE" w:rsidP="00EC34BE">
      <w:pPr>
        <w:numPr>
          <w:ilvl w:val="1"/>
          <w:numId w:val="3"/>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The payback period is easy and simple to calculate which helps to make prompt decisions towards investment (Rollins et al., 2021).</w:t>
      </w:r>
    </w:p>
    <w:p w14:paraId="74465ABA" w14:textId="77777777" w:rsidR="00EC34BE" w:rsidRPr="00EC34BE" w:rsidRDefault="00EC34BE" w:rsidP="00EC34BE">
      <w:pPr>
        <w:numPr>
          <w:ilvl w:val="1"/>
          <w:numId w:val="3"/>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method is mainly focused on maintaining liquidity to recover the initial value faster to manage the uncertainty in future cash flows. </w:t>
      </w:r>
    </w:p>
    <w:p w14:paraId="4A138748" w14:textId="77777777" w:rsidR="00EC34BE" w:rsidRPr="00EC34BE" w:rsidRDefault="00EC34BE" w:rsidP="00EC34BE">
      <w:pPr>
        <w:numPr>
          <w:ilvl w:val="0"/>
          <w:numId w:val="3"/>
        </w:numPr>
        <w:spacing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 xml:space="preserve">Shortcomings </w:t>
      </w:r>
    </w:p>
    <w:p w14:paraId="6A39BCC8" w14:textId="77777777" w:rsidR="00EC34BE" w:rsidRPr="00EC34BE" w:rsidRDefault="00EC34BE" w:rsidP="00EC34BE">
      <w:pPr>
        <w:numPr>
          <w:ilvl w:val="1"/>
          <w:numId w:val="3"/>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payback period ignores the time value of the money concept that impacts the profitability of the investment as it only focuses on the faster recovery of investment (Wan, Xia, and Zhu, 2020). </w:t>
      </w:r>
    </w:p>
    <w:p w14:paraId="440C2683" w14:textId="77777777" w:rsidR="00EC34BE" w:rsidRPr="00EC34BE" w:rsidRDefault="00EC34BE" w:rsidP="00EC34BE">
      <w:pPr>
        <w:numPr>
          <w:ilvl w:val="1"/>
          <w:numId w:val="3"/>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technique is not effective in making reliable investment decisions regarding returns as it ignores the opportunity cost of capital, inflation, interest rates, and other influential factors. </w:t>
      </w:r>
    </w:p>
    <w:p w14:paraId="212E51F9" w14:textId="77777777" w:rsidR="00EC34BE" w:rsidRPr="00EC34BE" w:rsidRDefault="00EC34BE" w:rsidP="00EC34BE">
      <w:pPr>
        <w:spacing w:line="360" w:lineRule="auto"/>
        <w:jc w:val="both"/>
        <w:rPr>
          <w:rFonts w:ascii="Times New Roman" w:hAnsi="Times New Roman" w:cs="Times New Roman"/>
          <w:b/>
          <w:color w:val="000000" w:themeColor="text1"/>
          <w:u w:val="single"/>
          <w:lang w:val="en-GB"/>
        </w:rPr>
      </w:pPr>
      <w:r w:rsidRPr="00EC34BE">
        <w:rPr>
          <w:rFonts w:ascii="Times New Roman" w:hAnsi="Times New Roman" w:cs="Times New Roman"/>
          <w:b/>
          <w:color w:val="000000" w:themeColor="text1"/>
          <w:u w:val="single"/>
          <w:lang w:val="en-GB"/>
        </w:rPr>
        <w:t>Accounting Rate of Return (ARR)</w:t>
      </w:r>
    </w:p>
    <w:p w14:paraId="090B83E5" w14:textId="77777777" w:rsidR="00EC34BE" w:rsidRPr="00EC34BE" w:rsidRDefault="00EC34BE" w:rsidP="00EC34BE">
      <w:pPr>
        <w:numPr>
          <w:ilvl w:val="0"/>
          <w:numId w:val="4"/>
        </w:numPr>
        <w:spacing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Advantages</w:t>
      </w:r>
    </w:p>
    <w:p w14:paraId="19CF91C7" w14:textId="77777777" w:rsidR="00EC34BE" w:rsidRPr="00EC34BE" w:rsidRDefault="00EC34BE" w:rsidP="00EC34BE">
      <w:pPr>
        <w:numPr>
          <w:ilvl w:val="1"/>
          <w:numId w:val="4"/>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ARR measures the profitability of investment decisions to ensure better returns and reduce the risk factor (ACCA Global, 2024).</w:t>
      </w:r>
    </w:p>
    <w:p w14:paraId="4B1851DD" w14:textId="77777777" w:rsidR="00EC34BE" w:rsidRPr="00EC34BE" w:rsidRDefault="00EC34BE" w:rsidP="00EC34BE">
      <w:pPr>
        <w:numPr>
          <w:ilvl w:val="1"/>
          <w:numId w:val="4"/>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lastRenderedPageBreak/>
        <w:t xml:space="preserve">This technique is appropriate for comparing multiple projects to make better decisions as a high rate of return on the investment project is selected for improving financial performance. </w:t>
      </w:r>
    </w:p>
    <w:p w14:paraId="7F096B91" w14:textId="77777777" w:rsidR="00EC34BE" w:rsidRPr="00EC34BE" w:rsidRDefault="00EC34BE" w:rsidP="00EC34BE">
      <w:pPr>
        <w:numPr>
          <w:ilvl w:val="0"/>
          <w:numId w:val="4"/>
        </w:numPr>
        <w:spacing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 xml:space="preserve">Shortcomings </w:t>
      </w:r>
    </w:p>
    <w:p w14:paraId="2770832D" w14:textId="77777777" w:rsidR="00EC34BE" w:rsidRPr="00EC34BE" w:rsidRDefault="00EC34BE" w:rsidP="00EC34BE">
      <w:pPr>
        <w:numPr>
          <w:ilvl w:val="1"/>
          <w:numId w:val="4"/>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ARR ignores the approach of the time value of money which creates uncertainty in estimating the appropriate level of profit (Vadapalli, 2020).</w:t>
      </w:r>
    </w:p>
    <w:p w14:paraId="22652599" w14:textId="77777777" w:rsidR="00EC34BE" w:rsidRPr="00EC34BE" w:rsidRDefault="00EC34BE" w:rsidP="00EC34BE">
      <w:pPr>
        <w:numPr>
          <w:ilvl w:val="1"/>
          <w:numId w:val="4"/>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technique is based on profits rather than cash flow and non-cash items such as the rate of depreciation that impacts the returns from the potential investment decisions. </w:t>
      </w:r>
    </w:p>
    <w:p w14:paraId="1D6026AA" w14:textId="77777777" w:rsidR="00EC34BE" w:rsidRPr="00EC34BE" w:rsidRDefault="00EC34BE" w:rsidP="00EC34BE">
      <w:pPr>
        <w:spacing w:line="360" w:lineRule="auto"/>
        <w:jc w:val="both"/>
        <w:rPr>
          <w:rFonts w:ascii="Times New Roman" w:hAnsi="Times New Roman" w:cs="Times New Roman"/>
          <w:b/>
          <w:color w:val="000000" w:themeColor="text1"/>
          <w:u w:val="single"/>
          <w:lang w:val="en-GB"/>
        </w:rPr>
      </w:pPr>
      <w:r w:rsidRPr="00EC34BE">
        <w:rPr>
          <w:rFonts w:ascii="Times New Roman" w:hAnsi="Times New Roman" w:cs="Times New Roman"/>
          <w:b/>
          <w:color w:val="000000" w:themeColor="text1"/>
          <w:u w:val="single"/>
          <w:lang w:val="en-GB"/>
        </w:rPr>
        <w:t>Net Present Value (NPV)</w:t>
      </w:r>
    </w:p>
    <w:p w14:paraId="0CB8178F" w14:textId="77777777" w:rsidR="00EC34BE" w:rsidRPr="00EC34BE" w:rsidRDefault="00EC34BE" w:rsidP="00EC34BE">
      <w:pPr>
        <w:numPr>
          <w:ilvl w:val="0"/>
          <w:numId w:val="2"/>
        </w:numPr>
        <w:spacing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Advantages</w:t>
      </w:r>
    </w:p>
    <w:p w14:paraId="0D6C8D96" w14:textId="77777777" w:rsidR="00EC34BE" w:rsidRPr="00EC34BE" w:rsidRDefault="00EC34BE" w:rsidP="00EC34BE">
      <w:pPr>
        <w:numPr>
          <w:ilvl w:val="1"/>
          <w:numId w:val="2"/>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NPV is the most viable technique of investment appraisal as it applies the concept of the time value of money to measure accurate risk and returns of the potential projects. </w:t>
      </w:r>
    </w:p>
    <w:p w14:paraId="188075A8" w14:textId="77777777" w:rsidR="00EC34BE" w:rsidRPr="00EC34BE" w:rsidRDefault="00EC34BE" w:rsidP="00EC34BE">
      <w:pPr>
        <w:numPr>
          <w:ilvl w:val="1"/>
          <w:numId w:val="2"/>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This method also analyses the risk and uncertainty associated with future cash flows to manage the volatility of investment projects (Maravas and Pantouvakis, 2018). </w:t>
      </w:r>
    </w:p>
    <w:p w14:paraId="132E706C" w14:textId="77777777" w:rsidR="00EC34BE" w:rsidRPr="00EC34BE" w:rsidRDefault="00EC34BE" w:rsidP="00EC34BE">
      <w:pPr>
        <w:numPr>
          <w:ilvl w:val="0"/>
          <w:numId w:val="2"/>
        </w:numPr>
        <w:spacing w:line="360" w:lineRule="auto"/>
        <w:jc w:val="both"/>
        <w:rPr>
          <w:rFonts w:ascii="Times New Roman" w:hAnsi="Times New Roman" w:cs="Times New Roman"/>
          <w:b/>
          <w:color w:val="000000" w:themeColor="text1"/>
          <w:lang w:val="en-GB"/>
        </w:rPr>
      </w:pPr>
      <w:r w:rsidRPr="00EC34BE">
        <w:rPr>
          <w:rFonts w:ascii="Times New Roman" w:hAnsi="Times New Roman" w:cs="Times New Roman"/>
          <w:b/>
          <w:color w:val="000000" w:themeColor="text1"/>
          <w:lang w:val="en-GB"/>
        </w:rPr>
        <w:t xml:space="preserve">Shortcomings </w:t>
      </w:r>
    </w:p>
    <w:p w14:paraId="779B9029" w14:textId="77777777" w:rsidR="00EC34BE" w:rsidRPr="00EC34BE" w:rsidRDefault="00EC34BE" w:rsidP="00EC34BE">
      <w:pPr>
        <w:numPr>
          <w:ilvl w:val="1"/>
          <w:numId w:val="2"/>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NPV is a complex method to analyse the suitability of an investment as it makes a lot of assumptions related to future cash flows and non-financial aspects influencing market conditions, costs, and demand (Magni and Marchioni, 2020). </w:t>
      </w:r>
    </w:p>
    <w:p w14:paraId="25F66630" w14:textId="77777777" w:rsidR="00EC34BE" w:rsidRPr="00EC34BE" w:rsidRDefault="00EC34BE" w:rsidP="00EC34BE">
      <w:pPr>
        <w:numPr>
          <w:ilvl w:val="1"/>
          <w:numId w:val="2"/>
        </w:num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This technique is also sensitive as changes in internal and external environments influence the overall return capacity of investment projects. </w:t>
      </w:r>
    </w:p>
    <w:p w14:paraId="78BB0B7D" w14:textId="77777777" w:rsidR="00EC34BE" w:rsidRPr="00EC34BE" w:rsidRDefault="00EC34BE" w:rsidP="00EC34BE">
      <w:pPr>
        <w:pStyle w:val="Heading2"/>
        <w:rPr>
          <w:rFonts w:cs="Times New Roman"/>
          <w:lang w:val="en-GB"/>
        </w:rPr>
      </w:pPr>
      <w:bookmarkStart w:id="26" w:name="_5oupzhsgood6" w:colFirst="0" w:colLast="0"/>
      <w:bookmarkStart w:id="27" w:name="_Toc162905767"/>
      <w:bookmarkEnd w:id="26"/>
      <w:r w:rsidRPr="00EC34BE">
        <w:rPr>
          <w:rFonts w:cs="Times New Roman"/>
          <w:lang w:val="en-GB"/>
        </w:rPr>
        <w:t>C.4 Discussion of the non-financial factors considered by the management</w:t>
      </w:r>
      <w:bookmarkEnd w:id="27"/>
    </w:p>
    <w:p w14:paraId="3AB4A243" w14:textId="77777777" w:rsidR="00EC34BE" w:rsidRPr="00EC34BE" w:rsidRDefault="00EC34BE" w:rsidP="00EC34BE">
      <w:pPr>
        <w:spacing w:line="360" w:lineRule="auto"/>
        <w:jc w:val="both"/>
        <w:rPr>
          <w:rFonts w:ascii="Times New Roman" w:hAnsi="Times New Roman" w:cs="Times New Roman"/>
          <w:color w:val="000000" w:themeColor="text1"/>
          <w:lang w:val="en-GB"/>
        </w:rPr>
      </w:pPr>
      <w:r w:rsidRPr="00EC34BE">
        <w:rPr>
          <w:rFonts w:ascii="Times New Roman" w:hAnsi="Times New Roman" w:cs="Times New Roman"/>
          <w:color w:val="000000" w:themeColor="text1"/>
          <w:lang w:val="en-GB"/>
        </w:rPr>
        <w:t xml:space="preserve">The non-financial factors that need to be considered by the management involve competitive position, economic condition, stakeholder interest, sustainability measures, market demand, and technological aspects. In this way, the increasing trend of technological advancement has been considered by the organization to develop investment decisions for attaining growth opportunities (Sukharev, 2019). Further, the market demand for the products or services requires innovation to develop market share and attain competitiveness in the market. Additionally, the investment in sustainability measures promotes long-term operation to create value for the community with ethical business considerations (Martini, 2021). After that, the interest of stakeholders is also focused on satisfying both internal and external members for overall development. In this way, focus on economic stability related to inflation, and other uncertain conditions needs to be focused for making prompt decisions. Therefore, these aspects need to be considered by the organization to grow business and improve financial performance. </w:t>
      </w:r>
    </w:p>
    <w:p w14:paraId="3EC1B4E3" w14:textId="77777777" w:rsidR="00112E57" w:rsidRPr="00112E57" w:rsidRDefault="00112E57" w:rsidP="00112E57">
      <w:pPr>
        <w:pStyle w:val="Heading1"/>
      </w:pPr>
      <w:r w:rsidRPr="00112E57">
        <w:lastRenderedPageBreak/>
        <w:t xml:space="preserve">Conclusion </w:t>
      </w:r>
    </w:p>
    <w:p w14:paraId="28454C6C" w14:textId="77777777" w:rsidR="00112E57" w:rsidRPr="00112E57" w:rsidRDefault="00112E57" w:rsidP="00112E57">
      <w:pPr>
        <w:spacing w:line="360" w:lineRule="auto"/>
        <w:jc w:val="both"/>
        <w:rPr>
          <w:rFonts w:ascii="Times New Roman" w:eastAsia="Times New Roman" w:hAnsi="Times New Roman" w:cs="Times New Roman"/>
          <w:sz w:val="24"/>
          <w:szCs w:val="24"/>
        </w:rPr>
      </w:pPr>
      <w:r w:rsidRPr="00112E57">
        <w:rPr>
          <w:rFonts w:ascii="Times New Roman" w:eastAsia="Times New Roman" w:hAnsi="Times New Roman" w:cs="Times New Roman"/>
          <w:sz w:val="24"/>
          <w:szCs w:val="24"/>
        </w:rPr>
        <w:t>This report gives useful information on Apple Inc.'s financial health and investment prospects. We obtain a full grasp of Apple's position in the IT environment by conducting industry analysis, exploring business models, and comparing competitors. The financial analysis based on key ratios highlights Apple's strengths and disadvantages in comparison to Microsoft. Our examination of investment appraisal approaches provides a framework for making sound investment decisions. By proposing the best project based on payback period, accounting rate of return, and net present value, we provide a practical implementation of these concepts. This research provides investors with the necessary information to make informed decisions about Apple Inc. and potential investment possibilities.</w:t>
      </w:r>
    </w:p>
    <w:p w14:paraId="05918A8D" w14:textId="77777777" w:rsidR="009D28DC" w:rsidRPr="00F42401" w:rsidRDefault="009D28DC" w:rsidP="00F42401">
      <w:pPr>
        <w:spacing w:line="360" w:lineRule="auto"/>
        <w:jc w:val="both"/>
        <w:rPr>
          <w:rFonts w:ascii="Times New Roman" w:eastAsia="Times New Roman" w:hAnsi="Times New Roman" w:cs="Times New Roman"/>
          <w:sz w:val="24"/>
          <w:szCs w:val="24"/>
          <w:lang w:val="en-IN" w:eastAsia="en-IN"/>
        </w:rPr>
      </w:pPr>
    </w:p>
    <w:p w14:paraId="3B7D095B" w14:textId="77777777" w:rsidR="00112E57" w:rsidRDefault="00112E57">
      <w:pPr>
        <w:rPr>
          <w:rFonts w:ascii="Times New Roman" w:hAnsi="Times New Roman"/>
          <w:b/>
          <w:color w:val="000000" w:themeColor="text1"/>
          <w:sz w:val="28"/>
          <w:szCs w:val="40"/>
          <w:lang w:val="en-GB"/>
        </w:rPr>
      </w:pPr>
      <w:bookmarkStart w:id="28" w:name="_Toc162905768"/>
      <w:r>
        <w:rPr>
          <w:lang w:val="en-GB"/>
        </w:rPr>
        <w:br w:type="page"/>
      </w:r>
    </w:p>
    <w:p w14:paraId="46DCC27F" w14:textId="77777777" w:rsidR="003C683A" w:rsidRDefault="009D28DC" w:rsidP="00325921">
      <w:pPr>
        <w:pStyle w:val="Heading1"/>
        <w:rPr>
          <w:lang w:val="en-GB"/>
        </w:rPr>
      </w:pPr>
      <w:r w:rsidRPr="008A6414">
        <w:rPr>
          <w:lang w:val="en-GB"/>
        </w:rPr>
        <w:lastRenderedPageBreak/>
        <w:t>References</w:t>
      </w:r>
      <w:bookmarkEnd w:id="28"/>
    </w:p>
    <w:p w14:paraId="1E1E6532"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Aanestad, M., Vassilakopoulou, P. and Øvrelid, E. (2019). Collaborative Innovation in Healthcare: Boundary Resources for Peripheral Actors. </w:t>
      </w:r>
      <w:r w:rsidRPr="007046D8">
        <w:rPr>
          <w:rFonts w:ascii="Times New Roman" w:eastAsia="Times New Roman" w:hAnsi="Times New Roman" w:cs="Times New Roman"/>
          <w:i/>
          <w:iCs/>
          <w:sz w:val="24"/>
          <w:szCs w:val="24"/>
          <w:lang w:val="en-IN" w:eastAsia="en-IN"/>
        </w:rPr>
        <w:t>ICIS 2019 Proceedings</w:t>
      </w:r>
      <w:r w:rsidRPr="007046D8">
        <w:rPr>
          <w:rFonts w:ascii="Times New Roman" w:eastAsia="Times New Roman" w:hAnsi="Times New Roman" w:cs="Times New Roman"/>
          <w:sz w:val="24"/>
          <w:szCs w:val="24"/>
          <w:lang w:val="en-IN" w:eastAsia="en-IN"/>
        </w:rPr>
        <w:t>. [online] Available at: https://aisel.aisnet.org/icis2019/is_health/is_health/24 [Accessed 1 Apr. 2024].</w:t>
      </w:r>
    </w:p>
    <w:p w14:paraId="0F1CE797"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ACCA Global (2024). </w:t>
      </w:r>
      <w:r w:rsidRPr="002F196D">
        <w:rPr>
          <w:rFonts w:ascii="Times New Roman" w:hAnsi="Times New Roman" w:cs="Times New Roman"/>
          <w:i/>
          <w:color w:val="000000" w:themeColor="text1"/>
          <w:lang w:val="en-GB"/>
        </w:rPr>
        <w:t>Advanced investment appraisal | F9 Financial Management | ACCA Qualification | Students | ACCA Global</w:t>
      </w:r>
      <w:r w:rsidRPr="002F196D">
        <w:rPr>
          <w:rFonts w:ascii="Times New Roman" w:hAnsi="Times New Roman" w:cs="Times New Roman"/>
          <w:color w:val="000000" w:themeColor="text1"/>
          <w:lang w:val="en-GB"/>
        </w:rPr>
        <w:t>. [online] accaglobal. Available at: https://www.accaglobal.com/gb/en/student/exam-support-resources/fundamentals-exams-study-resources/f9/technical-articles/advanced-investment-appraisal.html [Accessed 1 Apr. 2024].</w:t>
      </w:r>
    </w:p>
    <w:p w14:paraId="62ED36B6"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Agrawal, A., Gans, J. and Goldfarb, A. (2019). The Economics of Artificial Intelligence. doi:https://doi.org/10.7208/chicago/9780226613475.001.0001.</w:t>
      </w:r>
    </w:p>
    <w:p w14:paraId="4158E06C"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Al Mheiri, R., Al Hosani, N. and Saif, E. (2021). Ratio Analysis of Apple. </w:t>
      </w:r>
      <w:r w:rsidRPr="007046D8">
        <w:rPr>
          <w:rFonts w:ascii="Times New Roman" w:eastAsia="Times New Roman" w:hAnsi="Times New Roman" w:cs="Times New Roman"/>
          <w:i/>
          <w:iCs/>
          <w:sz w:val="24"/>
          <w:szCs w:val="24"/>
          <w:lang w:val="en-IN" w:eastAsia="en-IN"/>
        </w:rPr>
        <w:t>SSRN Electronic Journal</w:t>
      </w:r>
      <w:r w:rsidRPr="007046D8">
        <w:rPr>
          <w:rFonts w:ascii="Times New Roman" w:eastAsia="Times New Roman" w:hAnsi="Times New Roman" w:cs="Times New Roman"/>
          <w:sz w:val="24"/>
          <w:szCs w:val="24"/>
          <w:lang w:val="en-IN" w:eastAsia="en-IN"/>
        </w:rPr>
        <w:t>, 1(1). doi:https://doi.org/10.2139/ssrn.3895231.</w:t>
      </w:r>
    </w:p>
    <w:p w14:paraId="09A67631"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Al-Hawatmah, Z. and Shaban, O.S. (2023). The effect of financial leverage on company’s capital structure: Evidence from developing market. </w:t>
      </w:r>
      <w:r w:rsidRPr="007046D8">
        <w:rPr>
          <w:rFonts w:ascii="Times New Roman" w:eastAsia="Times New Roman" w:hAnsi="Times New Roman" w:cs="Times New Roman"/>
          <w:i/>
          <w:iCs/>
          <w:sz w:val="24"/>
          <w:szCs w:val="24"/>
          <w:lang w:val="en-IN" w:eastAsia="en-IN"/>
        </w:rPr>
        <w:t>Corporate and Business Strategy Review</w:t>
      </w:r>
      <w:r w:rsidRPr="007046D8">
        <w:rPr>
          <w:rFonts w:ascii="Times New Roman" w:eastAsia="Times New Roman" w:hAnsi="Times New Roman" w:cs="Times New Roman"/>
          <w:sz w:val="24"/>
          <w:szCs w:val="24"/>
          <w:lang w:val="en-IN" w:eastAsia="en-IN"/>
        </w:rPr>
        <w:t>, 4(2), pp.168–174. doi:https://doi.org/10.22495/cbsrv4i2art15.</w:t>
      </w:r>
    </w:p>
    <w:p w14:paraId="5210D8F1"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Apple (2023). </w:t>
      </w:r>
      <w:r w:rsidRPr="007046D8">
        <w:rPr>
          <w:rFonts w:ascii="Times New Roman" w:eastAsia="Times New Roman" w:hAnsi="Times New Roman" w:cs="Times New Roman"/>
          <w:i/>
          <w:iCs/>
          <w:sz w:val="24"/>
          <w:szCs w:val="24"/>
          <w:lang w:val="en-IN" w:eastAsia="en-IN"/>
        </w:rPr>
        <w:t>Apple Events - Apple Special Events</w:t>
      </w:r>
      <w:r w:rsidRPr="007046D8">
        <w:rPr>
          <w:rFonts w:ascii="Times New Roman" w:eastAsia="Times New Roman" w:hAnsi="Times New Roman" w:cs="Times New Roman"/>
          <w:sz w:val="24"/>
          <w:szCs w:val="24"/>
          <w:lang w:val="en-IN" w:eastAsia="en-IN"/>
        </w:rPr>
        <w:t>. [online] Apple. Available at: https://www.apple.com/apple-events/ [Accessed 1 Apr. 2024].</w:t>
      </w:r>
    </w:p>
    <w:p w14:paraId="6B5F76A8"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Apple Newsroom (India). (2023). </w:t>
      </w:r>
      <w:r w:rsidRPr="007046D8">
        <w:rPr>
          <w:rFonts w:ascii="Times New Roman" w:eastAsia="Times New Roman" w:hAnsi="Times New Roman" w:cs="Times New Roman"/>
          <w:i/>
          <w:iCs/>
          <w:sz w:val="24"/>
          <w:szCs w:val="24"/>
          <w:lang w:val="en-IN" w:eastAsia="en-IN"/>
        </w:rPr>
        <w:t>Apple reports first quarter results</w:t>
      </w:r>
      <w:r w:rsidRPr="007046D8">
        <w:rPr>
          <w:rFonts w:ascii="Times New Roman" w:eastAsia="Times New Roman" w:hAnsi="Times New Roman" w:cs="Times New Roman"/>
          <w:sz w:val="24"/>
          <w:szCs w:val="24"/>
          <w:lang w:val="en-IN" w:eastAsia="en-IN"/>
        </w:rPr>
        <w:t>. [online] Available at: https://www.apple.com/in/newsroom/2024/02/apple-reports-first-quarter-results/ [Accessed 1 Apr. 2024].</w:t>
      </w:r>
    </w:p>
    <w:p w14:paraId="4857F475"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Apple Podcasts. (2023). </w:t>
      </w:r>
      <w:r w:rsidRPr="007046D8">
        <w:rPr>
          <w:rFonts w:ascii="Times New Roman" w:eastAsia="Times New Roman" w:hAnsi="Times New Roman" w:cs="Times New Roman"/>
          <w:i/>
          <w:iCs/>
          <w:sz w:val="24"/>
          <w:szCs w:val="24"/>
          <w:lang w:val="en-IN" w:eastAsia="en-IN"/>
        </w:rPr>
        <w:t>‎Apple Events (video) on Apple Podcasts</w:t>
      </w:r>
      <w:r w:rsidRPr="007046D8">
        <w:rPr>
          <w:rFonts w:ascii="Times New Roman" w:eastAsia="Times New Roman" w:hAnsi="Times New Roman" w:cs="Times New Roman"/>
          <w:sz w:val="24"/>
          <w:szCs w:val="24"/>
          <w:lang w:val="en-IN" w:eastAsia="en-IN"/>
        </w:rPr>
        <w:t>. [online] Available at: https://podcasts.apple.com/us/podcast/apple-events-video/id275834665 [Accessed 1 Apr. 2024].</w:t>
      </w:r>
    </w:p>
    <w:p w14:paraId="7149F5DB"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Arhinful, R. and Radmehr, M. (2023). The Impact of Financial Leverage on the Financial Performance of the Firms Listed on the Tokyo Stock Exchange. </w:t>
      </w:r>
      <w:r w:rsidRPr="007046D8">
        <w:rPr>
          <w:rFonts w:ascii="Times New Roman" w:eastAsia="Times New Roman" w:hAnsi="Times New Roman" w:cs="Times New Roman"/>
          <w:i/>
          <w:iCs/>
          <w:sz w:val="24"/>
          <w:szCs w:val="24"/>
          <w:lang w:val="en-IN" w:eastAsia="en-IN"/>
        </w:rPr>
        <w:t>SAGE Open</w:t>
      </w:r>
      <w:r w:rsidRPr="007046D8">
        <w:rPr>
          <w:rFonts w:ascii="Times New Roman" w:eastAsia="Times New Roman" w:hAnsi="Times New Roman" w:cs="Times New Roman"/>
          <w:sz w:val="24"/>
          <w:szCs w:val="24"/>
          <w:lang w:val="en-IN" w:eastAsia="en-IN"/>
        </w:rPr>
        <w:t>, [online] 13(4). doi:https://doi.org/10.1177/21582440231204099.</w:t>
      </w:r>
    </w:p>
    <w:p w14:paraId="3D69CC18"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lastRenderedPageBreak/>
        <w:t xml:space="preserve">Avagyan, V., Camacho, N., Van der Stede, W.A. and Stremersch, S. (2021). Financial projections in innovation selection: The role of scenario presentation, expertise, and risk. </w:t>
      </w:r>
      <w:r w:rsidRPr="007046D8">
        <w:rPr>
          <w:rFonts w:ascii="Times New Roman" w:eastAsia="Times New Roman" w:hAnsi="Times New Roman" w:cs="Times New Roman"/>
          <w:i/>
          <w:iCs/>
          <w:sz w:val="24"/>
          <w:szCs w:val="24"/>
          <w:lang w:val="en-IN" w:eastAsia="en-IN"/>
        </w:rPr>
        <w:t>International Journal of Research in Marketing</w:t>
      </w:r>
      <w:r w:rsidRPr="007046D8">
        <w:rPr>
          <w:rFonts w:ascii="Times New Roman" w:eastAsia="Times New Roman" w:hAnsi="Times New Roman" w:cs="Times New Roman"/>
          <w:sz w:val="24"/>
          <w:szCs w:val="24"/>
          <w:lang w:val="en-IN" w:eastAsia="en-IN"/>
        </w:rPr>
        <w:t>, 39(3). doi:https://doi.org/10.1016/j.ijresmar.2021.10.009.</w:t>
      </w:r>
    </w:p>
    <w:p w14:paraId="1EC7802D"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Baños-Caballero, S., García-Teruel, P.J. and Martínez-Solano, P. (2014). Working capital management, corporate performance, and financial constraints. </w:t>
      </w:r>
      <w:r w:rsidRPr="007046D8">
        <w:rPr>
          <w:rFonts w:ascii="Times New Roman" w:eastAsia="Times New Roman" w:hAnsi="Times New Roman" w:cs="Times New Roman"/>
          <w:i/>
          <w:iCs/>
          <w:sz w:val="24"/>
          <w:szCs w:val="24"/>
          <w:lang w:val="en-IN" w:eastAsia="en-IN"/>
        </w:rPr>
        <w:t>Journal of Business Research</w:t>
      </w:r>
      <w:r w:rsidRPr="007046D8">
        <w:rPr>
          <w:rFonts w:ascii="Times New Roman" w:eastAsia="Times New Roman" w:hAnsi="Times New Roman" w:cs="Times New Roman"/>
          <w:sz w:val="24"/>
          <w:szCs w:val="24"/>
          <w:lang w:val="en-IN" w:eastAsia="en-IN"/>
        </w:rPr>
        <w:t>, [online] 67(3), pp.332–338. doi:https://doi.org/10.1016/j.jbusres.2013.01.016.</w:t>
      </w:r>
    </w:p>
    <w:p w14:paraId="668CEE73"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Barnes, P. (1987). The Analysis and Use of Financial Ratios: A Review Article. </w:t>
      </w:r>
      <w:r w:rsidRPr="007046D8">
        <w:rPr>
          <w:rFonts w:ascii="Times New Roman" w:eastAsia="Times New Roman" w:hAnsi="Times New Roman" w:cs="Times New Roman"/>
          <w:i/>
          <w:iCs/>
          <w:sz w:val="24"/>
          <w:szCs w:val="24"/>
          <w:lang w:val="en-IN" w:eastAsia="en-IN"/>
        </w:rPr>
        <w:t>Journal of Business Finance &amp; Accounting</w:t>
      </w:r>
      <w:r w:rsidRPr="007046D8">
        <w:rPr>
          <w:rFonts w:ascii="Times New Roman" w:eastAsia="Times New Roman" w:hAnsi="Times New Roman" w:cs="Times New Roman"/>
          <w:sz w:val="24"/>
          <w:szCs w:val="24"/>
          <w:lang w:val="en-IN" w:eastAsia="en-IN"/>
        </w:rPr>
        <w:t>, [online] 14(4), pp.449–461. doi:https://doi.org/10.1111/j.1468-5957.1987.tb00106.x.</w:t>
      </w:r>
    </w:p>
    <w:p w14:paraId="47A4A325"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Batrancea, L. (2021). The Influence of Liquidity and Solvency on Performance within the Healthcare Industry: Evidence from Publicly Listed Companies. </w:t>
      </w:r>
      <w:r w:rsidRPr="007046D8">
        <w:rPr>
          <w:rFonts w:ascii="Times New Roman" w:eastAsia="Times New Roman" w:hAnsi="Times New Roman" w:cs="Times New Roman"/>
          <w:i/>
          <w:iCs/>
          <w:sz w:val="24"/>
          <w:szCs w:val="24"/>
          <w:lang w:val="en-IN" w:eastAsia="en-IN"/>
        </w:rPr>
        <w:t>Mathematics</w:t>
      </w:r>
      <w:r w:rsidRPr="007046D8">
        <w:rPr>
          <w:rFonts w:ascii="Times New Roman" w:eastAsia="Times New Roman" w:hAnsi="Times New Roman" w:cs="Times New Roman"/>
          <w:sz w:val="24"/>
          <w:szCs w:val="24"/>
          <w:lang w:val="en-IN" w:eastAsia="en-IN"/>
        </w:rPr>
        <w:t>, [online] 9(18), p.2231. doi:https://doi.org/10.3390/math9182231.</w:t>
      </w:r>
    </w:p>
    <w:p w14:paraId="12139577"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Bloomberg (2019). </w:t>
      </w:r>
      <w:r w:rsidRPr="007046D8">
        <w:rPr>
          <w:rFonts w:ascii="Times New Roman" w:eastAsia="Times New Roman" w:hAnsi="Times New Roman" w:cs="Times New Roman"/>
          <w:i/>
          <w:iCs/>
          <w:sz w:val="24"/>
          <w:szCs w:val="24"/>
          <w:lang w:val="en-IN" w:eastAsia="en-IN"/>
        </w:rPr>
        <w:t>Bloomberg - Are you a robot?</w:t>
      </w:r>
      <w:r w:rsidRPr="007046D8">
        <w:rPr>
          <w:rFonts w:ascii="Times New Roman" w:eastAsia="Times New Roman" w:hAnsi="Times New Roman" w:cs="Times New Roman"/>
          <w:sz w:val="24"/>
          <w:szCs w:val="24"/>
          <w:lang w:val="en-IN" w:eastAsia="en-IN"/>
        </w:rPr>
        <w:t xml:space="preserve"> [online] Bloomberg.com. Available at: https://www.bloomberg.com/profile/company/AAPL:US.</w:t>
      </w:r>
    </w:p>
    <w:p w14:paraId="1459B39A"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CFI (2023). </w:t>
      </w:r>
      <w:r w:rsidRPr="007046D8">
        <w:rPr>
          <w:rFonts w:ascii="Times New Roman" w:eastAsia="Times New Roman" w:hAnsi="Times New Roman" w:cs="Times New Roman"/>
          <w:i/>
          <w:iCs/>
          <w:sz w:val="24"/>
          <w:szCs w:val="24"/>
          <w:lang w:val="en-IN" w:eastAsia="en-IN"/>
        </w:rPr>
        <w:t>Solvency Ratio</w:t>
      </w:r>
      <w:r w:rsidRPr="007046D8">
        <w:rPr>
          <w:rFonts w:ascii="Times New Roman" w:eastAsia="Times New Roman" w:hAnsi="Times New Roman" w:cs="Times New Roman"/>
          <w:sz w:val="24"/>
          <w:szCs w:val="24"/>
          <w:lang w:val="en-IN" w:eastAsia="en-IN"/>
        </w:rPr>
        <w:t>. [online] Corporate Finance Institute. Available at: https://corporatefinanceinstitute.com/resources/commercial-lending/solvency-ratio/ [Accessed 1 Apr. 2024].</w:t>
      </w:r>
    </w:p>
    <w:p w14:paraId="504BC55B"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Chen, Q. (2022). Relationship between Financial Asset Allocation, Leverage Ratio, and Risk-Taking of Small- and Medium-Sized Enterprises in China: Taking Environment-Related Industries as an Example. </w:t>
      </w:r>
      <w:r w:rsidRPr="007046D8">
        <w:rPr>
          <w:rFonts w:ascii="Times New Roman" w:eastAsia="Times New Roman" w:hAnsi="Times New Roman" w:cs="Times New Roman"/>
          <w:i/>
          <w:iCs/>
          <w:sz w:val="24"/>
          <w:szCs w:val="24"/>
          <w:lang w:val="en-IN" w:eastAsia="en-IN"/>
        </w:rPr>
        <w:t>Journal of Environmental and Public Health</w:t>
      </w:r>
      <w:r w:rsidRPr="007046D8">
        <w:rPr>
          <w:rFonts w:ascii="Times New Roman" w:eastAsia="Times New Roman" w:hAnsi="Times New Roman" w:cs="Times New Roman"/>
          <w:sz w:val="24"/>
          <w:szCs w:val="24"/>
          <w:lang w:val="en-IN" w:eastAsia="en-IN"/>
        </w:rPr>
        <w:t>, 2022, pp.1–10. doi:https://doi.org/10.1155/2022/2431428.</w:t>
      </w:r>
    </w:p>
    <w:p w14:paraId="05DF068F"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Dobrowolski, Z. and Drozdowski, G. (2022). Does the Net Present Value as a Financial Metric Fit Investment in Green Energy Security? </w:t>
      </w:r>
      <w:r w:rsidRPr="002F196D">
        <w:rPr>
          <w:rFonts w:ascii="Times New Roman" w:hAnsi="Times New Roman" w:cs="Times New Roman"/>
          <w:i/>
          <w:color w:val="000000" w:themeColor="text1"/>
          <w:lang w:val="en-GB"/>
        </w:rPr>
        <w:t>Energies</w:t>
      </w:r>
      <w:r w:rsidRPr="002F196D">
        <w:rPr>
          <w:rFonts w:ascii="Times New Roman" w:hAnsi="Times New Roman" w:cs="Times New Roman"/>
          <w:color w:val="000000" w:themeColor="text1"/>
          <w:lang w:val="en-GB"/>
        </w:rPr>
        <w:t>, [online] 15(1), p.353. doi:https://doi.org/10.3390/en15010353.</w:t>
      </w:r>
    </w:p>
    <w:p w14:paraId="580B4EE6"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Eggert, A., Hogreve, J., Ulaga, W. and Muenkhoff, E. (2013). Revenue and Profit Implications of Industrial Service Strategies. </w:t>
      </w:r>
      <w:r w:rsidRPr="007046D8">
        <w:rPr>
          <w:rFonts w:ascii="Times New Roman" w:eastAsia="Times New Roman" w:hAnsi="Times New Roman" w:cs="Times New Roman"/>
          <w:i/>
          <w:iCs/>
          <w:sz w:val="24"/>
          <w:szCs w:val="24"/>
          <w:lang w:val="en-IN" w:eastAsia="en-IN"/>
        </w:rPr>
        <w:t>Journal of Service Research</w:t>
      </w:r>
      <w:r w:rsidRPr="007046D8">
        <w:rPr>
          <w:rFonts w:ascii="Times New Roman" w:eastAsia="Times New Roman" w:hAnsi="Times New Roman" w:cs="Times New Roman"/>
          <w:sz w:val="24"/>
          <w:szCs w:val="24"/>
          <w:lang w:val="en-IN" w:eastAsia="en-IN"/>
        </w:rPr>
        <w:t>, [online] 17(1), pp.23–39. doi:https://doi.org/10.1177/1094670513485823.</w:t>
      </w:r>
    </w:p>
    <w:p w14:paraId="44DEBB2D"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lastRenderedPageBreak/>
        <w:t xml:space="preserve">Errida, A. and Lotfi, B. (2021). The Determinants of Organizational Change Management Success: Literature Review and Case Study. </w:t>
      </w:r>
      <w:r w:rsidRPr="007046D8">
        <w:rPr>
          <w:rFonts w:ascii="Times New Roman" w:eastAsia="Times New Roman" w:hAnsi="Times New Roman" w:cs="Times New Roman"/>
          <w:i/>
          <w:iCs/>
          <w:sz w:val="24"/>
          <w:szCs w:val="24"/>
          <w:lang w:val="en-IN" w:eastAsia="en-IN"/>
        </w:rPr>
        <w:t>International Journal of Engineering Business Management</w:t>
      </w:r>
      <w:r w:rsidRPr="007046D8">
        <w:rPr>
          <w:rFonts w:ascii="Times New Roman" w:eastAsia="Times New Roman" w:hAnsi="Times New Roman" w:cs="Times New Roman"/>
          <w:sz w:val="24"/>
          <w:szCs w:val="24"/>
          <w:lang w:val="en-IN" w:eastAsia="en-IN"/>
        </w:rPr>
        <w:t>, [online] 13(1), pp.1–15. doi:https://doi.org/10.1177/18479790211016273.</w:t>
      </w:r>
    </w:p>
    <w:p w14:paraId="2FBF7D39"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Finance.yahoo.com. (2023). </w:t>
      </w:r>
      <w:r w:rsidRPr="007046D8">
        <w:rPr>
          <w:rFonts w:ascii="Times New Roman" w:eastAsia="Times New Roman" w:hAnsi="Times New Roman" w:cs="Times New Roman"/>
          <w:i/>
          <w:iCs/>
          <w:sz w:val="24"/>
          <w:szCs w:val="24"/>
          <w:lang w:val="en-IN" w:eastAsia="en-IN"/>
        </w:rPr>
        <w:t>Apple Inc. (AAPL) Company Profile &amp; Facts - Yahoo Finance</w:t>
      </w:r>
      <w:r w:rsidRPr="007046D8">
        <w:rPr>
          <w:rFonts w:ascii="Times New Roman" w:eastAsia="Times New Roman" w:hAnsi="Times New Roman" w:cs="Times New Roman"/>
          <w:sz w:val="24"/>
          <w:szCs w:val="24"/>
          <w:lang w:val="en-IN" w:eastAsia="en-IN"/>
        </w:rPr>
        <w:t>. [online] Available at: https://finance.yahoo.com/quote/AAPL/profile/?guccounter=1&amp;guce_referrer=aHR0cHM6Ly93d3cuZ29vZ2xlLmNvbS8&amp;guce_referrer_sig=AQAAABFqaLvfa5C08L_v7XBuQrQOv0Grg6LFoqf7rilsApd32sF8z7w4qamPrX-Aa1rKNMhCf-8Ik1xPXoEBlk6B_MN3QuokIMWaZ2oSkJkHDYj-BtJSdfOIOAxioVQutcNfRQzzBEznPU2rgnYIrYAaL5Y_McwHZAz97eCZoBYwllfu [Accessed 1 Apr. 2024].</w:t>
      </w:r>
    </w:p>
    <w:p w14:paraId="6033BF4F"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Forbes. (2023). </w:t>
      </w:r>
      <w:r w:rsidRPr="007046D8">
        <w:rPr>
          <w:rFonts w:ascii="Times New Roman" w:eastAsia="Times New Roman" w:hAnsi="Times New Roman" w:cs="Times New Roman"/>
          <w:i/>
          <w:iCs/>
          <w:sz w:val="24"/>
          <w:szCs w:val="24"/>
          <w:lang w:val="en-IN" w:eastAsia="en-IN"/>
        </w:rPr>
        <w:t>Apple | AAPL Stock Price, Company Overview &amp; News</w:t>
      </w:r>
      <w:r w:rsidRPr="007046D8">
        <w:rPr>
          <w:rFonts w:ascii="Times New Roman" w:eastAsia="Times New Roman" w:hAnsi="Times New Roman" w:cs="Times New Roman"/>
          <w:sz w:val="24"/>
          <w:szCs w:val="24"/>
          <w:lang w:val="en-IN" w:eastAsia="en-IN"/>
        </w:rPr>
        <w:t>. [online] Available at: https://www.forbes.com/companies/apple/?sh=c80f1a65355a [Accessed 1 Apr. 2024].</w:t>
      </w:r>
    </w:p>
    <w:p w14:paraId="3C3F1E1B"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George, G., Haas, M.R., McGahan, A.M., Schillebeeckx, S.J.D. and Tracey, P. (2021). Purpose in the For-Profit Firm: A Review and Framework for Management Research. </w:t>
      </w:r>
      <w:r w:rsidRPr="007046D8">
        <w:rPr>
          <w:rFonts w:ascii="Times New Roman" w:eastAsia="Times New Roman" w:hAnsi="Times New Roman" w:cs="Times New Roman"/>
          <w:i/>
          <w:iCs/>
          <w:sz w:val="24"/>
          <w:szCs w:val="24"/>
          <w:lang w:val="en-IN" w:eastAsia="en-IN"/>
        </w:rPr>
        <w:t>Journal of Management</w:t>
      </w:r>
      <w:r w:rsidRPr="007046D8">
        <w:rPr>
          <w:rFonts w:ascii="Times New Roman" w:eastAsia="Times New Roman" w:hAnsi="Times New Roman" w:cs="Times New Roman"/>
          <w:sz w:val="24"/>
          <w:szCs w:val="24"/>
          <w:lang w:val="en-IN" w:eastAsia="en-IN"/>
        </w:rPr>
        <w:t>, [online] 49(6), p.014920632110064. doi:https://doi.org/10.1177/01492063211006450.</w:t>
      </w:r>
    </w:p>
    <w:p w14:paraId="5C72B491"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Gorshkov, A.S., Vatin, N., Rymkevich, P.P. and Kydrevich, O. (2018). Payback period of investments in energy saving. </w:t>
      </w:r>
      <w:r w:rsidRPr="002F196D">
        <w:rPr>
          <w:rFonts w:ascii="Times New Roman" w:hAnsi="Times New Roman" w:cs="Times New Roman"/>
          <w:i/>
          <w:color w:val="000000" w:themeColor="text1"/>
          <w:lang w:val="en-GB"/>
        </w:rPr>
        <w:t>Magazine of civil engineering</w:t>
      </w:r>
      <w:r w:rsidRPr="002F196D">
        <w:rPr>
          <w:rFonts w:ascii="Times New Roman" w:hAnsi="Times New Roman" w:cs="Times New Roman"/>
          <w:color w:val="000000" w:themeColor="text1"/>
          <w:lang w:val="en-GB"/>
        </w:rPr>
        <w:t>, [online] 78(2), pp.65–75. doi:https://doi.org/10.18720/mce.78.5.</w:t>
      </w:r>
    </w:p>
    <w:p w14:paraId="378618CF"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Hasanuddin, R., Darman, D., Taufan, M.Y., Salim, A., Muslim, M. and Putra, A.H.P.K. (2021). The Effect of Firm Size, Debt, Current Ratio, and Investment Opportunity Set on Earnings Quality: An Empirical Study in Indonesia. </w:t>
      </w:r>
      <w:r w:rsidRPr="007046D8">
        <w:rPr>
          <w:rFonts w:ascii="Times New Roman" w:eastAsia="Times New Roman" w:hAnsi="Times New Roman" w:cs="Times New Roman"/>
          <w:i/>
          <w:iCs/>
          <w:sz w:val="24"/>
          <w:szCs w:val="24"/>
          <w:lang w:val="en-IN" w:eastAsia="en-IN"/>
        </w:rPr>
        <w:t>The Journal of Asian Finance, Economics and Business</w:t>
      </w:r>
      <w:r w:rsidRPr="007046D8">
        <w:rPr>
          <w:rFonts w:ascii="Times New Roman" w:eastAsia="Times New Roman" w:hAnsi="Times New Roman" w:cs="Times New Roman"/>
          <w:sz w:val="24"/>
          <w:szCs w:val="24"/>
          <w:lang w:val="en-IN" w:eastAsia="en-IN"/>
        </w:rPr>
        <w:t>, [online] 8(6), pp.179–188. doi:https://doi.org/10.13106/jafeb.2021.vol8.no6.0179.</w:t>
      </w:r>
    </w:p>
    <w:p w14:paraId="2E7299E3"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Kollnig, K., Shuba, A., Binns, R., Van Kleek, M. and Shadbolt, N. (2022). Are iPhones Really Better for Privacy? A Comparative Study of iOS and Android Apps. </w:t>
      </w:r>
      <w:r w:rsidRPr="007046D8">
        <w:rPr>
          <w:rFonts w:ascii="Times New Roman" w:eastAsia="Times New Roman" w:hAnsi="Times New Roman" w:cs="Times New Roman"/>
          <w:i/>
          <w:iCs/>
          <w:sz w:val="24"/>
          <w:szCs w:val="24"/>
          <w:lang w:val="en-IN" w:eastAsia="en-IN"/>
        </w:rPr>
        <w:t>Proceedings on Privacy Enhancing Technologies</w:t>
      </w:r>
      <w:r w:rsidRPr="007046D8">
        <w:rPr>
          <w:rFonts w:ascii="Times New Roman" w:eastAsia="Times New Roman" w:hAnsi="Times New Roman" w:cs="Times New Roman"/>
          <w:sz w:val="24"/>
          <w:szCs w:val="24"/>
          <w:lang w:val="en-IN" w:eastAsia="en-IN"/>
        </w:rPr>
        <w:t>, [online] 2022(2), pp.6–24. doi:https://doi.org/10.2478/popets-2022-0033.</w:t>
      </w:r>
    </w:p>
    <w:p w14:paraId="7D866763"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lastRenderedPageBreak/>
        <w:t xml:space="preserve">Laricchia, F. (2023). </w:t>
      </w:r>
      <w:r w:rsidRPr="007046D8">
        <w:rPr>
          <w:rFonts w:ascii="Times New Roman" w:eastAsia="Times New Roman" w:hAnsi="Times New Roman" w:cs="Times New Roman"/>
          <w:i/>
          <w:iCs/>
          <w:sz w:val="24"/>
          <w:szCs w:val="24"/>
          <w:lang w:val="en-IN" w:eastAsia="en-IN"/>
        </w:rPr>
        <w:t>Global revenue of Apple from 2004 to 2023</w:t>
      </w:r>
      <w:r w:rsidRPr="007046D8">
        <w:rPr>
          <w:rFonts w:ascii="Times New Roman" w:eastAsia="Times New Roman" w:hAnsi="Times New Roman" w:cs="Times New Roman"/>
          <w:sz w:val="24"/>
          <w:szCs w:val="24"/>
          <w:lang w:val="en-IN" w:eastAsia="en-IN"/>
        </w:rPr>
        <w:t>. [online] Statista. Available at: https://www.statista.com/statistics/265125/total-net-sales-of-apple-since-2004/.</w:t>
      </w:r>
    </w:p>
    <w:p w14:paraId="28393D93"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Le, S. (2021). The Applications of NPV in Different Types of Markets. </w:t>
      </w:r>
      <w:r w:rsidRPr="002F196D">
        <w:rPr>
          <w:rFonts w:ascii="Times New Roman" w:hAnsi="Times New Roman" w:cs="Times New Roman"/>
          <w:i/>
          <w:color w:val="000000" w:themeColor="text1"/>
          <w:lang w:val="en-GB"/>
        </w:rPr>
        <w:t>International Conference on Economic Management and Cultural Industry</w:t>
      </w:r>
      <w:r w:rsidRPr="002F196D">
        <w:rPr>
          <w:rFonts w:ascii="Times New Roman" w:hAnsi="Times New Roman" w:cs="Times New Roman"/>
          <w:color w:val="000000" w:themeColor="text1"/>
          <w:lang w:val="en-GB"/>
        </w:rPr>
        <w:t>, [online] pp.1054–1059. doi:https://doi.org/10.2991/assehr.k.211209.171.</w:t>
      </w:r>
    </w:p>
    <w:p w14:paraId="36FBE694"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Lu, Y. (2024). Financial statement analysis and revenue forecast for Apple Inc. </w:t>
      </w:r>
      <w:r w:rsidRPr="007046D8">
        <w:rPr>
          <w:rFonts w:ascii="Times New Roman" w:eastAsia="Times New Roman" w:hAnsi="Times New Roman" w:cs="Times New Roman"/>
          <w:i/>
          <w:iCs/>
          <w:sz w:val="24"/>
          <w:szCs w:val="24"/>
          <w:lang w:val="en-IN" w:eastAsia="en-IN"/>
        </w:rPr>
        <w:t>SHS Web of Conferences</w:t>
      </w:r>
      <w:r w:rsidRPr="007046D8">
        <w:rPr>
          <w:rFonts w:ascii="Times New Roman" w:eastAsia="Times New Roman" w:hAnsi="Times New Roman" w:cs="Times New Roman"/>
          <w:sz w:val="24"/>
          <w:szCs w:val="24"/>
          <w:lang w:val="en-IN" w:eastAsia="en-IN"/>
        </w:rPr>
        <w:t>, [online] 181, p.02020. doi:https://doi.org/10.1051/shsconf/202418102020.</w:t>
      </w:r>
    </w:p>
    <w:p w14:paraId="78C97BC0"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Magni, C.A. and Marchioni, A. (2020). Average rates of return, working capital, and NPV-consistency in project appraisal: A sensitivity analysis approach. </w:t>
      </w:r>
      <w:r w:rsidRPr="002F196D">
        <w:rPr>
          <w:rFonts w:ascii="Times New Roman" w:hAnsi="Times New Roman" w:cs="Times New Roman"/>
          <w:i/>
          <w:color w:val="000000" w:themeColor="text1"/>
          <w:lang w:val="en-GB"/>
        </w:rPr>
        <w:t>International Journal of Production Economics</w:t>
      </w:r>
      <w:r w:rsidRPr="002F196D">
        <w:rPr>
          <w:rFonts w:ascii="Times New Roman" w:hAnsi="Times New Roman" w:cs="Times New Roman"/>
          <w:color w:val="000000" w:themeColor="text1"/>
          <w:lang w:val="en-GB"/>
        </w:rPr>
        <w:t>, [online] 229(1), p.107769. doi:https://doi.org/10.1016/j.ijpe.2020.107769.</w:t>
      </w:r>
    </w:p>
    <w:p w14:paraId="649D7999"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Mahmoud, A.B. (2023). Investment Appraisal Simplified-a Tutorial. [online] doi:http://dx.doi.org/10.13140/RG.2.2.34638.13125.</w:t>
      </w:r>
    </w:p>
    <w:p w14:paraId="084EBE5F"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Maravas, A. and Pantouvakis, J.-P. (2018). A New Approach to Studying Net Present Value and the Internal Rate of Return of Engineering Projects under Uncertainty with Three-Dimensional Graphs. </w:t>
      </w:r>
      <w:r w:rsidRPr="002F196D">
        <w:rPr>
          <w:rFonts w:ascii="Times New Roman" w:hAnsi="Times New Roman" w:cs="Times New Roman"/>
          <w:i/>
          <w:color w:val="000000" w:themeColor="text1"/>
          <w:lang w:val="en-GB"/>
        </w:rPr>
        <w:t>Advances in Civil Engineering</w:t>
      </w:r>
      <w:r w:rsidRPr="002F196D">
        <w:rPr>
          <w:rFonts w:ascii="Times New Roman" w:hAnsi="Times New Roman" w:cs="Times New Roman"/>
          <w:color w:val="000000" w:themeColor="text1"/>
          <w:lang w:val="en-GB"/>
        </w:rPr>
        <w:t>. [online] doi:https://doi.org/10.1155/2018/6108680.</w:t>
      </w:r>
    </w:p>
    <w:p w14:paraId="4FEA098B"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Markets.ft.com. (2022). </w:t>
      </w:r>
      <w:r w:rsidRPr="007046D8">
        <w:rPr>
          <w:rFonts w:ascii="Times New Roman" w:eastAsia="Times New Roman" w:hAnsi="Times New Roman" w:cs="Times New Roman"/>
          <w:i/>
          <w:iCs/>
          <w:sz w:val="24"/>
          <w:szCs w:val="24"/>
          <w:lang w:val="en-IN" w:eastAsia="en-IN"/>
        </w:rPr>
        <w:t>Apple Inc, AAPL:NSQ profile - FT.com</w:t>
      </w:r>
      <w:r w:rsidRPr="007046D8">
        <w:rPr>
          <w:rFonts w:ascii="Times New Roman" w:eastAsia="Times New Roman" w:hAnsi="Times New Roman" w:cs="Times New Roman"/>
          <w:sz w:val="24"/>
          <w:szCs w:val="24"/>
          <w:lang w:val="en-IN" w:eastAsia="en-IN"/>
        </w:rPr>
        <w:t>. [online] Available at: https://markets.ft.com/data/equities/tearsheet/profile?s=AAPL:NSQ [Accessed 1 Apr. 2024].</w:t>
      </w:r>
    </w:p>
    <w:p w14:paraId="607CFAD4"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Martini, A. (2021). Socially responsible investing: from the ethical origins to the sustainable development framework of the European Union. </w:t>
      </w:r>
      <w:r w:rsidRPr="002F196D">
        <w:rPr>
          <w:rFonts w:ascii="Times New Roman" w:hAnsi="Times New Roman" w:cs="Times New Roman"/>
          <w:i/>
          <w:color w:val="000000" w:themeColor="text1"/>
          <w:lang w:val="en-GB"/>
        </w:rPr>
        <w:t>Environment, Development and Sustainability</w:t>
      </w:r>
      <w:r w:rsidRPr="002F196D">
        <w:rPr>
          <w:rFonts w:ascii="Times New Roman" w:hAnsi="Times New Roman" w:cs="Times New Roman"/>
          <w:color w:val="000000" w:themeColor="text1"/>
          <w:lang w:val="en-GB"/>
        </w:rPr>
        <w:t>, [online] 23, pp.16874–16890. doi:https://doi.org/10.1007/s10668-021-01375-3.</w:t>
      </w:r>
    </w:p>
    <w:p w14:paraId="35AF6EFB"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Microsoft (2023). </w:t>
      </w:r>
      <w:r w:rsidRPr="007046D8">
        <w:rPr>
          <w:rFonts w:ascii="Times New Roman" w:eastAsia="Times New Roman" w:hAnsi="Times New Roman" w:cs="Times New Roman"/>
          <w:i/>
          <w:iCs/>
          <w:sz w:val="24"/>
          <w:szCs w:val="24"/>
          <w:lang w:val="en-IN" w:eastAsia="en-IN"/>
        </w:rPr>
        <w:t>Microsoft 2023 Annual Report</w:t>
      </w:r>
      <w:r w:rsidRPr="007046D8">
        <w:rPr>
          <w:rFonts w:ascii="Times New Roman" w:eastAsia="Times New Roman" w:hAnsi="Times New Roman" w:cs="Times New Roman"/>
          <w:sz w:val="24"/>
          <w:szCs w:val="24"/>
          <w:lang w:val="en-IN" w:eastAsia="en-IN"/>
        </w:rPr>
        <w:t>. [online] www.microsoft.com. Available at: https://www.microsoft.com/investor/reports/ar23/index.html [Accessed 1 Apr. 2024].</w:t>
      </w:r>
    </w:p>
    <w:p w14:paraId="26417677"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Mollah, Md.A.S., Rouf, Md.A. and Rana, S.M.S. (2021). A study on capital budgeting practices of some selected companies in bangladesh. </w:t>
      </w:r>
      <w:r w:rsidRPr="002F196D">
        <w:rPr>
          <w:rFonts w:ascii="Times New Roman" w:hAnsi="Times New Roman" w:cs="Times New Roman"/>
          <w:i/>
          <w:color w:val="000000" w:themeColor="text1"/>
          <w:lang w:val="en-GB"/>
        </w:rPr>
        <w:t>PSU Research Review</w:t>
      </w:r>
      <w:r w:rsidRPr="002F196D">
        <w:rPr>
          <w:rFonts w:ascii="Times New Roman" w:hAnsi="Times New Roman" w:cs="Times New Roman"/>
          <w:color w:val="000000" w:themeColor="text1"/>
          <w:lang w:val="en-GB"/>
        </w:rPr>
        <w:t>, [online] 7(2). doi:https://doi.org/10.1108/prr-10-2020-0035.</w:t>
      </w:r>
    </w:p>
    <w:p w14:paraId="386A808F"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lastRenderedPageBreak/>
        <w:t xml:space="preserve">Olsen, R.Kr., Kalsnes, B. and Barland, J. (2021). Do Small Streams Make a Big River? Detailing the Diversification of Revenue Streams in Newspapers’ Transition to Digital Journalism Businesses. </w:t>
      </w:r>
      <w:r w:rsidRPr="007046D8">
        <w:rPr>
          <w:rFonts w:ascii="Times New Roman" w:eastAsia="Times New Roman" w:hAnsi="Times New Roman" w:cs="Times New Roman"/>
          <w:i/>
          <w:iCs/>
          <w:sz w:val="24"/>
          <w:szCs w:val="24"/>
          <w:lang w:val="en-IN" w:eastAsia="en-IN"/>
        </w:rPr>
        <w:t>Digital Journalism</w:t>
      </w:r>
      <w:r w:rsidRPr="007046D8">
        <w:rPr>
          <w:rFonts w:ascii="Times New Roman" w:eastAsia="Times New Roman" w:hAnsi="Times New Roman" w:cs="Times New Roman"/>
          <w:sz w:val="24"/>
          <w:szCs w:val="24"/>
          <w:lang w:val="en-IN" w:eastAsia="en-IN"/>
        </w:rPr>
        <w:t>, pp.1–22. doi:https://doi.org/10.1080/21670811.2021.1973905.</w:t>
      </w:r>
    </w:p>
    <w:p w14:paraId="68D2B2CE"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Rollins, L., Llewellyn, N., Ngaiza, M., Nehl, E., Carter, D.R. and Sands, J.M. (2021). Using the payback framework to evaluate the outcomes of pilot projects supported by the Georgia Clinical and Translational Science Alliance. </w:t>
      </w:r>
      <w:r w:rsidRPr="002F196D">
        <w:rPr>
          <w:rFonts w:ascii="Times New Roman" w:hAnsi="Times New Roman" w:cs="Times New Roman"/>
          <w:i/>
          <w:color w:val="000000" w:themeColor="text1"/>
          <w:lang w:val="en-GB"/>
        </w:rPr>
        <w:t>Journal of Clinical and Translational Science</w:t>
      </w:r>
      <w:r w:rsidRPr="002F196D">
        <w:rPr>
          <w:rFonts w:ascii="Times New Roman" w:hAnsi="Times New Roman" w:cs="Times New Roman"/>
          <w:color w:val="000000" w:themeColor="text1"/>
          <w:lang w:val="en-GB"/>
        </w:rPr>
        <w:t>, [online] 5(1). doi:https://doi.org/10.1017/cts.2020.542.</w:t>
      </w:r>
    </w:p>
    <w:p w14:paraId="76228643"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Sahu, S., Pathardikar, A. and Kumar, A. (2018). Transformational leadership and turnover. </w:t>
      </w:r>
      <w:r w:rsidRPr="007046D8">
        <w:rPr>
          <w:rFonts w:ascii="Times New Roman" w:eastAsia="Times New Roman" w:hAnsi="Times New Roman" w:cs="Times New Roman"/>
          <w:i/>
          <w:iCs/>
          <w:sz w:val="24"/>
          <w:szCs w:val="24"/>
          <w:lang w:val="en-IN" w:eastAsia="en-IN"/>
        </w:rPr>
        <w:t>Leadership &amp; Organization Development Journal</w:t>
      </w:r>
      <w:r w:rsidRPr="007046D8">
        <w:rPr>
          <w:rFonts w:ascii="Times New Roman" w:eastAsia="Times New Roman" w:hAnsi="Times New Roman" w:cs="Times New Roman"/>
          <w:sz w:val="24"/>
          <w:szCs w:val="24"/>
          <w:lang w:val="en-IN" w:eastAsia="en-IN"/>
        </w:rPr>
        <w:t>, 39(1), pp.82–99. doi:https://doi.org/10.1108/lodj-12-2014-0243.</w:t>
      </w:r>
    </w:p>
    <w:p w14:paraId="2585BB17"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Sharma, Dr.V. and Chowhan, Dr.S.S. (2014). Impact of Operational Efficiency with Ratio Analysis A Study. </w:t>
      </w:r>
      <w:r w:rsidRPr="007046D8">
        <w:rPr>
          <w:rFonts w:ascii="Times New Roman" w:eastAsia="Times New Roman" w:hAnsi="Times New Roman" w:cs="Times New Roman"/>
          <w:i/>
          <w:iCs/>
          <w:sz w:val="24"/>
          <w:szCs w:val="24"/>
          <w:lang w:val="en-IN" w:eastAsia="en-IN"/>
        </w:rPr>
        <w:t>SSRN Electronic Journal</w:t>
      </w:r>
      <w:r w:rsidRPr="007046D8">
        <w:rPr>
          <w:rFonts w:ascii="Times New Roman" w:eastAsia="Times New Roman" w:hAnsi="Times New Roman" w:cs="Times New Roman"/>
          <w:sz w:val="24"/>
          <w:szCs w:val="24"/>
          <w:lang w:val="en-IN" w:eastAsia="en-IN"/>
        </w:rPr>
        <w:t>. doi:https://doi.org/10.2139/ssrn.2542042.</w:t>
      </w:r>
    </w:p>
    <w:p w14:paraId="166739D9"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Snell, J. (2024). </w:t>
      </w:r>
      <w:r w:rsidRPr="007046D8">
        <w:rPr>
          <w:rFonts w:ascii="Times New Roman" w:eastAsia="Times New Roman" w:hAnsi="Times New Roman" w:cs="Times New Roman"/>
          <w:i/>
          <w:iCs/>
          <w:sz w:val="24"/>
          <w:szCs w:val="24"/>
          <w:lang w:val="en-IN" w:eastAsia="en-IN"/>
        </w:rPr>
        <w:t>The Mac turns 40 — and keeps on moving</w:t>
      </w:r>
      <w:r w:rsidRPr="007046D8">
        <w:rPr>
          <w:rFonts w:ascii="Times New Roman" w:eastAsia="Times New Roman" w:hAnsi="Times New Roman" w:cs="Times New Roman"/>
          <w:sz w:val="24"/>
          <w:szCs w:val="24"/>
          <w:lang w:val="en-IN" w:eastAsia="en-IN"/>
        </w:rPr>
        <w:t>. [online] The Verge. Available at: https://www.theverge.com/24048479/apple-mac-40-anniversary [Accessed 1 Apr. 2024].</w:t>
      </w:r>
    </w:p>
    <w:p w14:paraId="1123012B"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Statista, F. (2023). </w:t>
      </w:r>
      <w:r w:rsidRPr="007046D8">
        <w:rPr>
          <w:rFonts w:ascii="Times New Roman" w:eastAsia="Times New Roman" w:hAnsi="Times New Roman" w:cs="Times New Roman"/>
          <w:i/>
          <w:iCs/>
          <w:sz w:val="24"/>
          <w:szCs w:val="24"/>
          <w:lang w:val="en-IN" w:eastAsia="en-IN"/>
        </w:rPr>
        <w:t>Global revenue of Apple from 2004 to 2023</w:t>
      </w:r>
      <w:r w:rsidRPr="007046D8">
        <w:rPr>
          <w:rFonts w:ascii="Times New Roman" w:eastAsia="Times New Roman" w:hAnsi="Times New Roman" w:cs="Times New Roman"/>
          <w:sz w:val="24"/>
          <w:szCs w:val="24"/>
          <w:lang w:val="en-IN" w:eastAsia="en-IN"/>
        </w:rPr>
        <w:t>. [online] Statista. Available at: https://www.statista.com/statistics/265125/total-net-sales-of-apple-since-2004/.</w:t>
      </w:r>
    </w:p>
    <w:p w14:paraId="06F07F1A"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Sukharev, O. (2019). Technological Development: Investment Structure Impact. </w:t>
      </w:r>
      <w:r w:rsidRPr="002F196D">
        <w:rPr>
          <w:rFonts w:ascii="Times New Roman" w:hAnsi="Times New Roman" w:cs="Times New Roman"/>
          <w:i/>
          <w:color w:val="000000" w:themeColor="text1"/>
          <w:lang w:val="en-GB"/>
        </w:rPr>
        <w:t>Economic and Social Changes: Facts, Trends, Forecast / Экономические и социальныеперемены: факты, тенденции, прогноз</w:t>
      </w:r>
      <w:r w:rsidRPr="002F196D">
        <w:rPr>
          <w:rFonts w:ascii="Times New Roman" w:hAnsi="Times New Roman" w:cs="Times New Roman"/>
          <w:color w:val="000000" w:themeColor="text1"/>
          <w:lang w:val="en-GB"/>
        </w:rPr>
        <w:t>. [online] doi:https://doi.org/10.15838/esc.2019.2.62.2.</w:t>
      </w:r>
    </w:p>
    <w:p w14:paraId="5348CFED"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Technavio. (2024). </w:t>
      </w:r>
      <w:r w:rsidRPr="007046D8">
        <w:rPr>
          <w:rFonts w:ascii="Times New Roman" w:eastAsia="Times New Roman" w:hAnsi="Times New Roman" w:cs="Times New Roman"/>
          <w:i/>
          <w:iCs/>
          <w:sz w:val="24"/>
          <w:szCs w:val="24"/>
          <w:lang w:val="en-IN" w:eastAsia="en-IN"/>
        </w:rPr>
        <w:t>Apple Market by Distribution Channel and Geography - Forecast and Analysis 2022-2026</w:t>
      </w:r>
      <w:r w:rsidRPr="007046D8">
        <w:rPr>
          <w:rFonts w:ascii="Times New Roman" w:eastAsia="Times New Roman" w:hAnsi="Times New Roman" w:cs="Times New Roman"/>
          <w:sz w:val="24"/>
          <w:szCs w:val="24"/>
          <w:lang w:val="en-IN" w:eastAsia="en-IN"/>
        </w:rPr>
        <w:t>. [online] Available at: https://www.technavio.com/report/fresh-apples-market-industry-analysis [Accessed 31 Mar. 2024].</w:t>
      </w:r>
    </w:p>
    <w:p w14:paraId="2B5D9BE1"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Vadapalli , R. (2020). Time Value of Money and Capital. [online] doi:http://dx.doi.org/10.13140/RG.2.2.28702.77120.</w:t>
      </w:r>
    </w:p>
    <w:p w14:paraId="4131C5FA"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Wan, J., Xia, Z. and Zhu, X. (2020). Investment Payback Period Calculating Model for Airport Bridge Facility. </w:t>
      </w:r>
      <w:r w:rsidRPr="002F196D">
        <w:rPr>
          <w:rFonts w:ascii="Times New Roman" w:hAnsi="Times New Roman" w:cs="Times New Roman"/>
          <w:i/>
          <w:color w:val="000000" w:themeColor="text1"/>
          <w:lang w:val="en-GB"/>
        </w:rPr>
        <w:t>Mathematical Problems in Engineering</w:t>
      </w:r>
      <w:r w:rsidRPr="002F196D">
        <w:rPr>
          <w:rFonts w:ascii="Times New Roman" w:hAnsi="Times New Roman" w:cs="Times New Roman"/>
          <w:color w:val="000000" w:themeColor="text1"/>
          <w:lang w:val="en-GB"/>
        </w:rPr>
        <w:t>, [online] 2020, pp.1–7. doi:https://doi.org/10.1155/2020/9746153.</w:t>
      </w:r>
    </w:p>
    <w:p w14:paraId="2D84ED59"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lastRenderedPageBreak/>
        <w:t xml:space="preserve">Washington, D. (2023). </w:t>
      </w:r>
      <w:r w:rsidRPr="007046D8">
        <w:rPr>
          <w:rFonts w:ascii="Times New Roman" w:eastAsia="Times New Roman" w:hAnsi="Times New Roman" w:cs="Times New Roman"/>
          <w:i/>
          <w:iCs/>
          <w:sz w:val="24"/>
          <w:szCs w:val="24"/>
          <w:lang w:val="en-IN" w:eastAsia="en-IN"/>
        </w:rPr>
        <w:t>UNITED STATES SECURITIES AND EXCHANGE COMMISSION</w:t>
      </w:r>
      <w:r w:rsidRPr="007046D8">
        <w:rPr>
          <w:rFonts w:ascii="Times New Roman" w:eastAsia="Times New Roman" w:hAnsi="Times New Roman" w:cs="Times New Roman"/>
          <w:sz w:val="24"/>
          <w:szCs w:val="24"/>
          <w:lang w:val="en-IN" w:eastAsia="en-IN"/>
        </w:rPr>
        <w:t>. [online] Available at: https://s2.q4cdn.com/470004039/files/doc_earnings/2023/q4/filing/_10-K-Q4-2023-As-Filed.pdf.</w:t>
      </w:r>
    </w:p>
    <w:p w14:paraId="5F924DE4" w14:textId="77777777" w:rsidR="00042CE5" w:rsidRPr="002F196D"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Wieloch, H.G. (2019). Project Net Present Value Estimation under Uncertainty. </w:t>
      </w:r>
      <w:r w:rsidRPr="002F196D">
        <w:rPr>
          <w:rFonts w:ascii="Times New Roman" w:hAnsi="Times New Roman" w:cs="Times New Roman"/>
          <w:i/>
          <w:color w:val="000000" w:themeColor="text1"/>
          <w:lang w:val="en-GB"/>
        </w:rPr>
        <w:t>Central European Journal of Operations Research</w:t>
      </w:r>
      <w:r w:rsidRPr="002F196D">
        <w:rPr>
          <w:rFonts w:ascii="Times New Roman" w:hAnsi="Times New Roman" w:cs="Times New Roman"/>
          <w:color w:val="000000" w:themeColor="text1"/>
          <w:lang w:val="en-GB"/>
        </w:rPr>
        <w:t>, [online] 27(1), pp.179–197. doi:https://doi.org/10.1007/s10100-017-0500-0.</w:t>
      </w:r>
    </w:p>
    <w:p w14:paraId="0AC30683" w14:textId="77777777" w:rsidR="00042CE5" w:rsidRPr="007046D8"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Ycharts.com. (2022). </w:t>
      </w:r>
      <w:r w:rsidRPr="007046D8">
        <w:rPr>
          <w:rFonts w:ascii="Times New Roman" w:eastAsia="Times New Roman" w:hAnsi="Times New Roman" w:cs="Times New Roman"/>
          <w:i/>
          <w:iCs/>
          <w:sz w:val="24"/>
          <w:szCs w:val="24"/>
          <w:lang w:val="en-IN" w:eastAsia="en-IN"/>
        </w:rPr>
        <w:t>Apple Revenue (Annual) | AAPL</w:t>
      </w:r>
      <w:r w:rsidRPr="007046D8">
        <w:rPr>
          <w:rFonts w:ascii="Times New Roman" w:eastAsia="Times New Roman" w:hAnsi="Times New Roman" w:cs="Times New Roman"/>
          <w:sz w:val="24"/>
          <w:szCs w:val="24"/>
          <w:lang w:val="en-IN" w:eastAsia="en-IN"/>
        </w:rPr>
        <w:t>. [online] Available at: https://ycharts.com/companies/AAPL/revenues_annual [Accessed 1 Apr. 2024].</w:t>
      </w:r>
    </w:p>
    <w:p w14:paraId="76DD8B88" w14:textId="77777777" w:rsidR="00042CE5" w:rsidRPr="00042CE5" w:rsidRDefault="00042CE5" w:rsidP="00042CE5">
      <w:pPr>
        <w:spacing w:after="240" w:line="360" w:lineRule="auto"/>
        <w:jc w:val="both"/>
        <w:rPr>
          <w:rFonts w:ascii="Times New Roman" w:hAnsi="Times New Roman" w:cs="Times New Roman"/>
          <w:color w:val="000000" w:themeColor="text1"/>
          <w:lang w:val="en-GB"/>
        </w:rPr>
      </w:pPr>
      <w:r w:rsidRPr="002F196D">
        <w:rPr>
          <w:rFonts w:ascii="Times New Roman" w:hAnsi="Times New Roman" w:cs="Times New Roman"/>
          <w:color w:val="000000" w:themeColor="text1"/>
          <w:lang w:val="en-GB"/>
        </w:rPr>
        <w:t xml:space="preserve">Zhang, Y. (2022). Comparison of Net Present Value Model and Internal Rate of Return Model in Investment Decisions. </w:t>
      </w:r>
      <w:r w:rsidRPr="002F196D">
        <w:rPr>
          <w:rFonts w:ascii="Times New Roman" w:hAnsi="Times New Roman" w:cs="Times New Roman"/>
          <w:i/>
          <w:color w:val="000000" w:themeColor="text1"/>
          <w:lang w:val="en-GB"/>
        </w:rPr>
        <w:t>BCP Business &amp; Management</w:t>
      </w:r>
      <w:r w:rsidRPr="002F196D">
        <w:rPr>
          <w:rFonts w:ascii="Times New Roman" w:hAnsi="Times New Roman" w:cs="Times New Roman"/>
          <w:color w:val="000000" w:themeColor="text1"/>
          <w:lang w:val="en-GB"/>
        </w:rPr>
        <w:t>, [online] 30, pp.502–507. doi:https://doi.org/10.54691/bcpbm.v30i.2494.</w:t>
      </w:r>
    </w:p>
    <w:p w14:paraId="2C3EC63C" w14:textId="77777777" w:rsidR="00042CE5" w:rsidRDefault="00042CE5" w:rsidP="007046D8">
      <w:pPr>
        <w:spacing w:after="240" w:line="360" w:lineRule="auto"/>
        <w:jc w:val="both"/>
        <w:rPr>
          <w:rFonts w:ascii="Times New Roman" w:eastAsia="Times New Roman" w:hAnsi="Times New Roman" w:cs="Times New Roman"/>
          <w:sz w:val="24"/>
          <w:szCs w:val="24"/>
          <w:lang w:val="en-IN" w:eastAsia="en-IN"/>
        </w:rPr>
      </w:pPr>
      <w:r w:rsidRPr="007046D8">
        <w:rPr>
          <w:rFonts w:ascii="Times New Roman" w:eastAsia="Times New Roman" w:hAnsi="Times New Roman" w:cs="Times New Roman"/>
          <w:sz w:val="24"/>
          <w:szCs w:val="24"/>
          <w:lang w:val="en-IN" w:eastAsia="en-IN"/>
        </w:rPr>
        <w:t xml:space="preserve">Zhou, H., Maneesoonthorn, W.O. and Chen, X.B. (2021). The Predictive Ability of Quarterly Financial Statements. </w:t>
      </w:r>
      <w:r w:rsidRPr="007046D8">
        <w:rPr>
          <w:rFonts w:ascii="Times New Roman" w:eastAsia="Times New Roman" w:hAnsi="Times New Roman" w:cs="Times New Roman"/>
          <w:i/>
          <w:iCs/>
          <w:sz w:val="24"/>
          <w:szCs w:val="24"/>
          <w:lang w:val="en-IN" w:eastAsia="en-IN"/>
        </w:rPr>
        <w:t>International Journal of Financial Studies</w:t>
      </w:r>
      <w:r w:rsidRPr="007046D8">
        <w:rPr>
          <w:rFonts w:ascii="Times New Roman" w:eastAsia="Times New Roman" w:hAnsi="Times New Roman" w:cs="Times New Roman"/>
          <w:sz w:val="24"/>
          <w:szCs w:val="24"/>
          <w:lang w:val="en-IN" w:eastAsia="en-IN"/>
        </w:rPr>
        <w:t>, [online] 9(3), p.50. doi:https://doi.org/10.3390/ijfs9030050.</w:t>
      </w:r>
    </w:p>
    <w:p w14:paraId="7F47BFF0" w14:textId="77777777" w:rsidR="005D1AF8" w:rsidRDefault="005D1AF8">
      <w:pPr>
        <w:rPr>
          <w:rFonts w:ascii="Times New Roman" w:eastAsia="Times New Roman" w:hAnsi="Times New Roman" w:cs="Times New Roman"/>
          <w:sz w:val="24"/>
          <w:szCs w:val="24"/>
          <w:lang w:val="en-IN" w:eastAsia="en-IN"/>
        </w:rPr>
      </w:pPr>
      <w:r>
        <w:rPr>
          <w:rFonts w:ascii="Times New Roman" w:eastAsia="Times New Roman" w:hAnsi="Times New Roman" w:cs="Times New Roman"/>
          <w:sz w:val="24"/>
          <w:szCs w:val="24"/>
          <w:lang w:val="en-IN" w:eastAsia="en-IN"/>
        </w:rPr>
        <w:br w:type="page"/>
      </w:r>
    </w:p>
    <w:p w14:paraId="7E9B59B6" w14:textId="77777777" w:rsidR="00A3388C" w:rsidRDefault="005D1AF8" w:rsidP="005D1AF8">
      <w:pPr>
        <w:pStyle w:val="Heading1"/>
        <w:rPr>
          <w:lang w:val="en-IN" w:eastAsia="en-IN"/>
        </w:rPr>
      </w:pPr>
      <w:bookmarkStart w:id="29" w:name="_Toc162905769"/>
      <w:r>
        <w:rPr>
          <w:lang w:val="en-IN" w:eastAsia="en-IN"/>
        </w:rPr>
        <w:lastRenderedPageBreak/>
        <w:t>Appendices</w:t>
      </w:r>
      <w:bookmarkEnd w:id="29"/>
    </w:p>
    <w:p w14:paraId="28CDA151" w14:textId="77777777" w:rsidR="005D1AF8" w:rsidRDefault="005D1AF8" w:rsidP="005D1AF8">
      <w:pPr>
        <w:pStyle w:val="Heading2"/>
      </w:pPr>
      <w:bookmarkStart w:id="30" w:name="_Toc162905770"/>
      <w:r>
        <w:t>Appendix 1: Ratio calculation: Apple vs. Microsoft</w:t>
      </w:r>
      <w:bookmarkEnd w:id="30"/>
    </w:p>
    <w:tbl>
      <w:tblPr>
        <w:tblW w:w="4997" w:type="pct"/>
        <w:tblLook w:val="04A0" w:firstRow="1" w:lastRow="0" w:firstColumn="1" w:lastColumn="0" w:noHBand="0" w:noVBand="1"/>
      </w:tblPr>
      <w:tblGrid>
        <w:gridCol w:w="4519"/>
        <w:gridCol w:w="1209"/>
        <w:gridCol w:w="1209"/>
        <w:gridCol w:w="1209"/>
        <w:gridCol w:w="1209"/>
      </w:tblGrid>
      <w:tr w:rsidR="005B68B4" w:rsidRPr="005B68B4" w14:paraId="1D210162" w14:textId="77777777" w:rsidTr="005B68B4">
        <w:trPr>
          <w:trHeight w:val="315"/>
        </w:trPr>
        <w:tc>
          <w:tcPr>
            <w:tcW w:w="5000" w:type="pct"/>
            <w:gridSpan w:val="5"/>
            <w:vMerge w:val="restart"/>
            <w:tcBorders>
              <w:top w:val="nil"/>
              <w:left w:val="single" w:sz="4" w:space="0" w:color="auto"/>
              <w:bottom w:val="nil"/>
              <w:right w:val="nil"/>
            </w:tcBorders>
            <w:shd w:val="clear" w:color="000000" w:fill="FFFF00"/>
            <w:noWrap/>
            <w:vAlign w:val="center"/>
            <w:hideMark/>
          </w:tcPr>
          <w:p w14:paraId="73B2603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RATIO ANALYSIS</w:t>
            </w:r>
          </w:p>
        </w:tc>
      </w:tr>
      <w:tr w:rsidR="005B68B4" w:rsidRPr="005B68B4" w14:paraId="0283781C" w14:textId="77777777" w:rsidTr="005B68B4">
        <w:trPr>
          <w:trHeight w:val="315"/>
        </w:trPr>
        <w:tc>
          <w:tcPr>
            <w:tcW w:w="5000" w:type="pct"/>
            <w:gridSpan w:val="5"/>
            <w:vMerge/>
            <w:tcBorders>
              <w:top w:val="nil"/>
              <w:left w:val="single" w:sz="4" w:space="0" w:color="auto"/>
              <w:bottom w:val="nil"/>
              <w:right w:val="nil"/>
            </w:tcBorders>
            <w:vAlign w:val="center"/>
            <w:hideMark/>
          </w:tcPr>
          <w:p w14:paraId="163ECE77" w14:textId="77777777" w:rsidR="005B68B4" w:rsidRPr="005B68B4" w:rsidRDefault="005B68B4" w:rsidP="005B68B4">
            <w:pPr>
              <w:spacing w:line="240" w:lineRule="auto"/>
              <w:rPr>
                <w:rFonts w:ascii="Times New Roman" w:eastAsia="Times New Roman" w:hAnsi="Times New Roman" w:cs="Times New Roman"/>
                <w:b/>
                <w:bCs/>
                <w:color w:val="000000"/>
                <w:sz w:val="24"/>
                <w:szCs w:val="24"/>
                <w:lang w:val="en-IN" w:eastAsia="en-IN"/>
              </w:rPr>
            </w:pPr>
          </w:p>
        </w:tc>
      </w:tr>
      <w:tr w:rsidR="005B68B4" w:rsidRPr="005B68B4" w14:paraId="7C3EC1DE" w14:textId="77777777" w:rsidTr="005B68B4">
        <w:trPr>
          <w:trHeight w:val="315"/>
        </w:trPr>
        <w:tc>
          <w:tcPr>
            <w:tcW w:w="241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A38B97" w14:textId="77777777" w:rsidR="005B68B4" w:rsidRPr="005B68B4" w:rsidRDefault="005B68B4" w:rsidP="005B68B4">
            <w:pPr>
              <w:spacing w:line="240" w:lineRule="auto"/>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1292" w:type="pct"/>
            <w:gridSpan w:val="2"/>
            <w:tcBorders>
              <w:top w:val="single" w:sz="4" w:space="0" w:color="auto"/>
              <w:left w:val="nil"/>
              <w:bottom w:val="single" w:sz="4" w:space="0" w:color="auto"/>
              <w:right w:val="nil"/>
            </w:tcBorders>
            <w:shd w:val="clear" w:color="auto" w:fill="auto"/>
            <w:noWrap/>
            <w:vAlign w:val="bottom"/>
            <w:hideMark/>
          </w:tcPr>
          <w:p w14:paraId="052EC2EE" w14:textId="77777777" w:rsidR="005B68B4" w:rsidRPr="005B68B4" w:rsidRDefault="005B68B4" w:rsidP="005B68B4">
            <w:pPr>
              <w:spacing w:line="240" w:lineRule="auto"/>
              <w:jc w:val="center"/>
              <w:rPr>
                <w:rFonts w:ascii="Times New Roman" w:eastAsia="Times New Roman" w:hAnsi="Times New Roman" w:cs="Times New Roman"/>
                <w:b/>
                <w:bCs/>
                <w:color w:val="222222"/>
                <w:sz w:val="24"/>
                <w:szCs w:val="24"/>
                <w:lang w:val="en-IN" w:eastAsia="en-IN"/>
              </w:rPr>
            </w:pPr>
            <w:r w:rsidRPr="005B68B4">
              <w:rPr>
                <w:rFonts w:ascii="Times New Roman" w:eastAsia="Times New Roman" w:hAnsi="Times New Roman" w:cs="Times New Roman"/>
                <w:b/>
                <w:bCs/>
                <w:color w:val="222222"/>
                <w:sz w:val="24"/>
                <w:szCs w:val="24"/>
                <w:lang w:val="en-IN" w:eastAsia="en-IN"/>
              </w:rPr>
              <w:t xml:space="preserve">Microsoft </w:t>
            </w:r>
          </w:p>
        </w:tc>
        <w:tc>
          <w:tcPr>
            <w:tcW w:w="1292" w:type="pct"/>
            <w:gridSpan w:val="2"/>
            <w:tcBorders>
              <w:top w:val="single" w:sz="4" w:space="0" w:color="auto"/>
              <w:left w:val="single" w:sz="4" w:space="0" w:color="auto"/>
              <w:bottom w:val="single" w:sz="4" w:space="0" w:color="auto"/>
              <w:right w:val="nil"/>
            </w:tcBorders>
            <w:shd w:val="clear" w:color="auto" w:fill="auto"/>
            <w:noWrap/>
            <w:vAlign w:val="bottom"/>
            <w:hideMark/>
          </w:tcPr>
          <w:p w14:paraId="6DF8C8DD" w14:textId="77777777" w:rsidR="005B68B4" w:rsidRPr="005B68B4" w:rsidRDefault="005B68B4" w:rsidP="005B68B4">
            <w:pPr>
              <w:spacing w:line="240" w:lineRule="auto"/>
              <w:jc w:val="center"/>
              <w:rPr>
                <w:rFonts w:ascii="Times New Roman" w:eastAsia="Times New Roman" w:hAnsi="Times New Roman" w:cs="Times New Roman"/>
                <w:b/>
                <w:bCs/>
                <w:color w:val="222222"/>
                <w:sz w:val="24"/>
                <w:szCs w:val="24"/>
                <w:lang w:val="en-IN" w:eastAsia="en-IN"/>
              </w:rPr>
            </w:pPr>
            <w:r w:rsidRPr="005B68B4">
              <w:rPr>
                <w:rFonts w:ascii="Times New Roman" w:eastAsia="Times New Roman" w:hAnsi="Times New Roman" w:cs="Times New Roman"/>
                <w:b/>
                <w:bCs/>
                <w:color w:val="222222"/>
                <w:sz w:val="24"/>
                <w:szCs w:val="24"/>
                <w:lang w:val="en-IN" w:eastAsia="en-IN"/>
              </w:rPr>
              <w:t xml:space="preserve">Apple </w:t>
            </w:r>
          </w:p>
        </w:tc>
      </w:tr>
      <w:tr w:rsidR="005B68B4" w:rsidRPr="005B68B4" w14:paraId="58FCB889"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0EA0571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Input data for Liquidity Ratios:</w:t>
            </w:r>
          </w:p>
        </w:tc>
        <w:tc>
          <w:tcPr>
            <w:tcW w:w="646" w:type="pct"/>
            <w:tcBorders>
              <w:top w:val="nil"/>
              <w:left w:val="nil"/>
              <w:bottom w:val="single" w:sz="4" w:space="0" w:color="auto"/>
              <w:right w:val="single" w:sz="4" w:space="0" w:color="auto"/>
            </w:tcBorders>
            <w:shd w:val="clear" w:color="FFFFFF" w:fill="FFFFFF"/>
            <w:noWrap/>
            <w:vAlign w:val="bottom"/>
            <w:hideMark/>
          </w:tcPr>
          <w:p w14:paraId="3838CC91"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760CA2A6"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5DC8C18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79B612D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1FA22E4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2404D1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Current Assets</w:t>
            </w:r>
          </w:p>
        </w:tc>
        <w:tc>
          <w:tcPr>
            <w:tcW w:w="646" w:type="pct"/>
            <w:tcBorders>
              <w:top w:val="nil"/>
              <w:left w:val="nil"/>
              <w:bottom w:val="single" w:sz="4" w:space="0" w:color="auto"/>
              <w:right w:val="single" w:sz="4" w:space="0" w:color="auto"/>
            </w:tcBorders>
            <w:shd w:val="clear" w:color="FFFFFF" w:fill="FFFFFF"/>
            <w:noWrap/>
            <w:vAlign w:val="bottom"/>
            <w:hideMark/>
          </w:tcPr>
          <w:p w14:paraId="27DA45B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184257.00</w:t>
            </w:r>
          </w:p>
        </w:tc>
        <w:tc>
          <w:tcPr>
            <w:tcW w:w="646" w:type="pct"/>
            <w:tcBorders>
              <w:top w:val="nil"/>
              <w:left w:val="nil"/>
              <w:bottom w:val="single" w:sz="4" w:space="0" w:color="auto"/>
              <w:right w:val="single" w:sz="4" w:space="0" w:color="auto"/>
            </w:tcBorders>
            <w:shd w:val="clear" w:color="FFFFFF" w:fill="FFFFFF"/>
            <w:noWrap/>
            <w:vAlign w:val="bottom"/>
            <w:hideMark/>
          </w:tcPr>
          <w:p w14:paraId="7BB1801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169684.00</w:t>
            </w:r>
          </w:p>
        </w:tc>
        <w:tc>
          <w:tcPr>
            <w:tcW w:w="646" w:type="pct"/>
            <w:tcBorders>
              <w:top w:val="nil"/>
              <w:left w:val="nil"/>
              <w:bottom w:val="single" w:sz="4" w:space="0" w:color="auto"/>
              <w:right w:val="single" w:sz="4" w:space="0" w:color="auto"/>
            </w:tcBorders>
            <w:shd w:val="clear" w:color="FFFFFF" w:fill="FFFFFF"/>
            <w:noWrap/>
            <w:vAlign w:val="bottom"/>
            <w:hideMark/>
          </w:tcPr>
          <w:p w14:paraId="638B701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143566.00</w:t>
            </w:r>
          </w:p>
        </w:tc>
        <w:tc>
          <w:tcPr>
            <w:tcW w:w="646" w:type="pct"/>
            <w:tcBorders>
              <w:top w:val="nil"/>
              <w:left w:val="nil"/>
              <w:bottom w:val="single" w:sz="4" w:space="0" w:color="auto"/>
              <w:right w:val="single" w:sz="4" w:space="0" w:color="auto"/>
            </w:tcBorders>
            <w:shd w:val="clear" w:color="FFFFFF" w:fill="FFFFFF"/>
            <w:noWrap/>
            <w:vAlign w:val="bottom"/>
            <w:hideMark/>
          </w:tcPr>
          <w:p w14:paraId="7758AAE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135405.00</w:t>
            </w:r>
          </w:p>
        </w:tc>
      </w:tr>
      <w:tr w:rsidR="005B68B4" w:rsidRPr="005B68B4" w14:paraId="3993210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BD5134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Current Liabilities</w:t>
            </w:r>
          </w:p>
        </w:tc>
        <w:tc>
          <w:tcPr>
            <w:tcW w:w="646" w:type="pct"/>
            <w:tcBorders>
              <w:top w:val="nil"/>
              <w:left w:val="nil"/>
              <w:bottom w:val="single" w:sz="4" w:space="0" w:color="auto"/>
              <w:right w:val="single" w:sz="4" w:space="0" w:color="auto"/>
            </w:tcBorders>
            <w:shd w:val="clear" w:color="FFFFFF" w:fill="FFFFFF"/>
            <w:noWrap/>
            <w:vAlign w:val="bottom"/>
            <w:hideMark/>
          </w:tcPr>
          <w:p w14:paraId="2852912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104149.00</w:t>
            </w:r>
          </w:p>
        </w:tc>
        <w:tc>
          <w:tcPr>
            <w:tcW w:w="646" w:type="pct"/>
            <w:tcBorders>
              <w:top w:val="nil"/>
              <w:left w:val="nil"/>
              <w:bottom w:val="single" w:sz="4" w:space="0" w:color="auto"/>
              <w:right w:val="single" w:sz="4" w:space="0" w:color="auto"/>
            </w:tcBorders>
            <w:shd w:val="clear" w:color="FFFFFF" w:fill="FFFFFF"/>
            <w:noWrap/>
            <w:vAlign w:val="bottom"/>
            <w:hideMark/>
          </w:tcPr>
          <w:p w14:paraId="029805C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95082.00</w:t>
            </w:r>
          </w:p>
        </w:tc>
        <w:tc>
          <w:tcPr>
            <w:tcW w:w="646" w:type="pct"/>
            <w:tcBorders>
              <w:top w:val="nil"/>
              <w:left w:val="nil"/>
              <w:bottom w:val="single" w:sz="4" w:space="0" w:color="auto"/>
              <w:right w:val="single" w:sz="4" w:space="0" w:color="auto"/>
            </w:tcBorders>
            <w:shd w:val="clear" w:color="FFFFFF" w:fill="FFFFFF"/>
            <w:noWrap/>
            <w:vAlign w:val="bottom"/>
            <w:hideMark/>
          </w:tcPr>
          <w:p w14:paraId="1D23418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145308.00</w:t>
            </w:r>
          </w:p>
        </w:tc>
        <w:tc>
          <w:tcPr>
            <w:tcW w:w="646" w:type="pct"/>
            <w:tcBorders>
              <w:top w:val="nil"/>
              <w:left w:val="nil"/>
              <w:bottom w:val="single" w:sz="4" w:space="0" w:color="auto"/>
              <w:right w:val="single" w:sz="4" w:space="0" w:color="auto"/>
            </w:tcBorders>
            <w:shd w:val="clear" w:color="FFFFFF" w:fill="FFFFFF"/>
            <w:noWrap/>
            <w:vAlign w:val="bottom"/>
            <w:hideMark/>
          </w:tcPr>
          <w:p w14:paraId="6C95600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153982.00</w:t>
            </w:r>
          </w:p>
        </w:tc>
      </w:tr>
      <w:tr w:rsidR="005B68B4" w:rsidRPr="005B68B4" w14:paraId="4A8D54FB"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C65D91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xml:space="preserve">Cash and cash equivalents </w:t>
            </w:r>
          </w:p>
        </w:tc>
        <w:tc>
          <w:tcPr>
            <w:tcW w:w="646" w:type="pct"/>
            <w:tcBorders>
              <w:top w:val="nil"/>
              <w:left w:val="nil"/>
              <w:bottom w:val="single" w:sz="4" w:space="0" w:color="auto"/>
              <w:right w:val="single" w:sz="4" w:space="0" w:color="auto"/>
            </w:tcBorders>
            <w:shd w:val="clear" w:color="FFFFFF" w:fill="FFFFFF"/>
            <w:noWrap/>
            <w:vAlign w:val="bottom"/>
            <w:hideMark/>
          </w:tcPr>
          <w:p w14:paraId="4A4603E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34704.00</w:t>
            </w:r>
          </w:p>
        </w:tc>
        <w:tc>
          <w:tcPr>
            <w:tcW w:w="646" w:type="pct"/>
            <w:tcBorders>
              <w:top w:val="nil"/>
              <w:left w:val="nil"/>
              <w:bottom w:val="single" w:sz="4" w:space="0" w:color="auto"/>
              <w:right w:val="single" w:sz="4" w:space="0" w:color="auto"/>
            </w:tcBorders>
            <w:shd w:val="clear" w:color="FFFFFF" w:fill="FFFFFF"/>
            <w:noWrap/>
            <w:vAlign w:val="bottom"/>
            <w:hideMark/>
          </w:tcPr>
          <w:p w14:paraId="7B105F6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13931.00</w:t>
            </w:r>
          </w:p>
        </w:tc>
        <w:tc>
          <w:tcPr>
            <w:tcW w:w="646" w:type="pct"/>
            <w:tcBorders>
              <w:top w:val="nil"/>
              <w:left w:val="nil"/>
              <w:bottom w:val="single" w:sz="4" w:space="0" w:color="auto"/>
              <w:right w:val="single" w:sz="4" w:space="0" w:color="auto"/>
            </w:tcBorders>
            <w:shd w:val="clear" w:color="FFFFFF" w:fill="FFFFFF"/>
            <w:noWrap/>
            <w:vAlign w:val="bottom"/>
            <w:hideMark/>
          </w:tcPr>
          <w:p w14:paraId="3E28CBE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29965.00</w:t>
            </w:r>
          </w:p>
        </w:tc>
        <w:tc>
          <w:tcPr>
            <w:tcW w:w="646" w:type="pct"/>
            <w:tcBorders>
              <w:top w:val="nil"/>
              <w:left w:val="nil"/>
              <w:bottom w:val="single" w:sz="4" w:space="0" w:color="auto"/>
              <w:right w:val="single" w:sz="4" w:space="0" w:color="auto"/>
            </w:tcBorders>
            <w:shd w:val="clear" w:color="FFFFFF" w:fill="FFFFFF"/>
            <w:noWrap/>
            <w:vAlign w:val="bottom"/>
            <w:hideMark/>
          </w:tcPr>
          <w:p w14:paraId="3E22727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23646.00</w:t>
            </w:r>
          </w:p>
        </w:tc>
      </w:tr>
      <w:tr w:rsidR="005B68B4" w:rsidRPr="005B68B4" w14:paraId="0F4BC6CB"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B020BA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8860A2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93FE65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3735FB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C2C6C8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330531A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00"/>
            <w:noWrap/>
            <w:vAlign w:val="bottom"/>
            <w:hideMark/>
          </w:tcPr>
          <w:p w14:paraId="69160E1E"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LIQUIDITY RATIOS:</w:t>
            </w:r>
          </w:p>
        </w:tc>
        <w:tc>
          <w:tcPr>
            <w:tcW w:w="646" w:type="pct"/>
            <w:tcBorders>
              <w:top w:val="nil"/>
              <w:left w:val="nil"/>
              <w:bottom w:val="single" w:sz="4" w:space="0" w:color="auto"/>
              <w:right w:val="single" w:sz="4" w:space="0" w:color="auto"/>
            </w:tcBorders>
            <w:shd w:val="clear" w:color="FFFFFF" w:fill="FFFFFF"/>
            <w:noWrap/>
            <w:vAlign w:val="bottom"/>
            <w:hideMark/>
          </w:tcPr>
          <w:p w14:paraId="0E2893D5"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45BBFA51"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577EC825"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35D121A9"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33D73779"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94EA4AA"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Current Ratio</w:t>
            </w:r>
          </w:p>
        </w:tc>
        <w:tc>
          <w:tcPr>
            <w:tcW w:w="646" w:type="pct"/>
            <w:tcBorders>
              <w:top w:val="nil"/>
              <w:left w:val="nil"/>
              <w:bottom w:val="single" w:sz="4" w:space="0" w:color="auto"/>
              <w:right w:val="single" w:sz="4" w:space="0" w:color="auto"/>
            </w:tcBorders>
            <w:shd w:val="clear" w:color="FFFFFF" w:fill="FFFFFF"/>
            <w:noWrap/>
            <w:vAlign w:val="bottom"/>
            <w:hideMark/>
          </w:tcPr>
          <w:p w14:paraId="090FF52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1.77</w:t>
            </w:r>
          </w:p>
        </w:tc>
        <w:tc>
          <w:tcPr>
            <w:tcW w:w="646" w:type="pct"/>
            <w:tcBorders>
              <w:top w:val="nil"/>
              <w:left w:val="nil"/>
              <w:bottom w:val="single" w:sz="4" w:space="0" w:color="auto"/>
              <w:right w:val="single" w:sz="4" w:space="0" w:color="auto"/>
            </w:tcBorders>
            <w:shd w:val="clear" w:color="FFFFFF" w:fill="FFFFFF"/>
            <w:noWrap/>
            <w:vAlign w:val="bottom"/>
            <w:hideMark/>
          </w:tcPr>
          <w:p w14:paraId="443CF2D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1.78</w:t>
            </w:r>
          </w:p>
        </w:tc>
        <w:tc>
          <w:tcPr>
            <w:tcW w:w="646" w:type="pct"/>
            <w:tcBorders>
              <w:top w:val="nil"/>
              <w:left w:val="nil"/>
              <w:bottom w:val="single" w:sz="4" w:space="0" w:color="auto"/>
              <w:right w:val="single" w:sz="4" w:space="0" w:color="auto"/>
            </w:tcBorders>
            <w:shd w:val="clear" w:color="FFFFFF" w:fill="FFFFFF"/>
            <w:noWrap/>
            <w:vAlign w:val="bottom"/>
            <w:hideMark/>
          </w:tcPr>
          <w:p w14:paraId="713D373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0.99</w:t>
            </w:r>
          </w:p>
        </w:tc>
        <w:tc>
          <w:tcPr>
            <w:tcW w:w="646" w:type="pct"/>
            <w:tcBorders>
              <w:top w:val="nil"/>
              <w:left w:val="nil"/>
              <w:bottom w:val="single" w:sz="4" w:space="0" w:color="auto"/>
              <w:right w:val="single" w:sz="4" w:space="0" w:color="auto"/>
            </w:tcBorders>
            <w:shd w:val="clear" w:color="FFFFFF" w:fill="FFFFFF"/>
            <w:noWrap/>
            <w:vAlign w:val="bottom"/>
            <w:hideMark/>
          </w:tcPr>
          <w:p w14:paraId="547BFE4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0.88</w:t>
            </w:r>
          </w:p>
        </w:tc>
      </w:tr>
      <w:tr w:rsidR="005B68B4" w:rsidRPr="005B68B4" w14:paraId="413A31DB"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277E79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Current Assets/Current Liabilities</w:t>
            </w:r>
          </w:p>
        </w:tc>
        <w:tc>
          <w:tcPr>
            <w:tcW w:w="646" w:type="pct"/>
            <w:tcBorders>
              <w:top w:val="nil"/>
              <w:left w:val="nil"/>
              <w:bottom w:val="single" w:sz="4" w:space="0" w:color="auto"/>
              <w:right w:val="single" w:sz="4" w:space="0" w:color="auto"/>
            </w:tcBorders>
            <w:shd w:val="clear" w:color="FFFFFF" w:fill="FFFFFF"/>
            <w:noWrap/>
            <w:vAlign w:val="bottom"/>
            <w:hideMark/>
          </w:tcPr>
          <w:p w14:paraId="2CFC3C0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397F73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7F4D46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686175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526E6186"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09782CF"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Cash Ratio</w:t>
            </w:r>
          </w:p>
        </w:tc>
        <w:tc>
          <w:tcPr>
            <w:tcW w:w="646" w:type="pct"/>
            <w:tcBorders>
              <w:top w:val="nil"/>
              <w:left w:val="nil"/>
              <w:bottom w:val="single" w:sz="4" w:space="0" w:color="auto"/>
              <w:right w:val="single" w:sz="4" w:space="0" w:color="auto"/>
            </w:tcBorders>
            <w:shd w:val="clear" w:color="FFFFFF" w:fill="FFFFFF"/>
            <w:noWrap/>
            <w:vAlign w:val="bottom"/>
            <w:hideMark/>
          </w:tcPr>
          <w:p w14:paraId="7F8240B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0.33</w:t>
            </w:r>
          </w:p>
        </w:tc>
        <w:tc>
          <w:tcPr>
            <w:tcW w:w="646" w:type="pct"/>
            <w:tcBorders>
              <w:top w:val="nil"/>
              <w:left w:val="nil"/>
              <w:bottom w:val="single" w:sz="4" w:space="0" w:color="auto"/>
              <w:right w:val="single" w:sz="4" w:space="0" w:color="auto"/>
            </w:tcBorders>
            <w:shd w:val="clear" w:color="FFFFFF" w:fill="FFFFFF"/>
            <w:noWrap/>
            <w:vAlign w:val="bottom"/>
            <w:hideMark/>
          </w:tcPr>
          <w:p w14:paraId="42FAE1D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0.15</w:t>
            </w:r>
          </w:p>
        </w:tc>
        <w:tc>
          <w:tcPr>
            <w:tcW w:w="646" w:type="pct"/>
            <w:tcBorders>
              <w:top w:val="nil"/>
              <w:left w:val="nil"/>
              <w:bottom w:val="single" w:sz="4" w:space="0" w:color="auto"/>
              <w:right w:val="single" w:sz="4" w:space="0" w:color="auto"/>
            </w:tcBorders>
            <w:shd w:val="clear" w:color="FFFFFF" w:fill="FFFFFF"/>
            <w:noWrap/>
            <w:vAlign w:val="bottom"/>
            <w:hideMark/>
          </w:tcPr>
          <w:p w14:paraId="2DB6B1B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0.21</w:t>
            </w:r>
          </w:p>
        </w:tc>
        <w:tc>
          <w:tcPr>
            <w:tcW w:w="646" w:type="pct"/>
            <w:tcBorders>
              <w:top w:val="nil"/>
              <w:left w:val="nil"/>
              <w:bottom w:val="single" w:sz="4" w:space="0" w:color="auto"/>
              <w:right w:val="single" w:sz="4" w:space="0" w:color="auto"/>
            </w:tcBorders>
            <w:shd w:val="clear" w:color="FFFFFF" w:fill="FFFFFF"/>
            <w:noWrap/>
            <w:vAlign w:val="bottom"/>
            <w:hideMark/>
          </w:tcPr>
          <w:p w14:paraId="54CCDE0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0.15</w:t>
            </w:r>
          </w:p>
        </w:tc>
      </w:tr>
      <w:tr w:rsidR="005B68B4" w:rsidRPr="005B68B4" w14:paraId="00CDBF9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FA0273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Cash/Current Liabilities</w:t>
            </w:r>
          </w:p>
        </w:tc>
        <w:tc>
          <w:tcPr>
            <w:tcW w:w="646" w:type="pct"/>
            <w:tcBorders>
              <w:top w:val="nil"/>
              <w:left w:val="nil"/>
              <w:bottom w:val="single" w:sz="4" w:space="0" w:color="auto"/>
              <w:right w:val="single" w:sz="4" w:space="0" w:color="auto"/>
            </w:tcBorders>
            <w:shd w:val="clear" w:color="FFFFFF" w:fill="FFFFFF"/>
            <w:noWrap/>
            <w:vAlign w:val="bottom"/>
            <w:hideMark/>
          </w:tcPr>
          <w:p w14:paraId="6E0E865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E45559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4F2019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333AF0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50B59331"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03AB70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78B63F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9873F4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492FE8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63C41D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7B923505"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0DC9557"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Input data for Profitability Ratios:</w:t>
            </w:r>
          </w:p>
        </w:tc>
        <w:tc>
          <w:tcPr>
            <w:tcW w:w="646" w:type="pct"/>
            <w:tcBorders>
              <w:top w:val="nil"/>
              <w:left w:val="nil"/>
              <w:bottom w:val="single" w:sz="4" w:space="0" w:color="auto"/>
              <w:right w:val="single" w:sz="4" w:space="0" w:color="auto"/>
            </w:tcBorders>
            <w:shd w:val="clear" w:color="FFFFFF" w:fill="FFFFFF"/>
            <w:noWrap/>
            <w:vAlign w:val="bottom"/>
            <w:hideMark/>
          </w:tcPr>
          <w:p w14:paraId="095A22F2"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61FB4673"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7FCA8DE1"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18B1E45B"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7DFD17C4"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309095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Gross Profit</w:t>
            </w:r>
          </w:p>
        </w:tc>
        <w:tc>
          <w:tcPr>
            <w:tcW w:w="646" w:type="pct"/>
            <w:tcBorders>
              <w:top w:val="nil"/>
              <w:left w:val="nil"/>
              <w:bottom w:val="single" w:sz="4" w:space="0" w:color="auto"/>
              <w:right w:val="single" w:sz="4" w:space="0" w:color="auto"/>
            </w:tcBorders>
            <w:shd w:val="clear" w:color="FFFFFF" w:fill="FFFFFF"/>
            <w:noWrap/>
            <w:vAlign w:val="bottom"/>
            <w:hideMark/>
          </w:tcPr>
          <w:p w14:paraId="7CB8004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146052.00</w:t>
            </w:r>
          </w:p>
        </w:tc>
        <w:tc>
          <w:tcPr>
            <w:tcW w:w="646" w:type="pct"/>
            <w:tcBorders>
              <w:top w:val="nil"/>
              <w:left w:val="nil"/>
              <w:bottom w:val="single" w:sz="4" w:space="0" w:color="auto"/>
              <w:right w:val="single" w:sz="4" w:space="0" w:color="auto"/>
            </w:tcBorders>
            <w:shd w:val="clear" w:color="FFFFFF" w:fill="FFFFFF"/>
            <w:noWrap/>
            <w:vAlign w:val="bottom"/>
            <w:hideMark/>
          </w:tcPr>
          <w:p w14:paraId="39EFB46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135620.00</w:t>
            </w:r>
          </w:p>
        </w:tc>
        <w:tc>
          <w:tcPr>
            <w:tcW w:w="646" w:type="pct"/>
            <w:tcBorders>
              <w:top w:val="nil"/>
              <w:left w:val="nil"/>
              <w:bottom w:val="single" w:sz="4" w:space="0" w:color="auto"/>
              <w:right w:val="single" w:sz="4" w:space="0" w:color="auto"/>
            </w:tcBorders>
            <w:shd w:val="clear" w:color="FFFFFF" w:fill="FFFFFF"/>
            <w:noWrap/>
            <w:vAlign w:val="bottom"/>
            <w:hideMark/>
          </w:tcPr>
          <w:p w14:paraId="3BE8C32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169148.00</w:t>
            </w:r>
          </w:p>
        </w:tc>
        <w:tc>
          <w:tcPr>
            <w:tcW w:w="646" w:type="pct"/>
            <w:tcBorders>
              <w:top w:val="nil"/>
              <w:left w:val="nil"/>
              <w:bottom w:val="single" w:sz="4" w:space="0" w:color="auto"/>
              <w:right w:val="single" w:sz="4" w:space="0" w:color="auto"/>
            </w:tcBorders>
            <w:shd w:val="clear" w:color="FFFFFF" w:fill="FFFFFF"/>
            <w:noWrap/>
            <w:vAlign w:val="bottom"/>
            <w:hideMark/>
          </w:tcPr>
          <w:p w14:paraId="6B92E8E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170782.00</w:t>
            </w:r>
          </w:p>
        </w:tc>
      </w:tr>
      <w:tr w:rsidR="005B68B4" w:rsidRPr="005B68B4" w14:paraId="43CAF261"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185A92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Operating Income</w:t>
            </w:r>
          </w:p>
        </w:tc>
        <w:tc>
          <w:tcPr>
            <w:tcW w:w="646" w:type="pct"/>
            <w:tcBorders>
              <w:top w:val="nil"/>
              <w:left w:val="nil"/>
              <w:bottom w:val="single" w:sz="4" w:space="0" w:color="auto"/>
              <w:right w:val="single" w:sz="4" w:space="0" w:color="auto"/>
            </w:tcBorders>
            <w:shd w:val="clear" w:color="FFFFFF" w:fill="FFFFFF"/>
            <w:noWrap/>
            <w:vAlign w:val="bottom"/>
            <w:hideMark/>
          </w:tcPr>
          <w:p w14:paraId="2FB7D74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88523.00</w:t>
            </w:r>
          </w:p>
        </w:tc>
        <w:tc>
          <w:tcPr>
            <w:tcW w:w="646" w:type="pct"/>
            <w:tcBorders>
              <w:top w:val="nil"/>
              <w:left w:val="nil"/>
              <w:bottom w:val="single" w:sz="4" w:space="0" w:color="auto"/>
              <w:right w:val="single" w:sz="4" w:space="0" w:color="auto"/>
            </w:tcBorders>
            <w:shd w:val="clear" w:color="FFFFFF" w:fill="FFFFFF"/>
            <w:noWrap/>
            <w:vAlign w:val="bottom"/>
            <w:hideMark/>
          </w:tcPr>
          <w:p w14:paraId="3ACA6DA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83383.00</w:t>
            </w:r>
          </w:p>
        </w:tc>
        <w:tc>
          <w:tcPr>
            <w:tcW w:w="646" w:type="pct"/>
            <w:tcBorders>
              <w:top w:val="nil"/>
              <w:left w:val="nil"/>
              <w:bottom w:val="single" w:sz="4" w:space="0" w:color="auto"/>
              <w:right w:val="single" w:sz="4" w:space="0" w:color="auto"/>
            </w:tcBorders>
            <w:shd w:val="clear" w:color="FFFFFF" w:fill="FFFFFF"/>
            <w:noWrap/>
            <w:vAlign w:val="bottom"/>
            <w:hideMark/>
          </w:tcPr>
          <w:p w14:paraId="02DC5AC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114301.00</w:t>
            </w:r>
          </w:p>
        </w:tc>
        <w:tc>
          <w:tcPr>
            <w:tcW w:w="646" w:type="pct"/>
            <w:tcBorders>
              <w:top w:val="nil"/>
              <w:left w:val="nil"/>
              <w:bottom w:val="single" w:sz="4" w:space="0" w:color="auto"/>
              <w:right w:val="single" w:sz="4" w:space="0" w:color="auto"/>
            </w:tcBorders>
            <w:shd w:val="clear" w:color="FFFFFF" w:fill="FFFFFF"/>
            <w:noWrap/>
            <w:vAlign w:val="bottom"/>
            <w:hideMark/>
          </w:tcPr>
          <w:p w14:paraId="5A9290D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119437.00</w:t>
            </w:r>
          </w:p>
        </w:tc>
      </w:tr>
      <w:tr w:rsidR="005B68B4" w:rsidRPr="005B68B4" w14:paraId="33EECF2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BC14A2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Net Income</w:t>
            </w:r>
          </w:p>
        </w:tc>
        <w:tc>
          <w:tcPr>
            <w:tcW w:w="646" w:type="pct"/>
            <w:tcBorders>
              <w:top w:val="nil"/>
              <w:left w:val="nil"/>
              <w:bottom w:val="single" w:sz="4" w:space="0" w:color="auto"/>
              <w:right w:val="single" w:sz="4" w:space="0" w:color="auto"/>
            </w:tcBorders>
            <w:shd w:val="clear" w:color="FFFFFF" w:fill="FFFFFF"/>
            <w:noWrap/>
            <w:vAlign w:val="bottom"/>
            <w:hideMark/>
          </w:tcPr>
          <w:p w14:paraId="2146AEF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72361.00</w:t>
            </w:r>
          </w:p>
        </w:tc>
        <w:tc>
          <w:tcPr>
            <w:tcW w:w="646" w:type="pct"/>
            <w:tcBorders>
              <w:top w:val="nil"/>
              <w:left w:val="nil"/>
              <w:bottom w:val="single" w:sz="4" w:space="0" w:color="auto"/>
              <w:right w:val="single" w:sz="4" w:space="0" w:color="auto"/>
            </w:tcBorders>
            <w:shd w:val="clear" w:color="FFFFFF" w:fill="FFFFFF"/>
            <w:noWrap/>
            <w:vAlign w:val="bottom"/>
            <w:hideMark/>
          </w:tcPr>
          <w:p w14:paraId="2FB3B3D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72738.00</w:t>
            </w:r>
          </w:p>
        </w:tc>
        <w:tc>
          <w:tcPr>
            <w:tcW w:w="646" w:type="pct"/>
            <w:tcBorders>
              <w:top w:val="nil"/>
              <w:left w:val="nil"/>
              <w:bottom w:val="single" w:sz="4" w:space="0" w:color="auto"/>
              <w:right w:val="single" w:sz="4" w:space="0" w:color="auto"/>
            </w:tcBorders>
            <w:shd w:val="clear" w:color="FFFFFF" w:fill="FFFFFF"/>
            <w:noWrap/>
            <w:vAlign w:val="bottom"/>
            <w:hideMark/>
          </w:tcPr>
          <w:p w14:paraId="1C07251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96995.00</w:t>
            </w:r>
          </w:p>
        </w:tc>
        <w:tc>
          <w:tcPr>
            <w:tcW w:w="646" w:type="pct"/>
            <w:tcBorders>
              <w:top w:val="nil"/>
              <w:left w:val="nil"/>
              <w:bottom w:val="single" w:sz="4" w:space="0" w:color="auto"/>
              <w:right w:val="single" w:sz="4" w:space="0" w:color="auto"/>
            </w:tcBorders>
            <w:shd w:val="clear" w:color="FFFFFF" w:fill="FFFFFF"/>
            <w:noWrap/>
            <w:vAlign w:val="bottom"/>
            <w:hideMark/>
          </w:tcPr>
          <w:p w14:paraId="592678A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99803.00</w:t>
            </w:r>
          </w:p>
        </w:tc>
      </w:tr>
      <w:tr w:rsidR="005B68B4" w:rsidRPr="005B68B4" w14:paraId="73C56011"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B8E892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Sales</w:t>
            </w:r>
          </w:p>
        </w:tc>
        <w:tc>
          <w:tcPr>
            <w:tcW w:w="646" w:type="pct"/>
            <w:tcBorders>
              <w:top w:val="nil"/>
              <w:left w:val="nil"/>
              <w:bottom w:val="single" w:sz="4" w:space="0" w:color="auto"/>
              <w:right w:val="single" w:sz="4" w:space="0" w:color="auto"/>
            </w:tcBorders>
            <w:shd w:val="clear" w:color="FFFFFF" w:fill="FFFFFF"/>
            <w:noWrap/>
            <w:vAlign w:val="bottom"/>
            <w:hideMark/>
          </w:tcPr>
          <w:p w14:paraId="5631540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211915.00</w:t>
            </w:r>
          </w:p>
        </w:tc>
        <w:tc>
          <w:tcPr>
            <w:tcW w:w="646" w:type="pct"/>
            <w:tcBorders>
              <w:top w:val="nil"/>
              <w:left w:val="nil"/>
              <w:bottom w:val="single" w:sz="4" w:space="0" w:color="auto"/>
              <w:right w:val="single" w:sz="4" w:space="0" w:color="auto"/>
            </w:tcBorders>
            <w:shd w:val="clear" w:color="FFFFFF" w:fill="FFFFFF"/>
            <w:noWrap/>
            <w:vAlign w:val="bottom"/>
            <w:hideMark/>
          </w:tcPr>
          <w:p w14:paraId="3D721BF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198270.00</w:t>
            </w:r>
          </w:p>
        </w:tc>
        <w:tc>
          <w:tcPr>
            <w:tcW w:w="646" w:type="pct"/>
            <w:tcBorders>
              <w:top w:val="nil"/>
              <w:left w:val="nil"/>
              <w:bottom w:val="single" w:sz="4" w:space="0" w:color="auto"/>
              <w:right w:val="single" w:sz="4" w:space="0" w:color="auto"/>
            </w:tcBorders>
            <w:shd w:val="clear" w:color="FFFFFF" w:fill="FFFFFF"/>
            <w:noWrap/>
            <w:vAlign w:val="bottom"/>
            <w:hideMark/>
          </w:tcPr>
          <w:p w14:paraId="5DA790C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383285.00</w:t>
            </w:r>
          </w:p>
        </w:tc>
        <w:tc>
          <w:tcPr>
            <w:tcW w:w="646" w:type="pct"/>
            <w:tcBorders>
              <w:top w:val="nil"/>
              <w:left w:val="nil"/>
              <w:bottom w:val="single" w:sz="4" w:space="0" w:color="auto"/>
              <w:right w:val="single" w:sz="4" w:space="0" w:color="auto"/>
            </w:tcBorders>
            <w:shd w:val="clear" w:color="FFFFFF" w:fill="FFFFFF"/>
            <w:noWrap/>
            <w:vAlign w:val="bottom"/>
            <w:hideMark/>
          </w:tcPr>
          <w:p w14:paraId="0069BEB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316199.00</w:t>
            </w:r>
          </w:p>
        </w:tc>
      </w:tr>
      <w:tr w:rsidR="005B68B4" w:rsidRPr="005B68B4" w14:paraId="1D0F8D9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6036F3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Total Equity</w:t>
            </w:r>
          </w:p>
        </w:tc>
        <w:tc>
          <w:tcPr>
            <w:tcW w:w="646" w:type="pct"/>
            <w:tcBorders>
              <w:top w:val="nil"/>
              <w:left w:val="nil"/>
              <w:bottom w:val="single" w:sz="4" w:space="0" w:color="auto"/>
              <w:right w:val="single" w:sz="4" w:space="0" w:color="auto"/>
            </w:tcBorders>
            <w:shd w:val="clear" w:color="FFFFFF" w:fill="FFFFFF"/>
            <w:noWrap/>
            <w:vAlign w:val="bottom"/>
            <w:hideMark/>
          </w:tcPr>
          <w:p w14:paraId="7CCEE07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206223.00</w:t>
            </w:r>
          </w:p>
        </w:tc>
        <w:tc>
          <w:tcPr>
            <w:tcW w:w="646" w:type="pct"/>
            <w:tcBorders>
              <w:top w:val="nil"/>
              <w:left w:val="nil"/>
              <w:bottom w:val="single" w:sz="4" w:space="0" w:color="auto"/>
              <w:right w:val="single" w:sz="4" w:space="0" w:color="auto"/>
            </w:tcBorders>
            <w:shd w:val="clear" w:color="FFFFFF" w:fill="FFFFFF"/>
            <w:noWrap/>
            <w:vAlign w:val="bottom"/>
            <w:hideMark/>
          </w:tcPr>
          <w:p w14:paraId="2785C0F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166542.00</w:t>
            </w:r>
          </w:p>
        </w:tc>
        <w:tc>
          <w:tcPr>
            <w:tcW w:w="646" w:type="pct"/>
            <w:tcBorders>
              <w:top w:val="nil"/>
              <w:left w:val="nil"/>
              <w:bottom w:val="single" w:sz="4" w:space="0" w:color="auto"/>
              <w:right w:val="single" w:sz="4" w:space="0" w:color="auto"/>
            </w:tcBorders>
            <w:shd w:val="clear" w:color="FFFFFF" w:fill="FFFFFF"/>
            <w:noWrap/>
            <w:vAlign w:val="bottom"/>
            <w:hideMark/>
          </w:tcPr>
          <w:p w14:paraId="5149BE0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62146.00</w:t>
            </w:r>
          </w:p>
        </w:tc>
        <w:tc>
          <w:tcPr>
            <w:tcW w:w="646" w:type="pct"/>
            <w:tcBorders>
              <w:top w:val="nil"/>
              <w:left w:val="nil"/>
              <w:bottom w:val="single" w:sz="4" w:space="0" w:color="auto"/>
              <w:right w:val="single" w:sz="4" w:space="0" w:color="auto"/>
            </w:tcBorders>
            <w:shd w:val="clear" w:color="FFFFFF" w:fill="FFFFFF"/>
            <w:noWrap/>
            <w:vAlign w:val="bottom"/>
            <w:hideMark/>
          </w:tcPr>
          <w:p w14:paraId="150C89C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50672.00</w:t>
            </w:r>
          </w:p>
        </w:tc>
      </w:tr>
      <w:tr w:rsidR="005B68B4" w:rsidRPr="005B68B4" w14:paraId="2FCF4F1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8B68C1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Total Assets</w:t>
            </w:r>
          </w:p>
        </w:tc>
        <w:tc>
          <w:tcPr>
            <w:tcW w:w="646" w:type="pct"/>
            <w:tcBorders>
              <w:top w:val="nil"/>
              <w:left w:val="nil"/>
              <w:bottom w:val="single" w:sz="4" w:space="0" w:color="auto"/>
              <w:right w:val="single" w:sz="4" w:space="0" w:color="auto"/>
            </w:tcBorders>
            <w:shd w:val="clear" w:color="FFFFFF" w:fill="FFFFFF"/>
            <w:noWrap/>
            <w:vAlign w:val="bottom"/>
            <w:hideMark/>
          </w:tcPr>
          <w:p w14:paraId="0E29A38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411976.00</w:t>
            </w:r>
          </w:p>
        </w:tc>
        <w:tc>
          <w:tcPr>
            <w:tcW w:w="646" w:type="pct"/>
            <w:tcBorders>
              <w:top w:val="nil"/>
              <w:left w:val="nil"/>
              <w:bottom w:val="single" w:sz="4" w:space="0" w:color="auto"/>
              <w:right w:val="single" w:sz="4" w:space="0" w:color="auto"/>
            </w:tcBorders>
            <w:shd w:val="clear" w:color="FFFFFF" w:fill="FFFFFF"/>
            <w:noWrap/>
            <w:vAlign w:val="bottom"/>
            <w:hideMark/>
          </w:tcPr>
          <w:p w14:paraId="6E73430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364840.00</w:t>
            </w:r>
          </w:p>
        </w:tc>
        <w:tc>
          <w:tcPr>
            <w:tcW w:w="646" w:type="pct"/>
            <w:tcBorders>
              <w:top w:val="nil"/>
              <w:left w:val="nil"/>
              <w:bottom w:val="single" w:sz="4" w:space="0" w:color="auto"/>
              <w:right w:val="single" w:sz="4" w:space="0" w:color="auto"/>
            </w:tcBorders>
            <w:shd w:val="clear" w:color="FFFFFF" w:fill="FFFFFF"/>
            <w:noWrap/>
            <w:vAlign w:val="bottom"/>
            <w:hideMark/>
          </w:tcPr>
          <w:p w14:paraId="56DFBE0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352583.00</w:t>
            </w:r>
          </w:p>
        </w:tc>
        <w:tc>
          <w:tcPr>
            <w:tcW w:w="646" w:type="pct"/>
            <w:tcBorders>
              <w:top w:val="nil"/>
              <w:left w:val="nil"/>
              <w:bottom w:val="single" w:sz="4" w:space="0" w:color="auto"/>
              <w:right w:val="single" w:sz="4" w:space="0" w:color="auto"/>
            </w:tcBorders>
            <w:shd w:val="clear" w:color="FFFFFF" w:fill="FFFFFF"/>
            <w:noWrap/>
            <w:vAlign w:val="bottom"/>
            <w:hideMark/>
          </w:tcPr>
          <w:p w14:paraId="608A2C3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352755.00</w:t>
            </w:r>
          </w:p>
        </w:tc>
      </w:tr>
      <w:tr w:rsidR="005B68B4" w:rsidRPr="005B68B4" w14:paraId="086411AD"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F19EAA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Capital employed</w:t>
            </w:r>
          </w:p>
        </w:tc>
        <w:tc>
          <w:tcPr>
            <w:tcW w:w="646" w:type="pct"/>
            <w:tcBorders>
              <w:top w:val="nil"/>
              <w:left w:val="nil"/>
              <w:bottom w:val="single" w:sz="4" w:space="0" w:color="auto"/>
              <w:right w:val="single" w:sz="4" w:space="0" w:color="auto"/>
            </w:tcBorders>
            <w:shd w:val="clear" w:color="FFFFFF" w:fill="FFFFFF"/>
            <w:noWrap/>
            <w:vAlign w:val="bottom"/>
            <w:hideMark/>
          </w:tcPr>
          <w:p w14:paraId="604C564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307827.00</w:t>
            </w:r>
          </w:p>
        </w:tc>
        <w:tc>
          <w:tcPr>
            <w:tcW w:w="646" w:type="pct"/>
            <w:tcBorders>
              <w:top w:val="nil"/>
              <w:left w:val="nil"/>
              <w:bottom w:val="single" w:sz="4" w:space="0" w:color="auto"/>
              <w:right w:val="single" w:sz="4" w:space="0" w:color="auto"/>
            </w:tcBorders>
            <w:shd w:val="clear" w:color="FFFFFF" w:fill="FFFFFF"/>
            <w:noWrap/>
            <w:vAlign w:val="bottom"/>
            <w:hideMark/>
          </w:tcPr>
          <w:p w14:paraId="6B967F1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269758.00</w:t>
            </w:r>
          </w:p>
        </w:tc>
        <w:tc>
          <w:tcPr>
            <w:tcW w:w="646" w:type="pct"/>
            <w:tcBorders>
              <w:top w:val="nil"/>
              <w:left w:val="nil"/>
              <w:bottom w:val="single" w:sz="4" w:space="0" w:color="auto"/>
              <w:right w:val="single" w:sz="4" w:space="0" w:color="auto"/>
            </w:tcBorders>
            <w:shd w:val="clear" w:color="FFFFFF" w:fill="FFFFFF"/>
            <w:noWrap/>
            <w:vAlign w:val="bottom"/>
            <w:hideMark/>
          </w:tcPr>
          <w:p w14:paraId="0796700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207275.00</w:t>
            </w:r>
          </w:p>
        </w:tc>
        <w:tc>
          <w:tcPr>
            <w:tcW w:w="646" w:type="pct"/>
            <w:tcBorders>
              <w:top w:val="nil"/>
              <w:left w:val="nil"/>
              <w:bottom w:val="single" w:sz="4" w:space="0" w:color="auto"/>
              <w:right w:val="single" w:sz="4" w:space="0" w:color="auto"/>
            </w:tcBorders>
            <w:shd w:val="clear" w:color="FFFFFF" w:fill="FFFFFF"/>
            <w:noWrap/>
            <w:vAlign w:val="bottom"/>
            <w:hideMark/>
          </w:tcPr>
          <w:p w14:paraId="3154419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198773.00</w:t>
            </w:r>
          </w:p>
        </w:tc>
      </w:tr>
      <w:tr w:rsidR="005B68B4" w:rsidRPr="005B68B4" w14:paraId="386918ED"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0206BD9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7A415F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CEC2D0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B8762A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3E0214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3E3AD8A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00"/>
            <w:noWrap/>
            <w:vAlign w:val="bottom"/>
            <w:hideMark/>
          </w:tcPr>
          <w:p w14:paraId="32EE132A"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PROFITABILITY RATIOS:</w:t>
            </w:r>
          </w:p>
        </w:tc>
        <w:tc>
          <w:tcPr>
            <w:tcW w:w="646" w:type="pct"/>
            <w:tcBorders>
              <w:top w:val="nil"/>
              <w:left w:val="nil"/>
              <w:bottom w:val="single" w:sz="4" w:space="0" w:color="auto"/>
              <w:right w:val="single" w:sz="4" w:space="0" w:color="auto"/>
            </w:tcBorders>
            <w:shd w:val="clear" w:color="FFFFFF" w:fill="FFFFFF"/>
            <w:noWrap/>
            <w:vAlign w:val="bottom"/>
            <w:hideMark/>
          </w:tcPr>
          <w:p w14:paraId="72620EA4"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36D8A85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30BF91C9"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4048A6F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1E4C3582"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29666F7"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Gross Margin</w:t>
            </w:r>
          </w:p>
        </w:tc>
        <w:tc>
          <w:tcPr>
            <w:tcW w:w="646" w:type="pct"/>
            <w:tcBorders>
              <w:top w:val="nil"/>
              <w:left w:val="nil"/>
              <w:bottom w:val="single" w:sz="4" w:space="0" w:color="auto"/>
              <w:right w:val="single" w:sz="4" w:space="0" w:color="auto"/>
            </w:tcBorders>
            <w:shd w:val="clear" w:color="FFFFFF" w:fill="FFFFFF"/>
            <w:noWrap/>
            <w:vAlign w:val="bottom"/>
            <w:hideMark/>
          </w:tcPr>
          <w:p w14:paraId="0EF90BF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68.92%</w:t>
            </w:r>
          </w:p>
        </w:tc>
        <w:tc>
          <w:tcPr>
            <w:tcW w:w="646" w:type="pct"/>
            <w:tcBorders>
              <w:top w:val="nil"/>
              <w:left w:val="nil"/>
              <w:bottom w:val="single" w:sz="4" w:space="0" w:color="auto"/>
              <w:right w:val="single" w:sz="4" w:space="0" w:color="auto"/>
            </w:tcBorders>
            <w:shd w:val="clear" w:color="FFFFFF" w:fill="FFFFFF"/>
            <w:noWrap/>
            <w:vAlign w:val="bottom"/>
            <w:hideMark/>
          </w:tcPr>
          <w:p w14:paraId="034BD9E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68.40%</w:t>
            </w:r>
          </w:p>
        </w:tc>
        <w:tc>
          <w:tcPr>
            <w:tcW w:w="646" w:type="pct"/>
            <w:tcBorders>
              <w:top w:val="nil"/>
              <w:left w:val="nil"/>
              <w:bottom w:val="single" w:sz="4" w:space="0" w:color="auto"/>
              <w:right w:val="single" w:sz="4" w:space="0" w:color="auto"/>
            </w:tcBorders>
            <w:shd w:val="clear" w:color="FFFFFF" w:fill="FFFFFF"/>
            <w:noWrap/>
            <w:vAlign w:val="bottom"/>
            <w:hideMark/>
          </w:tcPr>
          <w:p w14:paraId="0FF3DD2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44.13%</w:t>
            </w:r>
          </w:p>
        </w:tc>
        <w:tc>
          <w:tcPr>
            <w:tcW w:w="646" w:type="pct"/>
            <w:tcBorders>
              <w:top w:val="nil"/>
              <w:left w:val="nil"/>
              <w:bottom w:val="single" w:sz="4" w:space="0" w:color="auto"/>
              <w:right w:val="single" w:sz="4" w:space="0" w:color="auto"/>
            </w:tcBorders>
            <w:shd w:val="clear" w:color="FFFFFF" w:fill="FFFFFF"/>
            <w:noWrap/>
            <w:vAlign w:val="bottom"/>
            <w:hideMark/>
          </w:tcPr>
          <w:p w14:paraId="1977A6F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54.01%</w:t>
            </w:r>
          </w:p>
        </w:tc>
      </w:tr>
      <w:tr w:rsidR="005B68B4" w:rsidRPr="005B68B4" w14:paraId="6CB83E7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CAD7A6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Gross Profit/Sales</w:t>
            </w:r>
          </w:p>
        </w:tc>
        <w:tc>
          <w:tcPr>
            <w:tcW w:w="646" w:type="pct"/>
            <w:tcBorders>
              <w:top w:val="nil"/>
              <w:left w:val="nil"/>
              <w:bottom w:val="single" w:sz="4" w:space="0" w:color="auto"/>
              <w:right w:val="single" w:sz="4" w:space="0" w:color="auto"/>
            </w:tcBorders>
            <w:shd w:val="clear" w:color="FFFFFF" w:fill="FFFFFF"/>
            <w:noWrap/>
            <w:vAlign w:val="bottom"/>
            <w:hideMark/>
          </w:tcPr>
          <w:p w14:paraId="563E2B9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A1A4BA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DD4B6F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47CA44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3E5CBA99"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3415E6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Operating Margin</w:t>
            </w:r>
          </w:p>
        </w:tc>
        <w:tc>
          <w:tcPr>
            <w:tcW w:w="646" w:type="pct"/>
            <w:tcBorders>
              <w:top w:val="nil"/>
              <w:left w:val="nil"/>
              <w:bottom w:val="single" w:sz="4" w:space="0" w:color="auto"/>
              <w:right w:val="single" w:sz="4" w:space="0" w:color="auto"/>
            </w:tcBorders>
            <w:shd w:val="clear" w:color="FFFFFF" w:fill="FFFFFF"/>
            <w:noWrap/>
            <w:vAlign w:val="bottom"/>
            <w:hideMark/>
          </w:tcPr>
          <w:p w14:paraId="2DD07DE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41.77%</w:t>
            </w:r>
          </w:p>
        </w:tc>
        <w:tc>
          <w:tcPr>
            <w:tcW w:w="646" w:type="pct"/>
            <w:tcBorders>
              <w:top w:val="nil"/>
              <w:left w:val="nil"/>
              <w:bottom w:val="single" w:sz="4" w:space="0" w:color="auto"/>
              <w:right w:val="single" w:sz="4" w:space="0" w:color="auto"/>
            </w:tcBorders>
            <w:shd w:val="clear" w:color="FFFFFF" w:fill="FFFFFF"/>
            <w:noWrap/>
            <w:vAlign w:val="bottom"/>
            <w:hideMark/>
          </w:tcPr>
          <w:p w14:paraId="327AB59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42.06%</w:t>
            </w:r>
          </w:p>
        </w:tc>
        <w:tc>
          <w:tcPr>
            <w:tcW w:w="646" w:type="pct"/>
            <w:tcBorders>
              <w:top w:val="nil"/>
              <w:left w:val="nil"/>
              <w:bottom w:val="single" w:sz="4" w:space="0" w:color="auto"/>
              <w:right w:val="single" w:sz="4" w:space="0" w:color="auto"/>
            </w:tcBorders>
            <w:shd w:val="clear" w:color="FFFFFF" w:fill="FFFFFF"/>
            <w:noWrap/>
            <w:vAlign w:val="bottom"/>
            <w:hideMark/>
          </w:tcPr>
          <w:p w14:paraId="28958EA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29.82%</w:t>
            </w:r>
          </w:p>
        </w:tc>
        <w:tc>
          <w:tcPr>
            <w:tcW w:w="646" w:type="pct"/>
            <w:tcBorders>
              <w:top w:val="nil"/>
              <w:left w:val="nil"/>
              <w:bottom w:val="single" w:sz="4" w:space="0" w:color="auto"/>
              <w:right w:val="single" w:sz="4" w:space="0" w:color="auto"/>
            </w:tcBorders>
            <w:shd w:val="clear" w:color="FFFFFF" w:fill="FFFFFF"/>
            <w:noWrap/>
            <w:vAlign w:val="bottom"/>
            <w:hideMark/>
          </w:tcPr>
          <w:p w14:paraId="0C8DFE2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37.77%</w:t>
            </w:r>
          </w:p>
        </w:tc>
      </w:tr>
      <w:tr w:rsidR="005B68B4" w:rsidRPr="005B68B4" w14:paraId="75219B74"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066F468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Operating Income/Sales</w:t>
            </w:r>
          </w:p>
        </w:tc>
        <w:tc>
          <w:tcPr>
            <w:tcW w:w="646" w:type="pct"/>
            <w:tcBorders>
              <w:top w:val="nil"/>
              <w:left w:val="nil"/>
              <w:bottom w:val="single" w:sz="4" w:space="0" w:color="auto"/>
              <w:right w:val="single" w:sz="4" w:space="0" w:color="auto"/>
            </w:tcBorders>
            <w:shd w:val="clear" w:color="FFFFFF" w:fill="FFFFFF"/>
            <w:noWrap/>
            <w:vAlign w:val="bottom"/>
            <w:hideMark/>
          </w:tcPr>
          <w:p w14:paraId="75F1F67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E8A423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91B67A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B65A2C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2C3A8C8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555AD13"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Net Profit Margin</w:t>
            </w:r>
          </w:p>
        </w:tc>
        <w:tc>
          <w:tcPr>
            <w:tcW w:w="646" w:type="pct"/>
            <w:tcBorders>
              <w:top w:val="nil"/>
              <w:left w:val="nil"/>
              <w:bottom w:val="single" w:sz="4" w:space="0" w:color="auto"/>
              <w:right w:val="single" w:sz="4" w:space="0" w:color="auto"/>
            </w:tcBorders>
            <w:shd w:val="clear" w:color="FFFFFF" w:fill="FFFFFF"/>
            <w:noWrap/>
            <w:vAlign w:val="bottom"/>
            <w:hideMark/>
          </w:tcPr>
          <w:p w14:paraId="62DD762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34.15%</w:t>
            </w:r>
          </w:p>
        </w:tc>
        <w:tc>
          <w:tcPr>
            <w:tcW w:w="646" w:type="pct"/>
            <w:tcBorders>
              <w:top w:val="nil"/>
              <w:left w:val="nil"/>
              <w:bottom w:val="single" w:sz="4" w:space="0" w:color="auto"/>
              <w:right w:val="single" w:sz="4" w:space="0" w:color="auto"/>
            </w:tcBorders>
            <w:shd w:val="clear" w:color="FFFFFF" w:fill="FFFFFF"/>
            <w:noWrap/>
            <w:vAlign w:val="bottom"/>
            <w:hideMark/>
          </w:tcPr>
          <w:p w14:paraId="650AEEF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36.69%</w:t>
            </w:r>
          </w:p>
        </w:tc>
        <w:tc>
          <w:tcPr>
            <w:tcW w:w="646" w:type="pct"/>
            <w:tcBorders>
              <w:top w:val="nil"/>
              <w:left w:val="nil"/>
              <w:bottom w:val="single" w:sz="4" w:space="0" w:color="auto"/>
              <w:right w:val="single" w:sz="4" w:space="0" w:color="auto"/>
            </w:tcBorders>
            <w:shd w:val="clear" w:color="FFFFFF" w:fill="FFFFFF"/>
            <w:noWrap/>
            <w:vAlign w:val="bottom"/>
            <w:hideMark/>
          </w:tcPr>
          <w:p w14:paraId="6F7D6A8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25.31%</w:t>
            </w:r>
          </w:p>
        </w:tc>
        <w:tc>
          <w:tcPr>
            <w:tcW w:w="646" w:type="pct"/>
            <w:tcBorders>
              <w:top w:val="nil"/>
              <w:left w:val="nil"/>
              <w:bottom w:val="single" w:sz="4" w:space="0" w:color="auto"/>
              <w:right w:val="single" w:sz="4" w:space="0" w:color="auto"/>
            </w:tcBorders>
            <w:shd w:val="clear" w:color="FFFFFF" w:fill="FFFFFF"/>
            <w:noWrap/>
            <w:vAlign w:val="bottom"/>
            <w:hideMark/>
          </w:tcPr>
          <w:p w14:paraId="396D2BE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31.56%</w:t>
            </w:r>
          </w:p>
        </w:tc>
      </w:tr>
      <w:tr w:rsidR="005B68B4" w:rsidRPr="005B68B4" w14:paraId="6632D3FF"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D2E96D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Net Income/Sales</w:t>
            </w:r>
          </w:p>
        </w:tc>
        <w:tc>
          <w:tcPr>
            <w:tcW w:w="646" w:type="pct"/>
            <w:tcBorders>
              <w:top w:val="nil"/>
              <w:left w:val="nil"/>
              <w:bottom w:val="single" w:sz="4" w:space="0" w:color="auto"/>
              <w:right w:val="single" w:sz="4" w:space="0" w:color="auto"/>
            </w:tcBorders>
            <w:shd w:val="clear" w:color="FFFFFF" w:fill="FFFFFF"/>
            <w:noWrap/>
            <w:vAlign w:val="bottom"/>
            <w:hideMark/>
          </w:tcPr>
          <w:p w14:paraId="5F5DE15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F99BC2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7D3712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5A8578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0B299FC5"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46FBC47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lastRenderedPageBreak/>
              <w:t>Return on Equity (ROE)</w:t>
            </w:r>
          </w:p>
        </w:tc>
        <w:tc>
          <w:tcPr>
            <w:tcW w:w="646" w:type="pct"/>
            <w:tcBorders>
              <w:top w:val="nil"/>
              <w:left w:val="nil"/>
              <w:bottom w:val="single" w:sz="4" w:space="0" w:color="auto"/>
              <w:right w:val="single" w:sz="4" w:space="0" w:color="auto"/>
            </w:tcBorders>
            <w:shd w:val="clear" w:color="FFFFFF" w:fill="FFFFFF"/>
            <w:noWrap/>
            <w:vAlign w:val="bottom"/>
            <w:hideMark/>
          </w:tcPr>
          <w:p w14:paraId="43ABDE9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0.35</w:t>
            </w:r>
          </w:p>
        </w:tc>
        <w:tc>
          <w:tcPr>
            <w:tcW w:w="646" w:type="pct"/>
            <w:tcBorders>
              <w:top w:val="nil"/>
              <w:left w:val="nil"/>
              <w:bottom w:val="single" w:sz="4" w:space="0" w:color="auto"/>
              <w:right w:val="single" w:sz="4" w:space="0" w:color="auto"/>
            </w:tcBorders>
            <w:shd w:val="clear" w:color="FFFFFF" w:fill="FFFFFF"/>
            <w:noWrap/>
            <w:vAlign w:val="bottom"/>
            <w:hideMark/>
          </w:tcPr>
          <w:p w14:paraId="33883CC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0.44</w:t>
            </w:r>
          </w:p>
        </w:tc>
        <w:tc>
          <w:tcPr>
            <w:tcW w:w="646" w:type="pct"/>
            <w:tcBorders>
              <w:top w:val="nil"/>
              <w:left w:val="nil"/>
              <w:bottom w:val="single" w:sz="4" w:space="0" w:color="auto"/>
              <w:right w:val="single" w:sz="4" w:space="0" w:color="auto"/>
            </w:tcBorders>
            <w:shd w:val="clear" w:color="FFFFFF" w:fill="FFFFFF"/>
            <w:noWrap/>
            <w:vAlign w:val="bottom"/>
            <w:hideMark/>
          </w:tcPr>
          <w:p w14:paraId="0C8F541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1.56</w:t>
            </w:r>
          </w:p>
        </w:tc>
        <w:tc>
          <w:tcPr>
            <w:tcW w:w="646" w:type="pct"/>
            <w:tcBorders>
              <w:top w:val="nil"/>
              <w:left w:val="nil"/>
              <w:bottom w:val="single" w:sz="4" w:space="0" w:color="auto"/>
              <w:right w:val="single" w:sz="4" w:space="0" w:color="auto"/>
            </w:tcBorders>
            <w:shd w:val="clear" w:color="FFFFFF" w:fill="FFFFFF"/>
            <w:noWrap/>
            <w:vAlign w:val="bottom"/>
            <w:hideMark/>
          </w:tcPr>
          <w:p w14:paraId="7198BA2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1.97</w:t>
            </w:r>
          </w:p>
        </w:tc>
      </w:tr>
      <w:tr w:rsidR="005B68B4" w:rsidRPr="005B68B4" w14:paraId="6DF83CC6"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6E2EDF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Net Income/Tot.Equity</w:t>
            </w:r>
          </w:p>
        </w:tc>
        <w:tc>
          <w:tcPr>
            <w:tcW w:w="646" w:type="pct"/>
            <w:tcBorders>
              <w:top w:val="nil"/>
              <w:left w:val="nil"/>
              <w:bottom w:val="single" w:sz="4" w:space="0" w:color="auto"/>
              <w:right w:val="single" w:sz="4" w:space="0" w:color="auto"/>
            </w:tcBorders>
            <w:shd w:val="clear" w:color="FFFFFF" w:fill="FFFFFF"/>
            <w:noWrap/>
            <w:vAlign w:val="bottom"/>
            <w:hideMark/>
          </w:tcPr>
          <w:p w14:paraId="5ACF9BF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99FCD1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28AD9B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3CE574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2CCD81AA"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7407848"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Return on Assets (ROA)</w:t>
            </w:r>
          </w:p>
        </w:tc>
        <w:tc>
          <w:tcPr>
            <w:tcW w:w="646" w:type="pct"/>
            <w:tcBorders>
              <w:top w:val="nil"/>
              <w:left w:val="nil"/>
              <w:bottom w:val="single" w:sz="4" w:space="0" w:color="auto"/>
              <w:right w:val="single" w:sz="4" w:space="0" w:color="auto"/>
            </w:tcBorders>
            <w:shd w:val="clear" w:color="FFFFFF" w:fill="FFFFFF"/>
            <w:noWrap/>
            <w:vAlign w:val="bottom"/>
            <w:hideMark/>
          </w:tcPr>
          <w:p w14:paraId="2F5341D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0.18</w:t>
            </w:r>
          </w:p>
        </w:tc>
        <w:tc>
          <w:tcPr>
            <w:tcW w:w="646" w:type="pct"/>
            <w:tcBorders>
              <w:top w:val="nil"/>
              <w:left w:val="nil"/>
              <w:bottom w:val="single" w:sz="4" w:space="0" w:color="auto"/>
              <w:right w:val="single" w:sz="4" w:space="0" w:color="auto"/>
            </w:tcBorders>
            <w:shd w:val="clear" w:color="FFFFFF" w:fill="FFFFFF"/>
            <w:noWrap/>
            <w:vAlign w:val="bottom"/>
            <w:hideMark/>
          </w:tcPr>
          <w:p w14:paraId="2811AD3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0.20</w:t>
            </w:r>
          </w:p>
        </w:tc>
        <w:tc>
          <w:tcPr>
            <w:tcW w:w="646" w:type="pct"/>
            <w:tcBorders>
              <w:top w:val="nil"/>
              <w:left w:val="nil"/>
              <w:bottom w:val="single" w:sz="4" w:space="0" w:color="auto"/>
              <w:right w:val="single" w:sz="4" w:space="0" w:color="auto"/>
            </w:tcBorders>
            <w:shd w:val="clear" w:color="FFFFFF" w:fill="FFFFFF"/>
            <w:noWrap/>
            <w:vAlign w:val="bottom"/>
            <w:hideMark/>
          </w:tcPr>
          <w:p w14:paraId="492F2E8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0.28</w:t>
            </w:r>
          </w:p>
        </w:tc>
        <w:tc>
          <w:tcPr>
            <w:tcW w:w="646" w:type="pct"/>
            <w:tcBorders>
              <w:top w:val="nil"/>
              <w:left w:val="nil"/>
              <w:bottom w:val="single" w:sz="4" w:space="0" w:color="auto"/>
              <w:right w:val="single" w:sz="4" w:space="0" w:color="auto"/>
            </w:tcBorders>
            <w:shd w:val="clear" w:color="FFFFFF" w:fill="FFFFFF"/>
            <w:noWrap/>
            <w:vAlign w:val="bottom"/>
            <w:hideMark/>
          </w:tcPr>
          <w:p w14:paraId="321A0F6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0.28</w:t>
            </w:r>
          </w:p>
        </w:tc>
      </w:tr>
      <w:tr w:rsidR="005B68B4" w:rsidRPr="005B68B4" w14:paraId="21C711E8"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2F426C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Net Income/Tot.Assets</w:t>
            </w:r>
          </w:p>
        </w:tc>
        <w:tc>
          <w:tcPr>
            <w:tcW w:w="646" w:type="pct"/>
            <w:tcBorders>
              <w:top w:val="nil"/>
              <w:left w:val="nil"/>
              <w:bottom w:val="single" w:sz="4" w:space="0" w:color="auto"/>
              <w:right w:val="single" w:sz="4" w:space="0" w:color="auto"/>
            </w:tcBorders>
            <w:shd w:val="clear" w:color="FFFFFF" w:fill="FFFFFF"/>
            <w:noWrap/>
            <w:vAlign w:val="bottom"/>
            <w:hideMark/>
          </w:tcPr>
          <w:p w14:paraId="4B80A03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08E7A5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4F7AC0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C8F554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33572B3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D06C307"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Return on Capital Employed (ROCE)</w:t>
            </w:r>
          </w:p>
        </w:tc>
        <w:tc>
          <w:tcPr>
            <w:tcW w:w="646" w:type="pct"/>
            <w:tcBorders>
              <w:top w:val="nil"/>
              <w:left w:val="nil"/>
              <w:bottom w:val="single" w:sz="4" w:space="0" w:color="auto"/>
              <w:right w:val="single" w:sz="4" w:space="0" w:color="auto"/>
            </w:tcBorders>
            <w:shd w:val="clear" w:color="FFFFFF" w:fill="FFFFFF"/>
            <w:noWrap/>
            <w:vAlign w:val="bottom"/>
            <w:hideMark/>
          </w:tcPr>
          <w:p w14:paraId="3774C3E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0.24</w:t>
            </w:r>
          </w:p>
        </w:tc>
        <w:tc>
          <w:tcPr>
            <w:tcW w:w="646" w:type="pct"/>
            <w:tcBorders>
              <w:top w:val="nil"/>
              <w:left w:val="nil"/>
              <w:bottom w:val="single" w:sz="4" w:space="0" w:color="auto"/>
              <w:right w:val="single" w:sz="4" w:space="0" w:color="auto"/>
            </w:tcBorders>
            <w:shd w:val="clear" w:color="FFFFFF" w:fill="FFFFFF"/>
            <w:noWrap/>
            <w:vAlign w:val="bottom"/>
            <w:hideMark/>
          </w:tcPr>
          <w:p w14:paraId="158C3F2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0.27</w:t>
            </w:r>
          </w:p>
        </w:tc>
        <w:tc>
          <w:tcPr>
            <w:tcW w:w="646" w:type="pct"/>
            <w:tcBorders>
              <w:top w:val="nil"/>
              <w:left w:val="nil"/>
              <w:bottom w:val="single" w:sz="4" w:space="0" w:color="auto"/>
              <w:right w:val="single" w:sz="4" w:space="0" w:color="auto"/>
            </w:tcBorders>
            <w:shd w:val="clear" w:color="FFFFFF" w:fill="FFFFFF"/>
            <w:noWrap/>
            <w:vAlign w:val="bottom"/>
            <w:hideMark/>
          </w:tcPr>
          <w:p w14:paraId="4060550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0.47</w:t>
            </w:r>
          </w:p>
        </w:tc>
        <w:tc>
          <w:tcPr>
            <w:tcW w:w="646" w:type="pct"/>
            <w:tcBorders>
              <w:top w:val="nil"/>
              <w:left w:val="nil"/>
              <w:bottom w:val="single" w:sz="4" w:space="0" w:color="auto"/>
              <w:right w:val="single" w:sz="4" w:space="0" w:color="auto"/>
            </w:tcBorders>
            <w:shd w:val="clear" w:color="FFFFFF" w:fill="FFFFFF"/>
            <w:noWrap/>
            <w:vAlign w:val="bottom"/>
            <w:hideMark/>
          </w:tcPr>
          <w:p w14:paraId="4AAB93F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0.50</w:t>
            </w:r>
          </w:p>
        </w:tc>
      </w:tr>
      <w:tr w:rsidR="005B68B4" w:rsidRPr="005B68B4" w14:paraId="05A3D685"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221AC5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Net Income/Capital Employed</w:t>
            </w:r>
          </w:p>
        </w:tc>
        <w:tc>
          <w:tcPr>
            <w:tcW w:w="646" w:type="pct"/>
            <w:tcBorders>
              <w:top w:val="nil"/>
              <w:left w:val="nil"/>
              <w:bottom w:val="single" w:sz="4" w:space="0" w:color="auto"/>
              <w:right w:val="single" w:sz="4" w:space="0" w:color="auto"/>
            </w:tcBorders>
            <w:shd w:val="clear" w:color="FFFFFF" w:fill="FFFFFF"/>
            <w:noWrap/>
            <w:vAlign w:val="bottom"/>
            <w:hideMark/>
          </w:tcPr>
          <w:p w14:paraId="50DCFA1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872391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104015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1B3467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3BC2233F"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9696D4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C92292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E4116B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211D6C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16A72C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6E9C2C98"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1CEF165"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Input data for Efficiency Ratios:</w:t>
            </w:r>
          </w:p>
        </w:tc>
        <w:tc>
          <w:tcPr>
            <w:tcW w:w="646" w:type="pct"/>
            <w:tcBorders>
              <w:top w:val="nil"/>
              <w:left w:val="nil"/>
              <w:bottom w:val="single" w:sz="4" w:space="0" w:color="auto"/>
              <w:right w:val="single" w:sz="4" w:space="0" w:color="auto"/>
            </w:tcBorders>
            <w:shd w:val="clear" w:color="FFFFFF" w:fill="FFFFFF"/>
            <w:noWrap/>
            <w:vAlign w:val="bottom"/>
            <w:hideMark/>
          </w:tcPr>
          <w:p w14:paraId="1B0F6A7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39730DC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0DE34809"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634F271B"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13FEA9A5"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867B1B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Account Receivables</w:t>
            </w:r>
          </w:p>
        </w:tc>
        <w:tc>
          <w:tcPr>
            <w:tcW w:w="646" w:type="pct"/>
            <w:tcBorders>
              <w:top w:val="nil"/>
              <w:left w:val="nil"/>
              <w:bottom w:val="single" w:sz="4" w:space="0" w:color="auto"/>
              <w:right w:val="single" w:sz="4" w:space="0" w:color="auto"/>
            </w:tcBorders>
            <w:shd w:val="clear" w:color="FFFFFF" w:fill="FFFFFF"/>
            <w:noWrap/>
            <w:vAlign w:val="bottom"/>
            <w:hideMark/>
          </w:tcPr>
          <w:p w14:paraId="3D1A768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48688.00</w:t>
            </w:r>
          </w:p>
        </w:tc>
        <w:tc>
          <w:tcPr>
            <w:tcW w:w="646" w:type="pct"/>
            <w:tcBorders>
              <w:top w:val="nil"/>
              <w:left w:val="nil"/>
              <w:bottom w:val="single" w:sz="4" w:space="0" w:color="auto"/>
              <w:right w:val="single" w:sz="4" w:space="0" w:color="auto"/>
            </w:tcBorders>
            <w:shd w:val="clear" w:color="FFFFFF" w:fill="FFFFFF"/>
            <w:noWrap/>
            <w:vAlign w:val="bottom"/>
            <w:hideMark/>
          </w:tcPr>
          <w:p w14:paraId="3B40FA6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44261.00</w:t>
            </w:r>
          </w:p>
        </w:tc>
        <w:tc>
          <w:tcPr>
            <w:tcW w:w="646" w:type="pct"/>
            <w:tcBorders>
              <w:top w:val="nil"/>
              <w:left w:val="nil"/>
              <w:bottom w:val="single" w:sz="4" w:space="0" w:color="auto"/>
              <w:right w:val="single" w:sz="4" w:space="0" w:color="auto"/>
            </w:tcBorders>
            <w:shd w:val="clear" w:color="FFFFFF" w:fill="FFFFFF"/>
            <w:noWrap/>
            <w:vAlign w:val="bottom"/>
            <w:hideMark/>
          </w:tcPr>
          <w:p w14:paraId="46D3C69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29508.00</w:t>
            </w:r>
          </w:p>
        </w:tc>
        <w:tc>
          <w:tcPr>
            <w:tcW w:w="646" w:type="pct"/>
            <w:tcBorders>
              <w:top w:val="nil"/>
              <w:left w:val="nil"/>
              <w:bottom w:val="single" w:sz="4" w:space="0" w:color="auto"/>
              <w:right w:val="single" w:sz="4" w:space="0" w:color="auto"/>
            </w:tcBorders>
            <w:shd w:val="clear" w:color="FFFFFF" w:fill="FFFFFF"/>
            <w:noWrap/>
            <w:vAlign w:val="bottom"/>
            <w:hideMark/>
          </w:tcPr>
          <w:p w14:paraId="45777CE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28184.00</w:t>
            </w:r>
          </w:p>
        </w:tc>
      </w:tr>
      <w:tr w:rsidR="005B68B4" w:rsidRPr="005B68B4" w14:paraId="35A984A4"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BBED39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Account Payables</w:t>
            </w:r>
          </w:p>
        </w:tc>
        <w:tc>
          <w:tcPr>
            <w:tcW w:w="646" w:type="pct"/>
            <w:tcBorders>
              <w:top w:val="nil"/>
              <w:left w:val="nil"/>
              <w:bottom w:val="single" w:sz="4" w:space="0" w:color="auto"/>
              <w:right w:val="single" w:sz="4" w:space="0" w:color="auto"/>
            </w:tcBorders>
            <w:shd w:val="clear" w:color="FFFFFF" w:fill="FFFFFF"/>
            <w:noWrap/>
            <w:vAlign w:val="bottom"/>
            <w:hideMark/>
          </w:tcPr>
          <w:p w14:paraId="52C9227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18095.00</w:t>
            </w:r>
          </w:p>
        </w:tc>
        <w:tc>
          <w:tcPr>
            <w:tcW w:w="646" w:type="pct"/>
            <w:tcBorders>
              <w:top w:val="nil"/>
              <w:left w:val="nil"/>
              <w:bottom w:val="single" w:sz="4" w:space="0" w:color="auto"/>
              <w:right w:val="single" w:sz="4" w:space="0" w:color="auto"/>
            </w:tcBorders>
            <w:shd w:val="clear" w:color="FFFFFF" w:fill="FFFFFF"/>
            <w:noWrap/>
            <w:vAlign w:val="bottom"/>
            <w:hideMark/>
          </w:tcPr>
          <w:p w14:paraId="093C602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19000.00</w:t>
            </w:r>
          </w:p>
        </w:tc>
        <w:tc>
          <w:tcPr>
            <w:tcW w:w="646" w:type="pct"/>
            <w:tcBorders>
              <w:top w:val="nil"/>
              <w:left w:val="nil"/>
              <w:bottom w:val="single" w:sz="4" w:space="0" w:color="auto"/>
              <w:right w:val="single" w:sz="4" w:space="0" w:color="auto"/>
            </w:tcBorders>
            <w:shd w:val="clear" w:color="FFFFFF" w:fill="FFFFFF"/>
            <w:noWrap/>
            <w:vAlign w:val="bottom"/>
            <w:hideMark/>
          </w:tcPr>
          <w:p w14:paraId="6C40F2E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62611.00</w:t>
            </w:r>
          </w:p>
        </w:tc>
        <w:tc>
          <w:tcPr>
            <w:tcW w:w="646" w:type="pct"/>
            <w:tcBorders>
              <w:top w:val="nil"/>
              <w:left w:val="nil"/>
              <w:bottom w:val="single" w:sz="4" w:space="0" w:color="auto"/>
              <w:right w:val="single" w:sz="4" w:space="0" w:color="auto"/>
            </w:tcBorders>
            <w:shd w:val="clear" w:color="FFFFFF" w:fill="FFFFFF"/>
            <w:noWrap/>
            <w:vAlign w:val="bottom"/>
            <w:hideMark/>
          </w:tcPr>
          <w:p w14:paraId="12B49AF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64115.00</w:t>
            </w:r>
          </w:p>
        </w:tc>
      </w:tr>
      <w:tr w:rsidR="005B68B4" w:rsidRPr="005B68B4" w14:paraId="47DA530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4352670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Sales</w:t>
            </w:r>
          </w:p>
        </w:tc>
        <w:tc>
          <w:tcPr>
            <w:tcW w:w="646" w:type="pct"/>
            <w:tcBorders>
              <w:top w:val="nil"/>
              <w:left w:val="nil"/>
              <w:bottom w:val="single" w:sz="4" w:space="0" w:color="auto"/>
              <w:right w:val="single" w:sz="4" w:space="0" w:color="auto"/>
            </w:tcBorders>
            <w:shd w:val="clear" w:color="FFFFFF" w:fill="FFFFFF"/>
            <w:noWrap/>
            <w:vAlign w:val="bottom"/>
            <w:hideMark/>
          </w:tcPr>
          <w:p w14:paraId="4B47ADD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211915.00</w:t>
            </w:r>
          </w:p>
        </w:tc>
        <w:tc>
          <w:tcPr>
            <w:tcW w:w="646" w:type="pct"/>
            <w:tcBorders>
              <w:top w:val="nil"/>
              <w:left w:val="nil"/>
              <w:bottom w:val="single" w:sz="4" w:space="0" w:color="auto"/>
              <w:right w:val="single" w:sz="4" w:space="0" w:color="auto"/>
            </w:tcBorders>
            <w:shd w:val="clear" w:color="FFFFFF" w:fill="FFFFFF"/>
            <w:noWrap/>
            <w:vAlign w:val="bottom"/>
            <w:hideMark/>
          </w:tcPr>
          <w:p w14:paraId="17E50EB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198270.00</w:t>
            </w:r>
          </w:p>
        </w:tc>
        <w:tc>
          <w:tcPr>
            <w:tcW w:w="646" w:type="pct"/>
            <w:tcBorders>
              <w:top w:val="nil"/>
              <w:left w:val="nil"/>
              <w:bottom w:val="single" w:sz="4" w:space="0" w:color="auto"/>
              <w:right w:val="single" w:sz="4" w:space="0" w:color="auto"/>
            </w:tcBorders>
            <w:shd w:val="clear" w:color="FFFFFF" w:fill="FFFFFF"/>
            <w:noWrap/>
            <w:vAlign w:val="bottom"/>
            <w:hideMark/>
          </w:tcPr>
          <w:p w14:paraId="497139E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383285.00</w:t>
            </w:r>
          </w:p>
        </w:tc>
        <w:tc>
          <w:tcPr>
            <w:tcW w:w="646" w:type="pct"/>
            <w:tcBorders>
              <w:top w:val="nil"/>
              <w:left w:val="nil"/>
              <w:bottom w:val="single" w:sz="4" w:space="0" w:color="auto"/>
              <w:right w:val="single" w:sz="4" w:space="0" w:color="auto"/>
            </w:tcBorders>
            <w:shd w:val="clear" w:color="FFFFFF" w:fill="FFFFFF"/>
            <w:noWrap/>
            <w:vAlign w:val="bottom"/>
            <w:hideMark/>
          </w:tcPr>
          <w:p w14:paraId="17C6FCB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316199.00</w:t>
            </w:r>
          </w:p>
        </w:tc>
      </w:tr>
      <w:tr w:rsidR="005B68B4" w:rsidRPr="005B68B4" w14:paraId="44D6BB9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1DB0C74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Cost of Sales</w:t>
            </w:r>
          </w:p>
        </w:tc>
        <w:tc>
          <w:tcPr>
            <w:tcW w:w="646" w:type="pct"/>
            <w:tcBorders>
              <w:top w:val="nil"/>
              <w:left w:val="nil"/>
              <w:bottom w:val="single" w:sz="4" w:space="0" w:color="auto"/>
              <w:right w:val="single" w:sz="4" w:space="0" w:color="auto"/>
            </w:tcBorders>
            <w:shd w:val="clear" w:color="FFFFFF" w:fill="FFFFFF"/>
            <w:noWrap/>
            <w:vAlign w:val="bottom"/>
            <w:hideMark/>
          </w:tcPr>
          <w:p w14:paraId="21D9D96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65863.00</w:t>
            </w:r>
          </w:p>
        </w:tc>
        <w:tc>
          <w:tcPr>
            <w:tcW w:w="646" w:type="pct"/>
            <w:tcBorders>
              <w:top w:val="nil"/>
              <w:left w:val="nil"/>
              <w:bottom w:val="single" w:sz="4" w:space="0" w:color="auto"/>
              <w:right w:val="single" w:sz="4" w:space="0" w:color="auto"/>
            </w:tcBorders>
            <w:shd w:val="clear" w:color="FFFFFF" w:fill="FFFFFF"/>
            <w:noWrap/>
            <w:vAlign w:val="bottom"/>
            <w:hideMark/>
          </w:tcPr>
          <w:p w14:paraId="3D76A38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62650.00</w:t>
            </w:r>
          </w:p>
        </w:tc>
        <w:tc>
          <w:tcPr>
            <w:tcW w:w="646" w:type="pct"/>
            <w:tcBorders>
              <w:top w:val="nil"/>
              <w:left w:val="nil"/>
              <w:bottom w:val="single" w:sz="4" w:space="0" w:color="auto"/>
              <w:right w:val="single" w:sz="4" w:space="0" w:color="auto"/>
            </w:tcBorders>
            <w:shd w:val="clear" w:color="FFFFFF" w:fill="FFFFFF"/>
            <w:noWrap/>
            <w:vAlign w:val="bottom"/>
            <w:hideMark/>
          </w:tcPr>
          <w:p w14:paraId="0B6D559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169148.00</w:t>
            </w:r>
          </w:p>
        </w:tc>
        <w:tc>
          <w:tcPr>
            <w:tcW w:w="646" w:type="pct"/>
            <w:tcBorders>
              <w:top w:val="nil"/>
              <w:left w:val="nil"/>
              <w:bottom w:val="single" w:sz="4" w:space="0" w:color="auto"/>
              <w:right w:val="single" w:sz="4" w:space="0" w:color="auto"/>
            </w:tcBorders>
            <w:shd w:val="clear" w:color="FFFFFF" w:fill="FFFFFF"/>
            <w:noWrap/>
            <w:vAlign w:val="bottom"/>
            <w:hideMark/>
          </w:tcPr>
          <w:p w14:paraId="7C78E42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170782.00</w:t>
            </w:r>
          </w:p>
        </w:tc>
      </w:tr>
      <w:tr w:rsidR="005B68B4" w:rsidRPr="005B68B4" w14:paraId="70CB89D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CE83618"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3704288"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4B55983"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C37C50B"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28EF14A"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r>
      <w:tr w:rsidR="005B68B4" w:rsidRPr="005B68B4" w14:paraId="751E529B"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00"/>
            <w:noWrap/>
            <w:vAlign w:val="bottom"/>
            <w:hideMark/>
          </w:tcPr>
          <w:p w14:paraId="4B749F01"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EFFICIENCY RATIOS:</w:t>
            </w:r>
          </w:p>
        </w:tc>
        <w:tc>
          <w:tcPr>
            <w:tcW w:w="646" w:type="pct"/>
            <w:tcBorders>
              <w:top w:val="nil"/>
              <w:left w:val="nil"/>
              <w:bottom w:val="single" w:sz="4" w:space="0" w:color="auto"/>
              <w:right w:val="single" w:sz="4" w:space="0" w:color="auto"/>
            </w:tcBorders>
            <w:shd w:val="clear" w:color="FFFFFF" w:fill="FFFFFF"/>
            <w:noWrap/>
            <w:vAlign w:val="bottom"/>
            <w:hideMark/>
          </w:tcPr>
          <w:p w14:paraId="5404BA5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546E42D2"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2506659B"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0174B3B2"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55D83F44"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754053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Account Receivable Days</w:t>
            </w:r>
          </w:p>
        </w:tc>
        <w:tc>
          <w:tcPr>
            <w:tcW w:w="646" w:type="pct"/>
            <w:tcBorders>
              <w:top w:val="nil"/>
              <w:left w:val="nil"/>
              <w:bottom w:val="single" w:sz="4" w:space="0" w:color="auto"/>
              <w:right w:val="single" w:sz="4" w:space="0" w:color="auto"/>
            </w:tcBorders>
            <w:shd w:val="clear" w:color="FFFFFF" w:fill="FFFFFF"/>
            <w:noWrap/>
            <w:vAlign w:val="bottom"/>
            <w:hideMark/>
          </w:tcPr>
          <w:p w14:paraId="5D57D1A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270 Days</w:t>
            </w:r>
          </w:p>
        </w:tc>
        <w:tc>
          <w:tcPr>
            <w:tcW w:w="646" w:type="pct"/>
            <w:tcBorders>
              <w:top w:val="nil"/>
              <w:left w:val="nil"/>
              <w:bottom w:val="single" w:sz="4" w:space="0" w:color="auto"/>
              <w:right w:val="single" w:sz="4" w:space="0" w:color="auto"/>
            </w:tcBorders>
            <w:shd w:val="clear" w:color="FFFFFF" w:fill="FFFFFF"/>
            <w:noWrap/>
            <w:vAlign w:val="bottom"/>
            <w:hideMark/>
          </w:tcPr>
          <w:p w14:paraId="0D1233D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258 Days</w:t>
            </w:r>
          </w:p>
        </w:tc>
        <w:tc>
          <w:tcPr>
            <w:tcW w:w="646" w:type="pct"/>
            <w:tcBorders>
              <w:top w:val="nil"/>
              <w:left w:val="nil"/>
              <w:bottom w:val="single" w:sz="4" w:space="0" w:color="auto"/>
              <w:right w:val="single" w:sz="4" w:space="0" w:color="auto"/>
            </w:tcBorders>
            <w:shd w:val="clear" w:color="FFFFFF" w:fill="FFFFFF"/>
            <w:noWrap/>
            <w:vAlign w:val="bottom"/>
            <w:hideMark/>
          </w:tcPr>
          <w:p w14:paraId="0E5B2F2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50 Days</w:t>
            </w:r>
          </w:p>
        </w:tc>
        <w:tc>
          <w:tcPr>
            <w:tcW w:w="646" w:type="pct"/>
            <w:tcBorders>
              <w:top w:val="nil"/>
              <w:left w:val="nil"/>
              <w:bottom w:val="single" w:sz="4" w:space="0" w:color="auto"/>
              <w:right w:val="single" w:sz="4" w:space="0" w:color="auto"/>
            </w:tcBorders>
            <w:shd w:val="clear" w:color="FFFFFF" w:fill="FFFFFF"/>
            <w:noWrap/>
            <w:vAlign w:val="bottom"/>
            <w:hideMark/>
          </w:tcPr>
          <w:p w14:paraId="5B2C843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71 Days</w:t>
            </w:r>
          </w:p>
        </w:tc>
      </w:tr>
      <w:tr w:rsidR="005B68B4" w:rsidRPr="005B68B4" w14:paraId="35005DD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3FFEA0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(Account Receivable/Cost of Sales) x 365</w:t>
            </w:r>
          </w:p>
        </w:tc>
        <w:tc>
          <w:tcPr>
            <w:tcW w:w="646" w:type="pct"/>
            <w:tcBorders>
              <w:top w:val="nil"/>
              <w:left w:val="nil"/>
              <w:bottom w:val="single" w:sz="4" w:space="0" w:color="auto"/>
              <w:right w:val="single" w:sz="4" w:space="0" w:color="auto"/>
            </w:tcBorders>
            <w:shd w:val="clear" w:color="FFFFFF" w:fill="FFFFFF"/>
            <w:noWrap/>
            <w:vAlign w:val="bottom"/>
            <w:hideMark/>
          </w:tcPr>
          <w:p w14:paraId="6BC1A53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EED3D2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E4FBDE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4365FA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6A17545A"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A1BCDBA"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Account Payable Days</w:t>
            </w:r>
          </w:p>
        </w:tc>
        <w:tc>
          <w:tcPr>
            <w:tcW w:w="646" w:type="pct"/>
            <w:tcBorders>
              <w:top w:val="nil"/>
              <w:left w:val="nil"/>
              <w:bottom w:val="single" w:sz="4" w:space="0" w:color="auto"/>
              <w:right w:val="single" w:sz="4" w:space="0" w:color="auto"/>
            </w:tcBorders>
            <w:shd w:val="clear" w:color="FFFFFF" w:fill="FFFFFF"/>
            <w:noWrap/>
            <w:vAlign w:val="bottom"/>
            <w:hideMark/>
          </w:tcPr>
          <w:p w14:paraId="47B0384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100 Days</w:t>
            </w:r>
          </w:p>
        </w:tc>
        <w:tc>
          <w:tcPr>
            <w:tcW w:w="646" w:type="pct"/>
            <w:tcBorders>
              <w:top w:val="nil"/>
              <w:left w:val="nil"/>
              <w:bottom w:val="single" w:sz="4" w:space="0" w:color="auto"/>
              <w:right w:val="single" w:sz="4" w:space="0" w:color="auto"/>
            </w:tcBorders>
            <w:shd w:val="clear" w:color="FFFFFF" w:fill="FFFFFF"/>
            <w:noWrap/>
            <w:vAlign w:val="bottom"/>
            <w:hideMark/>
          </w:tcPr>
          <w:p w14:paraId="4E6AEDB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111 Days</w:t>
            </w:r>
          </w:p>
        </w:tc>
        <w:tc>
          <w:tcPr>
            <w:tcW w:w="646" w:type="pct"/>
            <w:tcBorders>
              <w:top w:val="nil"/>
              <w:left w:val="nil"/>
              <w:bottom w:val="single" w:sz="4" w:space="0" w:color="auto"/>
              <w:right w:val="single" w:sz="4" w:space="0" w:color="auto"/>
            </w:tcBorders>
            <w:shd w:val="clear" w:color="FFFFFF" w:fill="FFFFFF"/>
            <w:noWrap/>
            <w:vAlign w:val="bottom"/>
            <w:hideMark/>
          </w:tcPr>
          <w:p w14:paraId="772EE9C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107 Days</w:t>
            </w:r>
          </w:p>
        </w:tc>
        <w:tc>
          <w:tcPr>
            <w:tcW w:w="646" w:type="pct"/>
            <w:tcBorders>
              <w:top w:val="nil"/>
              <w:left w:val="nil"/>
              <w:bottom w:val="single" w:sz="4" w:space="0" w:color="auto"/>
              <w:right w:val="single" w:sz="4" w:space="0" w:color="auto"/>
            </w:tcBorders>
            <w:shd w:val="clear" w:color="FFFFFF" w:fill="FFFFFF"/>
            <w:noWrap/>
            <w:vAlign w:val="bottom"/>
            <w:hideMark/>
          </w:tcPr>
          <w:p w14:paraId="5DCBAF7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161 Days</w:t>
            </w:r>
          </w:p>
        </w:tc>
      </w:tr>
      <w:tr w:rsidR="005B68B4" w:rsidRPr="005B68B4" w14:paraId="68E841B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1C0BDEA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(Account Payable Days/Cost of Sales) x 365</w:t>
            </w:r>
          </w:p>
        </w:tc>
        <w:tc>
          <w:tcPr>
            <w:tcW w:w="646" w:type="pct"/>
            <w:tcBorders>
              <w:top w:val="nil"/>
              <w:left w:val="nil"/>
              <w:bottom w:val="single" w:sz="4" w:space="0" w:color="auto"/>
              <w:right w:val="single" w:sz="4" w:space="0" w:color="auto"/>
            </w:tcBorders>
            <w:shd w:val="clear" w:color="FFFFFF" w:fill="FFFFFF"/>
            <w:noWrap/>
            <w:vAlign w:val="bottom"/>
            <w:hideMark/>
          </w:tcPr>
          <w:p w14:paraId="0E69A45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5D2076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573C36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51D1CD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2D9D3C9A"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12CF81F"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xml:space="preserve">Working Capital Cycle </w:t>
            </w:r>
          </w:p>
        </w:tc>
        <w:tc>
          <w:tcPr>
            <w:tcW w:w="646" w:type="pct"/>
            <w:tcBorders>
              <w:top w:val="nil"/>
              <w:left w:val="nil"/>
              <w:bottom w:val="single" w:sz="4" w:space="0" w:color="auto"/>
              <w:right w:val="single" w:sz="4" w:space="0" w:color="auto"/>
            </w:tcBorders>
            <w:shd w:val="clear" w:color="FFFFFF" w:fill="FFFFFF"/>
            <w:noWrap/>
            <w:vAlign w:val="bottom"/>
            <w:hideMark/>
          </w:tcPr>
          <w:p w14:paraId="2537886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170 Days</w:t>
            </w:r>
          </w:p>
        </w:tc>
        <w:tc>
          <w:tcPr>
            <w:tcW w:w="646" w:type="pct"/>
            <w:tcBorders>
              <w:top w:val="nil"/>
              <w:left w:val="nil"/>
              <w:bottom w:val="single" w:sz="4" w:space="0" w:color="auto"/>
              <w:right w:val="single" w:sz="4" w:space="0" w:color="auto"/>
            </w:tcBorders>
            <w:shd w:val="clear" w:color="FFFFFF" w:fill="FFFFFF"/>
            <w:noWrap/>
            <w:vAlign w:val="bottom"/>
            <w:hideMark/>
          </w:tcPr>
          <w:p w14:paraId="5E792B7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147 Days</w:t>
            </w:r>
          </w:p>
        </w:tc>
        <w:tc>
          <w:tcPr>
            <w:tcW w:w="646" w:type="pct"/>
            <w:tcBorders>
              <w:top w:val="nil"/>
              <w:left w:val="nil"/>
              <w:bottom w:val="single" w:sz="4" w:space="0" w:color="auto"/>
              <w:right w:val="single" w:sz="4" w:space="0" w:color="auto"/>
            </w:tcBorders>
            <w:shd w:val="clear" w:color="FFFFFF" w:fill="FFFFFF"/>
            <w:noWrap/>
            <w:vAlign w:val="bottom"/>
            <w:hideMark/>
          </w:tcPr>
          <w:p w14:paraId="69854FB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-56 Days</w:t>
            </w:r>
          </w:p>
        </w:tc>
        <w:tc>
          <w:tcPr>
            <w:tcW w:w="646" w:type="pct"/>
            <w:tcBorders>
              <w:top w:val="nil"/>
              <w:left w:val="nil"/>
              <w:bottom w:val="single" w:sz="4" w:space="0" w:color="auto"/>
              <w:right w:val="single" w:sz="4" w:space="0" w:color="auto"/>
            </w:tcBorders>
            <w:shd w:val="clear" w:color="FFFFFF" w:fill="FFFFFF"/>
            <w:noWrap/>
            <w:vAlign w:val="bottom"/>
            <w:hideMark/>
          </w:tcPr>
          <w:p w14:paraId="3A50175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-90 Days</w:t>
            </w:r>
          </w:p>
        </w:tc>
      </w:tr>
      <w:tr w:rsidR="005B68B4" w:rsidRPr="005B68B4" w14:paraId="2EFDCD4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042AB66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Stock Period + Credit Period - Payable Period</w:t>
            </w:r>
          </w:p>
        </w:tc>
        <w:tc>
          <w:tcPr>
            <w:tcW w:w="646" w:type="pct"/>
            <w:tcBorders>
              <w:top w:val="nil"/>
              <w:left w:val="nil"/>
              <w:bottom w:val="single" w:sz="4" w:space="0" w:color="auto"/>
              <w:right w:val="single" w:sz="4" w:space="0" w:color="auto"/>
            </w:tcBorders>
            <w:shd w:val="clear" w:color="FFFFFF" w:fill="FFFFFF"/>
            <w:noWrap/>
            <w:vAlign w:val="bottom"/>
            <w:hideMark/>
          </w:tcPr>
          <w:p w14:paraId="75A4CB8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E20339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468CB6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34FFF3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7D86C36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9B9B5E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485235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2AA473B"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97B6ED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F58D241"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 </w:t>
            </w:r>
          </w:p>
        </w:tc>
      </w:tr>
      <w:tr w:rsidR="005B68B4" w:rsidRPr="005B68B4" w14:paraId="51912601"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60344A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INVESTMENT RATIOS Input:</w:t>
            </w:r>
          </w:p>
        </w:tc>
        <w:tc>
          <w:tcPr>
            <w:tcW w:w="646" w:type="pct"/>
            <w:tcBorders>
              <w:top w:val="nil"/>
              <w:left w:val="nil"/>
              <w:bottom w:val="single" w:sz="4" w:space="0" w:color="auto"/>
              <w:right w:val="single" w:sz="4" w:space="0" w:color="auto"/>
            </w:tcBorders>
            <w:shd w:val="clear" w:color="FFFFFF" w:fill="FFFFFF"/>
            <w:noWrap/>
            <w:vAlign w:val="bottom"/>
            <w:hideMark/>
          </w:tcPr>
          <w:p w14:paraId="366E56DF"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4207816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34FD1953"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6CC1601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3BB528E3"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486BDCB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Earnings (Net Income)</w:t>
            </w:r>
          </w:p>
        </w:tc>
        <w:tc>
          <w:tcPr>
            <w:tcW w:w="646" w:type="pct"/>
            <w:tcBorders>
              <w:top w:val="nil"/>
              <w:left w:val="nil"/>
              <w:bottom w:val="single" w:sz="4" w:space="0" w:color="auto"/>
              <w:right w:val="single" w:sz="4" w:space="0" w:color="auto"/>
            </w:tcBorders>
            <w:shd w:val="clear" w:color="FFFFFF" w:fill="FFFFFF"/>
            <w:noWrap/>
            <w:vAlign w:val="bottom"/>
            <w:hideMark/>
          </w:tcPr>
          <w:p w14:paraId="6D00197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72361.00</w:t>
            </w:r>
          </w:p>
        </w:tc>
        <w:tc>
          <w:tcPr>
            <w:tcW w:w="646" w:type="pct"/>
            <w:tcBorders>
              <w:top w:val="nil"/>
              <w:left w:val="nil"/>
              <w:bottom w:val="single" w:sz="4" w:space="0" w:color="auto"/>
              <w:right w:val="single" w:sz="4" w:space="0" w:color="auto"/>
            </w:tcBorders>
            <w:shd w:val="clear" w:color="FFFFFF" w:fill="FFFFFF"/>
            <w:noWrap/>
            <w:vAlign w:val="bottom"/>
            <w:hideMark/>
          </w:tcPr>
          <w:p w14:paraId="37DE167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72738.00</w:t>
            </w:r>
          </w:p>
        </w:tc>
        <w:tc>
          <w:tcPr>
            <w:tcW w:w="646" w:type="pct"/>
            <w:tcBorders>
              <w:top w:val="nil"/>
              <w:left w:val="nil"/>
              <w:bottom w:val="single" w:sz="4" w:space="0" w:color="auto"/>
              <w:right w:val="single" w:sz="4" w:space="0" w:color="auto"/>
            </w:tcBorders>
            <w:shd w:val="clear" w:color="FFFFFF" w:fill="FFFFFF"/>
            <w:noWrap/>
            <w:vAlign w:val="bottom"/>
            <w:hideMark/>
          </w:tcPr>
          <w:p w14:paraId="5E11AA0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96995.00</w:t>
            </w:r>
          </w:p>
        </w:tc>
        <w:tc>
          <w:tcPr>
            <w:tcW w:w="646" w:type="pct"/>
            <w:tcBorders>
              <w:top w:val="nil"/>
              <w:left w:val="nil"/>
              <w:bottom w:val="single" w:sz="4" w:space="0" w:color="auto"/>
              <w:right w:val="single" w:sz="4" w:space="0" w:color="auto"/>
            </w:tcBorders>
            <w:shd w:val="clear" w:color="FFFFFF" w:fill="FFFFFF"/>
            <w:noWrap/>
            <w:vAlign w:val="bottom"/>
            <w:hideMark/>
          </w:tcPr>
          <w:p w14:paraId="66B4A89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99803.00</w:t>
            </w:r>
          </w:p>
        </w:tc>
      </w:tr>
      <w:tr w:rsidR="005B68B4" w:rsidRPr="005B68B4" w14:paraId="4AE7423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FEE597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Total Shares Outstanding</w:t>
            </w:r>
          </w:p>
        </w:tc>
        <w:tc>
          <w:tcPr>
            <w:tcW w:w="646" w:type="pct"/>
            <w:tcBorders>
              <w:top w:val="nil"/>
              <w:left w:val="nil"/>
              <w:bottom w:val="single" w:sz="4" w:space="0" w:color="auto"/>
              <w:right w:val="single" w:sz="4" w:space="0" w:color="auto"/>
            </w:tcBorders>
            <w:shd w:val="clear" w:color="FFFFFF" w:fill="FFFFFF"/>
            <w:noWrap/>
            <w:vAlign w:val="bottom"/>
            <w:hideMark/>
          </w:tcPr>
          <w:p w14:paraId="65EC061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1368.00</w:t>
            </w:r>
          </w:p>
        </w:tc>
        <w:tc>
          <w:tcPr>
            <w:tcW w:w="646" w:type="pct"/>
            <w:tcBorders>
              <w:top w:val="nil"/>
              <w:left w:val="nil"/>
              <w:bottom w:val="single" w:sz="4" w:space="0" w:color="auto"/>
              <w:right w:val="single" w:sz="4" w:space="0" w:color="auto"/>
            </w:tcBorders>
            <w:shd w:val="clear" w:color="FFFFFF" w:fill="FFFFFF"/>
            <w:noWrap/>
            <w:vAlign w:val="bottom"/>
            <w:hideMark/>
          </w:tcPr>
          <w:p w14:paraId="2AB3BAD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1368.00</w:t>
            </w:r>
          </w:p>
        </w:tc>
        <w:tc>
          <w:tcPr>
            <w:tcW w:w="646" w:type="pct"/>
            <w:tcBorders>
              <w:top w:val="nil"/>
              <w:left w:val="nil"/>
              <w:bottom w:val="single" w:sz="4" w:space="0" w:color="auto"/>
              <w:right w:val="single" w:sz="4" w:space="0" w:color="auto"/>
            </w:tcBorders>
            <w:shd w:val="clear" w:color="FFFFFF" w:fill="FFFFFF"/>
            <w:noWrap/>
            <w:vAlign w:val="bottom"/>
            <w:hideMark/>
          </w:tcPr>
          <w:p w14:paraId="4C12987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2254.00</w:t>
            </w:r>
          </w:p>
        </w:tc>
        <w:tc>
          <w:tcPr>
            <w:tcW w:w="646" w:type="pct"/>
            <w:tcBorders>
              <w:top w:val="nil"/>
              <w:left w:val="nil"/>
              <w:bottom w:val="single" w:sz="4" w:space="0" w:color="auto"/>
              <w:right w:val="single" w:sz="4" w:space="0" w:color="auto"/>
            </w:tcBorders>
            <w:shd w:val="clear" w:color="FFFFFF" w:fill="FFFFFF"/>
            <w:noWrap/>
            <w:vAlign w:val="bottom"/>
            <w:hideMark/>
          </w:tcPr>
          <w:p w14:paraId="006F5A4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14563.00</w:t>
            </w:r>
          </w:p>
        </w:tc>
      </w:tr>
      <w:tr w:rsidR="005B68B4" w:rsidRPr="005B68B4" w14:paraId="5C7F2CD3"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4E40B7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Current market price</w:t>
            </w:r>
          </w:p>
        </w:tc>
        <w:tc>
          <w:tcPr>
            <w:tcW w:w="646" w:type="pct"/>
            <w:tcBorders>
              <w:top w:val="nil"/>
              <w:left w:val="nil"/>
              <w:bottom w:val="single" w:sz="4" w:space="0" w:color="auto"/>
              <w:right w:val="single" w:sz="4" w:space="0" w:color="auto"/>
            </w:tcBorders>
            <w:shd w:val="clear" w:color="FFFFFF" w:fill="FFFFFF"/>
            <w:noWrap/>
            <w:vAlign w:val="bottom"/>
            <w:hideMark/>
          </w:tcPr>
          <w:p w14:paraId="5B982D6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1102.00</w:t>
            </w:r>
          </w:p>
        </w:tc>
        <w:tc>
          <w:tcPr>
            <w:tcW w:w="646" w:type="pct"/>
            <w:tcBorders>
              <w:top w:val="nil"/>
              <w:left w:val="nil"/>
              <w:bottom w:val="single" w:sz="4" w:space="0" w:color="auto"/>
              <w:right w:val="single" w:sz="4" w:space="0" w:color="auto"/>
            </w:tcBorders>
            <w:shd w:val="clear" w:color="FFFFFF" w:fill="FFFFFF"/>
            <w:noWrap/>
            <w:vAlign w:val="bottom"/>
            <w:hideMark/>
          </w:tcPr>
          <w:p w14:paraId="7813384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1010.00</w:t>
            </w:r>
          </w:p>
        </w:tc>
        <w:tc>
          <w:tcPr>
            <w:tcW w:w="646" w:type="pct"/>
            <w:tcBorders>
              <w:top w:val="nil"/>
              <w:left w:val="nil"/>
              <w:bottom w:val="single" w:sz="4" w:space="0" w:color="auto"/>
              <w:right w:val="single" w:sz="4" w:space="0" w:color="auto"/>
            </w:tcBorders>
            <w:shd w:val="clear" w:color="FFFFFF" w:fill="FFFFFF"/>
            <w:noWrap/>
            <w:vAlign w:val="bottom"/>
            <w:hideMark/>
          </w:tcPr>
          <w:p w14:paraId="14624CB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1504.00</w:t>
            </w:r>
          </w:p>
        </w:tc>
        <w:tc>
          <w:tcPr>
            <w:tcW w:w="646" w:type="pct"/>
            <w:tcBorders>
              <w:top w:val="nil"/>
              <w:left w:val="nil"/>
              <w:bottom w:val="single" w:sz="4" w:space="0" w:color="auto"/>
              <w:right w:val="single" w:sz="4" w:space="0" w:color="auto"/>
            </w:tcBorders>
            <w:shd w:val="clear" w:color="FFFFFF" w:fill="FFFFFF"/>
            <w:noWrap/>
            <w:vAlign w:val="bottom"/>
            <w:hideMark/>
          </w:tcPr>
          <w:p w14:paraId="1A26C5C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1201.00</w:t>
            </w:r>
          </w:p>
        </w:tc>
      </w:tr>
      <w:tr w:rsidR="005B68B4" w:rsidRPr="005B68B4" w14:paraId="1713187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15E7955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Dividends per share</w:t>
            </w:r>
          </w:p>
        </w:tc>
        <w:tc>
          <w:tcPr>
            <w:tcW w:w="646" w:type="pct"/>
            <w:tcBorders>
              <w:top w:val="nil"/>
              <w:left w:val="nil"/>
              <w:bottom w:val="single" w:sz="4" w:space="0" w:color="auto"/>
              <w:right w:val="single" w:sz="4" w:space="0" w:color="auto"/>
            </w:tcBorders>
            <w:shd w:val="clear" w:color="FFFFFF" w:fill="FFFFFF"/>
            <w:noWrap/>
            <w:vAlign w:val="bottom"/>
            <w:hideMark/>
          </w:tcPr>
          <w:p w14:paraId="7057DEC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10.46</w:t>
            </w:r>
          </w:p>
        </w:tc>
        <w:tc>
          <w:tcPr>
            <w:tcW w:w="646" w:type="pct"/>
            <w:tcBorders>
              <w:top w:val="nil"/>
              <w:left w:val="nil"/>
              <w:bottom w:val="single" w:sz="4" w:space="0" w:color="auto"/>
              <w:right w:val="single" w:sz="4" w:space="0" w:color="auto"/>
            </w:tcBorders>
            <w:shd w:val="clear" w:color="FFFFFF" w:fill="FFFFFF"/>
            <w:noWrap/>
            <w:vAlign w:val="bottom"/>
            <w:hideMark/>
          </w:tcPr>
          <w:p w14:paraId="760B35E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4.98</w:t>
            </w:r>
          </w:p>
        </w:tc>
        <w:tc>
          <w:tcPr>
            <w:tcW w:w="646" w:type="pct"/>
            <w:tcBorders>
              <w:top w:val="nil"/>
              <w:left w:val="nil"/>
              <w:bottom w:val="single" w:sz="4" w:space="0" w:color="auto"/>
              <w:right w:val="single" w:sz="4" w:space="0" w:color="auto"/>
            </w:tcBorders>
            <w:shd w:val="clear" w:color="FFFFFF" w:fill="FFFFFF"/>
            <w:noWrap/>
            <w:vAlign w:val="bottom"/>
            <w:hideMark/>
          </w:tcPr>
          <w:p w14:paraId="27202AF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13.45</w:t>
            </w:r>
          </w:p>
        </w:tc>
        <w:tc>
          <w:tcPr>
            <w:tcW w:w="646" w:type="pct"/>
            <w:tcBorders>
              <w:top w:val="nil"/>
              <w:left w:val="nil"/>
              <w:bottom w:val="single" w:sz="4" w:space="0" w:color="auto"/>
              <w:right w:val="single" w:sz="4" w:space="0" w:color="auto"/>
            </w:tcBorders>
            <w:shd w:val="clear" w:color="FFFFFF" w:fill="FFFFFF"/>
            <w:noWrap/>
            <w:vAlign w:val="bottom"/>
            <w:hideMark/>
          </w:tcPr>
          <w:p w14:paraId="181C772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16.35</w:t>
            </w:r>
          </w:p>
        </w:tc>
      </w:tr>
      <w:tr w:rsidR="005B68B4" w:rsidRPr="005B68B4" w14:paraId="48B1C123"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29D464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69EA1A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EAB9D6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8C1E19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0F7422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0760F3EF"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00"/>
            <w:noWrap/>
            <w:vAlign w:val="bottom"/>
            <w:hideMark/>
          </w:tcPr>
          <w:p w14:paraId="664B35E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INVESTMENT RATIOS:</w:t>
            </w:r>
          </w:p>
        </w:tc>
        <w:tc>
          <w:tcPr>
            <w:tcW w:w="646" w:type="pct"/>
            <w:tcBorders>
              <w:top w:val="nil"/>
              <w:left w:val="nil"/>
              <w:bottom w:val="single" w:sz="4" w:space="0" w:color="auto"/>
              <w:right w:val="single" w:sz="4" w:space="0" w:color="auto"/>
            </w:tcBorders>
            <w:shd w:val="clear" w:color="FFFFFF" w:fill="FFFFFF"/>
            <w:noWrap/>
            <w:vAlign w:val="bottom"/>
            <w:hideMark/>
          </w:tcPr>
          <w:p w14:paraId="6E60B99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0FBD80D3"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7403C889"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50311E37"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71ED5D5D"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D7AC409"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Earnings per share</w:t>
            </w:r>
          </w:p>
        </w:tc>
        <w:tc>
          <w:tcPr>
            <w:tcW w:w="646" w:type="pct"/>
            <w:tcBorders>
              <w:top w:val="nil"/>
              <w:left w:val="nil"/>
              <w:bottom w:val="single" w:sz="4" w:space="0" w:color="auto"/>
              <w:right w:val="single" w:sz="4" w:space="0" w:color="auto"/>
            </w:tcBorders>
            <w:shd w:val="clear" w:color="FFFFFF" w:fill="FFFFFF"/>
            <w:noWrap/>
            <w:vAlign w:val="bottom"/>
            <w:hideMark/>
          </w:tcPr>
          <w:p w14:paraId="59BF473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52.90</w:t>
            </w:r>
          </w:p>
        </w:tc>
        <w:tc>
          <w:tcPr>
            <w:tcW w:w="646" w:type="pct"/>
            <w:tcBorders>
              <w:top w:val="nil"/>
              <w:left w:val="nil"/>
              <w:bottom w:val="single" w:sz="4" w:space="0" w:color="auto"/>
              <w:right w:val="single" w:sz="4" w:space="0" w:color="auto"/>
            </w:tcBorders>
            <w:shd w:val="clear" w:color="FFFFFF" w:fill="FFFFFF"/>
            <w:noWrap/>
            <w:vAlign w:val="bottom"/>
            <w:hideMark/>
          </w:tcPr>
          <w:p w14:paraId="1A1AE5F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53.17</w:t>
            </w:r>
          </w:p>
        </w:tc>
        <w:tc>
          <w:tcPr>
            <w:tcW w:w="646" w:type="pct"/>
            <w:tcBorders>
              <w:top w:val="nil"/>
              <w:left w:val="nil"/>
              <w:bottom w:val="single" w:sz="4" w:space="0" w:color="auto"/>
              <w:right w:val="single" w:sz="4" w:space="0" w:color="auto"/>
            </w:tcBorders>
            <w:shd w:val="clear" w:color="FFFFFF" w:fill="FFFFFF"/>
            <w:noWrap/>
            <w:vAlign w:val="bottom"/>
            <w:hideMark/>
          </w:tcPr>
          <w:p w14:paraId="14F3F87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43.03</w:t>
            </w:r>
          </w:p>
        </w:tc>
        <w:tc>
          <w:tcPr>
            <w:tcW w:w="646" w:type="pct"/>
            <w:tcBorders>
              <w:top w:val="nil"/>
              <w:left w:val="nil"/>
              <w:bottom w:val="single" w:sz="4" w:space="0" w:color="auto"/>
              <w:right w:val="single" w:sz="4" w:space="0" w:color="auto"/>
            </w:tcBorders>
            <w:shd w:val="clear" w:color="FFFFFF" w:fill="FFFFFF"/>
            <w:noWrap/>
            <w:vAlign w:val="bottom"/>
            <w:hideMark/>
          </w:tcPr>
          <w:p w14:paraId="6E8EA8C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6.85</w:t>
            </w:r>
          </w:p>
        </w:tc>
      </w:tr>
      <w:tr w:rsidR="005B68B4" w:rsidRPr="005B68B4" w14:paraId="2B3926F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A23A3D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Earnings/Tot.SharesOutstanding</w:t>
            </w:r>
          </w:p>
        </w:tc>
        <w:tc>
          <w:tcPr>
            <w:tcW w:w="646" w:type="pct"/>
            <w:tcBorders>
              <w:top w:val="nil"/>
              <w:left w:val="nil"/>
              <w:bottom w:val="single" w:sz="4" w:space="0" w:color="auto"/>
              <w:right w:val="single" w:sz="4" w:space="0" w:color="auto"/>
            </w:tcBorders>
            <w:shd w:val="clear" w:color="FFFFFF" w:fill="FFFFFF"/>
            <w:noWrap/>
            <w:vAlign w:val="bottom"/>
            <w:hideMark/>
          </w:tcPr>
          <w:p w14:paraId="0451F82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7A8CF3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222914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32B326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75FEE60E"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4A99574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Dividend Per Share</w:t>
            </w:r>
          </w:p>
        </w:tc>
        <w:tc>
          <w:tcPr>
            <w:tcW w:w="646" w:type="pct"/>
            <w:tcBorders>
              <w:top w:val="nil"/>
              <w:left w:val="nil"/>
              <w:bottom w:val="single" w:sz="4" w:space="0" w:color="auto"/>
              <w:right w:val="single" w:sz="4" w:space="0" w:color="auto"/>
            </w:tcBorders>
            <w:shd w:val="clear" w:color="FFFFFF" w:fill="FFFFFF"/>
            <w:noWrap/>
            <w:vAlign w:val="bottom"/>
            <w:hideMark/>
          </w:tcPr>
          <w:p w14:paraId="77B6FB4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0.01</w:t>
            </w:r>
          </w:p>
        </w:tc>
        <w:tc>
          <w:tcPr>
            <w:tcW w:w="646" w:type="pct"/>
            <w:tcBorders>
              <w:top w:val="nil"/>
              <w:left w:val="nil"/>
              <w:bottom w:val="single" w:sz="4" w:space="0" w:color="auto"/>
              <w:right w:val="single" w:sz="4" w:space="0" w:color="auto"/>
            </w:tcBorders>
            <w:shd w:val="clear" w:color="FFFFFF" w:fill="FFFFFF"/>
            <w:noWrap/>
            <w:vAlign w:val="bottom"/>
            <w:hideMark/>
          </w:tcPr>
          <w:p w14:paraId="41D3295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0.00</w:t>
            </w:r>
          </w:p>
        </w:tc>
        <w:tc>
          <w:tcPr>
            <w:tcW w:w="646" w:type="pct"/>
            <w:tcBorders>
              <w:top w:val="nil"/>
              <w:left w:val="nil"/>
              <w:bottom w:val="single" w:sz="4" w:space="0" w:color="auto"/>
              <w:right w:val="single" w:sz="4" w:space="0" w:color="auto"/>
            </w:tcBorders>
            <w:shd w:val="clear" w:color="FFFFFF" w:fill="FFFFFF"/>
            <w:noWrap/>
            <w:vAlign w:val="bottom"/>
            <w:hideMark/>
          </w:tcPr>
          <w:p w14:paraId="5CE4BD6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0.01</w:t>
            </w:r>
          </w:p>
        </w:tc>
        <w:tc>
          <w:tcPr>
            <w:tcW w:w="646" w:type="pct"/>
            <w:tcBorders>
              <w:top w:val="nil"/>
              <w:left w:val="nil"/>
              <w:bottom w:val="single" w:sz="4" w:space="0" w:color="auto"/>
              <w:right w:val="single" w:sz="4" w:space="0" w:color="auto"/>
            </w:tcBorders>
            <w:shd w:val="clear" w:color="FFFFFF" w:fill="FFFFFF"/>
            <w:noWrap/>
            <w:vAlign w:val="bottom"/>
            <w:hideMark/>
          </w:tcPr>
          <w:p w14:paraId="4E42DC0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0.01</w:t>
            </w:r>
          </w:p>
        </w:tc>
      </w:tr>
      <w:tr w:rsidR="005B68B4" w:rsidRPr="005B68B4" w14:paraId="0C00CCA9"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4ECCA32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DPS = Dividend / Number of shares</w:t>
            </w:r>
          </w:p>
        </w:tc>
        <w:tc>
          <w:tcPr>
            <w:tcW w:w="646" w:type="pct"/>
            <w:tcBorders>
              <w:top w:val="nil"/>
              <w:left w:val="nil"/>
              <w:bottom w:val="single" w:sz="4" w:space="0" w:color="auto"/>
              <w:right w:val="single" w:sz="4" w:space="0" w:color="auto"/>
            </w:tcBorders>
            <w:shd w:val="clear" w:color="FFFFFF" w:fill="FFFFFF"/>
            <w:noWrap/>
            <w:vAlign w:val="bottom"/>
            <w:hideMark/>
          </w:tcPr>
          <w:p w14:paraId="1B9C7AA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D1AC7F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77714E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E6962D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22DEA699"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15B835FB"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Price-to-Earnings Ratio</w:t>
            </w:r>
          </w:p>
        </w:tc>
        <w:tc>
          <w:tcPr>
            <w:tcW w:w="646" w:type="pct"/>
            <w:tcBorders>
              <w:top w:val="nil"/>
              <w:left w:val="nil"/>
              <w:bottom w:val="single" w:sz="4" w:space="0" w:color="auto"/>
              <w:right w:val="single" w:sz="4" w:space="0" w:color="auto"/>
            </w:tcBorders>
            <w:shd w:val="clear" w:color="FFFFFF" w:fill="FFFFFF"/>
            <w:noWrap/>
            <w:vAlign w:val="bottom"/>
            <w:hideMark/>
          </w:tcPr>
          <w:p w14:paraId="56FB95B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20.83</w:t>
            </w:r>
          </w:p>
        </w:tc>
        <w:tc>
          <w:tcPr>
            <w:tcW w:w="646" w:type="pct"/>
            <w:tcBorders>
              <w:top w:val="nil"/>
              <w:left w:val="nil"/>
              <w:bottom w:val="single" w:sz="4" w:space="0" w:color="auto"/>
              <w:right w:val="single" w:sz="4" w:space="0" w:color="auto"/>
            </w:tcBorders>
            <w:shd w:val="clear" w:color="FFFFFF" w:fill="FFFFFF"/>
            <w:noWrap/>
            <w:vAlign w:val="bottom"/>
            <w:hideMark/>
          </w:tcPr>
          <w:p w14:paraId="0CAB0B1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19.00</w:t>
            </w:r>
          </w:p>
        </w:tc>
        <w:tc>
          <w:tcPr>
            <w:tcW w:w="646" w:type="pct"/>
            <w:tcBorders>
              <w:top w:val="nil"/>
              <w:left w:val="nil"/>
              <w:bottom w:val="single" w:sz="4" w:space="0" w:color="auto"/>
              <w:right w:val="single" w:sz="4" w:space="0" w:color="auto"/>
            </w:tcBorders>
            <w:shd w:val="clear" w:color="FFFFFF" w:fill="FFFFFF"/>
            <w:noWrap/>
            <w:vAlign w:val="bottom"/>
            <w:hideMark/>
          </w:tcPr>
          <w:p w14:paraId="18D505A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34.95</w:t>
            </w:r>
          </w:p>
        </w:tc>
        <w:tc>
          <w:tcPr>
            <w:tcW w:w="646" w:type="pct"/>
            <w:tcBorders>
              <w:top w:val="nil"/>
              <w:left w:val="nil"/>
              <w:bottom w:val="single" w:sz="4" w:space="0" w:color="auto"/>
              <w:right w:val="single" w:sz="4" w:space="0" w:color="auto"/>
            </w:tcBorders>
            <w:shd w:val="clear" w:color="FFFFFF" w:fill="FFFFFF"/>
            <w:noWrap/>
            <w:vAlign w:val="bottom"/>
            <w:hideMark/>
          </w:tcPr>
          <w:p w14:paraId="3F4706D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175.25</w:t>
            </w:r>
          </w:p>
        </w:tc>
      </w:tr>
      <w:tr w:rsidR="005B68B4" w:rsidRPr="005B68B4" w14:paraId="65423A7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2AA076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Share price / earnings per share</w:t>
            </w:r>
          </w:p>
        </w:tc>
        <w:tc>
          <w:tcPr>
            <w:tcW w:w="646" w:type="pct"/>
            <w:tcBorders>
              <w:top w:val="nil"/>
              <w:left w:val="nil"/>
              <w:bottom w:val="single" w:sz="4" w:space="0" w:color="auto"/>
              <w:right w:val="single" w:sz="4" w:space="0" w:color="auto"/>
            </w:tcBorders>
            <w:shd w:val="clear" w:color="FFFFFF" w:fill="FFFFFF"/>
            <w:noWrap/>
            <w:vAlign w:val="bottom"/>
            <w:hideMark/>
          </w:tcPr>
          <w:p w14:paraId="5FEB1A1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954C11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38170C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7D0EDD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078F09A2"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8CA82E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C0CF2A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7C5812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5EF88D8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05993F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0ED09BA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15715297"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Input data for Leverage Ratios:</w:t>
            </w:r>
          </w:p>
        </w:tc>
        <w:tc>
          <w:tcPr>
            <w:tcW w:w="646" w:type="pct"/>
            <w:tcBorders>
              <w:top w:val="nil"/>
              <w:left w:val="nil"/>
              <w:bottom w:val="single" w:sz="4" w:space="0" w:color="auto"/>
              <w:right w:val="single" w:sz="4" w:space="0" w:color="auto"/>
            </w:tcBorders>
            <w:shd w:val="clear" w:color="FFFFFF" w:fill="FFFFFF"/>
            <w:noWrap/>
            <w:vAlign w:val="bottom"/>
            <w:hideMark/>
          </w:tcPr>
          <w:p w14:paraId="377A1854"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620422E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53BC9625"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04D8DE3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69B41B8A"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3EF07D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lastRenderedPageBreak/>
              <w:t xml:space="preserve">Total Debt </w:t>
            </w:r>
          </w:p>
        </w:tc>
        <w:tc>
          <w:tcPr>
            <w:tcW w:w="646" w:type="pct"/>
            <w:tcBorders>
              <w:top w:val="nil"/>
              <w:left w:val="nil"/>
              <w:bottom w:val="single" w:sz="4" w:space="0" w:color="auto"/>
              <w:right w:val="single" w:sz="4" w:space="0" w:color="auto"/>
            </w:tcBorders>
            <w:shd w:val="clear" w:color="FFFFFF" w:fill="FFFFFF"/>
            <w:noWrap/>
            <w:vAlign w:val="bottom"/>
            <w:hideMark/>
          </w:tcPr>
          <w:p w14:paraId="340C9E3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148147.00</w:t>
            </w:r>
          </w:p>
        </w:tc>
        <w:tc>
          <w:tcPr>
            <w:tcW w:w="646" w:type="pct"/>
            <w:tcBorders>
              <w:top w:val="nil"/>
              <w:left w:val="nil"/>
              <w:bottom w:val="single" w:sz="4" w:space="0" w:color="auto"/>
              <w:right w:val="single" w:sz="4" w:space="0" w:color="auto"/>
            </w:tcBorders>
            <w:shd w:val="clear" w:color="FFFFFF" w:fill="FFFFFF"/>
            <w:noWrap/>
            <w:vAlign w:val="bottom"/>
            <w:hideMark/>
          </w:tcPr>
          <w:p w14:paraId="631E9F6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148815.00</w:t>
            </w:r>
          </w:p>
        </w:tc>
        <w:tc>
          <w:tcPr>
            <w:tcW w:w="646" w:type="pct"/>
            <w:tcBorders>
              <w:top w:val="nil"/>
              <w:left w:val="nil"/>
              <w:bottom w:val="single" w:sz="4" w:space="0" w:color="auto"/>
              <w:right w:val="single" w:sz="4" w:space="0" w:color="auto"/>
            </w:tcBorders>
            <w:shd w:val="clear" w:color="FFFFFF" w:fill="FFFFFF"/>
            <w:noWrap/>
            <w:vAlign w:val="bottom"/>
            <w:hideMark/>
          </w:tcPr>
          <w:p w14:paraId="28D5790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95281.00</w:t>
            </w:r>
          </w:p>
        </w:tc>
        <w:tc>
          <w:tcPr>
            <w:tcW w:w="646" w:type="pct"/>
            <w:tcBorders>
              <w:top w:val="nil"/>
              <w:left w:val="nil"/>
              <w:bottom w:val="single" w:sz="4" w:space="0" w:color="auto"/>
              <w:right w:val="single" w:sz="4" w:space="0" w:color="auto"/>
            </w:tcBorders>
            <w:shd w:val="clear" w:color="FFFFFF" w:fill="FFFFFF"/>
            <w:noWrap/>
            <w:vAlign w:val="bottom"/>
            <w:hideMark/>
          </w:tcPr>
          <w:p w14:paraId="2090AFC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98959.00</w:t>
            </w:r>
          </w:p>
        </w:tc>
      </w:tr>
      <w:tr w:rsidR="005B68B4" w:rsidRPr="005B68B4" w14:paraId="76E24932"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D916A7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Total Equity</w:t>
            </w:r>
          </w:p>
        </w:tc>
        <w:tc>
          <w:tcPr>
            <w:tcW w:w="646" w:type="pct"/>
            <w:tcBorders>
              <w:top w:val="nil"/>
              <w:left w:val="nil"/>
              <w:bottom w:val="single" w:sz="4" w:space="0" w:color="auto"/>
              <w:right w:val="single" w:sz="4" w:space="0" w:color="auto"/>
            </w:tcBorders>
            <w:shd w:val="clear" w:color="FFFFFF" w:fill="FFFFFF"/>
            <w:noWrap/>
            <w:vAlign w:val="bottom"/>
            <w:hideMark/>
          </w:tcPr>
          <w:p w14:paraId="0EADBE8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206223.00</w:t>
            </w:r>
          </w:p>
        </w:tc>
        <w:tc>
          <w:tcPr>
            <w:tcW w:w="646" w:type="pct"/>
            <w:tcBorders>
              <w:top w:val="nil"/>
              <w:left w:val="nil"/>
              <w:bottom w:val="single" w:sz="4" w:space="0" w:color="auto"/>
              <w:right w:val="single" w:sz="4" w:space="0" w:color="auto"/>
            </w:tcBorders>
            <w:shd w:val="clear" w:color="FFFFFF" w:fill="FFFFFF"/>
            <w:noWrap/>
            <w:vAlign w:val="bottom"/>
            <w:hideMark/>
          </w:tcPr>
          <w:p w14:paraId="3A7236F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166542.00</w:t>
            </w:r>
          </w:p>
        </w:tc>
        <w:tc>
          <w:tcPr>
            <w:tcW w:w="646" w:type="pct"/>
            <w:tcBorders>
              <w:top w:val="nil"/>
              <w:left w:val="nil"/>
              <w:bottom w:val="single" w:sz="4" w:space="0" w:color="auto"/>
              <w:right w:val="single" w:sz="4" w:space="0" w:color="auto"/>
            </w:tcBorders>
            <w:shd w:val="clear" w:color="FFFFFF" w:fill="FFFFFF"/>
            <w:noWrap/>
            <w:vAlign w:val="bottom"/>
            <w:hideMark/>
          </w:tcPr>
          <w:p w14:paraId="4AB2EB2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62146.00</w:t>
            </w:r>
          </w:p>
        </w:tc>
        <w:tc>
          <w:tcPr>
            <w:tcW w:w="646" w:type="pct"/>
            <w:tcBorders>
              <w:top w:val="nil"/>
              <w:left w:val="nil"/>
              <w:bottom w:val="single" w:sz="4" w:space="0" w:color="auto"/>
              <w:right w:val="single" w:sz="4" w:space="0" w:color="auto"/>
            </w:tcBorders>
            <w:shd w:val="clear" w:color="FFFFFF" w:fill="FFFFFF"/>
            <w:noWrap/>
            <w:vAlign w:val="bottom"/>
            <w:hideMark/>
          </w:tcPr>
          <w:p w14:paraId="4CF53AE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50672.00</w:t>
            </w:r>
          </w:p>
        </w:tc>
      </w:tr>
      <w:tr w:rsidR="005B68B4" w:rsidRPr="005B68B4" w14:paraId="204BBE33"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621EFEB8"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Total Assets</w:t>
            </w:r>
          </w:p>
        </w:tc>
        <w:tc>
          <w:tcPr>
            <w:tcW w:w="646" w:type="pct"/>
            <w:tcBorders>
              <w:top w:val="nil"/>
              <w:left w:val="nil"/>
              <w:bottom w:val="single" w:sz="4" w:space="0" w:color="auto"/>
              <w:right w:val="single" w:sz="4" w:space="0" w:color="auto"/>
            </w:tcBorders>
            <w:shd w:val="clear" w:color="FFFFFF" w:fill="FFFFFF"/>
            <w:noWrap/>
            <w:vAlign w:val="bottom"/>
            <w:hideMark/>
          </w:tcPr>
          <w:p w14:paraId="5A1EC6EA"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411976.00</w:t>
            </w:r>
          </w:p>
        </w:tc>
        <w:tc>
          <w:tcPr>
            <w:tcW w:w="646" w:type="pct"/>
            <w:tcBorders>
              <w:top w:val="nil"/>
              <w:left w:val="nil"/>
              <w:bottom w:val="single" w:sz="4" w:space="0" w:color="auto"/>
              <w:right w:val="single" w:sz="4" w:space="0" w:color="auto"/>
            </w:tcBorders>
            <w:shd w:val="clear" w:color="FFFFFF" w:fill="FFFFFF"/>
            <w:noWrap/>
            <w:vAlign w:val="bottom"/>
            <w:hideMark/>
          </w:tcPr>
          <w:p w14:paraId="69C1D25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364840.00</w:t>
            </w:r>
          </w:p>
        </w:tc>
        <w:tc>
          <w:tcPr>
            <w:tcW w:w="646" w:type="pct"/>
            <w:tcBorders>
              <w:top w:val="nil"/>
              <w:left w:val="nil"/>
              <w:bottom w:val="single" w:sz="4" w:space="0" w:color="auto"/>
              <w:right w:val="single" w:sz="4" w:space="0" w:color="auto"/>
            </w:tcBorders>
            <w:shd w:val="clear" w:color="FFFFFF" w:fill="FFFFFF"/>
            <w:noWrap/>
            <w:vAlign w:val="bottom"/>
            <w:hideMark/>
          </w:tcPr>
          <w:p w14:paraId="4BAEB9C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352583.00</w:t>
            </w:r>
          </w:p>
        </w:tc>
        <w:tc>
          <w:tcPr>
            <w:tcW w:w="646" w:type="pct"/>
            <w:tcBorders>
              <w:top w:val="nil"/>
              <w:left w:val="nil"/>
              <w:bottom w:val="single" w:sz="4" w:space="0" w:color="auto"/>
              <w:right w:val="single" w:sz="4" w:space="0" w:color="auto"/>
            </w:tcBorders>
            <w:shd w:val="clear" w:color="FFFFFF" w:fill="FFFFFF"/>
            <w:noWrap/>
            <w:vAlign w:val="bottom"/>
            <w:hideMark/>
          </w:tcPr>
          <w:p w14:paraId="091907C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352755.00</w:t>
            </w:r>
          </w:p>
        </w:tc>
      </w:tr>
      <w:tr w:rsidR="005B68B4" w:rsidRPr="005B68B4" w14:paraId="03590993"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14CC75C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EBIT (Operating income)</w:t>
            </w:r>
          </w:p>
        </w:tc>
        <w:tc>
          <w:tcPr>
            <w:tcW w:w="646" w:type="pct"/>
            <w:tcBorders>
              <w:top w:val="nil"/>
              <w:left w:val="nil"/>
              <w:bottom w:val="single" w:sz="4" w:space="0" w:color="auto"/>
              <w:right w:val="single" w:sz="4" w:space="0" w:color="auto"/>
            </w:tcBorders>
            <w:shd w:val="clear" w:color="FFFFFF" w:fill="FFFFFF"/>
            <w:noWrap/>
            <w:vAlign w:val="bottom"/>
            <w:hideMark/>
          </w:tcPr>
          <w:p w14:paraId="02CE550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88523.00</w:t>
            </w:r>
          </w:p>
        </w:tc>
        <w:tc>
          <w:tcPr>
            <w:tcW w:w="646" w:type="pct"/>
            <w:tcBorders>
              <w:top w:val="nil"/>
              <w:left w:val="nil"/>
              <w:bottom w:val="single" w:sz="4" w:space="0" w:color="auto"/>
              <w:right w:val="single" w:sz="4" w:space="0" w:color="auto"/>
            </w:tcBorders>
            <w:shd w:val="clear" w:color="FFFFFF" w:fill="FFFFFF"/>
            <w:noWrap/>
            <w:vAlign w:val="bottom"/>
            <w:hideMark/>
          </w:tcPr>
          <w:p w14:paraId="40A1380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83383.00</w:t>
            </w:r>
          </w:p>
        </w:tc>
        <w:tc>
          <w:tcPr>
            <w:tcW w:w="646" w:type="pct"/>
            <w:tcBorders>
              <w:top w:val="nil"/>
              <w:left w:val="nil"/>
              <w:bottom w:val="single" w:sz="4" w:space="0" w:color="auto"/>
              <w:right w:val="single" w:sz="4" w:space="0" w:color="auto"/>
            </w:tcBorders>
            <w:shd w:val="clear" w:color="FFFFFF" w:fill="FFFFFF"/>
            <w:noWrap/>
            <w:vAlign w:val="bottom"/>
            <w:hideMark/>
          </w:tcPr>
          <w:p w14:paraId="03EE29E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114301.00</w:t>
            </w:r>
          </w:p>
        </w:tc>
        <w:tc>
          <w:tcPr>
            <w:tcW w:w="646" w:type="pct"/>
            <w:tcBorders>
              <w:top w:val="nil"/>
              <w:left w:val="nil"/>
              <w:bottom w:val="single" w:sz="4" w:space="0" w:color="auto"/>
              <w:right w:val="single" w:sz="4" w:space="0" w:color="auto"/>
            </w:tcBorders>
            <w:shd w:val="clear" w:color="FFFFFF" w:fill="FFFFFF"/>
            <w:noWrap/>
            <w:vAlign w:val="bottom"/>
            <w:hideMark/>
          </w:tcPr>
          <w:p w14:paraId="62CA3B7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119437.00</w:t>
            </w:r>
          </w:p>
        </w:tc>
      </w:tr>
      <w:tr w:rsidR="005B68B4" w:rsidRPr="005B68B4" w14:paraId="2AF9BD77"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09D0F3B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Interest Expense</w:t>
            </w:r>
          </w:p>
        </w:tc>
        <w:tc>
          <w:tcPr>
            <w:tcW w:w="646" w:type="pct"/>
            <w:tcBorders>
              <w:top w:val="nil"/>
              <w:left w:val="nil"/>
              <w:bottom w:val="single" w:sz="4" w:space="0" w:color="auto"/>
              <w:right w:val="single" w:sz="4" w:space="0" w:color="auto"/>
            </w:tcBorders>
            <w:shd w:val="clear" w:color="FFFFFF" w:fill="FFFFFF"/>
            <w:noWrap/>
            <w:vAlign w:val="bottom"/>
            <w:hideMark/>
          </w:tcPr>
          <w:p w14:paraId="3023815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7456.00</w:t>
            </w:r>
          </w:p>
        </w:tc>
        <w:tc>
          <w:tcPr>
            <w:tcW w:w="646" w:type="pct"/>
            <w:tcBorders>
              <w:top w:val="nil"/>
              <w:left w:val="nil"/>
              <w:bottom w:val="single" w:sz="4" w:space="0" w:color="auto"/>
              <w:right w:val="single" w:sz="4" w:space="0" w:color="auto"/>
            </w:tcBorders>
            <w:shd w:val="clear" w:color="FFFFFF" w:fill="FFFFFF"/>
            <w:noWrap/>
            <w:vAlign w:val="bottom"/>
            <w:hideMark/>
          </w:tcPr>
          <w:p w14:paraId="5D268F3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5874.00</w:t>
            </w:r>
          </w:p>
        </w:tc>
        <w:tc>
          <w:tcPr>
            <w:tcW w:w="646" w:type="pct"/>
            <w:tcBorders>
              <w:top w:val="nil"/>
              <w:left w:val="nil"/>
              <w:bottom w:val="single" w:sz="4" w:space="0" w:color="auto"/>
              <w:right w:val="single" w:sz="4" w:space="0" w:color="auto"/>
            </w:tcBorders>
            <w:shd w:val="clear" w:color="FFFFFF" w:fill="FFFFFF"/>
            <w:noWrap/>
            <w:vAlign w:val="bottom"/>
            <w:hideMark/>
          </w:tcPr>
          <w:p w14:paraId="2B52422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7456.00</w:t>
            </w:r>
          </w:p>
        </w:tc>
        <w:tc>
          <w:tcPr>
            <w:tcW w:w="646" w:type="pct"/>
            <w:tcBorders>
              <w:top w:val="nil"/>
              <w:left w:val="nil"/>
              <w:bottom w:val="single" w:sz="4" w:space="0" w:color="auto"/>
              <w:right w:val="single" w:sz="4" w:space="0" w:color="auto"/>
            </w:tcBorders>
            <w:shd w:val="clear" w:color="FFFFFF" w:fill="FFFFFF"/>
            <w:noWrap/>
            <w:vAlign w:val="bottom"/>
            <w:hideMark/>
          </w:tcPr>
          <w:p w14:paraId="0DC0729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5874.00</w:t>
            </w:r>
          </w:p>
        </w:tc>
      </w:tr>
      <w:tr w:rsidR="005B68B4" w:rsidRPr="005B68B4" w14:paraId="29EB7C79"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49E63C3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0A02C5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BD11DA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606C788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C587E2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575A99ED"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00"/>
            <w:noWrap/>
            <w:vAlign w:val="bottom"/>
            <w:hideMark/>
          </w:tcPr>
          <w:p w14:paraId="4A13088C"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LEVERAGE RATIOS:</w:t>
            </w:r>
          </w:p>
        </w:tc>
        <w:tc>
          <w:tcPr>
            <w:tcW w:w="646" w:type="pct"/>
            <w:tcBorders>
              <w:top w:val="nil"/>
              <w:left w:val="nil"/>
              <w:bottom w:val="single" w:sz="4" w:space="0" w:color="auto"/>
              <w:right w:val="single" w:sz="4" w:space="0" w:color="auto"/>
            </w:tcBorders>
            <w:shd w:val="clear" w:color="FFFFFF" w:fill="FFFFFF"/>
            <w:noWrap/>
            <w:vAlign w:val="bottom"/>
            <w:hideMark/>
          </w:tcPr>
          <w:p w14:paraId="573BAD7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277B6AF4"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c>
          <w:tcPr>
            <w:tcW w:w="646" w:type="pct"/>
            <w:tcBorders>
              <w:top w:val="nil"/>
              <w:left w:val="nil"/>
              <w:bottom w:val="single" w:sz="4" w:space="0" w:color="auto"/>
              <w:right w:val="single" w:sz="4" w:space="0" w:color="auto"/>
            </w:tcBorders>
            <w:shd w:val="clear" w:color="FFFFFF" w:fill="FFFFFF"/>
            <w:noWrap/>
            <w:vAlign w:val="bottom"/>
            <w:hideMark/>
          </w:tcPr>
          <w:p w14:paraId="44C2E49D"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2023</w:t>
            </w:r>
          </w:p>
        </w:tc>
        <w:tc>
          <w:tcPr>
            <w:tcW w:w="646" w:type="pct"/>
            <w:tcBorders>
              <w:top w:val="nil"/>
              <w:left w:val="nil"/>
              <w:bottom w:val="single" w:sz="4" w:space="0" w:color="auto"/>
              <w:right w:val="single" w:sz="4" w:space="0" w:color="auto"/>
            </w:tcBorders>
            <w:shd w:val="clear" w:color="FFFFFF" w:fill="FFFFFF"/>
            <w:noWrap/>
            <w:vAlign w:val="bottom"/>
            <w:hideMark/>
          </w:tcPr>
          <w:p w14:paraId="03C929F0"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2022</w:t>
            </w:r>
          </w:p>
        </w:tc>
      </w:tr>
      <w:tr w:rsidR="005B68B4" w:rsidRPr="005B68B4" w14:paraId="41D20502"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49D00CB6"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Debt/Equity Ratio</w:t>
            </w:r>
          </w:p>
        </w:tc>
        <w:tc>
          <w:tcPr>
            <w:tcW w:w="646" w:type="pct"/>
            <w:tcBorders>
              <w:top w:val="nil"/>
              <w:left w:val="nil"/>
              <w:bottom w:val="single" w:sz="4" w:space="0" w:color="auto"/>
              <w:right w:val="single" w:sz="4" w:space="0" w:color="auto"/>
            </w:tcBorders>
            <w:shd w:val="clear" w:color="FFFFFF" w:fill="FFFFFF"/>
            <w:noWrap/>
            <w:vAlign w:val="bottom"/>
            <w:hideMark/>
          </w:tcPr>
          <w:p w14:paraId="4D84865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0.72</w:t>
            </w:r>
          </w:p>
        </w:tc>
        <w:tc>
          <w:tcPr>
            <w:tcW w:w="646" w:type="pct"/>
            <w:tcBorders>
              <w:top w:val="nil"/>
              <w:left w:val="nil"/>
              <w:bottom w:val="single" w:sz="4" w:space="0" w:color="auto"/>
              <w:right w:val="single" w:sz="4" w:space="0" w:color="auto"/>
            </w:tcBorders>
            <w:shd w:val="clear" w:color="FFFFFF" w:fill="FFFFFF"/>
            <w:noWrap/>
            <w:vAlign w:val="bottom"/>
            <w:hideMark/>
          </w:tcPr>
          <w:p w14:paraId="7023C5B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0.89</w:t>
            </w:r>
          </w:p>
        </w:tc>
        <w:tc>
          <w:tcPr>
            <w:tcW w:w="646" w:type="pct"/>
            <w:tcBorders>
              <w:top w:val="nil"/>
              <w:left w:val="nil"/>
              <w:bottom w:val="single" w:sz="4" w:space="0" w:color="auto"/>
              <w:right w:val="single" w:sz="4" w:space="0" w:color="auto"/>
            </w:tcBorders>
            <w:shd w:val="clear" w:color="FFFFFF" w:fill="FFFFFF"/>
            <w:noWrap/>
            <w:vAlign w:val="bottom"/>
            <w:hideMark/>
          </w:tcPr>
          <w:p w14:paraId="2764400B"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1.53</w:t>
            </w:r>
          </w:p>
        </w:tc>
        <w:tc>
          <w:tcPr>
            <w:tcW w:w="646" w:type="pct"/>
            <w:tcBorders>
              <w:top w:val="nil"/>
              <w:left w:val="nil"/>
              <w:bottom w:val="single" w:sz="4" w:space="0" w:color="auto"/>
              <w:right w:val="single" w:sz="4" w:space="0" w:color="auto"/>
            </w:tcBorders>
            <w:shd w:val="clear" w:color="FFFFFF" w:fill="FFFFFF"/>
            <w:noWrap/>
            <w:vAlign w:val="bottom"/>
            <w:hideMark/>
          </w:tcPr>
          <w:p w14:paraId="4BF99B9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1.95</w:t>
            </w:r>
          </w:p>
        </w:tc>
      </w:tr>
      <w:tr w:rsidR="005B68B4" w:rsidRPr="005B68B4" w14:paraId="6EFD0540"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3116F6D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Total Debt/Total Equity</w:t>
            </w:r>
          </w:p>
        </w:tc>
        <w:tc>
          <w:tcPr>
            <w:tcW w:w="646" w:type="pct"/>
            <w:tcBorders>
              <w:top w:val="nil"/>
              <w:left w:val="nil"/>
              <w:bottom w:val="single" w:sz="4" w:space="0" w:color="auto"/>
              <w:right w:val="single" w:sz="4" w:space="0" w:color="auto"/>
            </w:tcBorders>
            <w:shd w:val="clear" w:color="FFFFFF" w:fill="FFFFFF"/>
            <w:noWrap/>
            <w:vAlign w:val="bottom"/>
            <w:hideMark/>
          </w:tcPr>
          <w:p w14:paraId="590788A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1111D7D1"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4913767"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02075964"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0B08390A"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7BBF63BB"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Debt/Capital Ratio</w:t>
            </w:r>
          </w:p>
        </w:tc>
        <w:tc>
          <w:tcPr>
            <w:tcW w:w="646" w:type="pct"/>
            <w:tcBorders>
              <w:top w:val="nil"/>
              <w:left w:val="nil"/>
              <w:bottom w:val="single" w:sz="4" w:space="0" w:color="auto"/>
              <w:right w:val="single" w:sz="4" w:space="0" w:color="auto"/>
            </w:tcBorders>
            <w:shd w:val="clear" w:color="FFFFFF" w:fill="FFFFFF"/>
            <w:noWrap/>
            <w:vAlign w:val="bottom"/>
            <w:hideMark/>
          </w:tcPr>
          <w:p w14:paraId="7861FB0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0.42</w:t>
            </w:r>
          </w:p>
        </w:tc>
        <w:tc>
          <w:tcPr>
            <w:tcW w:w="646" w:type="pct"/>
            <w:tcBorders>
              <w:top w:val="nil"/>
              <w:left w:val="nil"/>
              <w:bottom w:val="single" w:sz="4" w:space="0" w:color="auto"/>
              <w:right w:val="single" w:sz="4" w:space="0" w:color="auto"/>
            </w:tcBorders>
            <w:shd w:val="clear" w:color="FFFFFF" w:fill="FFFFFF"/>
            <w:noWrap/>
            <w:vAlign w:val="bottom"/>
            <w:hideMark/>
          </w:tcPr>
          <w:p w14:paraId="61E87D15"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0.47</w:t>
            </w:r>
          </w:p>
        </w:tc>
        <w:tc>
          <w:tcPr>
            <w:tcW w:w="646" w:type="pct"/>
            <w:tcBorders>
              <w:top w:val="nil"/>
              <w:left w:val="nil"/>
              <w:bottom w:val="single" w:sz="4" w:space="0" w:color="auto"/>
              <w:right w:val="single" w:sz="4" w:space="0" w:color="auto"/>
            </w:tcBorders>
            <w:shd w:val="clear" w:color="FFFFFF" w:fill="FFFFFF"/>
            <w:noWrap/>
            <w:vAlign w:val="bottom"/>
            <w:hideMark/>
          </w:tcPr>
          <w:p w14:paraId="2F136F5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0.61</w:t>
            </w:r>
          </w:p>
        </w:tc>
        <w:tc>
          <w:tcPr>
            <w:tcW w:w="646" w:type="pct"/>
            <w:tcBorders>
              <w:top w:val="nil"/>
              <w:left w:val="nil"/>
              <w:bottom w:val="single" w:sz="4" w:space="0" w:color="auto"/>
              <w:right w:val="single" w:sz="4" w:space="0" w:color="auto"/>
            </w:tcBorders>
            <w:shd w:val="clear" w:color="FFFFFF" w:fill="FFFFFF"/>
            <w:noWrap/>
            <w:vAlign w:val="bottom"/>
            <w:hideMark/>
          </w:tcPr>
          <w:p w14:paraId="17A4095F"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0.66</w:t>
            </w:r>
          </w:p>
        </w:tc>
      </w:tr>
      <w:tr w:rsidR="005B68B4" w:rsidRPr="005B68B4" w14:paraId="047F4D4C"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580D89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Total Debt/(Tot.Equity+Tot.Debt)</w:t>
            </w:r>
          </w:p>
        </w:tc>
        <w:tc>
          <w:tcPr>
            <w:tcW w:w="646" w:type="pct"/>
            <w:tcBorders>
              <w:top w:val="nil"/>
              <w:left w:val="nil"/>
              <w:bottom w:val="single" w:sz="4" w:space="0" w:color="auto"/>
              <w:right w:val="single" w:sz="4" w:space="0" w:color="auto"/>
            </w:tcBorders>
            <w:shd w:val="clear" w:color="FFFFFF" w:fill="FFFFFF"/>
            <w:noWrap/>
            <w:vAlign w:val="bottom"/>
            <w:hideMark/>
          </w:tcPr>
          <w:p w14:paraId="4B02469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315BD77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B66CA2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2166EC2D"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r w:rsidR="005B68B4" w:rsidRPr="005B68B4" w14:paraId="522432B9"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22C51302" w14:textId="77777777" w:rsidR="005B68B4" w:rsidRPr="005B68B4" w:rsidRDefault="005B68B4" w:rsidP="005B68B4">
            <w:pPr>
              <w:spacing w:line="240" w:lineRule="auto"/>
              <w:jc w:val="center"/>
              <w:rPr>
                <w:rFonts w:ascii="Times New Roman" w:eastAsia="Times New Roman" w:hAnsi="Times New Roman" w:cs="Times New Roman"/>
                <w:b/>
                <w:bCs/>
                <w:color w:val="000000"/>
                <w:sz w:val="24"/>
                <w:szCs w:val="24"/>
                <w:lang w:val="en-IN" w:eastAsia="en-IN"/>
              </w:rPr>
            </w:pPr>
            <w:r w:rsidRPr="005B68B4">
              <w:rPr>
                <w:rFonts w:ascii="Times New Roman" w:eastAsia="Times New Roman" w:hAnsi="Times New Roman" w:cs="Times New Roman"/>
                <w:b/>
                <w:bCs/>
                <w:color w:val="000000"/>
                <w:sz w:val="24"/>
                <w:szCs w:val="24"/>
                <w:lang w:val="en-IN" w:eastAsia="en-IN"/>
              </w:rPr>
              <w:t>Interest Coverage Ratio</w:t>
            </w:r>
          </w:p>
        </w:tc>
        <w:tc>
          <w:tcPr>
            <w:tcW w:w="646" w:type="pct"/>
            <w:tcBorders>
              <w:top w:val="nil"/>
              <w:left w:val="nil"/>
              <w:bottom w:val="single" w:sz="4" w:space="0" w:color="auto"/>
              <w:right w:val="single" w:sz="4" w:space="0" w:color="auto"/>
            </w:tcBorders>
            <w:shd w:val="clear" w:color="FFFFFF" w:fill="FFFFFF"/>
            <w:noWrap/>
            <w:vAlign w:val="bottom"/>
            <w:hideMark/>
          </w:tcPr>
          <w:p w14:paraId="7D77089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11.87</w:t>
            </w:r>
          </w:p>
        </w:tc>
        <w:tc>
          <w:tcPr>
            <w:tcW w:w="646" w:type="pct"/>
            <w:tcBorders>
              <w:top w:val="nil"/>
              <w:left w:val="nil"/>
              <w:bottom w:val="single" w:sz="4" w:space="0" w:color="auto"/>
              <w:right w:val="single" w:sz="4" w:space="0" w:color="auto"/>
            </w:tcBorders>
            <w:shd w:val="clear" w:color="FFFFFF" w:fill="FFFFFF"/>
            <w:noWrap/>
            <w:vAlign w:val="bottom"/>
            <w:hideMark/>
          </w:tcPr>
          <w:p w14:paraId="5A928DE2"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14.20</w:t>
            </w:r>
          </w:p>
        </w:tc>
        <w:tc>
          <w:tcPr>
            <w:tcW w:w="646" w:type="pct"/>
            <w:tcBorders>
              <w:top w:val="nil"/>
              <w:left w:val="nil"/>
              <w:bottom w:val="single" w:sz="4" w:space="0" w:color="auto"/>
              <w:right w:val="single" w:sz="4" w:space="0" w:color="auto"/>
            </w:tcBorders>
            <w:shd w:val="clear" w:color="FFFFFF" w:fill="FFFFFF"/>
            <w:noWrap/>
            <w:vAlign w:val="bottom"/>
            <w:hideMark/>
          </w:tcPr>
          <w:p w14:paraId="4359F3F0"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15.33</w:t>
            </w:r>
          </w:p>
        </w:tc>
        <w:tc>
          <w:tcPr>
            <w:tcW w:w="646" w:type="pct"/>
            <w:tcBorders>
              <w:top w:val="nil"/>
              <w:left w:val="nil"/>
              <w:bottom w:val="single" w:sz="4" w:space="0" w:color="auto"/>
              <w:right w:val="single" w:sz="4" w:space="0" w:color="auto"/>
            </w:tcBorders>
            <w:shd w:val="clear" w:color="FFFFFF" w:fill="FFFFFF"/>
            <w:noWrap/>
            <w:vAlign w:val="bottom"/>
            <w:hideMark/>
          </w:tcPr>
          <w:p w14:paraId="6CF01A0C"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20.33</w:t>
            </w:r>
          </w:p>
        </w:tc>
      </w:tr>
      <w:tr w:rsidR="005B68B4" w:rsidRPr="005B68B4" w14:paraId="369F8E8D" w14:textId="77777777" w:rsidTr="005B68B4">
        <w:trPr>
          <w:trHeight w:val="315"/>
        </w:trPr>
        <w:tc>
          <w:tcPr>
            <w:tcW w:w="2416" w:type="pct"/>
            <w:tcBorders>
              <w:top w:val="nil"/>
              <w:left w:val="single" w:sz="4" w:space="0" w:color="auto"/>
              <w:bottom w:val="single" w:sz="4" w:space="0" w:color="auto"/>
              <w:right w:val="single" w:sz="4" w:space="0" w:color="auto"/>
            </w:tcBorders>
            <w:shd w:val="clear" w:color="FFFFFF" w:fill="FFFFFF"/>
            <w:noWrap/>
            <w:vAlign w:val="bottom"/>
            <w:hideMark/>
          </w:tcPr>
          <w:p w14:paraId="51BAC07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EBIT/Interest Expense</w:t>
            </w:r>
          </w:p>
        </w:tc>
        <w:tc>
          <w:tcPr>
            <w:tcW w:w="646" w:type="pct"/>
            <w:tcBorders>
              <w:top w:val="nil"/>
              <w:left w:val="nil"/>
              <w:bottom w:val="single" w:sz="4" w:space="0" w:color="auto"/>
              <w:right w:val="single" w:sz="4" w:space="0" w:color="auto"/>
            </w:tcBorders>
            <w:shd w:val="clear" w:color="FFFFFF" w:fill="FFFFFF"/>
            <w:noWrap/>
            <w:vAlign w:val="bottom"/>
            <w:hideMark/>
          </w:tcPr>
          <w:p w14:paraId="04778116"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79FDE43"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4B1EB629"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c>
          <w:tcPr>
            <w:tcW w:w="646" w:type="pct"/>
            <w:tcBorders>
              <w:top w:val="nil"/>
              <w:left w:val="nil"/>
              <w:bottom w:val="single" w:sz="4" w:space="0" w:color="auto"/>
              <w:right w:val="single" w:sz="4" w:space="0" w:color="auto"/>
            </w:tcBorders>
            <w:shd w:val="clear" w:color="FFFFFF" w:fill="FFFFFF"/>
            <w:noWrap/>
            <w:vAlign w:val="bottom"/>
            <w:hideMark/>
          </w:tcPr>
          <w:p w14:paraId="743F2C9E" w14:textId="77777777" w:rsidR="005B68B4" w:rsidRPr="005B68B4" w:rsidRDefault="005B68B4" w:rsidP="005B68B4">
            <w:pPr>
              <w:spacing w:line="240" w:lineRule="auto"/>
              <w:jc w:val="center"/>
              <w:rPr>
                <w:rFonts w:ascii="Times New Roman" w:eastAsia="Times New Roman" w:hAnsi="Times New Roman" w:cs="Times New Roman"/>
                <w:color w:val="000000"/>
                <w:sz w:val="24"/>
                <w:szCs w:val="24"/>
                <w:lang w:val="en-IN" w:eastAsia="en-IN"/>
              </w:rPr>
            </w:pPr>
            <w:r w:rsidRPr="005B68B4">
              <w:rPr>
                <w:rFonts w:ascii="Times New Roman" w:eastAsia="Times New Roman" w:hAnsi="Times New Roman" w:cs="Times New Roman"/>
                <w:color w:val="000000"/>
                <w:sz w:val="24"/>
                <w:szCs w:val="24"/>
                <w:lang w:val="en-IN" w:eastAsia="en-IN"/>
              </w:rPr>
              <w:t> </w:t>
            </w:r>
          </w:p>
        </w:tc>
      </w:tr>
    </w:tbl>
    <w:p w14:paraId="222C9975" w14:textId="77777777" w:rsidR="00476F28" w:rsidRDefault="00476F28" w:rsidP="005B68B4">
      <w:pPr>
        <w:spacing w:line="360" w:lineRule="auto"/>
        <w:jc w:val="center"/>
        <w:rPr>
          <w:rFonts w:ascii="Times New Roman" w:eastAsia="Times New Roman" w:hAnsi="Times New Roman" w:cs="Times New Roman"/>
          <w:color w:val="000000"/>
          <w:sz w:val="24"/>
          <w:szCs w:val="24"/>
          <w:lang w:val="en-IN" w:eastAsia="en-IN"/>
        </w:rPr>
      </w:pPr>
    </w:p>
    <w:p w14:paraId="2407D600" w14:textId="77777777" w:rsidR="005B68B4" w:rsidRPr="00F42401" w:rsidRDefault="005B68B4" w:rsidP="005B68B4">
      <w:pPr>
        <w:spacing w:line="360" w:lineRule="auto"/>
        <w:jc w:val="center"/>
        <w:rPr>
          <w:rFonts w:ascii="Times New Roman" w:eastAsia="Times New Roman" w:hAnsi="Times New Roman" w:cs="Times New Roman"/>
          <w:sz w:val="24"/>
          <w:szCs w:val="24"/>
          <w:lang w:val="en-IN" w:eastAsia="en-IN"/>
        </w:rPr>
      </w:pPr>
      <w:r w:rsidRPr="00F42401">
        <w:rPr>
          <w:rFonts w:ascii="Times New Roman" w:eastAsia="Times New Roman" w:hAnsi="Times New Roman" w:cs="Times New Roman"/>
          <w:color w:val="000000"/>
          <w:sz w:val="24"/>
          <w:szCs w:val="24"/>
          <w:lang w:val="en-IN" w:eastAsia="en-IN"/>
        </w:rPr>
        <w:t>(Source: Apple, 2023; Microsoft, 2023)</w:t>
      </w:r>
    </w:p>
    <w:p w14:paraId="5BA99630" w14:textId="77777777" w:rsidR="005D1AF8" w:rsidRPr="005D1AF8" w:rsidRDefault="005D1AF8" w:rsidP="005D1AF8">
      <w:pPr>
        <w:pStyle w:val="Normal1"/>
        <w:rPr>
          <w:lang w:val="en-IN" w:eastAsia="en-IN"/>
        </w:rPr>
      </w:pPr>
    </w:p>
    <w:sectPr w:rsidR="005D1AF8" w:rsidRPr="005D1AF8" w:rsidSect="003829A2">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C26B9" w14:textId="77777777" w:rsidR="007A5AB1" w:rsidRDefault="007A5AB1" w:rsidP="00170BB1">
      <w:pPr>
        <w:spacing w:line="240" w:lineRule="auto"/>
      </w:pPr>
      <w:r>
        <w:separator/>
      </w:r>
    </w:p>
  </w:endnote>
  <w:endnote w:type="continuationSeparator" w:id="0">
    <w:p w14:paraId="13A8F2B8" w14:textId="77777777" w:rsidR="007A5AB1" w:rsidRDefault="007A5AB1" w:rsidP="00170B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38715121"/>
      <w:docPartObj>
        <w:docPartGallery w:val="Page Numbers (Bottom of Page)"/>
        <w:docPartUnique/>
      </w:docPartObj>
    </w:sdtPr>
    <w:sdtEndPr>
      <w:rPr>
        <w:color w:val="7F7F7F" w:themeColor="background1" w:themeShade="7F"/>
        <w:spacing w:val="60"/>
      </w:rPr>
    </w:sdtEndPr>
    <w:sdtContent>
      <w:p w14:paraId="2C1F3C82" w14:textId="77777777" w:rsidR="00A353BA" w:rsidRPr="00F54177" w:rsidRDefault="00A353BA">
        <w:pPr>
          <w:pStyle w:val="Footer"/>
          <w:pBdr>
            <w:top w:val="single" w:sz="4" w:space="1" w:color="D9D9D9" w:themeColor="background1" w:themeShade="D9"/>
          </w:pBdr>
          <w:jc w:val="right"/>
          <w:rPr>
            <w:rFonts w:ascii="Times New Roman" w:hAnsi="Times New Roman" w:cs="Times New Roman"/>
            <w:sz w:val="20"/>
            <w:szCs w:val="20"/>
          </w:rPr>
        </w:pPr>
        <w:r w:rsidRPr="00F54177">
          <w:rPr>
            <w:rFonts w:ascii="Times New Roman" w:hAnsi="Times New Roman" w:cs="Times New Roman"/>
            <w:sz w:val="20"/>
            <w:szCs w:val="20"/>
          </w:rPr>
          <w:fldChar w:fldCharType="begin"/>
        </w:r>
        <w:r w:rsidRPr="00F54177">
          <w:rPr>
            <w:rFonts w:ascii="Times New Roman" w:hAnsi="Times New Roman" w:cs="Times New Roman"/>
            <w:sz w:val="20"/>
            <w:szCs w:val="20"/>
          </w:rPr>
          <w:instrText xml:space="preserve"> PAGE   \* MERGEFORMAT </w:instrText>
        </w:r>
        <w:r w:rsidRPr="00F54177">
          <w:rPr>
            <w:rFonts w:ascii="Times New Roman" w:hAnsi="Times New Roman" w:cs="Times New Roman"/>
            <w:sz w:val="20"/>
            <w:szCs w:val="20"/>
          </w:rPr>
          <w:fldChar w:fldCharType="separate"/>
        </w:r>
        <w:r w:rsidR="00112E57">
          <w:rPr>
            <w:rFonts w:ascii="Times New Roman" w:hAnsi="Times New Roman" w:cs="Times New Roman"/>
            <w:noProof/>
            <w:sz w:val="20"/>
            <w:szCs w:val="20"/>
          </w:rPr>
          <w:t>22</w:t>
        </w:r>
        <w:r w:rsidRPr="00F54177">
          <w:rPr>
            <w:rFonts w:ascii="Times New Roman" w:hAnsi="Times New Roman" w:cs="Times New Roman"/>
            <w:noProof/>
            <w:sz w:val="20"/>
            <w:szCs w:val="20"/>
          </w:rPr>
          <w:fldChar w:fldCharType="end"/>
        </w:r>
        <w:r w:rsidRPr="00F54177">
          <w:rPr>
            <w:rFonts w:ascii="Times New Roman" w:hAnsi="Times New Roman" w:cs="Times New Roman"/>
            <w:sz w:val="20"/>
            <w:szCs w:val="20"/>
          </w:rPr>
          <w:t xml:space="preserve"> | </w:t>
        </w:r>
        <w:r w:rsidRPr="00F54177">
          <w:rPr>
            <w:rFonts w:ascii="Times New Roman" w:hAnsi="Times New Roman" w:cs="Times New Roman"/>
            <w:color w:val="7F7F7F" w:themeColor="background1" w:themeShade="7F"/>
            <w:spacing w:val="60"/>
            <w:sz w:val="20"/>
            <w:szCs w:val="20"/>
          </w:rPr>
          <w:t>Page</w:t>
        </w:r>
      </w:p>
    </w:sdtContent>
  </w:sdt>
  <w:p w14:paraId="4560FF46" w14:textId="77777777" w:rsidR="00A353BA" w:rsidRDefault="00A35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28D78" w14:textId="77777777" w:rsidR="007A5AB1" w:rsidRDefault="007A5AB1" w:rsidP="00170BB1">
      <w:pPr>
        <w:spacing w:line="240" w:lineRule="auto"/>
      </w:pPr>
      <w:r>
        <w:separator/>
      </w:r>
    </w:p>
  </w:footnote>
  <w:footnote w:type="continuationSeparator" w:id="0">
    <w:p w14:paraId="35D3C303" w14:textId="77777777" w:rsidR="007A5AB1" w:rsidRDefault="007A5AB1" w:rsidP="00170B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8326D8"/>
    <w:multiLevelType w:val="hybridMultilevel"/>
    <w:tmpl w:val="E0FE29CA"/>
    <w:lvl w:ilvl="0" w:tplc="20B40048">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4B33743"/>
    <w:multiLevelType w:val="multilevel"/>
    <w:tmpl w:val="8744B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32031E"/>
    <w:multiLevelType w:val="multilevel"/>
    <w:tmpl w:val="74BCD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CFD3C3C"/>
    <w:multiLevelType w:val="multilevel"/>
    <w:tmpl w:val="192AD9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58814943">
    <w:abstractNumId w:val="0"/>
  </w:num>
  <w:num w:numId="2" w16cid:durableId="1560241471">
    <w:abstractNumId w:val="2"/>
  </w:num>
  <w:num w:numId="3" w16cid:durableId="19551747">
    <w:abstractNumId w:val="1"/>
  </w:num>
  <w:num w:numId="4" w16cid:durableId="818065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IN" w:vendorID="64" w:dllVersion="6"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IN" w:vendorID="64" w:dllVersion="4096" w:nlCheck="1" w:checkStyle="0"/>
  <w:activeWritingStyle w:appName="MSWord" w:lang="en-GB" w:vendorID="64" w:dllVersion="0"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83A"/>
    <w:rsid w:val="0002185E"/>
    <w:rsid w:val="00042CE5"/>
    <w:rsid w:val="000B516C"/>
    <w:rsid w:val="00112E57"/>
    <w:rsid w:val="001524F4"/>
    <w:rsid w:val="00157C0E"/>
    <w:rsid w:val="00170BB1"/>
    <w:rsid w:val="00175C64"/>
    <w:rsid w:val="001A153A"/>
    <w:rsid w:val="001E506A"/>
    <w:rsid w:val="00236294"/>
    <w:rsid w:val="00297DB0"/>
    <w:rsid w:val="002B7E58"/>
    <w:rsid w:val="002D3011"/>
    <w:rsid w:val="00325921"/>
    <w:rsid w:val="00352A5B"/>
    <w:rsid w:val="003829A2"/>
    <w:rsid w:val="003C683A"/>
    <w:rsid w:val="003F468C"/>
    <w:rsid w:val="00442C70"/>
    <w:rsid w:val="004445D4"/>
    <w:rsid w:val="00476307"/>
    <w:rsid w:val="00476F28"/>
    <w:rsid w:val="00484BDB"/>
    <w:rsid w:val="004E7BA8"/>
    <w:rsid w:val="005B0ADA"/>
    <w:rsid w:val="005B68B4"/>
    <w:rsid w:val="005C0107"/>
    <w:rsid w:val="005D1AF8"/>
    <w:rsid w:val="00663DD6"/>
    <w:rsid w:val="00674F14"/>
    <w:rsid w:val="006B316E"/>
    <w:rsid w:val="007046D8"/>
    <w:rsid w:val="0072707C"/>
    <w:rsid w:val="007A5AB1"/>
    <w:rsid w:val="007C0700"/>
    <w:rsid w:val="007E6532"/>
    <w:rsid w:val="008215BC"/>
    <w:rsid w:val="008307A8"/>
    <w:rsid w:val="00872B0B"/>
    <w:rsid w:val="0088474A"/>
    <w:rsid w:val="008A6414"/>
    <w:rsid w:val="008C5AC8"/>
    <w:rsid w:val="008D5B62"/>
    <w:rsid w:val="009056EE"/>
    <w:rsid w:val="00920F09"/>
    <w:rsid w:val="00965AE9"/>
    <w:rsid w:val="00997149"/>
    <w:rsid w:val="009D28DC"/>
    <w:rsid w:val="00A3388C"/>
    <w:rsid w:val="00A353BA"/>
    <w:rsid w:val="00A415CD"/>
    <w:rsid w:val="00AF1747"/>
    <w:rsid w:val="00B0263B"/>
    <w:rsid w:val="00B30FC7"/>
    <w:rsid w:val="00B40D54"/>
    <w:rsid w:val="00B764F8"/>
    <w:rsid w:val="00BA10A6"/>
    <w:rsid w:val="00BA4EE7"/>
    <w:rsid w:val="00BB37ED"/>
    <w:rsid w:val="00BB7A7A"/>
    <w:rsid w:val="00C3705F"/>
    <w:rsid w:val="00C63012"/>
    <w:rsid w:val="00C80DDC"/>
    <w:rsid w:val="00CB1D67"/>
    <w:rsid w:val="00CC17F6"/>
    <w:rsid w:val="00E5548A"/>
    <w:rsid w:val="00E672F9"/>
    <w:rsid w:val="00E81617"/>
    <w:rsid w:val="00E97F43"/>
    <w:rsid w:val="00EB6E3C"/>
    <w:rsid w:val="00EB79DE"/>
    <w:rsid w:val="00EC34BE"/>
    <w:rsid w:val="00EC77E3"/>
    <w:rsid w:val="00ED2911"/>
    <w:rsid w:val="00F42401"/>
    <w:rsid w:val="00F541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2F4E8"/>
  <w15:docId w15:val="{6B2880C4-245D-4739-BC2A-99BCA0C2A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7E6532"/>
    <w:pPr>
      <w:keepNext/>
      <w:keepLines/>
      <w:spacing w:before="12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7E6532"/>
    <w:pPr>
      <w:keepNext/>
      <w:keepLines/>
      <w:spacing w:line="360" w:lineRule="auto"/>
      <w:jc w:val="both"/>
      <w:outlineLvl w:val="1"/>
    </w:pPr>
    <w:rPr>
      <w:rFonts w:ascii="Times New Roman" w:hAnsi="Times New Roman"/>
      <w:b/>
      <w:i/>
      <w:color w:val="000000" w:themeColor="text1"/>
      <w:sz w:val="26"/>
      <w:szCs w:val="24"/>
      <w:lang w:val="en-IN" w:eastAsia="en-IN"/>
    </w:rPr>
  </w:style>
  <w:style w:type="paragraph" w:styleId="Heading3">
    <w:name w:val="heading 3"/>
    <w:basedOn w:val="Heading2"/>
    <w:next w:val="Normal1"/>
    <w:autoRedefine/>
    <w:rsid w:val="007E6532"/>
    <w:pPr>
      <w:outlineLvl w:val="2"/>
    </w:pPr>
    <w:rPr>
      <w:i w:val="0"/>
      <w:sz w:val="24"/>
    </w:rPr>
  </w:style>
  <w:style w:type="paragraph" w:styleId="Heading4">
    <w:name w:val="heading 4"/>
    <w:basedOn w:val="Normal1"/>
    <w:next w:val="Normal1"/>
    <w:rsid w:val="002D3011"/>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rsid w:val="003C683A"/>
    <w:pPr>
      <w:keepNext/>
      <w:keepLines/>
      <w:spacing w:before="240" w:after="80"/>
      <w:outlineLvl w:val="4"/>
    </w:pPr>
    <w:rPr>
      <w:color w:val="666666"/>
    </w:rPr>
  </w:style>
  <w:style w:type="paragraph" w:styleId="Heading6">
    <w:name w:val="heading 6"/>
    <w:basedOn w:val="Normal1"/>
    <w:next w:val="Normal1"/>
    <w:rsid w:val="003C683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683A"/>
  </w:style>
  <w:style w:type="table" w:customStyle="1" w:styleId="TableNormal1">
    <w:name w:val="Table Normal1"/>
    <w:rsid w:val="003C683A"/>
    <w:tblPr>
      <w:tblCellMar>
        <w:top w:w="0" w:type="dxa"/>
        <w:left w:w="0" w:type="dxa"/>
        <w:bottom w:w="0" w:type="dxa"/>
        <w:right w:w="0" w:type="dxa"/>
      </w:tblCellMar>
    </w:tblPr>
  </w:style>
  <w:style w:type="paragraph" w:styleId="Title">
    <w:name w:val="Title"/>
    <w:basedOn w:val="Normal1"/>
    <w:next w:val="Normal1"/>
    <w:rsid w:val="003C683A"/>
    <w:pPr>
      <w:keepNext/>
      <w:keepLines/>
      <w:spacing w:after="60"/>
    </w:pPr>
    <w:rPr>
      <w:sz w:val="52"/>
      <w:szCs w:val="52"/>
    </w:rPr>
  </w:style>
  <w:style w:type="paragraph" w:styleId="Subtitle">
    <w:name w:val="Subtitle"/>
    <w:basedOn w:val="Normal1"/>
    <w:next w:val="Normal1"/>
    <w:rsid w:val="003C683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B51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16C"/>
    <w:rPr>
      <w:rFonts w:ascii="Tahoma" w:hAnsi="Tahoma" w:cs="Tahoma"/>
      <w:sz w:val="16"/>
      <w:szCs w:val="16"/>
    </w:rPr>
  </w:style>
  <w:style w:type="character" w:styleId="Hyperlink">
    <w:name w:val="Hyperlink"/>
    <w:basedOn w:val="DefaultParagraphFont"/>
    <w:uiPriority w:val="99"/>
    <w:unhideWhenUsed/>
    <w:rsid w:val="009D28DC"/>
    <w:rPr>
      <w:color w:val="0000FF" w:themeColor="hyperlink"/>
      <w:u w:val="single"/>
    </w:rPr>
  </w:style>
  <w:style w:type="paragraph" w:styleId="TOCHeading">
    <w:name w:val="TOC Heading"/>
    <w:basedOn w:val="Heading1"/>
    <w:next w:val="Normal"/>
    <w:uiPriority w:val="39"/>
    <w:semiHidden/>
    <w:unhideWhenUsed/>
    <w:qFormat/>
    <w:rsid w:val="00157C0E"/>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57C0E"/>
    <w:pPr>
      <w:spacing w:after="100"/>
    </w:pPr>
  </w:style>
  <w:style w:type="paragraph" w:styleId="TOC2">
    <w:name w:val="toc 2"/>
    <w:basedOn w:val="Normal"/>
    <w:next w:val="Normal"/>
    <w:autoRedefine/>
    <w:uiPriority w:val="39"/>
    <w:unhideWhenUsed/>
    <w:rsid w:val="00157C0E"/>
    <w:pPr>
      <w:spacing w:after="100"/>
      <w:ind w:left="220"/>
    </w:pPr>
  </w:style>
  <w:style w:type="paragraph" w:styleId="TableofFigures">
    <w:name w:val="table of figures"/>
    <w:basedOn w:val="Normal"/>
    <w:next w:val="Normal"/>
    <w:uiPriority w:val="99"/>
    <w:unhideWhenUsed/>
    <w:rsid w:val="00157C0E"/>
  </w:style>
  <w:style w:type="paragraph" w:styleId="Header">
    <w:name w:val="header"/>
    <w:basedOn w:val="Normal"/>
    <w:link w:val="HeaderChar"/>
    <w:uiPriority w:val="99"/>
    <w:unhideWhenUsed/>
    <w:rsid w:val="00170BB1"/>
    <w:pPr>
      <w:tabs>
        <w:tab w:val="center" w:pos="4680"/>
        <w:tab w:val="right" w:pos="9360"/>
      </w:tabs>
      <w:spacing w:line="240" w:lineRule="auto"/>
    </w:pPr>
  </w:style>
  <w:style w:type="character" w:customStyle="1" w:styleId="HeaderChar">
    <w:name w:val="Header Char"/>
    <w:basedOn w:val="DefaultParagraphFont"/>
    <w:link w:val="Header"/>
    <w:uiPriority w:val="99"/>
    <w:rsid w:val="00170BB1"/>
  </w:style>
  <w:style w:type="paragraph" w:styleId="Footer">
    <w:name w:val="footer"/>
    <w:basedOn w:val="Normal"/>
    <w:link w:val="FooterChar"/>
    <w:uiPriority w:val="99"/>
    <w:unhideWhenUsed/>
    <w:rsid w:val="00170BB1"/>
    <w:pPr>
      <w:tabs>
        <w:tab w:val="center" w:pos="4680"/>
        <w:tab w:val="right" w:pos="9360"/>
      </w:tabs>
      <w:spacing w:line="240" w:lineRule="auto"/>
    </w:pPr>
  </w:style>
  <w:style w:type="character" w:customStyle="1" w:styleId="FooterChar">
    <w:name w:val="Footer Char"/>
    <w:basedOn w:val="DefaultParagraphFont"/>
    <w:link w:val="Footer"/>
    <w:uiPriority w:val="99"/>
    <w:rsid w:val="00170BB1"/>
  </w:style>
  <w:style w:type="paragraph" w:styleId="NormalWeb">
    <w:name w:val="Normal (Web)"/>
    <w:basedOn w:val="Normal"/>
    <w:uiPriority w:val="99"/>
    <w:semiHidden/>
    <w:unhideWhenUsed/>
    <w:rsid w:val="00F4240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customStyle="1" w:styleId="GridTable3-Accent51">
    <w:name w:val="Grid Table 3 - Accent 51"/>
    <w:basedOn w:val="TableNormal"/>
    <w:uiPriority w:val="48"/>
    <w:rsid w:val="00F42401"/>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GridTable4-Accent11">
    <w:name w:val="Grid Table 4 - Accent 11"/>
    <w:basedOn w:val="TableNormal"/>
    <w:uiPriority w:val="49"/>
    <w:rsid w:val="00352A5B"/>
    <w:pPr>
      <w:spacing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Accent21">
    <w:name w:val="Grid Table 4 - Accent 21"/>
    <w:basedOn w:val="TableNormal"/>
    <w:uiPriority w:val="49"/>
    <w:rsid w:val="00352A5B"/>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31">
    <w:name w:val="Grid Table 4 - Accent 31"/>
    <w:basedOn w:val="TableNormal"/>
    <w:uiPriority w:val="49"/>
    <w:rsid w:val="00352A5B"/>
    <w:pPr>
      <w:spacing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41">
    <w:name w:val="Grid Table 4 - Accent 41"/>
    <w:basedOn w:val="TableNormal"/>
    <w:uiPriority w:val="49"/>
    <w:rsid w:val="00352A5B"/>
    <w:pPr>
      <w:spacing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ListParagraph">
    <w:name w:val="List Paragraph"/>
    <w:basedOn w:val="Normal"/>
    <w:uiPriority w:val="34"/>
    <w:qFormat/>
    <w:rsid w:val="00352A5B"/>
    <w:pPr>
      <w:ind w:left="720"/>
      <w:contextualSpacing/>
    </w:pPr>
  </w:style>
  <w:style w:type="paragraph" w:styleId="TOC3">
    <w:name w:val="toc 3"/>
    <w:basedOn w:val="Normal"/>
    <w:next w:val="Normal"/>
    <w:autoRedefine/>
    <w:uiPriority w:val="39"/>
    <w:unhideWhenUsed/>
    <w:rsid w:val="00C6301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3259">
      <w:bodyDiv w:val="1"/>
      <w:marLeft w:val="0"/>
      <w:marRight w:val="0"/>
      <w:marTop w:val="0"/>
      <w:marBottom w:val="0"/>
      <w:divBdr>
        <w:top w:val="none" w:sz="0" w:space="0" w:color="auto"/>
        <w:left w:val="none" w:sz="0" w:space="0" w:color="auto"/>
        <w:bottom w:val="none" w:sz="0" w:space="0" w:color="auto"/>
        <w:right w:val="none" w:sz="0" w:space="0" w:color="auto"/>
      </w:divBdr>
    </w:div>
    <w:div w:id="100491764">
      <w:bodyDiv w:val="1"/>
      <w:marLeft w:val="0"/>
      <w:marRight w:val="0"/>
      <w:marTop w:val="0"/>
      <w:marBottom w:val="0"/>
      <w:divBdr>
        <w:top w:val="none" w:sz="0" w:space="0" w:color="auto"/>
        <w:left w:val="none" w:sz="0" w:space="0" w:color="auto"/>
        <w:bottom w:val="none" w:sz="0" w:space="0" w:color="auto"/>
        <w:right w:val="none" w:sz="0" w:space="0" w:color="auto"/>
      </w:divBdr>
    </w:div>
    <w:div w:id="714547750">
      <w:bodyDiv w:val="1"/>
      <w:marLeft w:val="0"/>
      <w:marRight w:val="0"/>
      <w:marTop w:val="0"/>
      <w:marBottom w:val="0"/>
      <w:divBdr>
        <w:top w:val="none" w:sz="0" w:space="0" w:color="auto"/>
        <w:left w:val="none" w:sz="0" w:space="0" w:color="auto"/>
        <w:bottom w:val="none" w:sz="0" w:space="0" w:color="auto"/>
        <w:right w:val="none" w:sz="0" w:space="0" w:color="auto"/>
      </w:divBdr>
    </w:div>
    <w:div w:id="1027485901">
      <w:bodyDiv w:val="1"/>
      <w:marLeft w:val="0"/>
      <w:marRight w:val="0"/>
      <w:marTop w:val="0"/>
      <w:marBottom w:val="0"/>
      <w:divBdr>
        <w:top w:val="none" w:sz="0" w:space="0" w:color="auto"/>
        <w:left w:val="none" w:sz="0" w:space="0" w:color="auto"/>
        <w:bottom w:val="none" w:sz="0" w:space="0" w:color="auto"/>
        <w:right w:val="none" w:sz="0" w:space="0" w:color="auto"/>
      </w:divBdr>
    </w:div>
    <w:div w:id="1219971782">
      <w:bodyDiv w:val="1"/>
      <w:marLeft w:val="0"/>
      <w:marRight w:val="0"/>
      <w:marTop w:val="0"/>
      <w:marBottom w:val="0"/>
      <w:divBdr>
        <w:top w:val="none" w:sz="0" w:space="0" w:color="auto"/>
        <w:left w:val="none" w:sz="0" w:space="0" w:color="auto"/>
        <w:bottom w:val="none" w:sz="0" w:space="0" w:color="auto"/>
        <w:right w:val="none" w:sz="0" w:space="0" w:color="auto"/>
      </w:divBdr>
    </w:div>
    <w:div w:id="1412461695">
      <w:bodyDiv w:val="1"/>
      <w:marLeft w:val="0"/>
      <w:marRight w:val="0"/>
      <w:marTop w:val="0"/>
      <w:marBottom w:val="0"/>
      <w:divBdr>
        <w:top w:val="none" w:sz="0" w:space="0" w:color="auto"/>
        <w:left w:val="none" w:sz="0" w:space="0" w:color="auto"/>
        <w:bottom w:val="none" w:sz="0" w:space="0" w:color="auto"/>
        <w:right w:val="none" w:sz="0" w:space="0" w:color="auto"/>
      </w:divBdr>
    </w:div>
    <w:div w:id="1443187038">
      <w:bodyDiv w:val="1"/>
      <w:marLeft w:val="0"/>
      <w:marRight w:val="0"/>
      <w:marTop w:val="0"/>
      <w:marBottom w:val="0"/>
      <w:divBdr>
        <w:top w:val="none" w:sz="0" w:space="0" w:color="auto"/>
        <w:left w:val="none" w:sz="0" w:space="0" w:color="auto"/>
        <w:bottom w:val="none" w:sz="0" w:space="0" w:color="auto"/>
        <w:right w:val="none" w:sz="0" w:space="0" w:color="auto"/>
      </w:divBdr>
    </w:div>
    <w:div w:id="1467316943">
      <w:bodyDiv w:val="1"/>
      <w:marLeft w:val="0"/>
      <w:marRight w:val="0"/>
      <w:marTop w:val="0"/>
      <w:marBottom w:val="0"/>
      <w:divBdr>
        <w:top w:val="none" w:sz="0" w:space="0" w:color="auto"/>
        <w:left w:val="none" w:sz="0" w:space="0" w:color="auto"/>
        <w:bottom w:val="none" w:sz="0" w:space="0" w:color="auto"/>
        <w:right w:val="none" w:sz="0" w:space="0" w:color="auto"/>
      </w:divBdr>
    </w:div>
    <w:div w:id="1475565268">
      <w:bodyDiv w:val="1"/>
      <w:marLeft w:val="0"/>
      <w:marRight w:val="0"/>
      <w:marTop w:val="0"/>
      <w:marBottom w:val="0"/>
      <w:divBdr>
        <w:top w:val="none" w:sz="0" w:space="0" w:color="auto"/>
        <w:left w:val="none" w:sz="0" w:space="0" w:color="auto"/>
        <w:bottom w:val="none" w:sz="0" w:space="0" w:color="auto"/>
        <w:right w:val="none" w:sz="0" w:space="0" w:color="auto"/>
      </w:divBdr>
    </w:div>
    <w:div w:id="1866870462">
      <w:bodyDiv w:val="1"/>
      <w:marLeft w:val="0"/>
      <w:marRight w:val="0"/>
      <w:marTop w:val="0"/>
      <w:marBottom w:val="0"/>
      <w:divBdr>
        <w:top w:val="none" w:sz="0" w:space="0" w:color="auto"/>
        <w:left w:val="none" w:sz="0" w:space="0" w:color="auto"/>
        <w:bottom w:val="none" w:sz="0" w:space="0" w:color="auto"/>
        <w:right w:val="none" w:sz="0" w:space="0" w:color="auto"/>
      </w:divBdr>
      <w:divsChild>
        <w:div w:id="191114906">
          <w:marLeft w:val="0"/>
          <w:marRight w:val="0"/>
          <w:marTop w:val="0"/>
          <w:marBottom w:val="0"/>
          <w:divBdr>
            <w:top w:val="none" w:sz="0" w:space="0" w:color="auto"/>
            <w:left w:val="none" w:sz="0" w:space="0" w:color="auto"/>
            <w:bottom w:val="none" w:sz="0" w:space="0" w:color="auto"/>
            <w:right w:val="none" w:sz="0" w:space="0" w:color="auto"/>
          </w:divBdr>
        </w:div>
      </w:divsChild>
    </w:div>
    <w:div w:id="1905487807">
      <w:bodyDiv w:val="1"/>
      <w:marLeft w:val="0"/>
      <w:marRight w:val="0"/>
      <w:marTop w:val="0"/>
      <w:marBottom w:val="0"/>
      <w:divBdr>
        <w:top w:val="none" w:sz="0" w:space="0" w:color="auto"/>
        <w:left w:val="none" w:sz="0" w:space="0" w:color="auto"/>
        <w:bottom w:val="none" w:sz="0" w:space="0" w:color="auto"/>
        <w:right w:val="none" w:sz="0" w:space="0" w:color="auto"/>
      </w:divBdr>
    </w:div>
    <w:div w:id="19970315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D:\WORD%20CREATION\March%20-%202024\Fwd%20Vc336\Vc33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WORD%20CREATION\March%20-%202024\Fwd%20Vc336\Vc336.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WORD%20CREATION\March%20-%202024\Fwd%20Vc336\Vc336.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WORD%20CREATION\March%20-%202024\Fwd%20Vc336\Vc33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Profitability Ratios</a:t>
            </a:r>
          </a:p>
        </c:rich>
      </c:tx>
      <c:overlay val="0"/>
      <c:spPr>
        <a:noFill/>
        <a:ln>
          <a:noFill/>
        </a:ln>
        <a:effectLst/>
      </c:spPr>
    </c:title>
    <c:autoTitleDeleted val="0"/>
    <c:plotArea>
      <c:layout/>
      <c:barChart>
        <c:barDir val="bar"/>
        <c:grouping val="stacked"/>
        <c:varyColors val="0"/>
        <c:ser>
          <c:idx val="0"/>
          <c:order val="0"/>
          <c:tx>
            <c:strRef>
              <c:f>Ratios!$H$9:$H$10</c:f>
              <c:strCache>
                <c:ptCount val="2"/>
                <c:pt idx="0">
                  <c:v>Microsoft </c:v>
                </c:pt>
                <c:pt idx="1">
                  <c:v>2023</c:v>
                </c:pt>
              </c:strCache>
            </c:strRef>
          </c:tx>
          <c:spPr>
            <a:gradFill rotWithShape="1">
              <a:gsLst>
                <a:gs pos="0">
                  <a:schemeClr val="accent1">
                    <a:tint val="100000"/>
                    <a:shade val="100000"/>
                    <a:satMod val="130000"/>
                  </a:schemeClr>
                </a:gs>
                <a:gs pos="100000">
                  <a:schemeClr val="accent1">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Ratios!$G$11:$G$16</c:f>
              <c:strCache>
                <c:ptCount val="6"/>
                <c:pt idx="0">
                  <c:v>Gross Margin</c:v>
                </c:pt>
                <c:pt idx="1">
                  <c:v>Operating Margin</c:v>
                </c:pt>
                <c:pt idx="2">
                  <c:v>Net Profit Margin</c:v>
                </c:pt>
                <c:pt idx="3">
                  <c:v>Return on Equity (ROE)</c:v>
                </c:pt>
                <c:pt idx="4">
                  <c:v>Return on Assets (ROA)</c:v>
                </c:pt>
                <c:pt idx="5">
                  <c:v>Return on Capital Employed (ROCE)</c:v>
                </c:pt>
              </c:strCache>
            </c:strRef>
          </c:cat>
          <c:val>
            <c:numRef>
              <c:f>Ratios!$H$11:$H$16</c:f>
              <c:numCache>
                <c:formatCode>0.00%</c:formatCode>
                <c:ptCount val="6"/>
                <c:pt idx="0">
                  <c:v>0.68920085883491033</c:v>
                </c:pt>
                <c:pt idx="1">
                  <c:v>0.41772880636104115</c:v>
                </c:pt>
                <c:pt idx="2">
                  <c:v>0.34146237878394664</c:v>
                </c:pt>
                <c:pt idx="3" formatCode="0.00">
                  <c:v>0.35088714643856406</c:v>
                </c:pt>
                <c:pt idx="4" formatCode="0.00">
                  <c:v>0.175643726819038</c:v>
                </c:pt>
                <c:pt idx="5" formatCode="0.00">
                  <c:v>0.23507034795518261</c:v>
                </c:pt>
              </c:numCache>
            </c:numRef>
          </c:val>
          <c:extLst>
            <c:ext xmlns:c16="http://schemas.microsoft.com/office/drawing/2014/chart" uri="{C3380CC4-5D6E-409C-BE32-E72D297353CC}">
              <c16:uniqueId val="{00000000-8114-4D3A-A090-EBDD49890200}"/>
            </c:ext>
          </c:extLst>
        </c:ser>
        <c:ser>
          <c:idx val="1"/>
          <c:order val="1"/>
          <c:tx>
            <c:strRef>
              <c:f>Ratios!$I$9:$I$10</c:f>
              <c:strCache>
                <c:ptCount val="2"/>
                <c:pt idx="0">
                  <c:v>Microsoft </c:v>
                </c:pt>
                <c:pt idx="1">
                  <c:v>2022</c:v>
                </c:pt>
              </c:strCache>
            </c:strRef>
          </c:tx>
          <c:spPr>
            <a:gradFill rotWithShape="1">
              <a:gsLst>
                <a:gs pos="0">
                  <a:schemeClr val="accent2">
                    <a:tint val="100000"/>
                    <a:shade val="100000"/>
                    <a:satMod val="130000"/>
                  </a:schemeClr>
                </a:gs>
                <a:gs pos="100000">
                  <a:schemeClr val="accent2">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Ratios!$G$11:$G$16</c:f>
              <c:strCache>
                <c:ptCount val="6"/>
                <c:pt idx="0">
                  <c:v>Gross Margin</c:v>
                </c:pt>
                <c:pt idx="1">
                  <c:v>Operating Margin</c:v>
                </c:pt>
                <c:pt idx="2">
                  <c:v>Net Profit Margin</c:v>
                </c:pt>
                <c:pt idx="3">
                  <c:v>Return on Equity (ROE)</c:v>
                </c:pt>
                <c:pt idx="4">
                  <c:v>Return on Assets (ROA)</c:v>
                </c:pt>
                <c:pt idx="5">
                  <c:v>Return on Capital Employed (ROCE)</c:v>
                </c:pt>
              </c:strCache>
            </c:strRef>
          </c:cat>
          <c:val>
            <c:numRef>
              <c:f>Ratios!$I$11:$I$16</c:f>
              <c:numCache>
                <c:formatCode>0.00%</c:formatCode>
                <c:ptCount val="6"/>
                <c:pt idx="0">
                  <c:v>0.68401674484289088</c:v>
                </c:pt>
                <c:pt idx="1">
                  <c:v>0.42055278156049841</c:v>
                </c:pt>
                <c:pt idx="2">
                  <c:v>0.36686336813436238</c:v>
                </c:pt>
                <c:pt idx="3" formatCode="0.00">
                  <c:v>0.4367546925099976</c:v>
                </c:pt>
                <c:pt idx="4" formatCode="0.00">
                  <c:v>0.19936958666812851</c:v>
                </c:pt>
                <c:pt idx="5" formatCode="0.00">
                  <c:v>0.26964167883806966</c:v>
                </c:pt>
              </c:numCache>
            </c:numRef>
          </c:val>
          <c:extLst>
            <c:ext xmlns:c16="http://schemas.microsoft.com/office/drawing/2014/chart" uri="{C3380CC4-5D6E-409C-BE32-E72D297353CC}">
              <c16:uniqueId val="{00000001-8114-4D3A-A090-EBDD49890200}"/>
            </c:ext>
          </c:extLst>
        </c:ser>
        <c:ser>
          <c:idx val="2"/>
          <c:order val="2"/>
          <c:tx>
            <c:strRef>
              <c:f>Ratios!$J$9:$J$10</c:f>
              <c:strCache>
                <c:ptCount val="2"/>
                <c:pt idx="0">
                  <c:v>Apple </c:v>
                </c:pt>
                <c:pt idx="1">
                  <c:v>2023</c:v>
                </c:pt>
              </c:strCache>
            </c:strRef>
          </c:tx>
          <c:spPr>
            <a:gradFill rotWithShape="1">
              <a:gsLst>
                <a:gs pos="0">
                  <a:schemeClr val="accent3">
                    <a:tint val="100000"/>
                    <a:shade val="100000"/>
                    <a:satMod val="130000"/>
                  </a:schemeClr>
                </a:gs>
                <a:gs pos="100000">
                  <a:schemeClr val="accent3">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Ratios!$G$11:$G$16</c:f>
              <c:strCache>
                <c:ptCount val="6"/>
                <c:pt idx="0">
                  <c:v>Gross Margin</c:v>
                </c:pt>
                <c:pt idx="1">
                  <c:v>Operating Margin</c:v>
                </c:pt>
                <c:pt idx="2">
                  <c:v>Net Profit Margin</c:v>
                </c:pt>
                <c:pt idx="3">
                  <c:v>Return on Equity (ROE)</c:v>
                </c:pt>
                <c:pt idx="4">
                  <c:v>Return on Assets (ROA)</c:v>
                </c:pt>
                <c:pt idx="5">
                  <c:v>Return on Capital Employed (ROCE)</c:v>
                </c:pt>
              </c:strCache>
            </c:strRef>
          </c:cat>
          <c:val>
            <c:numRef>
              <c:f>Ratios!$J$11:$J$16</c:f>
              <c:numCache>
                <c:formatCode>0.00%</c:formatCode>
                <c:ptCount val="6"/>
                <c:pt idx="0">
                  <c:v>0.44131129577207584</c:v>
                </c:pt>
                <c:pt idx="1">
                  <c:v>0.29821412265024733</c:v>
                </c:pt>
                <c:pt idx="2">
                  <c:v>0.25306234264320276</c:v>
                </c:pt>
                <c:pt idx="3" formatCode="0.00">
                  <c:v>1.5607601454639075</c:v>
                </c:pt>
                <c:pt idx="4" formatCode="0.00">
                  <c:v>0.27509834563776481</c:v>
                </c:pt>
                <c:pt idx="5" formatCode="0.00">
                  <c:v>0.46795320226751902</c:v>
                </c:pt>
              </c:numCache>
            </c:numRef>
          </c:val>
          <c:extLst>
            <c:ext xmlns:c16="http://schemas.microsoft.com/office/drawing/2014/chart" uri="{C3380CC4-5D6E-409C-BE32-E72D297353CC}">
              <c16:uniqueId val="{00000002-8114-4D3A-A090-EBDD49890200}"/>
            </c:ext>
          </c:extLst>
        </c:ser>
        <c:ser>
          <c:idx val="3"/>
          <c:order val="3"/>
          <c:tx>
            <c:strRef>
              <c:f>Ratios!$K$9:$K$10</c:f>
              <c:strCache>
                <c:ptCount val="2"/>
                <c:pt idx="0">
                  <c:v>Apple </c:v>
                </c:pt>
                <c:pt idx="1">
                  <c:v>2022</c:v>
                </c:pt>
              </c:strCache>
            </c:strRef>
          </c:tx>
          <c:spPr>
            <a:gradFill rotWithShape="1">
              <a:gsLst>
                <a:gs pos="0">
                  <a:schemeClr val="accent4">
                    <a:tint val="100000"/>
                    <a:shade val="100000"/>
                    <a:satMod val="130000"/>
                  </a:schemeClr>
                </a:gs>
                <a:gs pos="100000">
                  <a:schemeClr val="accent4">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Ratios!$G$11:$G$16</c:f>
              <c:strCache>
                <c:ptCount val="6"/>
                <c:pt idx="0">
                  <c:v>Gross Margin</c:v>
                </c:pt>
                <c:pt idx="1">
                  <c:v>Operating Margin</c:v>
                </c:pt>
                <c:pt idx="2">
                  <c:v>Net Profit Margin</c:v>
                </c:pt>
                <c:pt idx="3">
                  <c:v>Return on Equity (ROE)</c:v>
                </c:pt>
                <c:pt idx="4">
                  <c:v>Return on Assets (ROA)</c:v>
                </c:pt>
                <c:pt idx="5">
                  <c:v>Return on Capital Employed (ROCE)</c:v>
                </c:pt>
              </c:strCache>
            </c:strRef>
          </c:cat>
          <c:val>
            <c:numRef>
              <c:f>Ratios!$K$11:$K$16</c:f>
              <c:numCache>
                <c:formatCode>0.00%</c:formatCode>
                <c:ptCount val="6"/>
                <c:pt idx="0">
                  <c:v>0.54010923500706831</c:v>
                </c:pt>
                <c:pt idx="1">
                  <c:v>0.37772731729069375</c:v>
                </c:pt>
                <c:pt idx="2">
                  <c:v>0.31563350927738548</c:v>
                </c:pt>
                <c:pt idx="3" formatCode="0.00">
                  <c:v>1.969588727502368</c:v>
                </c:pt>
                <c:pt idx="4" formatCode="0.00">
                  <c:v>0.28292440929256873</c:v>
                </c:pt>
                <c:pt idx="5" formatCode="0.00">
                  <c:v>0.50209535500294278</c:v>
                </c:pt>
              </c:numCache>
            </c:numRef>
          </c:val>
          <c:extLst>
            <c:ext xmlns:c16="http://schemas.microsoft.com/office/drawing/2014/chart" uri="{C3380CC4-5D6E-409C-BE32-E72D297353CC}">
              <c16:uniqueId val="{00000003-8114-4D3A-A090-EBDD49890200}"/>
            </c:ext>
          </c:extLst>
        </c:ser>
        <c:dLbls>
          <c:showLegendKey val="0"/>
          <c:showVal val="0"/>
          <c:showCatName val="0"/>
          <c:showSerName val="0"/>
          <c:showPercent val="0"/>
          <c:showBubbleSize val="0"/>
        </c:dLbls>
        <c:gapWidth val="150"/>
        <c:overlap val="100"/>
        <c:axId val="112287104"/>
        <c:axId val="112301568"/>
      </c:barChart>
      <c:catAx>
        <c:axId val="1122871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2301568"/>
        <c:crosses val="autoZero"/>
        <c:auto val="1"/>
        <c:lblAlgn val="ctr"/>
        <c:lblOffset val="100"/>
        <c:noMultiLvlLbl val="0"/>
      </c:catAx>
      <c:valAx>
        <c:axId val="112301568"/>
        <c:scaling>
          <c:orientation val="minMax"/>
        </c:scaling>
        <c:delete val="0"/>
        <c:axPos val="b"/>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2287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Liquidity Ratios</a:t>
            </a:r>
          </a:p>
        </c:rich>
      </c:tx>
      <c:overlay val="0"/>
      <c:spPr>
        <a:noFill/>
        <a:ln>
          <a:noFill/>
        </a:ln>
        <a:effectLst/>
      </c:spPr>
    </c:title>
    <c:autoTitleDeleted val="0"/>
    <c:plotArea>
      <c:layout/>
      <c:barChart>
        <c:barDir val="bar"/>
        <c:grouping val="clustered"/>
        <c:varyColors val="0"/>
        <c:ser>
          <c:idx val="0"/>
          <c:order val="0"/>
          <c:tx>
            <c:strRef>
              <c:f>Ratios!$G$5</c:f>
              <c:strCache>
                <c:ptCount val="1"/>
                <c:pt idx="0">
                  <c:v>Current Ratio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Ratios!$H$3:$K$4</c:f>
              <c:multiLvlStrCache>
                <c:ptCount val="4"/>
                <c:lvl>
                  <c:pt idx="0">
                    <c:v>2023</c:v>
                  </c:pt>
                  <c:pt idx="1">
                    <c:v>2022</c:v>
                  </c:pt>
                  <c:pt idx="2">
                    <c:v>2023</c:v>
                  </c:pt>
                  <c:pt idx="3">
                    <c:v>2022</c:v>
                  </c:pt>
                </c:lvl>
                <c:lvl>
                  <c:pt idx="0">
                    <c:v>Microsoft </c:v>
                  </c:pt>
                  <c:pt idx="2">
                    <c:v>Apple </c:v>
                  </c:pt>
                </c:lvl>
              </c:multiLvlStrCache>
            </c:multiLvlStrRef>
          </c:cat>
          <c:val>
            <c:numRef>
              <c:f>Ratios!$H$5:$K$5</c:f>
              <c:numCache>
                <c:formatCode>0.00</c:formatCode>
                <c:ptCount val="4"/>
                <c:pt idx="0">
                  <c:v>1.7691672507657299</c:v>
                </c:pt>
                <c:pt idx="1">
                  <c:v>1.7846069708251824</c:v>
                </c:pt>
                <c:pt idx="2">
                  <c:v>0.98801167175929749</c:v>
                </c:pt>
                <c:pt idx="3">
                  <c:v>0.87935602862672269</c:v>
                </c:pt>
              </c:numCache>
            </c:numRef>
          </c:val>
          <c:extLst>
            <c:ext xmlns:c16="http://schemas.microsoft.com/office/drawing/2014/chart" uri="{C3380CC4-5D6E-409C-BE32-E72D297353CC}">
              <c16:uniqueId val="{00000000-AE7A-4972-BEC1-CFFAC822223B}"/>
            </c:ext>
          </c:extLst>
        </c:ser>
        <c:ser>
          <c:idx val="1"/>
          <c:order val="1"/>
          <c:tx>
            <c:strRef>
              <c:f>Ratios!$G$6</c:f>
              <c:strCache>
                <c:ptCount val="1"/>
                <c:pt idx="0">
                  <c:v>Cash Ratio</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Ratios!$H$3:$K$4</c:f>
              <c:multiLvlStrCache>
                <c:ptCount val="4"/>
                <c:lvl>
                  <c:pt idx="0">
                    <c:v>2023</c:v>
                  </c:pt>
                  <c:pt idx="1">
                    <c:v>2022</c:v>
                  </c:pt>
                  <c:pt idx="2">
                    <c:v>2023</c:v>
                  </c:pt>
                  <c:pt idx="3">
                    <c:v>2022</c:v>
                  </c:pt>
                </c:lvl>
                <c:lvl>
                  <c:pt idx="0">
                    <c:v>Microsoft </c:v>
                  </c:pt>
                  <c:pt idx="2">
                    <c:v>Apple </c:v>
                  </c:pt>
                </c:lvl>
              </c:multiLvlStrCache>
            </c:multiLvlStrRef>
          </c:cat>
          <c:val>
            <c:numRef>
              <c:f>Ratios!$H$6:$K$6</c:f>
              <c:numCache>
                <c:formatCode>0.00</c:formatCode>
                <c:ptCount val="4"/>
                <c:pt idx="0">
                  <c:v>0.33321491324928743</c:v>
                </c:pt>
                <c:pt idx="1">
                  <c:v>0.14651563913253829</c:v>
                </c:pt>
                <c:pt idx="2">
                  <c:v>0.20621713876730824</c:v>
                </c:pt>
                <c:pt idx="3">
                  <c:v>0.15356340351469663</c:v>
                </c:pt>
              </c:numCache>
            </c:numRef>
          </c:val>
          <c:extLst>
            <c:ext xmlns:c16="http://schemas.microsoft.com/office/drawing/2014/chart" uri="{C3380CC4-5D6E-409C-BE32-E72D297353CC}">
              <c16:uniqueId val="{00000001-AE7A-4972-BEC1-CFFAC822223B}"/>
            </c:ext>
          </c:extLst>
        </c:ser>
        <c:dLbls>
          <c:showLegendKey val="0"/>
          <c:showVal val="0"/>
          <c:showCatName val="0"/>
          <c:showSerName val="0"/>
          <c:showPercent val="0"/>
          <c:showBubbleSize val="0"/>
        </c:dLbls>
        <c:gapWidth val="115"/>
        <c:overlap val="-20"/>
        <c:axId val="112591616"/>
        <c:axId val="112593536"/>
      </c:barChart>
      <c:catAx>
        <c:axId val="11259161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2593536"/>
        <c:crosses val="autoZero"/>
        <c:auto val="1"/>
        <c:lblAlgn val="ctr"/>
        <c:lblOffset val="100"/>
        <c:noMultiLvlLbl val="0"/>
      </c:catAx>
      <c:valAx>
        <c:axId val="112593536"/>
        <c:scaling>
          <c:orientation val="minMax"/>
        </c:scaling>
        <c:delete val="0"/>
        <c:axPos val="b"/>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259161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Leaverage Ratios</a:t>
            </a:r>
          </a:p>
        </c:rich>
      </c:tx>
      <c:overlay val="0"/>
      <c:spPr>
        <a:noFill/>
        <a:ln>
          <a:noFill/>
        </a:ln>
        <a:effectLst/>
      </c:spPr>
    </c:title>
    <c:autoTitleDeleted val="0"/>
    <c:plotArea>
      <c:layout/>
      <c:barChart>
        <c:barDir val="col"/>
        <c:grouping val="clustered"/>
        <c:varyColors val="0"/>
        <c:ser>
          <c:idx val="0"/>
          <c:order val="0"/>
          <c:tx>
            <c:strRef>
              <c:f>Ratios!$G$36</c:f>
              <c:strCache>
                <c:ptCount val="1"/>
                <c:pt idx="0">
                  <c:v>Debt/Equity Ratio</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Ratios!$H$34:$K$35</c:f>
              <c:multiLvlStrCache>
                <c:ptCount val="4"/>
                <c:lvl>
                  <c:pt idx="0">
                    <c:v>2023</c:v>
                  </c:pt>
                  <c:pt idx="1">
                    <c:v>2022</c:v>
                  </c:pt>
                  <c:pt idx="2">
                    <c:v>2023</c:v>
                  </c:pt>
                  <c:pt idx="3">
                    <c:v>2022</c:v>
                  </c:pt>
                </c:lvl>
                <c:lvl>
                  <c:pt idx="0">
                    <c:v>Microsoft </c:v>
                  </c:pt>
                  <c:pt idx="2">
                    <c:v>Apple </c:v>
                  </c:pt>
                </c:lvl>
              </c:multiLvlStrCache>
            </c:multiLvlStrRef>
          </c:cat>
          <c:val>
            <c:numRef>
              <c:f>Ratios!$H$36:$K$36</c:f>
              <c:numCache>
                <c:formatCode>0.00</c:formatCode>
                <c:ptCount val="4"/>
                <c:pt idx="0">
                  <c:v>0.71838252765210453</c:v>
                </c:pt>
                <c:pt idx="1">
                  <c:v>0.89355838166948853</c:v>
                </c:pt>
                <c:pt idx="2">
                  <c:v>1.5331799311299199</c:v>
                </c:pt>
                <c:pt idx="3">
                  <c:v>1.9529325860435749</c:v>
                </c:pt>
              </c:numCache>
            </c:numRef>
          </c:val>
          <c:extLst>
            <c:ext xmlns:c16="http://schemas.microsoft.com/office/drawing/2014/chart" uri="{C3380CC4-5D6E-409C-BE32-E72D297353CC}">
              <c16:uniqueId val="{00000000-46F0-4ED4-AF81-525319CC03E4}"/>
            </c:ext>
          </c:extLst>
        </c:ser>
        <c:ser>
          <c:idx val="1"/>
          <c:order val="1"/>
          <c:tx>
            <c:strRef>
              <c:f>Ratios!$G$37</c:f>
              <c:strCache>
                <c:ptCount val="1"/>
                <c:pt idx="0">
                  <c:v>Debt/Capital Ratio</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Ratios!$H$34:$K$35</c:f>
              <c:multiLvlStrCache>
                <c:ptCount val="4"/>
                <c:lvl>
                  <c:pt idx="0">
                    <c:v>2023</c:v>
                  </c:pt>
                  <c:pt idx="1">
                    <c:v>2022</c:v>
                  </c:pt>
                  <c:pt idx="2">
                    <c:v>2023</c:v>
                  </c:pt>
                  <c:pt idx="3">
                    <c:v>2022</c:v>
                  </c:pt>
                </c:lvl>
                <c:lvl>
                  <c:pt idx="0">
                    <c:v>Microsoft </c:v>
                  </c:pt>
                  <c:pt idx="2">
                    <c:v>Apple </c:v>
                  </c:pt>
                </c:lvl>
              </c:multiLvlStrCache>
            </c:multiLvlStrRef>
          </c:cat>
          <c:val>
            <c:numRef>
              <c:f>Ratios!$H$37:$K$37</c:f>
              <c:numCache>
                <c:formatCode>0.00</c:formatCode>
                <c:ptCount val="4"/>
                <c:pt idx="0">
                  <c:v>0.41805739763524014</c:v>
                </c:pt>
                <c:pt idx="1">
                  <c:v>0.47189375850226883</c:v>
                </c:pt>
                <c:pt idx="2">
                  <c:v>0.60523925374935683</c:v>
                </c:pt>
                <c:pt idx="3">
                  <c:v>0.66135359651409176</c:v>
                </c:pt>
              </c:numCache>
            </c:numRef>
          </c:val>
          <c:extLst>
            <c:ext xmlns:c16="http://schemas.microsoft.com/office/drawing/2014/chart" uri="{C3380CC4-5D6E-409C-BE32-E72D297353CC}">
              <c16:uniqueId val="{00000001-46F0-4ED4-AF81-525319CC03E4}"/>
            </c:ext>
          </c:extLst>
        </c:ser>
        <c:ser>
          <c:idx val="2"/>
          <c:order val="2"/>
          <c:tx>
            <c:strRef>
              <c:f>Ratios!$G$38</c:f>
              <c:strCache>
                <c:ptCount val="1"/>
                <c:pt idx="0">
                  <c:v>Interest Coverage Ratio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Ratios!$H$34:$K$35</c:f>
              <c:multiLvlStrCache>
                <c:ptCount val="4"/>
                <c:lvl>
                  <c:pt idx="0">
                    <c:v>2023</c:v>
                  </c:pt>
                  <c:pt idx="1">
                    <c:v>2022</c:v>
                  </c:pt>
                  <c:pt idx="2">
                    <c:v>2023</c:v>
                  </c:pt>
                  <c:pt idx="3">
                    <c:v>2022</c:v>
                  </c:pt>
                </c:lvl>
                <c:lvl>
                  <c:pt idx="0">
                    <c:v>Microsoft </c:v>
                  </c:pt>
                  <c:pt idx="2">
                    <c:v>Apple </c:v>
                  </c:pt>
                </c:lvl>
              </c:multiLvlStrCache>
            </c:multiLvlStrRef>
          </c:cat>
          <c:val>
            <c:numRef>
              <c:f>Ratios!$H$38:$K$38</c:f>
              <c:numCache>
                <c:formatCode>0.00</c:formatCode>
                <c:ptCount val="4"/>
                <c:pt idx="0">
                  <c:v>11.872719957081552</c:v>
                </c:pt>
                <c:pt idx="1">
                  <c:v>14.195267279536946</c:v>
                </c:pt>
                <c:pt idx="2">
                  <c:v>15.33006974248927</c:v>
                </c:pt>
                <c:pt idx="3">
                  <c:v>20.333163091590066</c:v>
                </c:pt>
              </c:numCache>
            </c:numRef>
          </c:val>
          <c:extLst>
            <c:ext xmlns:c16="http://schemas.microsoft.com/office/drawing/2014/chart" uri="{C3380CC4-5D6E-409C-BE32-E72D297353CC}">
              <c16:uniqueId val="{00000002-46F0-4ED4-AF81-525319CC03E4}"/>
            </c:ext>
          </c:extLst>
        </c:ser>
        <c:dLbls>
          <c:showLegendKey val="0"/>
          <c:showVal val="0"/>
          <c:showCatName val="0"/>
          <c:showSerName val="0"/>
          <c:showPercent val="0"/>
          <c:showBubbleSize val="0"/>
        </c:dLbls>
        <c:gapWidth val="150"/>
        <c:axId val="161019008"/>
        <c:axId val="161218944"/>
      </c:barChart>
      <c:catAx>
        <c:axId val="16101900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1218944"/>
        <c:crosses val="autoZero"/>
        <c:auto val="1"/>
        <c:lblAlgn val="ctr"/>
        <c:lblOffset val="100"/>
        <c:noMultiLvlLbl val="0"/>
      </c:catAx>
      <c:valAx>
        <c:axId val="161218944"/>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101900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a:t>Efficiency Ratios</a:t>
            </a:r>
          </a:p>
        </c:rich>
      </c:tx>
      <c:overlay val="0"/>
      <c:spPr>
        <a:noFill/>
        <a:ln>
          <a:noFill/>
        </a:ln>
        <a:effectLst/>
      </c:spPr>
    </c:title>
    <c:autoTitleDeleted val="0"/>
    <c:plotArea>
      <c:layout/>
      <c:barChart>
        <c:barDir val="col"/>
        <c:grouping val="clustered"/>
        <c:varyColors val="0"/>
        <c:ser>
          <c:idx val="0"/>
          <c:order val="0"/>
          <c:tx>
            <c:strRef>
              <c:f>Ratios!$G$22</c:f>
              <c:strCache>
                <c:ptCount val="1"/>
                <c:pt idx="0">
                  <c:v>Account Receivable Days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Ratios!$H$20:$K$21</c:f>
              <c:multiLvlStrCache>
                <c:ptCount val="4"/>
                <c:lvl>
                  <c:pt idx="0">
                    <c:v>2023</c:v>
                  </c:pt>
                  <c:pt idx="1">
                    <c:v>2022</c:v>
                  </c:pt>
                  <c:pt idx="2">
                    <c:v>2023</c:v>
                  </c:pt>
                  <c:pt idx="3">
                    <c:v>2022</c:v>
                  </c:pt>
                </c:lvl>
                <c:lvl>
                  <c:pt idx="0">
                    <c:v>Microsoft </c:v>
                  </c:pt>
                  <c:pt idx="2">
                    <c:v>Apple </c:v>
                  </c:pt>
                </c:lvl>
              </c:multiLvlStrCache>
            </c:multiLvlStrRef>
          </c:cat>
          <c:val>
            <c:numRef>
              <c:f>Ratios!$H$22:$K$22</c:f>
              <c:numCache>
                <c:formatCode>0\ "Days"</c:formatCode>
                <c:ptCount val="4"/>
                <c:pt idx="0">
                  <c:v>269.81947375613015</c:v>
                </c:pt>
                <c:pt idx="1">
                  <c:v>257.86536312849171</c:v>
                </c:pt>
                <c:pt idx="2">
                  <c:v>50.296866025021366</c:v>
                </c:pt>
                <c:pt idx="3">
                  <c:v>70.742485404044913</c:v>
                </c:pt>
              </c:numCache>
            </c:numRef>
          </c:val>
          <c:extLst>
            <c:ext xmlns:c16="http://schemas.microsoft.com/office/drawing/2014/chart" uri="{C3380CC4-5D6E-409C-BE32-E72D297353CC}">
              <c16:uniqueId val="{00000000-0109-4D73-A146-F58F9ECF8E8F}"/>
            </c:ext>
          </c:extLst>
        </c:ser>
        <c:ser>
          <c:idx val="1"/>
          <c:order val="1"/>
          <c:tx>
            <c:strRef>
              <c:f>Ratios!$G$23</c:f>
              <c:strCache>
                <c:ptCount val="1"/>
                <c:pt idx="0">
                  <c:v>Account Payable Days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Ratios!$H$20:$K$21</c:f>
              <c:multiLvlStrCache>
                <c:ptCount val="4"/>
                <c:lvl>
                  <c:pt idx="0">
                    <c:v>2023</c:v>
                  </c:pt>
                  <c:pt idx="1">
                    <c:v>2022</c:v>
                  </c:pt>
                  <c:pt idx="2">
                    <c:v>2023</c:v>
                  </c:pt>
                  <c:pt idx="3">
                    <c:v>2022</c:v>
                  </c:pt>
                </c:lvl>
                <c:lvl>
                  <c:pt idx="0">
                    <c:v>Microsoft </c:v>
                  </c:pt>
                  <c:pt idx="2">
                    <c:v>Apple </c:v>
                  </c:pt>
                </c:lvl>
              </c:multiLvlStrCache>
            </c:multiLvlStrRef>
          </c:cat>
          <c:val>
            <c:numRef>
              <c:f>Ratios!$H$23:$K$23</c:f>
              <c:numCache>
                <c:formatCode>0\ "Days"</c:formatCode>
                <c:ptCount val="4"/>
                <c:pt idx="0">
                  <c:v>100.27898820278448</c:v>
                </c:pt>
                <c:pt idx="1">
                  <c:v>110.69433359936153</c:v>
                </c:pt>
                <c:pt idx="2">
                  <c:v>106.72146803214764</c:v>
                </c:pt>
                <c:pt idx="3">
                  <c:v>160.93011821176341</c:v>
                </c:pt>
              </c:numCache>
            </c:numRef>
          </c:val>
          <c:extLst>
            <c:ext xmlns:c16="http://schemas.microsoft.com/office/drawing/2014/chart" uri="{C3380CC4-5D6E-409C-BE32-E72D297353CC}">
              <c16:uniqueId val="{00000001-0109-4D73-A146-F58F9ECF8E8F}"/>
            </c:ext>
          </c:extLst>
        </c:ser>
        <c:ser>
          <c:idx val="2"/>
          <c:order val="2"/>
          <c:tx>
            <c:strRef>
              <c:f>Ratios!$G$24</c:f>
              <c:strCache>
                <c:ptCount val="1"/>
                <c:pt idx="0">
                  <c:v>Working Capital Cycle </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multiLvlStrRef>
              <c:f>Ratios!$H$20:$K$21</c:f>
              <c:multiLvlStrCache>
                <c:ptCount val="4"/>
                <c:lvl>
                  <c:pt idx="0">
                    <c:v>2023</c:v>
                  </c:pt>
                  <c:pt idx="1">
                    <c:v>2022</c:v>
                  </c:pt>
                  <c:pt idx="2">
                    <c:v>2023</c:v>
                  </c:pt>
                  <c:pt idx="3">
                    <c:v>2022</c:v>
                  </c:pt>
                </c:lvl>
                <c:lvl>
                  <c:pt idx="0">
                    <c:v>Microsoft </c:v>
                  </c:pt>
                  <c:pt idx="2">
                    <c:v>Apple </c:v>
                  </c:pt>
                </c:lvl>
              </c:multiLvlStrCache>
            </c:multiLvlStrRef>
          </c:cat>
          <c:val>
            <c:numRef>
              <c:f>Ratios!$H$24:$K$24</c:f>
              <c:numCache>
                <c:formatCode>0\ "Days"</c:formatCode>
                <c:ptCount val="4"/>
                <c:pt idx="0">
                  <c:v>169.54048555334558</c:v>
                </c:pt>
                <c:pt idx="1">
                  <c:v>147.17102952913012</c:v>
                </c:pt>
                <c:pt idx="2">
                  <c:v>-56.424602007126275</c:v>
                </c:pt>
                <c:pt idx="3">
                  <c:v>-90.187632807718472</c:v>
                </c:pt>
              </c:numCache>
            </c:numRef>
          </c:val>
          <c:extLst>
            <c:ext xmlns:c16="http://schemas.microsoft.com/office/drawing/2014/chart" uri="{C3380CC4-5D6E-409C-BE32-E72D297353CC}">
              <c16:uniqueId val="{00000002-0109-4D73-A146-F58F9ECF8E8F}"/>
            </c:ext>
          </c:extLst>
        </c:ser>
        <c:dLbls>
          <c:showLegendKey val="0"/>
          <c:showVal val="0"/>
          <c:showCatName val="0"/>
          <c:showSerName val="0"/>
          <c:showPercent val="0"/>
          <c:showBubbleSize val="0"/>
        </c:dLbls>
        <c:gapWidth val="100"/>
        <c:overlap val="-24"/>
        <c:axId val="112664576"/>
        <c:axId val="112666112"/>
      </c:barChart>
      <c:catAx>
        <c:axId val="11266457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2666112"/>
        <c:crosses val="autoZero"/>
        <c:auto val="1"/>
        <c:lblAlgn val="ctr"/>
        <c:lblOffset val="100"/>
        <c:noMultiLvlLbl val="0"/>
      </c:catAx>
      <c:valAx>
        <c:axId val="112666112"/>
        <c:scaling>
          <c:orientation val="minMax"/>
        </c:scaling>
        <c:delete val="0"/>
        <c:axPos val="l"/>
        <c:majorGridlines>
          <c:spPr>
            <a:ln w="9525" cap="flat" cmpd="sng" algn="ctr">
              <a:solidFill>
                <a:schemeClr val="lt1">
                  <a:lumMod val="95000"/>
                  <a:alpha val="10000"/>
                </a:schemeClr>
              </a:solidFill>
              <a:round/>
            </a:ln>
            <a:effectLst/>
          </c:spPr>
        </c:majorGridlines>
        <c:numFmt formatCode="0\ &quot;Day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266457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440DD2E6-080D-4228-B068-CC2DB4196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31</Pages>
  <Words>7524</Words>
  <Characters>42891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Michael Logue</cp:lastModifiedBy>
  <cp:revision>3</cp:revision>
  <dcterms:created xsi:type="dcterms:W3CDTF">2024-04-17T12:51:00Z</dcterms:created>
  <dcterms:modified xsi:type="dcterms:W3CDTF">2024-04-17T14:23:00Z</dcterms:modified>
</cp:coreProperties>
</file>