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0541F" w14:textId="77777777" w:rsidR="00A9723A" w:rsidRPr="001B63D4" w:rsidRDefault="00000000">
      <w:pPr>
        <w:spacing w:after="0" w:line="259" w:lineRule="auto"/>
        <w:ind w:left="0" w:right="1798" w:firstLine="0"/>
        <w:jc w:val="right"/>
      </w:pPr>
      <w:r w:rsidRPr="001B63D4">
        <w:rPr>
          <w:noProof/>
        </w:rPr>
        <w:drawing>
          <wp:inline distT="0" distB="0" distL="0" distR="0" wp14:anchorId="4FF8C8BB" wp14:editId="4624DDFB">
            <wp:extent cx="3381375" cy="1884459"/>
            <wp:effectExtent l="0" t="0" r="0" b="1905"/>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7"/>
                    <a:stretch>
                      <a:fillRect/>
                    </a:stretch>
                  </pic:blipFill>
                  <pic:spPr>
                    <a:xfrm>
                      <a:off x="0" y="0"/>
                      <a:ext cx="3391027" cy="1889838"/>
                    </a:xfrm>
                    <a:prstGeom prst="rect">
                      <a:avLst/>
                    </a:prstGeom>
                  </pic:spPr>
                </pic:pic>
              </a:graphicData>
            </a:graphic>
          </wp:inline>
        </w:drawing>
      </w:r>
      <w:r w:rsidRPr="001B63D4">
        <w:rPr>
          <w:rFonts w:eastAsia="Calibri"/>
        </w:rPr>
        <w:t xml:space="preserve"> </w:t>
      </w:r>
    </w:p>
    <w:p w14:paraId="0378269F" w14:textId="77777777" w:rsidR="00A9723A" w:rsidRPr="001B63D4" w:rsidRDefault="00000000">
      <w:pPr>
        <w:spacing w:after="184" w:line="259" w:lineRule="auto"/>
        <w:ind w:left="0" w:firstLine="0"/>
      </w:pPr>
      <w:r w:rsidRPr="001B63D4">
        <w:rPr>
          <w:rFonts w:eastAsia="Calibri"/>
        </w:rPr>
        <w:t xml:space="preserve"> </w:t>
      </w:r>
    </w:p>
    <w:p w14:paraId="79F2851B" w14:textId="64DE0D7C" w:rsidR="00A9723A" w:rsidRPr="001B63D4" w:rsidRDefault="00000000">
      <w:pPr>
        <w:spacing w:after="184" w:line="259" w:lineRule="auto"/>
        <w:ind w:left="0" w:firstLine="0"/>
      </w:pPr>
      <w:r w:rsidRPr="001B63D4">
        <w:rPr>
          <w:rFonts w:eastAsia="Calibri"/>
        </w:rPr>
        <w:t xml:space="preserve"> </w:t>
      </w:r>
    </w:p>
    <w:p w14:paraId="67E96207" w14:textId="77777777" w:rsidR="00A9723A" w:rsidRPr="001B63D4" w:rsidRDefault="00000000">
      <w:pPr>
        <w:spacing w:after="224" w:line="259" w:lineRule="auto"/>
        <w:ind w:left="0" w:firstLine="0"/>
      </w:pPr>
      <w:r w:rsidRPr="001B63D4">
        <w:rPr>
          <w:rFonts w:eastAsia="Calibri"/>
        </w:rPr>
        <w:t xml:space="preserve"> </w:t>
      </w:r>
    </w:p>
    <w:p w14:paraId="7F62A53E" w14:textId="4E0E9553" w:rsidR="00A9723A" w:rsidRPr="001B63D4" w:rsidRDefault="00306645" w:rsidP="00306645">
      <w:pPr>
        <w:spacing w:after="0" w:line="259" w:lineRule="auto"/>
        <w:ind w:left="0" w:firstLine="0"/>
      </w:pPr>
      <w:r>
        <w:rPr>
          <w:rFonts w:eastAsia="Calibri"/>
          <w:b/>
          <w:sz w:val="28"/>
        </w:rPr>
        <w:t xml:space="preserve">                            </w:t>
      </w:r>
      <w:r w:rsidR="00000000" w:rsidRPr="001B63D4">
        <w:rPr>
          <w:rFonts w:eastAsia="Calibri"/>
          <w:b/>
          <w:sz w:val="28"/>
        </w:rPr>
        <w:t>Student Name:</w:t>
      </w:r>
      <w:r w:rsidR="00980391" w:rsidRPr="001B63D4">
        <w:rPr>
          <w:rFonts w:eastAsia="Calibri"/>
          <w:b/>
          <w:sz w:val="28"/>
        </w:rPr>
        <w:t xml:space="preserve"> </w:t>
      </w:r>
      <w:proofErr w:type="spellStart"/>
      <w:r w:rsidR="00980391" w:rsidRPr="001B63D4">
        <w:rPr>
          <w:rFonts w:eastAsia="Calibri"/>
          <w:b/>
          <w:sz w:val="28"/>
        </w:rPr>
        <w:t>S</w:t>
      </w:r>
      <w:r w:rsidR="00000000" w:rsidRPr="001B63D4">
        <w:rPr>
          <w:rFonts w:eastAsia="Calibri"/>
          <w:b/>
          <w:sz w:val="28"/>
        </w:rPr>
        <w:t>hahbuddin</w:t>
      </w:r>
      <w:proofErr w:type="spellEnd"/>
      <w:r w:rsidR="00000000" w:rsidRPr="001B63D4">
        <w:rPr>
          <w:rFonts w:eastAsia="Calibri"/>
          <w:b/>
          <w:sz w:val="28"/>
        </w:rPr>
        <w:t xml:space="preserve"> </w:t>
      </w:r>
      <w:r w:rsidR="00980391" w:rsidRPr="001B63D4">
        <w:rPr>
          <w:rFonts w:eastAsia="Calibri"/>
          <w:b/>
          <w:sz w:val="28"/>
        </w:rPr>
        <w:t>S</w:t>
      </w:r>
      <w:r w:rsidR="00000000" w:rsidRPr="001B63D4">
        <w:rPr>
          <w:rFonts w:eastAsia="Calibri"/>
          <w:b/>
          <w:sz w:val="28"/>
        </w:rPr>
        <w:t xml:space="preserve">hah </w:t>
      </w:r>
    </w:p>
    <w:p w14:paraId="066A41A6" w14:textId="77777777" w:rsidR="00A9723A" w:rsidRPr="001B63D4" w:rsidRDefault="00000000">
      <w:pPr>
        <w:spacing w:after="224" w:line="259" w:lineRule="auto"/>
        <w:ind w:left="0" w:firstLine="0"/>
      </w:pPr>
      <w:r w:rsidRPr="001B63D4">
        <w:rPr>
          <w:rFonts w:eastAsia="Calibri"/>
        </w:rPr>
        <w:t xml:space="preserve"> </w:t>
      </w:r>
    </w:p>
    <w:p w14:paraId="760FB36D" w14:textId="77777777" w:rsidR="00306645" w:rsidRDefault="00306645">
      <w:pPr>
        <w:spacing w:after="0" w:line="259" w:lineRule="auto"/>
        <w:ind w:left="3282"/>
        <w:rPr>
          <w:rFonts w:eastAsia="Calibri"/>
          <w:b/>
          <w:sz w:val="28"/>
        </w:rPr>
      </w:pPr>
    </w:p>
    <w:p w14:paraId="020E255F" w14:textId="77777777" w:rsidR="00306645" w:rsidRDefault="00306645">
      <w:pPr>
        <w:spacing w:after="0" w:line="259" w:lineRule="auto"/>
        <w:ind w:left="3282"/>
        <w:rPr>
          <w:rFonts w:eastAsia="Calibri"/>
          <w:b/>
          <w:sz w:val="28"/>
        </w:rPr>
      </w:pPr>
    </w:p>
    <w:p w14:paraId="3565362D" w14:textId="2D286742" w:rsidR="00A9723A" w:rsidRPr="001B63D4" w:rsidRDefault="00000000">
      <w:pPr>
        <w:spacing w:after="0" w:line="259" w:lineRule="auto"/>
        <w:ind w:left="3282"/>
      </w:pPr>
      <w:r w:rsidRPr="001B63D4">
        <w:rPr>
          <w:rFonts w:eastAsia="Calibri"/>
          <w:b/>
          <w:sz w:val="28"/>
        </w:rPr>
        <w:t xml:space="preserve">Student ID:2519349 </w:t>
      </w:r>
    </w:p>
    <w:p w14:paraId="48514A08" w14:textId="6AE078A3" w:rsidR="00A9723A" w:rsidRPr="001B63D4" w:rsidRDefault="00000000" w:rsidP="00306645">
      <w:pPr>
        <w:spacing w:after="184" w:line="259" w:lineRule="auto"/>
        <w:ind w:left="0" w:firstLine="0"/>
      </w:pPr>
      <w:r w:rsidRPr="001B63D4">
        <w:rPr>
          <w:rFonts w:eastAsia="Calibri"/>
        </w:rPr>
        <w:t xml:space="preserve"> </w:t>
      </w:r>
    </w:p>
    <w:p w14:paraId="23A1909B" w14:textId="77777777" w:rsidR="00306645" w:rsidRDefault="00306645">
      <w:pPr>
        <w:spacing w:after="0" w:line="259" w:lineRule="auto"/>
        <w:ind w:left="0" w:right="2061" w:firstLine="0"/>
        <w:jc w:val="right"/>
        <w:rPr>
          <w:rFonts w:eastAsia="Calibri"/>
          <w:b/>
          <w:sz w:val="28"/>
        </w:rPr>
      </w:pPr>
    </w:p>
    <w:p w14:paraId="1F5CDF01" w14:textId="77777777" w:rsidR="00306645" w:rsidRDefault="00306645">
      <w:pPr>
        <w:spacing w:after="0" w:line="259" w:lineRule="auto"/>
        <w:ind w:left="0" w:right="2061" w:firstLine="0"/>
        <w:jc w:val="right"/>
        <w:rPr>
          <w:rFonts w:eastAsia="Calibri"/>
          <w:b/>
          <w:sz w:val="28"/>
        </w:rPr>
      </w:pPr>
    </w:p>
    <w:p w14:paraId="7191FE1A" w14:textId="73BC718B" w:rsidR="00A9723A" w:rsidRPr="001B63D4" w:rsidRDefault="00000000">
      <w:pPr>
        <w:spacing w:after="0" w:line="259" w:lineRule="auto"/>
        <w:ind w:left="0" w:right="2061" w:firstLine="0"/>
        <w:jc w:val="right"/>
      </w:pPr>
      <w:r w:rsidRPr="001B63D4">
        <w:rPr>
          <w:rFonts w:eastAsia="Calibri"/>
          <w:b/>
          <w:sz w:val="28"/>
        </w:rPr>
        <w:t>Module Name: Marketing Management</w:t>
      </w:r>
      <w:r w:rsidRPr="001B63D4">
        <w:rPr>
          <w:rFonts w:eastAsia="Calibri"/>
        </w:rPr>
        <w:t xml:space="preserve"> </w:t>
      </w:r>
    </w:p>
    <w:p w14:paraId="08CE2C8D" w14:textId="77777777" w:rsidR="00A9723A" w:rsidRPr="001B63D4" w:rsidRDefault="00000000">
      <w:pPr>
        <w:spacing w:after="225" w:line="259" w:lineRule="auto"/>
        <w:ind w:left="0" w:firstLine="0"/>
      </w:pPr>
      <w:r w:rsidRPr="001B63D4">
        <w:rPr>
          <w:rFonts w:eastAsia="Calibri"/>
        </w:rPr>
        <w:t xml:space="preserve"> </w:t>
      </w:r>
    </w:p>
    <w:p w14:paraId="7E0BB420" w14:textId="77777777" w:rsidR="00306645" w:rsidRDefault="00306645">
      <w:pPr>
        <w:spacing w:after="0" w:line="259" w:lineRule="auto"/>
        <w:ind w:left="2937"/>
        <w:rPr>
          <w:rFonts w:eastAsia="Calibri"/>
          <w:b/>
          <w:sz w:val="28"/>
        </w:rPr>
      </w:pPr>
    </w:p>
    <w:p w14:paraId="6D7B7DA6" w14:textId="77777777" w:rsidR="00306645" w:rsidRDefault="00306645">
      <w:pPr>
        <w:spacing w:after="0" w:line="259" w:lineRule="auto"/>
        <w:ind w:left="2937"/>
        <w:rPr>
          <w:rFonts w:eastAsia="Calibri"/>
          <w:b/>
          <w:sz w:val="28"/>
        </w:rPr>
      </w:pPr>
    </w:p>
    <w:p w14:paraId="688FCF7F" w14:textId="48E3FD5C" w:rsidR="00A9723A" w:rsidRPr="001B63D4" w:rsidRDefault="00000000">
      <w:pPr>
        <w:spacing w:after="0" w:line="259" w:lineRule="auto"/>
        <w:ind w:left="2937"/>
      </w:pPr>
      <w:r w:rsidRPr="001B63D4">
        <w:rPr>
          <w:rFonts w:eastAsia="Calibri"/>
          <w:b/>
          <w:sz w:val="28"/>
        </w:rPr>
        <w:t>Module Code: LCMB7024</w:t>
      </w:r>
      <w:r w:rsidRPr="001B63D4">
        <w:rPr>
          <w:rFonts w:eastAsia="Calibri"/>
        </w:rPr>
        <w:t xml:space="preserve"> </w:t>
      </w:r>
    </w:p>
    <w:p w14:paraId="288B1FE1" w14:textId="5E992303" w:rsidR="00A9723A" w:rsidRPr="001B63D4" w:rsidRDefault="00000000" w:rsidP="00306645">
      <w:pPr>
        <w:spacing w:after="189" w:line="259" w:lineRule="auto"/>
        <w:ind w:left="0" w:firstLine="0"/>
      </w:pPr>
      <w:r w:rsidRPr="001B63D4">
        <w:rPr>
          <w:rFonts w:eastAsia="Calibri"/>
        </w:rPr>
        <w:t xml:space="preserve"> </w:t>
      </w:r>
    </w:p>
    <w:p w14:paraId="7DF8F13E" w14:textId="77777777" w:rsidR="00306645" w:rsidRDefault="00306645">
      <w:pPr>
        <w:spacing w:after="0" w:line="259" w:lineRule="auto"/>
        <w:ind w:left="0" w:firstLine="0"/>
        <w:jc w:val="center"/>
        <w:rPr>
          <w:rFonts w:eastAsia="Calibri"/>
          <w:b/>
          <w:sz w:val="28"/>
        </w:rPr>
      </w:pPr>
    </w:p>
    <w:p w14:paraId="77BD7BDF" w14:textId="77777777" w:rsidR="00306645" w:rsidRDefault="00306645">
      <w:pPr>
        <w:spacing w:after="0" w:line="259" w:lineRule="auto"/>
        <w:ind w:left="0" w:firstLine="0"/>
        <w:jc w:val="center"/>
        <w:rPr>
          <w:rFonts w:eastAsia="Calibri"/>
          <w:b/>
          <w:sz w:val="28"/>
        </w:rPr>
      </w:pPr>
    </w:p>
    <w:p w14:paraId="7C52BA0D" w14:textId="3590313B" w:rsidR="00A9723A" w:rsidRPr="001B63D4" w:rsidRDefault="00000000">
      <w:pPr>
        <w:spacing w:after="0" w:line="259" w:lineRule="auto"/>
        <w:ind w:left="0" w:firstLine="0"/>
        <w:jc w:val="center"/>
      </w:pPr>
      <w:r w:rsidRPr="001B63D4">
        <w:rPr>
          <w:rFonts w:eastAsia="Calibri"/>
          <w:b/>
          <w:sz w:val="28"/>
        </w:rPr>
        <w:t>Lecturer’s Name:</w:t>
      </w:r>
      <w:r w:rsidR="00980391" w:rsidRPr="001B63D4">
        <w:rPr>
          <w:rFonts w:eastAsia="Calibri"/>
          <w:b/>
          <w:sz w:val="28"/>
        </w:rPr>
        <w:t xml:space="preserve"> Laila </w:t>
      </w:r>
      <w:proofErr w:type="spellStart"/>
      <w:r w:rsidR="00980391" w:rsidRPr="001B63D4">
        <w:rPr>
          <w:rFonts w:eastAsia="Calibri"/>
          <w:b/>
          <w:sz w:val="28"/>
        </w:rPr>
        <w:t>Maazouz</w:t>
      </w:r>
      <w:proofErr w:type="spellEnd"/>
      <w:r w:rsidRPr="001B63D4">
        <w:rPr>
          <w:rFonts w:eastAsia="Calibri"/>
        </w:rPr>
        <w:t xml:space="preserve"> </w:t>
      </w:r>
    </w:p>
    <w:p w14:paraId="10541AB7" w14:textId="0CEF56CB" w:rsidR="00A9723A" w:rsidRPr="001B63D4" w:rsidRDefault="00A9723A" w:rsidP="00306645">
      <w:pPr>
        <w:spacing w:after="184" w:line="259" w:lineRule="auto"/>
        <w:ind w:left="0" w:firstLine="0"/>
      </w:pPr>
    </w:p>
    <w:p w14:paraId="40D10137" w14:textId="77777777" w:rsidR="00306645" w:rsidRDefault="00306645">
      <w:pPr>
        <w:spacing w:after="0" w:line="259" w:lineRule="auto"/>
        <w:ind w:left="0" w:firstLine="0"/>
        <w:jc w:val="center"/>
        <w:rPr>
          <w:rFonts w:eastAsia="Calibri"/>
          <w:b/>
          <w:sz w:val="28"/>
        </w:rPr>
      </w:pPr>
    </w:p>
    <w:p w14:paraId="0B43237D" w14:textId="77777777" w:rsidR="00306645" w:rsidRDefault="00306645">
      <w:pPr>
        <w:spacing w:after="0" w:line="259" w:lineRule="auto"/>
        <w:ind w:left="0" w:firstLine="0"/>
        <w:jc w:val="center"/>
        <w:rPr>
          <w:rFonts w:eastAsia="Calibri"/>
          <w:b/>
          <w:sz w:val="28"/>
        </w:rPr>
      </w:pPr>
    </w:p>
    <w:p w14:paraId="059196E8" w14:textId="23D26939" w:rsidR="00A9723A" w:rsidRPr="001B63D4" w:rsidRDefault="00000000">
      <w:pPr>
        <w:spacing w:after="0" w:line="259" w:lineRule="auto"/>
        <w:ind w:left="0" w:firstLine="0"/>
        <w:jc w:val="center"/>
      </w:pPr>
      <w:r w:rsidRPr="001B63D4">
        <w:rPr>
          <w:rFonts w:eastAsia="Calibri"/>
          <w:b/>
          <w:sz w:val="28"/>
        </w:rPr>
        <w:t>Work Count:</w:t>
      </w:r>
      <w:r w:rsidRPr="001B63D4">
        <w:rPr>
          <w:rFonts w:eastAsia="Calibri"/>
        </w:rPr>
        <w:t xml:space="preserve"> </w:t>
      </w:r>
      <w:r w:rsidR="00306645" w:rsidRPr="00306645">
        <w:rPr>
          <w:rFonts w:eastAsia="Calibri"/>
          <w:b/>
          <w:bCs/>
          <w:sz w:val="28"/>
          <w:szCs w:val="28"/>
        </w:rPr>
        <w:t>2503</w:t>
      </w:r>
    </w:p>
    <w:p w14:paraId="3D56ED24" w14:textId="56029F2A" w:rsidR="00306645" w:rsidRDefault="00000000">
      <w:pPr>
        <w:spacing w:after="184" w:line="259" w:lineRule="auto"/>
        <w:ind w:left="0" w:firstLine="0"/>
        <w:rPr>
          <w:rFonts w:eastAsia="Calibri"/>
        </w:rPr>
      </w:pPr>
      <w:r w:rsidRPr="001B63D4">
        <w:rPr>
          <w:rFonts w:eastAsia="Calibri"/>
        </w:rPr>
        <w:t xml:space="preserve"> </w:t>
      </w:r>
    </w:p>
    <w:p w14:paraId="261A3226" w14:textId="62A6E539" w:rsidR="00A9723A" w:rsidRPr="00306645" w:rsidRDefault="00306645" w:rsidP="00306645">
      <w:pPr>
        <w:spacing w:after="160" w:line="278" w:lineRule="auto"/>
        <w:ind w:left="0" w:firstLine="0"/>
        <w:rPr>
          <w:rFonts w:eastAsia="Calibri"/>
        </w:rPr>
      </w:pPr>
      <w:r>
        <w:rPr>
          <w:rFonts w:eastAsia="Calibri"/>
        </w:rPr>
        <w:br w:type="page"/>
      </w:r>
    </w:p>
    <w:p w14:paraId="4AD45405" w14:textId="77777777" w:rsidR="00A9723A" w:rsidRPr="001B63D4" w:rsidRDefault="00000000">
      <w:pPr>
        <w:spacing w:after="184" w:line="259" w:lineRule="auto"/>
        <w:ind w:left="0" w:firstLine="0"/>
      </w:pPr>
      <w:r w:rsidRPr="001B63D4">
        <w:rPr>
          <w:rFonts w:eastAsia="Calibri"/>
        </w:rPr>
        <w:lastRenderedPageBreak/>
        <w:t xml:space="preserve"> </w:t>
      </w:r>
    </w:p>
    <w:sdt>
      <w:sdtPr>
        <w:id w:val="-781805684"/>
        <w:docPartObj>
          <w:docPartGallery w:val="Table of Contents"/>
          <w:docPartUnique/>
        </w:docPartObj>
      </w:sdtPr>
      <w:sdtEndPr>
        <w:rPr>
          <w:rFonts w:ascii="Arial" w:eastAsia="Arial" w:hAnsi="Arial" w:cs="Arial"/>
          <w:b/>
          <w:bCs/>
          <w:color w:val="000000"/>
          <w:kern w:val="2"/>
          <w:sz w:val="24"/>
          <w:szCs w:val="24"/>
          <w:lang w:val="en-IN" w:eastAsia="en-IN"/>
          <w14:ligatures w14:val="standardContextual"/>
        </w:rPr>
      </w:sdtEndPr>
      <w:sdtContent>
        <w:p w14:paraId="7285FCC0" w14:textId="7862285E" w:rsidR="003D4E3D" w:rsidRDefault="003D4E3D">
          <w:pPr>
            <w:pStyle w:val="TOCHeading"/>
          </w:pPr>
          <w:r>
            <w:t>Table of Contents</w:t>
          </w:r>
        </w:p>
        <w:p w14:paraId="63917E99" w14:textId="691783F7" w:rsidR="00306645" w:rsidRDefault="003D4E3D">
          <w:pPr>
            <w:pStyle w:val="TOC1"/>
            <w:tabs>
              <w:tab w:val="right" w:leader="dot" w:pos="9014"/>
            </w:tabs>
            <w:rPr>
              <w:rFonts w:asciiTheme="minorHAnsi" w:eastAsiaTheme="minorEastAsia" w:hAnsiTheme="minorHAnsi" w:cstheme="minorBidi"/>
              <w:noProof/>
              <w:color w:val="auto"/>
              <w:lang w:val="en-GB" w:eastAsia="en-GB"/>
            </w:rPr>
          </w:pPr>
          <w:r>
            <w:fldChar w:fldCharType="begin"/>
          </w:r>
          <w:r>
            <w:instrText xml:space="preserve"> TOC \o "1-3" \h \z \u </w:instrText>
          </w:r>
          <w:r>
            <w:fldChar w:fldCharType="separate"/>
          </w:r>
          <w:hyperlink w:anchor="_Toc225506398" w:history="1">
            <w:r w:rsidR="00306645" w:rsidRPr="000B4166">
              <w:rPr>
                <w:rStyle w:val="Hyperlink"/>
                <w:noProof/>
              </w:rPr>
              <w:t>Introduction</w:t>
            </w:r>
            <w:r w:rsidR="00306645">
              <w:rPr>
                <w:noProof/>
                <w:webHidden/>
              </w:rPr>
              <w:tab/>
            </w:r>
            <w:r w:rsidR="00306645">
              <w:rPr>
                <w:noProof/>
                <w:webHidden/>
              </w:rPr>
              <w:fldChar w:fldCharType="begin"/>
            </w:r>
            <w:r w:rsidR="00306645">
              <w:rPr>
                <w:noProof/>
                <w:webHidden/>
              </w:rPr>
              <w:instrText xml:space="preserve"> PAGEREF _Toc225506398 \h </w:instrText>
            </w:r>
            <w:r w:rsidR="00306645">
              <w:rPr>
                <w:noProof/>
                <w:webHidden/>
              </w:rPr>
            </w:r>
            <w:r w:rsidR="00306645">
              <w:rPr>
                <w:noProof/>
                <w:webHidden/>
              </w:rPr>
              <w:fldChar w:fldCharType="separate"/>
            </w:r>
            <w:r w:rsidR="00306645">
              <w:rPr>
                <w:noProof/>
                <w:webHidden/>
              </w:rPr>
              <w:t>1</w:t>
            </w:r>
            <w:r w:rsidR="00306645">
              <w:rPr>
                <w:noProof/>
                <w:webHidden/>
              </w:rPr>
              <w:fldChar w:fldCharType="end"/>
            </w:r>
          </w:hyperlink>
        </w:p>
        <w:p w14:paraId="5FB2ADF0" w14:textId="044E1C42" w:rsidR="00306645" w:rsidRDefault="00306645">
          <w:pPr>
            <w:pStyle w:val="TOC1"/>
            <w:tabs>
              <w:tab w:val="right" w:leader="dot" w:pos="9014"/>
            </w:tabs>
            <w:rPr>
              <w:rFonts w:asciiTheme="minorHAnsi" w:eastAsiaTheme="minorEastAsia" w:hAnsiTheme="minorHAnsi" w:cstheme="minorBidi"/>
              <w:noProof/>
              <w:color w:val="auto"/>
              <w:lang w:val="en-GB" w:eastAsia="en-GB"/>
            </w:rPr>
          </w:pPr>
          <w:hyperlink w:anchor="_Toc225506399" w:history="1">
            <w:r w:rsidRPr="000B4166">
              <w:rPr>
                <w:rStyle w:val="Hyperlink"/>
                <w:noProof/>
              </w:rPr>
              <w:t>Task 1: Critical Analysis of the Macro Marketing Environment</w:t>
            </w:r>
            <w:r>
              <w:rPr>
                <w:noProof/>
                <w:webHidden/>
              </w:rPr>
              <w:tab/>
            </w:r>
            <w:r>
              <w:rPr>
                <w:noProof/>
                <w:webHidden/>
              </w:rPr>
              <w:fldChar w:fldCharType="begin"/>
            </w:r>
            <w:r>
              <w:rPr>
                <w:noProof/>
                <w:webHidden/>
              </w:rPr>
              <w:instrText xml:space="preserve"> PAGEREF _Toc225506399 \h </w:instrText>
            </w:r>
            <w:r>
              <w:rPr>
                <w:noProof/>
                <w:webHidden/>
              </w:rPr>
            </w:r>
            <w:r>
              <w:rPr>
                <w:noProof/>
                <w:webHidden/>
              </w:rPr>
              <w:fldChar w:fldCharType="separate"/>
            </w:r>
            <w:r>
              <w:rPr>
                <w:noProof/>
                <w:webHidden/>
              </w:rPr>
              <w:t>1</w:t>
            </w:r>
            <w:r>
              <w:rPr>
                <w:noProof/>
                <w:webHidden/>
              </w:rPr>
              <w:fldChar w:fldCharType="end"/>
            </w:r>
          </w:hyperlink>
        </w:p>
        <w:p w14:paraId="64C7C1C7" w14:textId="3F3B2E1A" w:rsidR="00306645" w:rsidRDefault="00306645">
          <w:pPr>
            <w:pStyle w:val="TOC3"/>
            <w:tabs>
              <w:tab w:val="right" w:leader="dot" w:pos="9014"/>
            </w:tabs>
            <w:rPr>
              <w:rFonts w:asciiTheme="minorHAnsi" w:eastAsiaTheme="minorEastAsia" w:hAnsiTheme="minorHAnsi" w:cstheme="minorBidi"/>
              <w:noProof/>
              <w:color w:val="auto"/>
              <w:lang w:val="en-GB" w:eastAsia="en-GB"/>
            </w:rPr>
          </w:pPr>
          <w:hyperlink w:anchor="_Toc225506400" w:history="1">
            <w:r w:rsidRPr="000B4166">
              <w:rPr>
                <w:rStyle w:val="Hyperlink"/>
                <w:noProof/>
              </w:rPr>
              <w:t>2.1 Macro Marketing Environment</w:t>
            </w:r>
            <w:r>
              <w:rPr>
                <w:noProof/>
                <w:webHidden/>
              </w:rPr>
              <w:tab/>
            </w:r>
            <w:r>
              <w:rPr>
                <w:noProof/>
                <w:webHidden/>
              </w:rPr>
              <w:fldChar w:fldCharType="begin"/>
            </w:r>
            <w:r>
              <w:rPr>
                <w:noProof/>
                <w:webHidden/>
              </w:rPr>
              <w:instrText xml:space="preserve"> PAGEREF _Toc225506400 \h </w:instrText>
            </w:r>
            <w:r>
              <w:rPr>
                <w:noProof/>
                <w:webHidden/>
              </w:rPr>
            </w:r>
            <w:r>
              <w:rPr>
                <w:noProof/>
                <w:webHidden/>
              </w:rPr>
              <w:fldChar w:fldCharType="separate"/>
            </w:r>
            <w:r>
              <w:rPr>
                <w:noProof/>
                <w:webHidden/>
              </w:rPr>
              <w:t>1</w:t>
            </w:r>
            <w:r>
              <w:rPr>
                <w:noProof/>
                <w:webHidden/>
              </w:rPr>
              <w:fldChar w:fldCharType="end"/>
            </w:r>
          </w:hyperlink>
        </w:p>
        <w:p w14:paraId="5E61D738" w14:textId="15C339E2" w:rsidR="00306645" w:rsidRDefault="00306645">
          <w:pPr>
            <w:pStyle w:val="TOC3"/>
            <w:tabs>
              <w:tab w:val="right" w:leader="dot" w:pos="9014"/>
            </w:tabs>
            <w:rPr>
              <w:rFonts w:asciiTheme="minorHAnsi" w:eastAsiaTheme="minorEastAsia" w:hAnsiTheme="minorHAnsi" w:cstheme="minorBidi"/>
              <w:noProof/>
              <w:color w:val="auto"/>
              <w:lang w:val="en-GB" w:eastAsia="en-GB"/>
            </w:rPr>
          </w:pPr>
          <w:hyperlink w:anchor="_Toc225506401" w:history="1">
            <w:r w:rsidRPr="000B4166">
              <w:rPr>
                <w:rStyle w:val="Hyperlink"/>
                <w:noProof/>
              </w:rPr>
              <w:t>2.2 Analysis of Macro Factor 1: Technological</w:t>
            </w:r>
            <w:r>
              <w:rPr>
                <w:noProof/>
                <w:webHidden/>
              </w:rPr>
              <w:tab/>
            </w:r>
            <w:r>
              <w:rPr>
                <w:noProof/>
                <w:webHidden/>
              </w:rPr>
              <w:fldChar w:fldCharType="begin"/>
            </w:r>
            <w:r>
              <w:rPr>
                <w:noProof/>
                <w:webHidden/>
              </w:rPr>
              <w:instrText xml:space="preserve"> PAGEREF _Toc225506401 \h </w:instrText>
            </w:r>
            <w:r>
              <w:rPr>
                <w:noProof/>
                <w:webHidden/>
              </w:rPr>
            </w:r>
            <w:r>
              <w:rPr>
                <w:noProof/>
                <w:webHidden/>
              </w:rPr>
              <w:fldChar w:fldCharType="separate"/>
            </w:r>
            <w:r>
              <w:rPr>
                <w:noProof/>
                <w:webHidden/>
              </w:rPr>
              <w:t>2</w:t>
            </w:r>
            <w:r>
              <w:rPr>
                <w:noProof/>
                <w:webHidden/>
              </w:rPr>
              <w:fldChar w:fldCharType="end"/>
            </w:r>
          </w:hyperlink>
        </w:p>
        <w:p w14:paraId="6A8A56B5" w14:textId="24661CA1" w:rsidR="00306645" w:rsidRDefault="00306645">
          <w:pPr>
            <w:pStyle w:val="TOC3"/>
            <w:tabs>
              <w:tab w:val="right" w:leader="dot" w:pos="9014"/>
            </w:tabs>
            <w:rPr>
              <w:rFonts w:asciiTheme="minorHAnsi" w:eastAsiaTheme="minorEastAsia" w:hAnsiTheme="minorHAnsi" w:cstheme="minorBidi"/>
              <w:noProof/>
              <w:color w:val="auto"/>
              <w:lang w:val="en-GB" w:eastAsia="en-GB"/>
            </w:rPr>
          </w:pPr>
          <w:hyperlink w:anchor="_Toc225506402" w:history="1">
            <w:r w:rsidRPr="000B4166">
              <w:rPr>
                <w:rStyle w:val="Hyperlink"/>
                <w:noProof/>
              </w:rPr>
              <w:t>2.3 Analysis of Macro Factor 2: Political</w:t>
            </w:r>
            <w:r>
              <w:rPr>
                <w:noProof/>
                <w:webHidden/>
              </w:rPr>
              <w:tab/>
            </w:r>
            <w:r>
              <w:rPr>
                <w:noProof/>
                <w:webHidden/>
              </w:rPr>
              <w:fldChar w:fldCharType="begin"/>
            </w:r>
            <w:r>
              <w:rPr>
                <w:noProof/>
                <w:webHidden/>
              </w:rPr>
              <w:instrText xml:space="preserve"> PAGEREF _Toc225506402 \h </w:instrText>
            </w:r>
            <w:r>
              <w:rPr>
                <w:noProof/>
                <w:webHidden/>
              </w:rPr>
            </w:r>
            <w:r>
              <w:rPr>
                <w:noProof/>
                <w:webHidden/>
              </w:rPr>
              <w:fldChar w:fldCharType="separate"/>
            </w:r>
            <w:r>
              <w:rPr>
                <w:noProof/>
                <w:webHidden/>
              </w:rPr>
              <w:t>3</w:t>
            </w:r>
            <w:r>
              <w:rPr>
                <w:noProof/>
                <w:webHidden/>
              </w:rPr>
              <w:fldChar w:fldCharType="end"/>
            </w:r>
          </w:hyperlink>
        </w:p>
        <w:p w14:paraId="582D5603" w14:textId="49DEF6DA" w:rsidR="00306645" w:rsidRDefault="00306645">
          <w:pPr>
            <w:pStyle w:val="TOC1"/>
            <w:tabs>
              <w:tab w:val="right" w:leader="dot" w:pos="9014"/>
            </w:tabs>
            <w:rPr>
              <w:rFonts w:asciiTheme="minorHAnsi" w:eastAsiaTheme="minorEastAsia" w:hAnsiTheme="minorHAnsi" w:cstheme="minorBidi"/>
              <w:noProof/>
              <w:color w:val="auto"/>
              <w:lang w:val="en-GB" w:eastAsia="en-GB"/>
            </w:rPr>
          </w:pPr>
          <w:hyperlink w:anchor="_Toc225506403" w:history="1">
            <w:r w:rsidRPr="000B4166">
              <w:rPr>
                <w:rStyle w:val="Hyperlink"/>
                <w:noProof/>
              </w:rPr>
              <w:t>Task 2: Strategic Responses of Pioneering and Follower Organisations</w:t>
            </w:r>
            <w:r>
              <w:rPr>
                <w:noProof/>
                <w:webHidden/>
              </w:rPr>
              <w:tab/>
            </w:r>
            <w:r>
              <w:rPr>
                <w:noProof/>
                <w:webHidden/>
              </w:rPr>
              <w:fldChar w:fldCharType="begin"/>
            </w:r>
            <w:r>
              <w:rPr>
                <w:noProof/>
                <w:webHidden/>
              </w:rPr>
              <w:instrText xml:space="preserve"> PAGEREF _Toc225506403 \h </w:instrText>
            </w:r>
            <w:r>
              <w:rPr>
                <w:noProof/>
                <w:webHidden/>
              </w:rPr>
            </w:r>
            <w:r>
              <w:rPr>
                <w:noProof/>
                <w:webHidden/>
              </w:rPr>
              <w:fldChar w:fldCharType="separate"/>
            </w:r>
            <w:r>
              <w:rPr>
                <w:noProof/>
                <w:webHidden/>
              </w:rPr>
              <w:t>4</w:t>
            </w:r>
            <w:r>
              <w:rPr>
                <w:noProof/>
                <w:webHidden/>
              </w:rPr>
              <w:fldChar w:fldCharType="end"/>
            </w:r>
          </w:hyperlink>
        </w:p>
        <w:p w14:paraId="5E499F62" w14:textId="604DB599" w:rsidR="00306645" w:rsidRDefault="00306645">
          <w:pPr>
            <w:pStyle w:val="TOC3"/>
            <w:tabs>
              <w:tab w:val="right" w:leader="dot" w:pos="9014"/>
            </w:tabs>
            <w:rPr>
              <w:rFonts w:asciiTheme="minorHAnsi" w:eastAsiaTheme="minorEastAsia" w:hAnsiTheme="minorHAnsi" w:cstheme="minorBidi"/>
              <w:noProof/>
              <w:color w:val="auto"/>
              <w:lang w:val="en-GB" w:eastAsia="en-GB"/>
            </w:rPr>
          </w:pPr>
          <w:hyperlink w:anchor="_Toc225506404" w:history="1">
            <w:r w:rsidRPr="000B4166">
              <w:rPr>
                <w:rStyle w:val="Hyperlink"/>
                <w:noProof/>
              </w:rPr>
              <w:t>3.1 Pioneering Organisation’s Strategic Responses (Tesla)</w:t>
            </w:r>
            <w:r>
              <w:rPr>
                <w:noProof/>
                <w:webHidden/>
              </w:rPr>
              <w:tab/>
            </w:r>
            <w:r>
              <w:rPr>
                <w:noProof/>
                <w:webHidden/>
              </w:rPr>
              <w:fldChar w:fldCharType="begin"/>
            </w:r>
            <w:r>
              <w:rPr>
                <w:noProof/>
                <w:webHidden/>
              </w:rPr>
              <w:instrText xml:space="preserve"> PAGEREF _Toc225506404 \h </w:instrText>
            </w:r>
            <w:r>
              <w:rPr>
                <w:noProof/>
                <w:webHidden/>
              </w:rPr>
            </w:r>
            <w:r>
              <w:rPr>
                <w:noProof/>
                <w:webHidden/>
              </w:rPr>
              <w:fldChar w:fldCharType="separate"/>
            </w:r>
            <w:r>
              <w:rPr>
                <w:noProof/>
                <w:webHidden/>
              </w:rPr>
              <w:t>4</w:t>
            </w:r>
            <w:r>
              <w:rPr>
                <w:noProof/>
                <w:webHidden/>
              </w:rPr>
              <w:fldChar w:fldCharType="end"/>
            </w:r>
          </w:hyperlink>
        </w:p>
        <w:p w14:paraId="49745AD4" w14:textId="4F1C13F4" w:rsidR="00306645" w:rsidRDefault="00306645">
          <w:pPr>
            <w:pStyle w:val="TOC3"/>
            <w:tabs>
              <w:tab w:val="right" w:leader="dot" w:pos="9014"/>
            </w:tabs>
            <w:rPr>
              <w:rFonts w:asciiTheme="minorHAnsi" w:eastAsiaTheme="minorEastAsia" w:hAnsiTheme="minorHAnsi" w:cstheme="minorBidi"/>
              <w:noProof/>
              <w:color w:val="auto"/>
              <w:lang w:val="en-GB" w:eastAsia="en-GB"/>
            </w:rPr>
          </w:pPr>
          <w:hyperlink w:anchor="_Toc225506405" w:history="1">
            <w:r w:rsidRPr="000B4166">
              <w:rPr>
                <w:rStyle w:val="Hyperlink"/>
                <w:noProof/>
              </w:rPr>
              <w:t>3.2 Follower Organisation’s Strategic Responses (Volkswagen)</w:t>
            </w:r>
            <w:r>
              <w:rPr>
                <w:noProof/>
                <w:webHidden/>
              </w:rPr>
              <w:tab/>
            </w:r>
            <w:r>
              <w:rPr>
                <w:noProof/>
                <w:webHidden/>
              </w:rPr>
              <w:fldChar w:fldCharType="begin"/>
            </w:r>
            <w:r>
              <w:rPr>
                <w:noProof/>
                <w:webHidden/>
              </w:rPr>
              <w:instrText xml:space="preserve"> PAGEREF _Toc225506405 \h </w:instrText>
            </w:r>
            <w:r>
              <w:rPr>
                <w:noProof/>
                <w:webHidden/>
              </w:rPr>
            </w:r>
            <w:r>
              <w:rPr>
                <w:noProof/>
                <w:webHidden/>
              </w:rPr>
              <w:fldChar w:fldCharType="separate"/>
            </w:r>
            <w:r>
              <w:rPr>
                <w:noProof/>
                <w:webHidden/>
              </w:rPr>
              <w:t>5</w:t>
            </w:r>
            <w:r>
              <w:rPr>
                <w:noProof/>
                <w:webHidden/>
              </w:rPr>
              <w:fldChar w:fldCharType="end"/>
            </w:r>
          </w:hyperlink>
        </w:p>
        <w:p w14:paraId="0FCD43E5" w14:textId="593F068E" w:rsidR="00306645" w:rsidRDefault="00306645">
          <w:pPr>
            <w:pStyle w:val="TOC2"/>
            <w:tabs>
              <w:tab w:val="right" w:leader="dot" w:pos="9014"/>
            </w:tabs>
            <w:rPr>
              <w:rFonts w:asciiTheme="minorHAnsi" w:eastAsiaTheme="minorEastAsia" w:hAnsiTheme="minorHAnsi" w:cstheme="minorBidi"/>
              <w:noProof/>
              <w:color w:val="auto"/>
              <w:lang w:val="en-GB" w:eastAsia="en-GB"/>
            </w:rPr>
          </w:pPr>
          <w:hyperlink w:anchor="_Toc225506406" w:history="1">
            <w:r w:rsidRPr="000B4166">
              <w:rPr>
                <w:rStyle w:val="Hyperlink"/>
                <w:noProof/>
              </w:rPr>
              <w:t>Comparative Strategic Insights</w:t>
            </w:r>
            <w:r>
              <w:rPr>
                <w:noProof/>
                <w:webHidden/>
              </w:rPr>
              <w:tab/>
            </w:r>
            <w:r>
              <w:rPr>
                <w:noProof/>
                <w:webHidden/>
              </w:rPr>
              <w:fldChar w:fldCharType="begin"/>
            </w:r>
            <w:r>
              <w:rPr>
                <w:noProof/>
                <w:webHidden/>
              </w:rPr>
              <w:instrText xml:space="preserve"> PAGEREF _Toc225506406 \h </w:instrText>
            </w:r>
            <w:r>
              <w:rPr>
                <w:noProof/>
                <w:webHidden/>
              </w:rPr>
            </w:r>
            <w:r>
              <w:rPr>
                <w:noProof/>
                <w:webHidden/>
              </w:rPr>
              <w:fldChar w:fldCharType="separate"/>
            </w:r>
            <w:r>
              <w:rPr>
                <w:noProof/>
                <w:webHidden/>
              </w:rPr>
              <w:t>6</w:t>
            </w:r>
            <w:r>
              <w:rPr>
                <w:noProof/>
                <w:webHidden/>
              </w:rPr>
              <w:fldChar w:fldCharType="end"/>
            </w:r>
          </w:hyperlink>
        </w:p>
        <w:p w14:paraId="50B2699A" w14:textId="1FB3FED6" w:rsidR="00306645" w:rsidRDefault="00306645">
          <w:pPr>
            <w:pStyle w:val="TOC1"/>
            <w:tabs>
              <w:tab w:val="right" w:leader="dot" w:pos="9014"/>
            </w:tabs>
            <w:rPr>
              <w:rFonts w:asciiTheme="minorHAnsi" w:eastAsiaTheme="minorEastAsia" w:hAnsiTheme="minorHAnsi" w:cstheme="minorBidi"/>
              <w:noProof/>
              <w:color w:val="auto"/>
              <w:lang w:val="en-GB" w:eastAsia="en-GB"/>
            </w:rPr>
          </w:pPr>
          <w:hyperlink w:anchor="_Toc225506407" w:history="1">
            <w:r w:rsidRPr="000B4166">
              <w:rPr>
                <w:rStyle w:val="Hyperlink"/>
                <w:noProof/>
              </w:rPr>
              <w:t>Conclusion</w:t>
            </w:r>
            <w:r>
              <w:rPr>
                <w:noProof/>
                <w:webHidden/>
              </w:rPr>
              <w:tab/>
            </w:r>
            <w:r>
              <w:rPr>
                <w:noProof/>
                <w:webHidden/>
              </w:rPr>
              <w:fldChar w:fldCharType="begin"/>
            </w:r>
            <w:r>
              <w:rPr>
                <w:noProof/>
                <w:webHidden/>
              </w:rPr>
              <w:instrText xml:space="preserve"> PAGEREF _Toc225506407 \h </w:instrText>
            </w:r>
            <w:r>
              <w:rPr>
                <w:noProof/>
                <w:webHidden/>
              </w:rPr>
            </w:r>
            <w:r>
              <w:rPr>
                <w:noProof/>
                <w:webHidden/>
              </w:rPr>
              <w:fldChar w:fldCharType="separate"/>
            </w:r>
            <w:r>
              <w:rPr>
                <w:noProof/>
                <w:webHidden/>
              </w:rPr>
              <w:t>6</w:t>
            </w:r>
            <w:r>
              <w:rPr>
                <w:noProof/>
                <w:webHidden/>
              </w:rPr>
              <w:fldChar w:fldCharType="end"/>
            </w:r>
          </w:hyperlink>
        </w:p>
        <w:p w14:paraId="678A28BC" w14:textId="6D5D1C3D" w:rsidR="00306645" w:rsidRDefault="00306645">
          <w:pPr>
            <w:pStyle w:val="TOC1"/>
            <w:tabs>
              <w:tab w:val="right" w:leader="dot" w:pos="9014"/>
            </w:tabs>
            <w:rPr>
              <w:rFonts w:asciiTheme="minorHAnsi" w:eastAsiaTheme="minorEastAsia" w:hAnsiTheme="minorHAnsi" w:cstheme="minorBidi"/>
              <w:noProof/>
              <w:color w:val="auto"/>
              <w:lang w:val="en-GB" w:eastAsia="en-GB"/>
            </w:rPr>
          </w:pPr>
          <w:hyperlink w:anchor="_Toc225506408" w:history="1">
            <w:r w:rsidRPr="000B4166">
              <w:rPr>
                <w:rStyle w:val="Hyperlink"/>
                <w:noProof/>
              </w:rPr>
              <w:t>References</w:t>
            </w:r>
            <w:r>
              <w:rPr>
                <w:noProof/>
                <w:webHidden/>
              </w:rPr>
              <w:tab/>
            </w:r>
            <w:r>
              <w:rPr>
                <w:noProof/>
                <w:webHidden/>
              </w:rPr>
              <w:fldChar w:fldCharType="begin"/>
            </w:r>
            <w:r>
              <w:rPr>
                <w:noProof/>
                <w:webHidden/>
              </w:rPr>
              <w:instrText xml:space="preserve"> PAGEREF _Toc225506408 \h </w:instrText>
            </w:r>
            <w:r>
              <w:rPr>
                <w:noProof/>
                <w:webHidden/>
              </w:rPr>
            </w:r>
            <w:r>
              <w:rPr>
                <w:noProof/>
                <w:webHidden/>
              </w:rPr>
              <w:fldChar w:fldCharType="separate"/>
            </w:r>
            <w:r>
              <w:rPr>
                <w:noProof/>
                <w:webHidden/>
              </w:rPr>
              <w:t>7</w:t>
            </w:r>
            <w:r>
              <w:rPr>
                <w:noProof/>
                <w:webHidden/>
              </w:rPr>
              <w:fldChar w:fldCharType="end"/>
            </w:r>
          </w:hyperlink>
        </w:p>
        <w:p w14:paraId="193E52DB" w14:textId="3A49B4CD" w:rsidR="003D4E3D" w:rsidRDefault="003D4E3D">
          <w:r>
            <w:rPr>
              <w:b/>
              <w:bCs/>
            </w:rPr>
            <w:fldChar w:fldCharType="end"/>
          </w:r>
        </w:p>
      </w:sdtContent>
    </w:sdt>
    <w:p w14:paraId="29A6D39A" w14:textId="77777777" w:rsidR="00A9723A" w:rsidRPr="001B63D4" w:rsidRDefault="00000000">
      <w:pPr>
        <w:spacing w:after="323" w:line="259" w:lineRule="auto"/>
        <w:ind w:left="0" w:firstLine="0"/>
      </w:pPr>
      <w:r w:rsidRPr="001B63D4">
        <w:rPr>
          <w:b/>
        </w:rPr>
        <w:t xml:space="preserve"> </w:t>
      </w:r>
    </w:p>
    <w:p w14:paraId="2A439AB5" w14:textId="77777777" w:rsidR="00306645" w:rsidRDefault="00306645">
      <w:pPr>
        <w:spacing w:after="160" w:line="278" w:lineRule="auto"/>
        <w:ind w:left="0" w:firstLine="0"/>
        <w:rPr>
          <w:b/>
          <w:sz w:val="32"/>
          <w:szCs w:val="32"/>
        </w:rPr>
      </w:pPr>
      <w:r>
        <w:rPr>
          <w:sz w:val="32"/>
          <w:szCs w:val="32"/>
        </w:rPr>
        <w:br w:type="page"/>
      </w:r>
    </w:p>
    <w:p w14:paraId="29B51C39" w14:textId="77777777" w:rsidR="00306645" w:rsidRDefault="00306645" w:rsidP="005B319E">
      <w:pPr>
        <w:pStyle w:val="Heading1"/>
        <w:rPr>
          <w:sz w:val="32"/>
          <w:szCs w:val="32"/>
        </w:rPr>
        <w:sectPr w:rsidR="00306645" w:rsidSect="005B319E">
          <w:pgSz w:w="11905" w:h="16840"/>
          <w:pgMar w:top="1440" w:right="1440" w:bottom="1550" w:left="1441"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001071F2" w14:textId="37B4B2FE" w:rsidR="00A9723A" w:rsidRPr="005B319E" w:rsidRDefault="00000000" w:rsidP="005B319E">
      <w:pPr>
        <w:pStyle w:val="Heading1"/>
        <w:rPr>
          <w:sz w:val="32"/>
          <w:szCs w:val="32"/>
        </w:rPr>
      </w:pPr>
      <w:bookmarkStart w:id="0" w:name="_Toc225506398"/>
      <w:r w:rsidRPr="005B319E">
        <w:rPr>
          <w:sz w:val="32"/>
          <w:szCs w:val="32"/>
        </w:rPr>
        <w:lastRenderedPageBreak/>
        <w:t>Introduction</w:t>
      </w:r>
      <w:bookmarkEnd w:id="0"/>
      <w:r w:rsidRPr="005B319E">
        <w:rPr>
          <w:sz w:val="32"/>
          <w:szCs w:val="32"/>
        </w:rPr>
        <w:t xml:space="preserve"> </w:t>
      </w:r>
    </w:p>
    <w:p w14:paraId="739666E6" w14:textId="77777777" w:rsidR="00F85301" w:rsidRPr="001B63D4" w:rsidRDefault="00F85301" w:rsidP="005B319E">
      <w:pPr>
        <w:spacing w:after="262" w:line="259" w:lineRule="auto"/>
        <w:ind w:left="0" w:firstLine="0"/>
        <w:jc w:val="both"/>
      </w:pPr>
      <w:r w:rsidRPr="001B63D4">
        <w:t>Strategic marketing management is a crucial concept that has a significant role in helping organisations respond to a changing external business environment. This report aims to examine the Electric Vehicle Industry, a dynamic industry that is characterised by significant technological, governmental, and consumer factors. The global electric vehicle market has witnessed substantial growth in recent times, driven by factors such as environmental concerns, advancements in battery technology, and governmental initiatives that encourage consumers to adopt electric vehicles to combat global warming. According to the International Energy Agency, “the global electric vehicle market has witnessed significant growth in recent times, driven by factors such as environmental concerns, advancements in battery technology, and governmental initiatives that encourage consumers to adopt electric vehicles to combat global warming” (International Energy Agency, 2023).</w:t>
      </w:r>
    </w:p>
    <w:p w14:paraId="6BF67678" w14:textId="77777777" w:rsidR="00F85301" w:rsidRPr="001B63D4" w:rsidRDefault="00F85301" w:rsidP="005B319E">
      <w:pPr>
        <w:spacing w:after="262" w:line="259" w:lineRule="auto"/>
        <w:ind w:left="0" w:firstLine="0"/>
        <w:jc w:val="both"/>
      </w:pPr>
      <w:r w:rsidRPr="001B63D4">
        <w:t xml:space="preserve">The electric vehicle market is a competitive market, driven by both pioneer organisations such as Tesla, which has pioneered innovation in this market, and follower organisations such as Volkswagen, a traditional car manufacturer that has entered this market to compete effectively. This is a unique market where first-mover advantages and late-entry strategies are significant. </w:t>
      </w:r>
    </w:p>
    <w:p w14:paraId="692BCF9B" w14:textId="77777777" w:rsidR="00F85301" w:rsidRPr="001B63D4" w:rsidRDefault="00F85301" w:rsidP="005B319E">
      <w:pPr>
        <w:spacing w:after="262" w:line="259" w:lineRule="auto"/>
        <w:ind w:left="0" w:firstLine="0"/>
        <w:jc w:val="both"/>
      </w:pPr>
      <w:r w:rsidRPr="001B63D4">
        <w:t xml:space="preserve">To understand the macro-marketing environment, it is crucial for organisations to undertake a macro-marketing environment analysis, where organisations seek to understand external factors that may influence decision-making. According to Kotler et al. (2021), “the PESTLE framework is a comprehensive framework that organisations can adopt to evaluate factors that may influence decision-making in organisations, including factors such as political, economic, social, technological, legal, and environmental factors that may influence decision-making in organisations.” </w:t>
      </w:r>
    </w:p>
    <w:p w14:paraId="4377F233" w14:textId="50C84A72" w:rsidR="00A9723A" w:rsidRPr="001B63D4" w:rsidRDefault="00F85301" w:rsidP="005B319E">
      <w:pPr>
        <w:spacing w:after="262" w:line="259" w:lineRule="auto"/>
        <w:ind w:left="0" w:firstLine="0"/>
        <w:jc w:val="both"/>
      </w:pPr>
      <w:r w:rsidRPr="001B63D4">
        <w:t xml:space="preserve">In this report, I aim to evaluate both a pioneer organisation and a follower organisation in terms of factors that may influence decision-making in organisations. I will then evaluate how each organisation has responded to these factors, applying relevant concepts. </w:t>
      </w:r>
    </w:p>
    <w:p w14:paraId="6B935688" w14:textId="77777777" w:rsidR="00A9723A" w:rsidRPr="001B63D4" w:rsidRDefault="00000000">
      <w:pPr>
        <w:spacing w:after="347" w:line="259" w:lineRule="auto"/>
        <w:ind w:left="0" w:firstLine="0"/>
      </w:pPr>
      <w:r w:rsidRPr="001B63D4">
        <w:t xml:space="preserve"> </w:t>
      </w:r>
    </w:p>
    <w:p w14:paraId="4F4A72B3" w14:textId="053B6FFB" w:rsidR="00A9723A" w:rsidRPr="005B319E" w:rsidRDefault="00000000" w:rsidP="005B319E">
      <w:pPr>
        <w:pStyle w:val="Heading1"/>
        <w:ind w:left="-15" w:firstLine="0"/>
        <w:rPr>
          <w:sz w:val="32"/>
          <w:szCs w:val="32"/>
        </w:rPr>
      </w:pPr>
      <w:bookmarkStart w:id="1" w:name="_Toc225506399"/>
      <w:r w:rsidRPr="005B319E">
        <w:rPr>
          <w:sz w:val="32"/>
          <w:szCs w:val="32"/>
        </w:rPr>
        <w:t>Task 1: Critical Analysis of the Macro Marketing Environment</w:t>
      </w:r>
      <w:bookmarkEnd w:id="1"/>
      <w:r w:rsidRPr="005B319E">
        <w:rPr>
          <w:sz w:val="32"/>
          <w:szCs w:val="32"/>
        </w:rPr>
        <w:t xml:space="preserve"> </w:t>
      </w:r>
    </w:p>
    <w:p w14:paraId="761F252D" w14:textId="77777777" w:rsidR="00A9723A" w:rsidRPr="005B319E" w:rsidRDefault="00000000">
      <w:pPr>
        <w:pStyle w:val="Heading3"/>
        <w:ind w:left="-5"/>
        <w:rPr>
          <w:sz w:val="28"/>
          <w:szCs w:val="28"/>
        </w:rPr>
      </w:pPr>
      <w:bookmarkStart w:id="2" w:name="_Toc225506400"/>
      <w:r w:rsidRPr="005B319E">
        <w:rPr>
          <w:sz w:val="28"/>
          <w:szCs w:val="28"/>
        </w:rPr>
        <w:t>2.1 Macro Marketing Environment</w:t>
      </w:r>
      <w:bookmarkEnd w:id="2"/>
      <w:r w:rsidRPr="005B319E">
        <w:rPr>
          <w:sz w:val="28"/>
          <w:szCs w:val="28"/>
        </w:rPr>
        <w:t xml:space="preserve"> </w:t>
      </w:r>
    </w:p>
    <w:p w14:paraId="28ABB2CD" w14:textId="77777777" w:rsidR="00C3433D" w:rsidRPr="001B63D4" w:rsidRDefault="00C3433D" w:rsidP="005B319E">
      <w:pPr>
        <w:spacing w:after="0" w:line="259" w:lineRule="auto"/>
        <w:ind w:left="0" w:firstLine="0"/>
        <w:jc w:val="both"/>
      </w:pPr>
      <w:r w:rsidRPr="001B63D4">
        <w:t xml:space="preserve">The macro environment in the context of marketing relates to the overall environment that affects the business but cannot be controlled by the business entity. The most commonly used tool for </w:t>
      </w:r>
      <w:proofErr w:type="spellStart"/>
      <w:r w:rsidRPr="001B63D4">
        <w:t>analyzing</w:t>
      </w:r>
      <w:proofErr w:type="spellEnd"/>
      <w:r w:rsidRPr="001B63D4">
        <w:t xml:space="preserve"> the macro environment is the PESTLE tool, which considers the political, economic, social, technological, legal, and environmental </w:t>
      </w:r>
      <w:r w:rsidRPr="001B63D4">
        <w:lastRenderedPageBreak/>
        <w:t>factors affecting the business (Kotler et al., 2021). This tool allows the business to identify the potential risks and opportunities in the market and align the business strategies accordingly.</w:t>
      </w:r>
    </w:p>
    <w:p w14:paraId="5C44B7C8" w14:textId="77777777" w:rsidR="00C3433D" w:rsidRPr="001B63D4" w:rsidRDefault="00C3433D" w:rsidP="005B319E">
      <w:pPr>
        <w:spacing w:after="0" w:line="259" w:lineRule="auto"/>
        <w:ind w:left="0" w:firstLine="0"/>
        <w:jc w:val="both"/>
      </w:pPr>
      <w:r w:rsidRPr="001B63D4">
        <w:t>In the case of the Electric Vehicle (EV) industry, the analysis of the macro environment is crucial since the industry relies on the development of technology and government incentives to promote the business. Out of the six factors considered in the PESTLE tool, two factors, namely the technological and political factors, have a major influence on the business since they affect the business in two different ways, namely the supply side and the demand side (International Energy Agency, 2023).</w:t>
      </w:r>
    </w:p>
    <w:p w14:paraId="0CF06550" w14:textId="6C7EEC86" w:rsidR="00A9723A" w:rsidRPr="001B63D4" w:rsidRDefault="00000000" w:rsidP="00C3433D">
      <w:pPr>
        <w:spacing w:after="0" w:line="259" w:lineRule="auto"/>
        <w:ind w:left="0" w:firstLine="0"/>
      </w:pPr>
      <w:r w:rsidRPr="001B63D4">
        <w:t xml:space="preserve"> </w:t>
      </w:r>
    </w:p>
    <w:p w14:paraId="7D6B63DC" w14:textId="77777777" w:rsidR="00A9723A" w:rsidRPr="005B319E" w:rsidRDefault="00000000">
      <w:pPr>
        <w:pStyle w:val="Heading3"/>
        <w:ind w:left="-5"/>
        <w:rPr>
          <w:sz w:val="28"/>
          <w:szCs w:val="28"/>
        </w:rPr>
      </w:pPr>
      <w:bookmarkStart w:id="3" w:name="_Toc225506401"/>
      <w:r w:rsidRPr="005B319E">
        <w:rPr>
          <w:sz w:val="28"/>
          <w:szCs w:val="28"/>
        </w:rPr>
        <w:t>2.2 Analysis of Macro Factor 1: Technological</w:t>
      </w:r>
      <w:bookmarkEnd w:id="3"/>
      <w:r w:rsidRPr="005B319E">
        <w:rPr>
          <w:sz w:val="28"/>
          <w:szCs w:val="28"/>
        </w:rPr>
        <w:t xml:space="preserve"> </w:t>
      </w:r>
    </w:p>
    <w:p w14:paraId="1BE2D8CC" w14:textId="77777777" w:rsidR="00A9723A" w:rsidRPr="001B63D4" w:rsidRDefault="00000000">
      <w:pPr>
        <w:pStyle w:val="Heading4"/>
        <w:ind w:left="-5"/>
      </w:pPr>
      <w:r w:rsidRPr="001B63D4">
        <w:t xml:space="preserve">2.2.1 Impact on the Pioneer Organisation (Tesla) </w:t>
      </w:r>
    </w:p>
    <w:p w14:paraId="7CC89751" w14:textId="77777777" w:rsidR="00C3433D" w:rsidRPr="001B63D4" w:rsidRDefault="00C3433D" w:rsidP="005B319E">
      <w:pPr>
        <w:spacing w:after="307" w:line="259" w:lineRule="auto"/>
        <w:ind w:left="0" w:firstLine="0"/>
        <w:jc w:val="both"/>
      </w:pPr>
      <w:r w:rsidRPr="001B63D4">
        <w:t xml:space="preserve">Technological innovation is one of the critical drivers of competitive advantage for Tesla Inc. as a pioneering organisation. This is because the company has been able to position itself at the forefront of EV innovation through continuous innovation in battery technology, artificial intelligence, and software. This is exemplified by its ability to launch cutting-edge features such as autonomous driving capabilities. This is a critical driver of competitive advantage because it shows that the company is a leader in EV innovation (Mangram, 2021). </w:t>
      </w:r>
    </w:p>
    <w:p w14:paraId="3661F377" w14:textId="77777777" w:rsidR="00C3433D" w:rsidRPr="001B63D4" w:rsidRDefault="00C3433D" w:rsidP="005B319E">
      <w:pPr>
        <w:spacing w:after="307" w:line="259" w:lineRule="auto"/>
        <w:ind w:left="0" w:firstLine="0"/>
        <w:jc w:val="both"/>
      </w:pPr>
      <w:r w:rsidRPr="001B63D4">
        <w:t xml:space="preserve">One of the critical technological innovations that have impacted the EV industry is the cost of batteries. This is because McKinsey (2023) states that battery costs have fallen significantly over the last decade. This has improved affordability and accelerated EV adoption. This is a critical driver of competitive advantage because it shows that the company has been able to take advantage of this trend. This is exemplified by its Gigafactories that have improved battery efficiencies. </w:t>
      </w:r>
    </w:p>
    <w:p w14:paraId="66C5EB94" w14:textId="6B6F0C3E" w:rsidR="00C3433D" w:rsidRPr="001B63D4" w:rsidRDefault="00C3433D" w:rsidP="005B319E">
      <w:pPr>
        <w:spacing w:after="307" w:line="259" w:lineRule="auto"/>
        <w:ind w:left="0" w:firstLine="0"/>
        <w:jc w:val="both"/>
      </w:pPr>
      <w:r w:rsidRPr="001B63D4">
        <w:t xml:space="preserve">The strategic implications of this driver of competitive advantage are enormous. This is because it shows that the company is able to sustain its differentiation strategy. This is exemplified by its brand positioning that is focused on innovation. This is because competitors can take advantage of this trend. </w:t>
      </w:r>
    </w:p>
    <w:p w14:paraId="3D68AAC0" w14:textId="51EB7451" w:rsidR="00A9723A" w:rsidRPr="001B63D4" w:rsidRDefault="00C3433D" w:rsidP="005B319E">
      <w:pPr>
        <w:spacing w:after="307" w:line="259" w:lineRule="auto"/>
        <w:ind w:left="0" w:firstLine="0"/>
        <w:jc w:val="both"/>
      </w:pPr>
      <w:r w:rsidRPr="001B63D4">
        <w:t xml:space="preserve">The implications of this driver of competitive advantage are enormous. This is because it shows that the company is able to sustain its differentiation strategy. This is exemplified by its brand positioning that is focused on being a pioneer. In addition, this driver of competitive advantage is also associated with a critical driver of competitive disadvantage. This is because competitors can take advantage of this trend. </w:t>
      </w:r>
    </w:p>
    <w:p w14:paraId="736B6149" w14:textId="77777777" w:rsidR="00A9723A" w:rsidRPr="001B63D4" w:rsidRDefault="00000000">
      <w:pPr>
        <w:pStyle w:val="Heading4"/>
        <w:ind w:left="-5"/>
      </w:pPr>
      <w:r w:rsidRPr="001B63D4">
        <w:t xml:space="preserve">2.2.2 Impact on the Follower Organisation (Volkswagen) </w:t>
      </w:r>
    </w:p>
    <w:p w14:paraId="4B983349" w14:textId="77777777" w:rsidR="00C3433D" w:rsidRPr="001B63D4" w:rsidRDefault="00C3433D" w:rsidP="005B319E">
      <w:pPr>
        <w:spacing w:after="323" w:line="259" w:lineRule="auto"/>
        <w:ind w:left="0" w:firstLine="0"/>
        <w:jc w:val="both"/>
      </w:pPr>
      <w:r w:rsidRPr="001B63D4">
        <w:t xml:space="preserve">For Volkswagen, technological factors offer both opportunities and challenges. As a follower organisation, Volkswagen is able to mitigate uncertainty by observing market trends and adopting technologies that are already tested. Volkswagen has invested </w:t>
      </w:r>
      <w:r w:rsidRPr="001B63D4">
        <w:lastRenderedPageBreak/>
        <w:t xml:space="preserve">significantly in its Modular Electric Drive Matrix, which allows for large-scale production of electric vehicles. </w:t>
      </w:r>
    </w:p>
    <w:p w14:paraId="28F441DA" w14:textId="77777777" w:rsidR="00C3433D" w:rsidRPr="001B63D4" w:rsidRDefault="00C3433D" w:rsidP="005B319E">
      <w:pPr>
        <w:spacing w:after="323" w:line="259" w:lineRule="auto"/>
        <w:ind w:left="0" w:firstLine="0"/>
        <w:jc w:val="both"/>
      </w:pPr>
      <w:r w:rsidRPr="001B63D4">
        <w:t xml:space="preserve">Volkswagen, however, faces challenges in matching Tesla's technological prowess, especially in software development and autonomous driving. While Tesla is a technology-driven organisation, Volkswagen is a traditional organisation in transition. Therefore, it faces a double-edged situation. On one side, technological </w:t>
      </w:r>
      <w:proofErr w:type="gramStart"/>
      <w:r w:rsidRPr="001B63D4">
        <w:t>advancements</w:t>
      </w:r>
      <w:proofErr w:type="gramEnd"/>
      <w:r w:rsidRPr="001B63D4">
        <w:t xml:space="preserve"> offer Volkswagen opportunities for expanding its electric vehicle range and competing in a growing market. On the other side, Volkswagen faces challenges that act as a threat, especially in terms of innovation cycles and partnerships in software development. </w:t>
      </w:r>
    </w:p>
    <w:p w14:paraId="1258309F" w14:textId="3D8F02DD" w:rsidR="00A9723A" w:rsidRPr="001B63D4" w:rsidRDefault="00C3433D" w:rsidP="005B319E">
      <w:pPr>
        <w:spacing w:after="323" w:line="259" w:lineRule="auto"/>
        <w:ind w:left="0" w:firstLine="0"/>
        <w:jc w:val="both"/>
      </w:pPr>
      <w:r w:rsidRPr="001B63D4">
        <w:t xml:space="preserve">In terms of market position, Volkswagen is more vulnerable than Tesla but has economies of scale on its side. Its ability to manufacture electric vehicles at lower costs gives it a competitive advantage in a mass market, although it may find it difficult to match Tesla in terms of technological advancements. </w:t>
      </w:r>
    </w:p>
    <w:p w14:paraId="5C4DFE21" w14:textId="77777777" w:rsidR="00A9723A" w:rsidRPr="005B319E" w:rsidRDefault="00000000">
      <w:pPr>
        <w:pStyle w:val="Heading3"/>
        <w:ind w:left="-5"/>
        <w:rPr>
          <w:sz w:val="28"/>
          <w:szCs w:val="28"/>
        </w:rPr>
      </w:pPr>
      <w:bookmarkStart w:id="4" w:name="_Toc225506402"/>
      <w:r w:rsidRPr="005B319E">
        <w:rPr>
          <w:sz w:val="28"/>
          <w:szCs w:val="28"/>
        </w:rPr>
        <w:t>2.3 Analysis of Macro Factor 2: Political</w:t>
      </w:r>
      <w:bookmarkEnd w:id="4"/>
      <w:r w:rsidRPr="005B319E">
        <w:rPr>
          <w:sz w:val="28"/>
          <w:szCs w:val="28"/>
        </w:rPr>
        <w:t xml:space="preserve"> </w:t>
      </w:r>
    </w:p>
    <w:p w14:paraId="371B24EF" w14:textId="77777777" w:rsidR="00A9723A" w:rsidRPr="001B63D4" w:rsidRDefault="00000000">
      <w:pPr>
        <w:pStyle w:val="Heading4"/>
        <w:ind w:left="-5"/>
      </w:pPr>
      <w:r w:rsidRPr="001B63D4">
        <w:t xml:space="preserve">2.3.1 Impact on the Pioneer Organisation (Tesla) </w:t>
      </w:r>
    </w:p>
    <w:p w14:paraId="52F65370" w14:textId="77777777" w:rsidR="0064623E" w:rsidRPr="001B63D4" w:rsidRDefault="0064623E" w:rsidP="005B319E">
      <w:pPr>
        <w:spacing w:after="307" w:line="259" w:lineRule="auto"/>
        <w:ind w:left="0" w:firstLine="0"/>
        <w:jc w:val="both"/>
      </w:pPr>
      <w:r w:rsidRPr="001B63D4">
        <w:t xml:space="preserve">Political factors also play a crucial role in the development of the EV industry, including government regulations, environmental regulations, and financial incentives. Governments worldwide have initiated subsidies, tax concessions, and stricter regulations on emissions to promote the purchase of EVs and curb emissions (International Energy Agency, 2023). </w:t>
      </w:r>
    </w:p>
    <w:p w14:paraId="4EEBE03B" w14:textId="77777777" w:rsidR="0064623E" w:rsidRPr="001B63D4" w:rsidRDefault="0064623E" w:rsidP="005B319E">
      <w:pPr>
        <w:spacing w:after="307" w:line="259" w:lineRule="auto"/>
        <w:ind w:left="0" w:firstLine="0"/>
        <w:jc w:val="both"/>
      </w:pPr>
      <w:r w:rsidRPr="001B63D4">
        <w:t xml:space="preserve">In the case of Tesla, the political environment has a number of positive implications for the firm. For instance, the government incentives on EVs would increase the demand for the product, thereby increasing the overall market size for the firm. Furthermore, the regulations against the purchase of fuel-powered vehicles would provide a positive environment for the firm’s growth in the future. </w:t>
      </w:r>
    </w:p>
    <w:p w14:paraId="58C92D13" w14:textId="64CEC7BD" w:rsidR="00A9723A" w:rsidRPr="001B63D4" w:rsidRDefault="0064623E" w:rsidP="005B319E">
      <w:pPr>
        <w:spacing w:after="307" w:line="259" w:lineRule="auto"/>
        <w:ind w:left="0" w:firstLine="0"/>
        <w:jc w:val="both"/>
      </w:pPr>
      <w:r w:rsidRPr="001B63D4">
        <w:t xml:space="preserve">However, the political environment also poses </w:t>
      </w:r>
      <w:proofErr w:type="gramStart"/>
      <w:r w:rsidRPr="001B63D4">
        <w:t>a number of</w:t>
      </w:r>
      <w:proofErr w:type="gramEnd"/>
      <w:r w:rsidRPr="001B63D4">
        <w:t xml:space="preserve"> risks for the firm, including the impact of government regulations and the ban on the purchase of EVs in the future. Tesla would be able to increase its competitive advantage by leveraging the positive environment in the market for the firm. </w:t>
      </w:r>
    </w:p>
    <w:p w14:paraId="38D322F8" w14:textId="77777777" w:rsidR="00A9723A" w:rsidRPr="001B63D4" w:rsidRDefault="00000000" w:rsidP="005B319E">
      <w:pPr>
        <w:pStyle w:val="Heading4"/>
        <w:spacing w:after="286"/>
        <w:ind w:left="-5"/>
        <w:jc w:val="both"/>
      </w:pPr>
      <w:r w:rsidRPr="001B63D4">
        <w:t xml:space="preserve">2.3.2 Impact on the Follower Organisation (Volkswagen) </w:t>
      </w:r>
    </w:p>
    <w:p w14:paraId="162B79F1" w14:textId="77777777" w:rsidR="0064623E" w:rsidRPr="001B63D4" w:rsidRDefault="0064623E" w:rsidP="005B319E">
      <w:pPr>
        <w:ind w:left="-5" w:right="1"/>
        <w:jc w:val="both"/>
      </w:pPr>
      <w:r w:rsidRPr="001B63D4">
        <w:t>The company is largely influenced by political factors, especially in the European region. As a prominent automaker in the European region, the company enjoys robust government support in the transition to electric mobility. In this regard, the European Green Deal policies provide incentives for investing in electric vehicle technology (European Commission, 2022).</w:t>
      </w:r>
    </w:p>
    <w:p w14:paraId="0609C0E5" w14:textId="77777777" w:rsidR="0064623E" w:rsidRPr="001B63D4" w:rsidRDefault="0064623E" w:rsidP="005B319E">
      <w:pPr>
        <w:ind w:left="-5" w:right="1"/>
        <w:jc w:val="both"/>
      </w:pPr>
      <w:r w:rsidRPr="001B63D4">
        <w:lastRenderedPageBreak/>
        <w:t>However, the company faces more challenges compared to Tesla Motor due to its conventional operations. As the company transitions to electric vehicles, it faces significant challenges in the high costs associated with the transition. In addition, the company faces challenges in meeting the regulations set by the government on emission control.</w:t>
      </w:r>
    </w:p>
    <w:p w14:paraId="3F39C4BE" w14:textId="77777777" w:rsidR="0064623E" w:rsidRPr="001B63D4" w:rsidRDefault="0064623E" w:rsidP="005B319E">
      <w:pPr>
        <w:ind w:left="-5" w:right="1"/>
        <w:jc w:val="both"/>
      </w:pPr>
      <w:r w:rsidRPr="001B63D4">
        <w:t>Regarding adaptability, the company has moderate flexibility compared to the required adaptability in the electric vehicle segment. Although the company has made significant strides in the development of electric vehicles, it faces challenges in adapting to the changing dynamics in the market.</w:t>
      </w:r>
    </w:p>
    <w:p w14:paraId="16848D41" w14:textId="77777777" w:rsidR="00306645" w:rsidRDefault="00306645" w:rsidP="00821E06">
      <w:pPr>
        <w:pStyle w:val="Heading1"/>
        <w:ind w:left="-5"/>
        <w:rPr>
          <w:sz w:val="32"/>
          <w:szCs w:val="32"/>
        </w:rPr>
      </w:pPr>
      <w:bookmarkStart w:id="5" w:name="_Toc225506403"/>
    </w:p>
    <w:p w14:paraId="42563DAC" w14:textId="1C12C10B" w:rsidR="00A9723A" w:rsidRPr="005B319E" w:rsidRDefault="00000000" w:rsidP="00821E06">
      <w:pPr>
        <w:pStyle w:val="Heading1"/>
        <w:ind w:left="-5"/>
        <w:rPr>
          <w:sz w:val="32"/>
          <w:szCs w:val="32"/>
        </w:rPr>
      </w:pPr>
      <w:r w:rsidRPr="005B319E">
        <w:rPr>
          <w:sz w:val="32"/>
          <w:szCs w:val="32"/>
        </w:rPr>
        <w:t>Task 2: Strategic Responses of Pioneering and Follower Organisations</w:t>
      </w:r>
      <w:bookmarkEnd w:id="5"/>
      <w:r w:rsidRPr="005B319E">
        <w:rPr>
          <w:sz w:val="32"/>
          <w:szCs w:val="32"/>
        </w:rPr>
        <w:t xml:space="preserve">  </w:t>
      </w:r>
    </w:p>
    <w:p w14:paraId="0188B82B" w14:textId="77777777" w:rsidR="00A9723A" w:rsidRPr="005B319E" w:rsidRDefault="00000000">
      <w:pPr>
        <w:pStyle w:val="Heading3"/>
        <w:spacing w:after="322" w:line="259" w:lineRule="auto"/>
        <w:ind w:left="-5"/>
        <w:rPr>
          <w:sz w:val="28"/>
          <w:szCs w:val="28"/>
        </w:rPr>
      </w:pPr>
      <w:bookmarkStart w:id="6" w:name="_Toc225506404"/>
      <w:r w:rsidRPr="005B319E">
        <w:rPr>
          <w:sz w:val="28"/>
          <w:szCs w:val="28"/>
        </w:rPr>
        <w:t>3.1 Pioneering Organisation’s Strategic Responses (Tesla)</w:t>
      </w:r>
      <w:bookmarkEnd w:id="6"/>
      <w:r w:rsidRPr="005B319E">
        <w:rPr>
          <w:sz w:val="28"/>
          <w:szCs w:val="28"/>
        </w:rPr>
        <w:t xml:space="preserve"> </w:t>
      </w:r>
    </w:p>
    <w:p w14:paraId="44DC11CF" w14:textId="77777777" w:rsidR="0064623E" w:rsidRPr="005B319E" w:rsidRDefault="0064623E" w:rsidP="005B319E">
      <w:pPr>
        <w:ind w:left="-5" w:right="1"/>
        <w:jc w:val="both"/>
      </w:pPr>
      <w:r w:rsidRPr="005B319E">
        <w:t>Tesla, being one of the pioneering companies in the Electric Vehicle (EV) industry, has taken a very proactive and innovative stance in addressing the challenges in the macro-environment. The company’s strategy is in line with Porter’s concept of Generic Competitive Strategies, where companies compete through differentiation strategies by providing unique value propositions to customers (Porter, 2008; Kotler et al., 2021).</w:t>
      </w:r>
    </w:p>
    <w:p w14:paraId="49A41C5F" w14:textId="77777777" w:rsidR="0064623E" w:rsidRPr="005B319E" w:rsidRDefault="0064623E" w:rsidP="005B319E">
      <w:pPr>
        <w:ind w:left="-5" w:right="1"/>
        <w:jc w:val="both"/>
      </w:pPr>
      <w:r w:rsidRPr="005B319E">
        <w:t>One of the significant strategies adopted by Tesla in response to technological changes is its focus on research and development (R&amp;D) activities. The company is constantly investing in new technologies in battery life, artificial intelligence, and autonomous driving. This strategy has helped Tesla stay ahead in the competition by being an innovation leader in the industry. For example, it has developed over-the-air (OTA) software upgrades for its products, enabling customers to enjoy new features in their products even after purchase (Mangram, 2021).</w:t>
      </w:r>
    </w:p>
    <w:p w14:paraId="550FF571" w14:textId="77777777" w:rsidR="0064623E" w:rsidRPr="005B319E" w:rsidRDefault="0064623E" w:rsidP="005B319E">
      <w:pPr>
        <w:spacing w:after="323" w:line="259" w:lineRule="auto"/>
        <w:ind w:left="0" w:firstLine="0"/>
        <w:jc w:val="both"/>
      </w:pPr>
      <w:r w:rsidRPr="005B319E">
        <w:t xml:space="preserve">Tesla’s Direct-to-Consumer (DTC) strategy is another factor which adds weight to its differentiation strategy. In this strategy, Tesla sells its products directly to customers without involving any middleman. This strategy is in line with changing consumer </w:t>
      </w:r>
      <w:proofErr w:type="spellStart"/>
      <w:r w:rsidRPr="005B319E">
        <w:t>behavior</w:t>
      </w:r>
      <w:proofErr w:type="spellEnd"/>
      <w:r w:rsidRPr="005B319E">
        <w:t xml:space="preserve">, where customers increasingly seek unique experiences. In addition, this strategy helps Tesla gather useful data from its customers, which can be used to improve its products and services. </w:t>
      </w:r>
    </w:p>
    <w:p w14:paraId="6047C8B0" w14:textId="77777777" w:rsidR="0064623E" w:rsidRPr="005B319E" w:rsidRDefault="0064623E" w:rsidP="005B319E">
      <w:pPr>
        <w:spacing w:after="323" w:line="259" w:lineRule="auto"/>
        <w:ind w:left="0" w:firstLine="0"/>
        <w:jc w:val="both"/>
      </w:pPr>
      <w:r w:rsidRPr="005B319E">
        <w:t xml:space="preserve">From a political viewpoint, Tesla has adopted an expansion strategy in markets where governments support the adoption of EVs. In this regard, it has set up manufacturing units in various regions such as China and Europe, where governments offer </w:t>
      </w:r>
      <w:r w:rsidRPr="005B319E">
        <w:lastRenderedPageBreak/>
        <w:t xml:space="preserve">incentives for adopting EVs (International Energy Agency, 2023). This shows how effectively Tesla has aligned its expansion strategy with macro-environmental factors. </w:t>
      </w:r>
    </w:p>
    <w:p w14:paraId="1EF4C6A4" w14:textId="762BAA50" w:rsidR="0064623E" w:rsidRPr="005B319E" w:rsidRDefault="0064623E" w:rsidP="005B319E">
      <w:pPr>
        <w:spacing w:after="323" w:line="259" w:lineRule="auto"/>
        <w:ind w:left="0" w:firstLine="0"/>
        <w:jc w:val="both"/>
      </w:pPr>
      <w:r w:rsidRPr="005B319E">
        <w:t xml:space="preserve">However, the approach of the company has some disadvantages as well. As the company is relying heavily on the differentiation approach, it is also vulnerable to the risks of technological disruption and increasing competition. </w:t>
      </w:r>
    </w:p>
    <w:p w14:paraId="2F7549CF" w14:textId="77777777" w:rsidR="0064623E" w:rsidRPr="005B319E" w:rsidRDefault="0064623E" w:rsidP="005B319E">
      <w:pPr>
        <w:spacing w:after="323" w:line="259" w:lineRule="auto"/>
        <w:ind w:left="0" w:firstLine="0"/>
        <w:jc w:val="both"/>
      </w:pPr>
      <w:r w:rsidRPr="005B319E">
        <w:t xml:space="preserve">Critically, although the differentiation approach by Porter helps in understanding the success story of the company, it is not </w:t>
      </w:r>
      <w:proofErr w:type="gramStart"/>
      <w:r w:rsidRPr="005B319E">
        <w:t>sufficient enough</w:t>
      </w:r>
      <w:proofErr w:type="gramEnd"/>
      <w:r w:rsidRPr="005B319E">
        <w:t xml:space="preserve"> to understand the dynamic approach of the company, which is a combination of the differentiation approach and the cost leadership approach. As the company is increasing its production volume, it is also trying to enter the market segment by lowering the costs. </w:t>
      </w:r>
    </w:p>
    <w:p w14:paraId="499F0EA1" w14:textId="419D67EF" w:rsidR="00A9723A" w:rsidRPr="005B319E" w:rsidRDefault="0064623E" w:rsidP="005B319E">
      <w:pPr>
        <w:spacing w:after="323" w:line="259" w:lineRule="auto"/>
        <w:ind w:left="0" w:firstLine="0"/>
        <w:jc w:val="both"/>
      </w:pPr>
      <w:r w:rsidRPr="005B319E">
        <w:t xml:space="preserve">Thus, it is clear that the strategic responses by the company are aligned well with the macro environment, which helps the company to sustain the competitive advantage in the market. </w:t>
      </w:r>
    </w:p>
    <w:p w14:paraId="7601248E" w14:textId="77777777" w:rsidR="00A9723A" w:rsidRPr="005B319E" w:rsidRDefault="00000000">
      <w:pPr>
        <w:pStyle w:val="Heading3"/>
        <w:spacing w:after="322" w:line="259" w:lineRule="auto"/>
        <w:ind w:left="-5"/>
        <w:rPr>
          <w:sz w:val="28"/>
          <w:szCs w:val="28"/>
        </w:rPr>
      </w:pPr>
      <w:bookmarkStart w:id="7" w:name="_Toc225506405"/>
      <w:r w:rsidRPr="005B319E">
        <w:rPr>
          <w:sz w:val="28"/>
          <w:szCs w:val="28"/>
        </w:rPr>
        <w:t>3.2 Follower Organisation’s Strategic Responses (Volkswagen)</w:t>
      </w:r>
      <w:bookmarkEnd w:id="7"/>
      <w:r w:rsidRPr="005B319E">
        <w:rPr>
          <w:sz w:val="28"/>
          <w:szCs w:val="28"/>
        </w:rPr>
        <w:t xml:space="preserve"> </w:t>
      </w:r>
    </w:p>
    <w:p w14:paraId="410BE609" w14:textId="2CEB2E9A" w:rsidR="0064623E" w:rsidRPr="001B63D4" w:rsidRDefault="0064623E" w:rsidP="005B319E">
      <w:pPr>
        <w:spacing w:after="327" w:line="259" w:lineRule="auto"/>
        <w:ind w:left="0" w:firstLine="0"/>
        <w:jc w:val="both"/>
      </w:pPr>
      <w:r w:rsidRPr="001B63D4">
        <w:t xml:space="preserve">Volkswagen, being a ‘follower’ organisation, has a different strategic approach to compete in the EV market. Unlike Tesla, which has adopted a differentiation strategy, Volkswagen has adopted a hybrid approach that combines cost leadership and differentiation strategies. It has utilised its economies of scale and established presence in the market to compete in the EV market (Johnson et al., 2020). </w:t>
      </w:r>
    </w:p>
    <w:p w14:paraId="7D591EB7" w14:textId="3F494E30" w:rsidR="0064623E" w:rsidRPr="001B63D4" w:rsidRDefault="0064623E" w:rsidP="005B319E">
      <w:pPr>
        <w:spacing w:after="327" w:line="259" w:lineRule="auto"/>
        <w:ind w:left="0" w:firstLine="0"/>
        <w:jc w:val="both"/>
      </w:pPr>
      <w:r w:rsidRPr="001B63D4">
        <w:t xml:space="preserve">One of the strategic approaches that Volkswagen has adopted to cope with technological change is the development of its Modular Electric Drive Matrix (MEB) platform. By standardising EV production across different models and brands, Volkswagen has adopted a cost leadership approach to compete in the EV market. It has simplified the production process of EVs and has become more competitive in this field. By doing so, it has targeted a wider audience rather than focusing on premium customers (Deloitte, 2022). </w:t>
      </w:r>
    </w:p>
    <w:p w14:paraId="0FDA8DDA" w14:textId="03A72BD5" w:rsidR="0064623E" w:rsidRPr="001B63D4" w:rsidRDefault="0064623E" w:rsidP="005B319E">
      <w:pPr>
        <w:spacing w:after="327" w:line="259" w:lineRule="auto"/>
        <w:ind w:left="0" w:firstLine="0"/>
        <w:jc w:val="both"/>
      </w:pPr>
      <w:r w:rsidRPr="001B63D4">
        <w:t xml:space="preserve">However, it is difficult to adopt a cost leadership approach in the EV market since it requires a high level of investment and is a constantly changing field. </w:t>
      </w:r>
    </w:p>
    <w:p w14:paraId="35309FB4" w14:textId="5567A163" w:rsidR="0064623E" w:rsidRPr="001B63D4" w:rsidRDefault="0064623E" w:rsidP="005B319E">
      <w:pPr>
        <w:spacing w:after="327" w:line="259" w:lineRule="auto"/>
        <w:ind w:left="0" w:firstLine="0"/>
        <w:jc w:val="both"/>
      </w:pPr>
      <w:r w:rsidRPr="001B63D4">
        <w:t xml:space="preserve">In addition to these approaches, Volkswagen has adopted a strategic approach to cope with macro-environmental factors. It has formed strategic alliances and partnerships to cope with these factors. For example, Volkswagen has acknowledged that it is not good at developing software and has formed alliances with technology companies to improve its capabilities in this field. However, this strategic approach has put a question mark over its chances of becoming technologically independent. </w:t>
      </w:r>
    </w:p>
    <w:p w14:paraId="256B7F87" w14:textId="77777777" w:rsidR="0064623E" w:rsidRPr="001B63D4" w:rsidRDefault="0064623E" w:rsidP="005B319E">
      <w:pPr>
        <w:spacing w:after="327" w:line="259" w:lineRule="auto"/>
        <w:ind w:left="0" w:firstLine="0"/>
        <w:jc w:val="both"/>
      </w:pPr>
      <w:r w:rsidRPr="001B63D4">
        <w:t xml:space="preserve">From a political perspective, Volkswagen has adopted a strategic approach that is aligned with government requirements. For example, in the context of the European </w:t>
      </w:r>
      <w:r w:rsidRPr="001B63D4">
        <w:lastRenderedPageBreak/>
        <w:t>Union, Volkswagen has invested heavily in electric vehicle technology to meet environmental requirements (European Commission, 2022).</w:t>
      </w:r>
    </w:p>
    <w:p w14:paraId="4DF35550" w14:textId="77777777" w:rsidR="0064623E" w:rsidRPr="001B63D4" w:rsidRDefault="0064623E" w:rsidP="005B319E">
      <w:pPr>
        <w:spacing w:after="327" w:line="259" w:lineRule="auto"/>
        <w:ind w:left="0" w:firstLine="0"/>
        <w:jc w:val="both"/>
      </w:pPr>
      <w:r w:rsidRPr="001B63D4">
        <w:t xml:space="preserve">When one critically evaluates Volkswagen's strategy, it is evident that it has both strengths and weaknesses. For instance, Volkswagen has a large market and production capacity, a strength that is likely to give it a competitive advantage in terms of cost leadership. However, Volkswagen's transition from internal combustion vehicles to electric vehicles is a weakness. For instance, Volkswagen has to deal with organisational change, employee restructuring, and integrating legacy systems. </w:t>
      </w:r>
    </w:p>
    <w:p w14:paraId="6A5A2CF9" w14:textId="77777777" w:rsidR="0064623E" w:rsidRPr="001B63D4" w:rsidRDefault="0064623E" w:rsidP="005B319E">
      <w:pPr>
        <w:spacing w:after="327" w:line="259" w:lineRule="auto"/>
        <w:ind w:left="0" w:firstLine="0"/>
        <w:jc w:val="both"/>
      </w:pPr>
      <w:r w:rsidRPr="001B63D4">
        <w:t>When one uses Porter's five-force framework, it is evident that Volkswagen's hybrid strategy is likely to make it "stuck in the middle." This is a weakness of hybrid strategies, where a company is likely to fail in achieving cost leadership and differentiation at the same time (Porter, 2008). However, in reality, it is evident that hybrid strategies are successful in modern organisations.</w:t>
      </w:r>
    </w:p>
    <w:p w14:paraId="40B712F2" w14:textId="207C3536" w:rsidR="00A9723A" w:rsidRPr="001B63D4" w:rsidRDefault="0064623E" w:rsidP="005B319E">
      <w:pPr>
        <w:spacing w:after="327" w:line="259" w:lineRule="auto"/>
        <w:ind w:left="0" w:firstLine="0"/>
        <w:jc w:val="both"/>
      </w:pPr>
      <w:r w:rsidRPr="001B63D4">
        <w:t xml:space="preserve">Nonetheless, the strategic responses of Volkswagen indicate that the company has the ability to adapt to the challenges it faces. This is because the company has identified the importance of affordability, scalability, and reach in the mass EV market, making it a major competitor in the market. </w:t>
      </w:r>
    </w:p>
    <w:p w14:paraId="4A5E9758" w14:textId="77777777" w:rsidR="00A9723A" w:rsidRPr="001B63D4" w:rsidRDefault="00000000">
      <w:pPr>
        <w:pStyle w:val="Heading2"/>
        <w:ind w:left="-5"/>
      </w:pPr>
      <w:bookmarkStart w:id="8" w:name="_Toc225506406"/>
      <w:r w:rsidRPr="001B63D4">
        <w:t>Comparative Strategic Insights</w:t>
      </w:r>
      <w:bookmarkEnd w:id="8"/>
      <w:r w:rsidRPr="001B63D4">
        <w:t xml:space="preserve"> </w:t>
      </w:r>
    </w:p>
    <w:p w14:paraId="3221AC75" w14:textId="1F7C78C2" w:rsidR="00A9723A" w:rsidRPr="001B63D4" w:rsidRDefault="00366631" w:rsidP="00306645">
      <w:pPr>
        <w:spacing w:after="263" w:line="259" w:lineRule="auto"/>
        <w:ind w:left="0" w:firstLine="0"/>
        <w:jc w:val="both"/>
      </w:pPr>
      <w:r w:rsidRPr="001B63D4">
        <w:t xml:space="preserve">A comparative analysis of Tesla and Volkswagen reveals the different strategies followed by a pioneering firm and a follower firm. Tesla follows a proactive, innovation-driven, and differentiating strategy, while Volkswagen follows a reactive, efficiency-driven, and cost leadership-based strategy. Tesla enjoys the advantage of a first-mover, has a strong brand identity, and leads in technology, while Volkswagen uses its size and market presence to gain a competitive advantage. This reveals the strategic differences that exist between a pioneering firm and a follower firm. However, it must be noted that both strategies are viable if the conditions in the macro environment are </w:t>
      </w:r>
      <w:proofErr w:type="spellStart"/>
      <w:r w:rsidRPr="001B63D4">
        <w:t>favorable</w:t>
      </w:r>
      <w:proofErr w:type="spellEnd"/>
      <w:r w:rsidRPr="001B63D4">
        <w:t xml:space="preserve">. Tesla’s strategy is suitable for the innovation-driven market, while Volkswagen’s strategy is suitable for the price-sensitive segment of the market. </w:t>
      </w:r>
    </w:p>
    <w:p w14:paraId="50E1C22B" w14:textId="77777777" w:rsidR="00A9723A" w:rsidRPr="001B63D4" w:rsidRDefault="00000000">
      <w:pPr>
        <w:spacing w:after="322" w:line="259" w:lineRule="auto"/>
        <w:ind w:left="0" w:firstLine="0"/>
      </w:pPr>
      <w:r w:rsidRPr="001B63D4">
        <w:t xml:space="preserve"> </w:t>
      </w:r>
    </w:p>
    <w:p w14:paraId="7FE2D843" w14:textId="43CB7E42" w:rsidR="00A9723A" w:rsidRPr="001B63D4" w:rsidRDefault="00000000" w:rsidP="005B319E">
      <w:pPr>
        <w:pStyle w:val="Heading1"/>
      </w:pPr>
      <w:bookmarkStart w:id="9" w:name="_Toc225506407"/>
      <w:r w:rsidRPr="005B319E">
        <w:rPr>
          <w:sz w:val="32"/>
          <w:szCs w:val="32"/>
        </w:rPr>
        <w:t>Conclusion</w:t>
      </w:r>
      <w:bookmarkEnd w:id="9"/>
      <w:r w:rsidRPr="001B63D4">
        <w:t xml:space="preserve"> </w:t>
      </w:r>
    </w:p>
    <w:p w14:paraId="2F249408" w14:textId="77777777" w:rsidR="00366631" w:rsidRPr="001B63D4" w:rsidRDefault="00366631" w:rsidP="005B319E">
      <w:pPr>
        <w:ind w:left="-5" w:right="1"/>
        <w:jc w:val="both"/>
      </w:pPr>
      <w:r w:rsidRPr="001B63D4">
        <w:t xml:space="preserve">This report has critically discussed the impact of the macro-environmental factors and the strategic approaches of the pioneering and follower organisations in the Electric Vehicle (EV) industry. The analysis has revealed that the most impactful factors affecting the industry are technology and politics, which provide opportunities and challenges to the organisations in the industry. For instance, the advancements in technology, specifically battery technology and software, have helped the pioneering </w:t>
      </w:r>
      <w:r w:rsidRPr="001B63D4">
        <w:lastRenderedPageBreak/>
        <w:t>organisations, such as Tesla, develop a robust differentiation advantage in the market. However, the follower organisations, such as Volkswagen, are likely to experience challenges in coping with the changing technology in the industry.</w:t>
      </w:r>
    </w:p>
    <w:p w14:paraId="732DE1E8" w14:textId="0431A5A5" w:rsidR="00366631" w:rsidRPr="001B63D4" w:rsidRDefault="00366631" w:rsidP="005B319E">
      <w:pPr>
        <w:ind w:left="-5" w:right="1"/>
        <w:jc w:val="both"/>
      </w:pPr>
      <w:r w:rsidRPr="001B63D4">
        <w:t>Furthermore, the analysis has revealed that the strategic approaches of the organisations in the Electric Vehicle industry are also a crucial factor in the relative success of the organisations in the industry. However, the follower organisations are likely to experience the risks of cost efficiency and strategic ambiguity (Porter, 2008; Kotler et al., 2021).</w:t>
      </w:r>
    </w:p>
    <w:p w14:paraId="2DA3918B" w14:textId="4240659C" w:rsidR="00A9723A" w:rsidRPr="001B63D4" w:rsidRDefault="00366631" w:rsidP="005B319E">
      <w:pPr>
        <w:ind w:left="-5" w:right="1"/>
        <w:jc w:val="both"/>
      </w:pPr>
      <w:r w:rsidRPr="001B63D4">
        <w:t xml:space="preserve">Overall, the analysis has revealed that the macro-environmental analysis has a crucial impact on the relative success of the organisations in the Electric Vehicle industry. Specifically, the analysis has revealed that the strategic approaches of the organisations in the industry are a crucial factor in the relative success of the organisations in the Electric Vehicle industry. Specifically, the analysis has revealed that the organisations in the industry must develop a strategic approach that aligns the marketing strategies with the changing environment in the industry to remain at the forefront in the industry. </w:t>
      </w:r>
    </w:p>
    <w:p w14:paraId="771354F7" w14:textId="77777777" w:rsidR="00A9723A" w:rsidRPr="001B63D4" w:rsidRDefault="00000000">
      <w:pPr>
        <w:spacing w:after="0" w:line="259" w:lineRule="auto"/>
        <w:ind w:left="0" w:firstLine="0"/>
      </w:pPr>
      <w:r w:rsidRPr="001B63D4">
        <w:t xml:space="preserve"> </w:t>
      </w:r>
    </w:p>
    <w:p w14:paraId="3BAF6EE8" w14:textId="77777777" w:rsidR="00A9723A" w:rsidRPr="001B63D4" w:rsidRDefault="00000000">
      <w:pPr>
        <w:spacing w:after="322" w:line="259" w:lineRule="auto"/>
        <w:ind w:left="0" w:firstLine="0"/>
      </w:pPr>
      <w:r w:rsidRPr="001B63D4">
        <w:t xml:space="preserve"> </w:t>
      </w:r>
    </w:p>
    <w:p w14:paraId="543E98C4" w14:textId="06975A66" w:rsidR="00A9723A" w:rsidRPr="005B319E" w:rsidRDefault="00000000" w:rsidP="005B319E">
      <w:pPr>
        <w:pStyle w:val="Heading1"/>
        <w:rPr>
          <w:sz w:val="32"/>
          <w:szCs w:val="32"/>
        </w:rPr>
      </w:pPr>
      <w:bookmarkStart w:id="10" w:name="_Toc225506408"/>
      <w:r w:rsidRPr="005B319E">
        <w:rPr>
          <w:sz w:val="32"/>
          <w:szCs w:val="32"/>
        </w:rPr>
        <w:t>References</w:t>
      </w:r>
      <w:bookmarkEnd w:id="10"/>
    </w:p>
    <w:p w14:paraId="007772EB" w14:textId="77777777" w:rsidR="00A9723A" w:rsidRPr="001B63D4" w:rsidRDefault="00000000" w:rsidP="005B319E">
      <w:pPr>
        <w:numPr>
          <w:ilvl w:val="0"/>
          <w:numId w:val="1"/>
        </w:numPr>
        <w:spacing w:after="12"/>
        <w:ind w:right="1" w:hanging="360"/>
        <w:jc w:val="both"/>
      </w:pPr>
      <w:r w:rsidRPr="001B63D4">
        <w:t xml:space="preserve">Deloitte (2022) </w:t>
      </w:r>
      <w:r w:rsidRPr="001B63D4">
        <w:rPr>
          <w:i/>
        </w:rPr>
        <w:t>Electric vehicle market outlook</w:t>
      </w:r>
      <w:r w:rsidRPr="001B63D4">
        <w:t xml:space="preserve">. Available at: </w:t>
      </w:r>
      <w:hyperlink r:id="rId8">
        <w:r w:rsidR="00A9723A" w:rsidRPr="001B63D4">
          <w:rPr>
            <w:color w:val="467886"/>
            <w:u w:val="single" w:color="467886"/>
          </w:rPr>
          <w:t>https://www2.deloitte.com</w:t>
        </w:r>
      </w:hyperlink>
      <w:hyperlink r:id="rId9">
        <w:r w:rsidR="00A9723A" w:rsidRPr="001B63D4">
          <w:t xml:space="preserve"> </w:t>
        </w:r>
      </w:hyperlink>
      <w:r w:rsidRPr="001B63D4">
        <w:t xml:space="preserve"> </w:t>
      </w:r>
    </w:p>
    <w:p w14:paraId="01806170" w14:textId="77777777" w:rsidR="00A9723A" w:rsidRPr="001B63D4" w:rsidRDefault="00000000" w:rsidP="005B319E">
      <w:pPr>
        <w:numPr>
          <w:ilvl w:val="0"/>
          <w:numId w:val="1"/>
        </w:numPr>
        <w:spacing w:after="12"/>
        <w:ind w:right="1" w:hanging="360"/>
        <w:jc w:val="both"/>
      </w:pPr>
      <w:r w:rsidRPr="001B63D4">
        <w:t xml:space="preserve">European Commission (2022) </w:t>
      </w:r>
      <w:r w:rsidRPr="001B63D4">
        <w:rPr>
          <w:i/>
        </w:rPr>
        <w:t>Fit for 55: Climate Policy Package</w:t>
      </w:r>
      <w:r w:rsidRPr="001B63D4">
        <w:t xml:space="preserve">. Available at: </w:t>
      </w:r>
      <w:hyperlink r:id="rId10">
        <w:r w:rsidR="00A9723A" w:rsidRPr="001B63D4">
          <w:rPr>
            <w:color w:val="467886"/>
            <w:u w:val="single" w:color="467886"/>
          </w:rPr>
          <w:t>https://ec.europa.eu</w:t>
        </w:r>
      </w:hyperlink>
      <w:hyperlink r:id="rId11">
        <w:r w:rsidR="00A9723A" w:rsidRPr="001B63D4">
          <w:t xml:space="preserve"> </w:t>
        </w:r>
      </w:hyperlink>
      <w:r w:rsidRPr="001B63D4">
        <w:t xml:space="preserve"> </w:t>
      </w:r>
    </w:p>
    <w:p w14:paraId="3526C4C7" w14:textId="77777777" w:rsidR="00A9723A" w:rsidRPr="001B63D4" w:rsidRDefault="00000000" w:rsidP="005B319E">
      <w:pPr>
        <w:numPr>
          <w:ilvl w:val="0"/>
          <w:numId w:val="1"/>
        </w:numPr>
        <w:spacing w:after="16" w:line="280" w:lineRule="auto"/>
        <w:ind w:right="1" w:hanging="360"/>
        <w:jc w:val="both"/>
      </w:pPr>
      <w:r w:rsidRPr="001B63D4">
        <w:t xml:space="preserve">OECD (2021) </w:t>
      </w:r>
      <w:r w:rsidRPr="001B63D4">
        <w:rPr>
          <w:i/>
        </w:rPr>
        <w:t>Policies for Electric Vehicle Deployment</w:t>
      </w:r>
      <w:r w:rsidRPr="001B63D4">
        <w:t xml:space="preserve">. Available at: </w:t>
      </w:r>
      <w:hyperlink r:id="rId12">
        <w:r w:rsidR="00A9723A" w:rsidRPr="001B63D4">
          <w:rPr>
            <w:color w:val="467886"/>
            <w:u w:val="single" w:color="467886"/>
          </w:rPr>
          <w:t>https://www.oecd.org</w:t>
        </w:r>
      </w:hyperlink>
      <w:hyperlink r:id="rId13">
        <w:r w:rsidR="00A9723A" w:rsidRPr="001B63D4">
          <w:t xml:space="preserve"> </w:t>
        </w:r>
      </w:hyperlink>
      <w:r w:rsidRPr="001B63D4">
        <w:t xml:space="preserve"> </w:t>
      </w:r>
    </w:p>
    <w:p w14:paraId="2B57E963" w14:textId="77777777" w:rsidR="00A9723A" w:rsidRPr="001B63D4" w:rsidRDefault="00000000" w:rsidP="005B319E">
      <w:pPr>
        <w:numPr>
          <w:ilvl w:val="0"/>
          <w:numId w:val="1"/>
        </w:numPr>
        <w:spacing w:after="16" w:line="280" w:lineRule="auto"/>
        <w:ind w:right="1" w:hanging="360"/>
        <w:jc w:val="both"/>
      </w:pPr>
      <w:r w:rsidRPr="001B63D4">
        <w:t xml:space="preserve">IRENA (2022) </w:t>
      </w:r>
      <w:r w:rsidRPr="001B63D4">
        <w:rPr>
          <w:i/>
        </w:rPr>
        <w:t>Electric Mobility and Renewable Energy</w:t>
      </w:r>
      <w:r w:rsidRPr="001B63D4">
        <w:t xml:space="preserve">. Available at: </w:t>
      </w:r>
      <w:hyperlink r:id="rId14">
        <w:r w:rsidR="00A9723A" w:rsidRPr="001B63D4">
          <w:rPr>
            <w:color w:val="467886"/>
            <w:u w:val="single" w:color="467886"/>
          </w:rPr>
          <w:t>https://www.irena.org</w:t>
        </w:r>
      </w:hyperlink>
      <w:hyperlink r:id="rId15">
        <w:r w:rsidR="00A9723A" w:rsidRPr="001B63D4">
          <w:t xml:space="preserve"> </w:t>
        </w:r>
      </w:hyperlink>
      <w:r w:rsidRPr="001B63D4">
        <w:t xml:space="preserve"> </w:t>
      </w:r>
    </w:p>
    <w:p w14:paraId="66A1330C" w14:textId="77777777" w:rsidR="00A9723A" w:rsidRPr="001B63D4" w:rsidRDefault="00000000" w:rsidP="005B319E">
      <w:pPr>
        <w:numPr>
          <w:ilvl w:val="0"/>
          <w:numId w:val="1"/>
        </w:numPr>
        <w:spacing w:after="12"/>
        <w:ind w:right="1" w:hanging="360"/>
        <w:jc w:val="both"/>
      </w:pPr>
      <w:r w:rsidRPr="001B63D4">
        <w:t xml:space="preserve">International Energy Agency (IEA) (2023) </w:t>
      </w:r>
      <w:r w:rsidRPr="001B63D4">
        <w:rPr>
          <w:i/>
        </w:rPr>
        <w:t>Global EV Outlook 2023</w:t>
      </w:r>
      <w:r w:rsidRPr="001B63D4">
        <w:t xml:space="preserve">. Available at: </w:t>
      </w:r>
      <w:hyperlink r:id="rId16">
        <w:r w:rsidR="00A9723A" w:rsidRPr="001B63D4">
          <w:rPr>
            <w:color w:val="467886"/>
            <w:u w:val="single" w:color="467886"/>
          </w:rPr>
          <w:t>https://www.iea.org/reports/global</w:t>
        </w:r>
      </w:hyperlink>
      <w:hyperlink r:id="rId17">
        <w:r w:rsidR="00A9723A" w:rsidRPr="001B63D4">
          <w:rPr>
            <w:color w:val="467886"/>
            <w:u w:val="single" w:color="467886"/>
          </w:rPr>
          <w:t>-</w:t>
        </w:r>
      </w:hyperlink>
      <w:hyperlink r:id="rId18">
        <w:r w:rsidR="00A9723A" w:rsidRPr="001B63D4">
          <w:rPr>
            <w:color w:val="467886"/>
            <w:u w:val="single" w:color="467886"/>
          </w:rPr>
          <w:t>ev</w:t>
        </w:r>
      </w:hyperlink>
      <w:hyperlink r:id="rId19">
        <w:r w:rsidR="00A9723A" w:rsidRPr="001B63D4">
          <w:rPr>
            <w:color w:val="467886"/>
            <w:u w:val="single" w:color="467886"/>
          </w:rPr>
          <w:t>-</w:t>
        </w:r>
      </w:hyperlink>
      <w:hyperlink r:id="rId20">
        <w:r w:rsidR="00A9723A" w:rsidRPr="001B63D4">
          <w:rPr>
            <w:color w:val="467886"/>
            <w:u w:val="single" w:color="467886"/>
          </w:rPr>
          <w:t>outlook</w:t>
        </w:r>
      </w:hyperlink>
      <w:hyperlink r:id="rId21">
        <w:r w:rsidR="00A9723A" w:rsidRPr="001B63D4">
          <w:rPr>
            <w:color w:val="467886"/>
            <w:u w:val="single" w:color="467886"/>
          </w:rPr>
          <w:t>-</w:t>
        </w:r>
      </w:hyperlink>
      <w:hyperlink r:id="rId22">
        <w:r w:rsidR="00A9723A" w:rsidRPr="001B63D4">
          <w:rPr>
            <w:color w:val="467886"/>
            <w:u w:val="single" w:color="467886"/>
          </w:rPr>
          <w:t>2023</w:t>
        </w:r>
      </w:hyperlink>
      <w:hyperlink r:id="rId23">
        <w:r w:rsidR="00A9723A" w:rsidRPr="001B63D4">
          <w:rPr>
            <w:color w:val="467886"/>
          </w:rPr>
          <w:t xml:space="preserve"> </w:t>
        </w:r>
      </w:hyperlink>
    </w:p>
    <w:p w14:paraId="51303EC5" w14:textId="77777777" w:rsidR="00A9723A" w:rsidRPr="001B63D4" w:rsidRDefault="00000000" w:rsidP="005B319E">
      <w:pPr>
        <w:numPr>
          <w:ilvl w:val="0"/>
          <w:numId w:val="1"/>
        </w:numPr>
        <w:spacing w:after="12"/>
        <w:ind w:right="1" w:hanging="360"/>
        <w:jc w:val="both"/>
      </w:pPr>
      <w:r w:rsidRPr="001B63D4">
        <w:t xml:space="preserve">Tesla Inc. (2023) </w:t>
      </w:r>
      <w:r w:rsidRPr="001B63D4">
        <w:rPr>
          <w:i/>
        </w:rPr>
        <w:t>Annual Report (Form 10-K)</w:t>
      </w:r>
      <w:r w:rsidRPr="001B63D4">
        <w:t xml:space="preserve">. Available at: </w:t>
      </w:r>
      <w:hyperlink r:id="rId24">
        <w:r w:rsidR="00A9723A" w:rsidRPr="001B63D4">
          <w:rPr>
            <w:color w:val="467886"/>
            <w:u w:val="single" w:color="467886"/>
          </w:rPr>
          <w:t>https://www.tesla.com</w:t>
        </w:r>
      </w:hyperlink>
      <w:hyperlink r:id="rId25">
        <w:r w:rsidR="00A9723A" w:rsidRPr="001B63D4">
          <w:t xml:space="preserve"> </w:t>
        </w:r>
      </w:hyperlink>
      <w:r w:rsidRPr="001B63D4">
        <w:t xml:space="preserve"> </w:t>
      </w:r>
    </w:p>
    <w:p w14:paraId="42E4E0D6" w14:textId="77777777" w:rsidR="00A9723A" w:rsidRPr="001B63D4" w:rsidRDefault="00000000" w:rsidP="005B319E">
      <w:pPr>
        <w:numPr>
          <w:ilvl w:val="0"/>
          <w:numId w:val="1"/>
        </w:numPr>
        <w:spacing w:after="11"/>
        <w:ind w:right="1" w:hanging="360"/>
        <w:jc w:val="both"/>
      </w:pPr>
      <w:r w:rsidRPr="001B63D4">
        <w:t xml:space="preserve">Volkswagen Group (2023) </w:t>
      </w:r>
      <w:r w:rsidRPr="001B63D4">
        <w:rPr>
          <w:i/>
        </w:rPr>
        <w:t>Annual Report</w:t>
      </w:r>
      <w:r w:rsidRPr="001B63D4">
        <w:t xml:space="preserve">. Available at: </w:t>
      </w:r>
      <w:hyperlink r:id="rId26">
        <w:r w:rsidR="00A9723A" w:rsidRPr="001B63D4">
          <w:rPr>
            <w:color w:val="467886"/>
            <w:u w:val="single" w:color="467886"/>
          </w:rPr>
          <w:t>https://www.volkswagenag.com</w:t>
        </w:r>
      </w:hyperlink>
      <w:hyperlink r:id="rId27">
        <w:r w:rsidR="00A9723A" w:rsidRPr="001B63D4">
          <w:t xml:space="preserve"> </w:t>
        </w:r>
      </w:hyperlink>
    </w:p>
    <w:p w14:paraId="61924057" w14:textId="77777777" w:rsidR="00A9723A" w:rsidRPr="001B63D4" w:rsidRDefault="00000000" w:rsidP="005B319E">
      <w:pPr>
        <w:numPr>
          <w:ilvl w:val="0"/>
          <w:numId w:val="1"/>
        </w:numPr>
        <w:spacing w:after="12"/>
        <w:ind w:right="1" w:hanging="360"/>
        <w:jc w:val="both"/>
      </w:pPr>
      <w:r w:rsidRPr="001B63D4">
        <w:t xml:space="preserve">Johnson, G., Scholes, K. and Whittington, R. (2020) </w:t>
      </w:r>
      <w:r w:rsidRPr="001B63D4">
        <w:rPr>
          <w:i/>
        </w:rPr>
        <w:t>Exploring Strategy</w:t>
      </w:r>
      <w:r w:rsidRPr="001B63D4">
        <w:t xml:space="preserve">. 12th ed. Pearson.  </w:t>
      </w:r>
    </w:p>
    <w:p w14:paraId="42BB3833" w14:textId="77777777" w:rsidR="00A9723A" w:rsidRPr="001B63D4" w:rsidRDefault="00000000" w:rsidP="005B319E">
      <w:pPr>
        <w:numPr>
          <w:ilvl w:val="0"/>
          <w:numId w:val="1"/>
        </w:numPr>
        <w:spacing w:after="11"/>
        <w:ind w:right="1" w:hanging="360"/>
        <w:jc w:val="both"/>
      </w:pPr>
      <w:r w:rsidRPr="001B63D4">
        <w:t xml:space="preserve">Kotler, P., Keller, K. and Chernev, A. (2021) </w:t>
      </w:r>
      <w:r w:rsidRPr="001B63D4">
        <w:rPr>
          <w:i/>
        </w:rPr>
        <w:t>Marketing Management</w:t>
      </w:r>
      <w:r w:rsidRPr="001B63D4">
        <w:t xml:space="preserve">. 16th ed. Pearson.  </w:t>
      </w:r>
    </w:p>
    <w:p w14:paraId="2367DA44" w14:textId="77777777" w:rsidR="00A9723A" w:rsidRPr="001B63D4" w:rsidRDefault="00000000" w:rsidP="005B319E">
      <w:pPr>
        <w:numPr>
          <w:ilvl w:val="0"/>
          <w:numId w:val="1"/>
        </w:numPr>
        <w:spacing w:after="26" w:line="270" w:lineRule="auto"/>
        <w:ind w:right="1" w:hanging="360"/>
        <w:jc w:val="both"/>
      </w:pPr>
      <w:r w:rsidRPr="001B63D4">
        <w:lastRenderedPageBreak/>
        <w:t xml:space="preserve">Mangram, M. (2021) ‘The globalization of Tesla Motors’, </w:t>
      </w:r>
      <w:r w:rsidRPr="001B63D4">
        <w:rPr>
          <w:i/>
        </w:rPr>
        <w:t>Journal of Strategic Marketing</w:t>
      </w:r>
      <w:r w:rsidRPr="001B63D4">
        <w:t xml:space="preserve">, 29(5), pp. 1–15. Available via Google Scholar.  </w:t>
      </w:r>
    </w:p>
    <w:p w14:paraId="622D1F18" w14:textId="77777777" w:rsidR="00A9723A" w:rsidRPr="001B63D4" w:rsidRDefault="00000000" w:rsidP="005B319E">
      <w:pPr>
        <w:numPr>
          <w:ilvl w:val="0"/>
          <w:numId w:val="1"/>
        </w:numPr>
        <w:spacing w:after="12"/>
        <w:ind w:right="1" w:hanging="360"/>
        <w:jc w:val="both"/>
      </w:pPr>
      <w:r w:rsidRPr="001B63D4">
        <w:t xml:space="preserve">McKinsey &amp; Company (2023) </w:t>
      </w:r>
      <w:r w:rsidRPr="001B63D4">
        <w:rPr>
          <w:i/>
        </w:rPr>
        <w:t>The future of mobility</w:t>
      </w:r>
      <w:r w:rsidRPr="001B63D4">
        <w:t xml:space="preserve">. Available at: </w:t>
      </w:r>
      <w:hyperlink r:id="rId28">
        <w:r w:rsidR="00A9723A" w:rsidRPr="001B63D4">
          <w:rPr>
            <w:color w:val="467886"/>
            <w:u w:val="single" w:color="467886"/>
          </w:rPr>
          <w:t>https://www.mckinsey.com</w:t>
        </w:r>
      </w:hyperlink>
      <w:hyperlink r:id="rId29">
        <w:r w:rsidR="00A9723A" w:rsidRPr="001B63D4">
          <w:t xml:space="preserve"> </w:t>
        </w:r>
      </w:hyperlink>
      <w:r w:rsidRPr="001B63D4">
        <w:t xml:space="preserve"> </w:t>
      </w:r>
    </w:p>
    <w:p w14:paraId="780EC4FD" w14:textId="43AFB526" w:rsidR="00A9723A" w:rsidRPr="001B63D4" w:rsidRDefault="00000000" w:rsidP="005B319E">
      <w:pPr>
        <w:pStyle w:val="ListParagraph"/>
        <w:spacing w:after="26" w:line="270" w:lineRule="auto"/>
        <w:ind w:left="721" w:right="1" w:firstLine="0"/>
        <w:jc w:val="both"/>
      </w:pPr>
      <w:r w:rsidRPr="001B63D4">
        <w:t>Nykvist, B. and Nilsson, M. (20</w:t>
      </w:r>
      <w:r w:rsidR="003D4E3D">
        <w:t>15</w:t>
      </w:r>
      <w:r w:rsidRPr="001B63D4">
        <w:t xml:space="preserve">) ‘Rapidly falling costs of battery packs for electric vehicles’, </w:t>
      </w:r>
      <w:r w:rsidRPr="003D4E3D">
        <w:rPr>
          <w:i/>
        </w:rPr>
        <w:t>Nature Climate Change</w:t>
      </w:r>
      <w:r w:rsidRPr="001B63D4">
        <w:t xml:space="preserve">, 5(4), pp. 329–332.  </w:t>
      </w:r>
    </w:p>
    <w:p w14:paraId="69A825FA" w14:textId="77777777" w:rsidR="00A9723A" w:rsidRPr="001B63D4" w:rsidRDefault="00000000" w:rsidP="005B319E">
      <w:pPr>
        <w:numPr>
          <w:ilvl w:val="0"/>
          <w:numId w:val="1"/>
        </w:numPr>
        <w:spacing w:after="26" w:line="270" w:lineRule="auto"/>
        <w:ind w:right="1" w:hanging="360"/>
        <w:jc w:val="both"/>
      </w:pPr>
      <w:r w:rsidRPr="001B63D4">
        <w:t xml:space="preserve">Bohnsack, R., </w:t>
      </w:r>
      <w:proofErr w:type="spellStart"/>
      <w:r w:rsidRPr="001B63D4">
        <w:t>Pinkse</w:t>
      </w:r>
      <w:proofErr w:type="spellEnd"/>
      <w:r w:rsidRPr="001B63D4">
        <w:t xml:space="preserve">, J. and Kolk, A. (2021) ‘Business models for sustainable technologies: exploring business model evolution in the EV sector’, </w:t>
      </w:r>
      <w:r w:rsidRPr="001B63D4">
        <w:rPr>
          <w:i/>
        </w:rPr>
        <w:t>Research Policy</w:t>
      </w:r>
      <w:r w:rsidRPr="001B63D4">
        <w:t xml:space="preserve">, 50(6), pp. 1–13.  </w:t>
      </w:r>
    </w:p>
    <w:p w14:paraId="72C5E2A0" w14:textId="77777777" w:rsidR="00A9723A" w:rsidRPr="001B63D4" w:rsidRDefault="00000000" w:rsidP="005B319E">
      <w:pPr>
        <w:numPr>
          <w:ilvl w:val="0"/>
          <w:numId w:val="1"/>
        </w:numPr>
        <w:spacing w:after="12" w:line="281" w:lineRule="auto"/>
        <w:ind w:right="1" w:hanging="360"/>
        <w:jc w:val="both"/>
      </w:pPr>
      <w:r w:rsidRPr="001B63D4">
        <w:t xml:space="preserve">Wells, P. and Nieuwenhuis, P. (2021) ‘Transition failure: understanding continuity in the automotive industry’, </w:t>
      </w:r>
      <w:r w:rsidRPr="001B63D4">
        <w:rPr>
          <w:i/>
        </w:rPr>
        <w:t>Technological Forecasting and Social Change</w:t>
      </w:r>
      <w:r w:rsidRPr="001B63D4">
        <w:t xml:space="preserve">, 129, pp. 1–10. </w:t>
      </w:r>
    </w:p>
    <w:p w14:paraId="2C94092A" w14:textId="77777777" w:rsidR="00A9723A" w:rsidRPr="001B63D4" w:rsidRDefault="00000000" w:rsidP="005B319E">
      <w:pPr>
        <w:numPr>
          <w:ilvl w:val="0"/>
          <w:numId w:val="1"/>
        </w:numPr>
        <w:spacing w:after="11"/>
        <w:ind w:right="1" w:hanging="360"/>
        <w:jc w:val="both"/>
      </w:pPr>
      <w:r w:rsidRPr="001B63D4">
        <w:t xml:space="preserve">Porter, M.E. (2008) </w:t>
      </w:r>
      <w:r w:rsidRPr="001B63D4">
        <w:rPr>
          <w:i/>
        </w:rPr>
        <w:t>Competitive Strategy</w:t>
      </w:r>
      <w:r w:rsidRPr="001B63D4">
        <w:t xml:space="preserve">. Free Press (relevant framework applied with updated context). </w:t>
      </w:r>
    </w:p>
    <w:p w14:paraId="46305F9B" w14:textId="77777777" w:rsidR="00A9723A" w:rsidRPr="001B63D4" w:rsidRDefault="00000000" w:rsidP="005B319E">
      <w:pPr>
        <w:numPr>
          <w:ilvl w:val="0"/>
          <w:numId w:val="1"/>
        </w:numPr>
        <w:spacing w:after="0"/>
        <w:ind w:right="1" w:hanging="360"/>
        <w:jc w:val="both"/>
      </w:pPr>
      <w:proofErr w:type="spellStart"/>
      <w:r w:rsidRPr="001B63D4">
        <w:t>BloombergNEF</w:t>
      </w:r>
      <w:proofErr w:type="spellEnd"/>
      <w:r w:rsidRPr="001B63D4">
        <w:t xml:space="preserve"> (2023) </w:t>
      </w:r>
      <w:r w:rsidRPr="001B63D4">
        <w:rPr>
          <w:i/>
        </w:rPr>
        <w:t>Electric Vehicle Outlook 2023</w:t>
      </w:r>
      <w:r w:rsidRPr="001B63D4">
        <w:t xml:space="preserve">. Available at: </w:t>
      </w:r>
    </w:p>
    <w:p w14:paraId="48D0A4DC" w14:textId="77777777" w:rsidR="00A9723A" w:rsidRPr="001B63D4" w:rsidRDefault="00A9723A" w:rsidP="005B319E">
      <w:pPr>
        <w:spacing w:after="22" w:line="259" w:lineRule="auto"/>
        <w:ind w:left="721" w:firstLine="0"/>
        <w:jc w:val="both"/>
      </w:pPr>
      <w:hyperlink r:id="rId30">
        <w:r w:rsidRPr="001B63D4">
          <w:rPr>
            <w:color w:val="467886"/>
            <w:u w:val="single" w:color="467886"/>
          </w:rPr>
          <w:t>https://about.bnef.com</w:t>
        </w:r>
      </w:hyperlink>
      <w:hyperlink r:id="rId31">
        <w:r w:rsidRPr="001B63D4">
          <w:t xml:space="preserve"> </w:t>
        </w:r>
      </w:hyperlink>
    </w:p>
    <w:p w14:paraId="075166D0" w14:textId="77777777" w:rsidR="00A9723A" w:rsidRPr="001B63D4" w:rsidRDefault="00000000">
      <w:pPr>
        <w:spacing w:after="182" w:line="259" w:lineRule="auto"/>
        <w:ind w:left="0" w:firstLine="0"/>
      </w:pPr>
      <w:r w:rsidRPr="001B63D4">
        <w:t xml:space="preserve"> </w:t>
      </w:r>
    </w:p>
    <w:p w14:paraId="58E1F9B3" w14:textId="77777777" w:rsidR="00A9723A" w:rsidRPr="001B63D4" w:rsidRDefault="00000000">
      <w:pPr>
        <w:spacing w:after="189" w:line="259" w:lineRule="auto"/>
        <w:ind w:left="0" w:firstLine="0"/>
      </w:pPr>
      <w:r w:rsidRPr="001B63D4">
        <w:rPr>
          <w:rFonts w:eastAsia="Calibri"/>
        </w:rPr>
        <w:t xml:space="preserve"> </w:t>
      </w:r>
    </w:p>
    <w:p w14:paraId="70353472" w14:textId="77777777" w:rsidR="00A9723A" w:rsidRPr="001B63D4" w:rsidRDefault="00000000">
      <w:pPr>
        <w:spacing w:after="0" w:line="259" w:lineRule="auto"/>
        <w:ind w:left="0" w:firstLine="0"/>
      </w:pPr>
      <w:r w:rsidRPr="001B63D4">
        <w:rPr>
          <w:rFonts w:eastAsia="Calibri"/>
        </w:rPr>
        <w:t xml:space="preserve"> </w:t>
      </w:r>
    </w:p>
    <w:p w14:paraId="4429F33F" w14:textId="77777777" w:rsidR="00A9723A" w:rsidRPr="001B63D4" w:rsidRDefault="00000000">
      <w:pPr>
        <w:spacing w:after="0" w:line="259" w:lineRule="auto"/>
        <w:ind w:left="0" w:right="4456" w:firstLine="0"/>
        <w:jc w:val="right"/>
      </w:pPr>
      <w:r w:rsidRPr="001B63D4">
        <w:rPr>
          <w:rFonts w:eastAsia="Calibri"/>
          <w:b/>
          <w:sz w:val="28"/>
        </w:rPr>
        <w:t xml:space="preserve"> </w:t>
      </w:r>
    </w:p>
    <w:p w14:paraId="5F72BE3B" w14:textId="77777777" w:rsidR="00A9723A" w:rsidRPr="001B63D4" w:rsidRDefault="00000000">
      <w:pPr>
        <w:spacing w:after="0" w:line="259" w:lineRule="auto"/>
        <w:ind w:left="0" w:firstLine="0"/>
      </w:pPr>
      <w:r w:rsidRPr="001B63D4">
        <w:rPr>
          <w:rFonts w:eastAsia="Calibri"/>
        </w:rPr>
        <w:t xml:space="preserve"> </w:t>
      </w:r>
    </w:p>
    <w:sectPr w:rsidR="00A9723A" w:rsidRPr="001B63D4" w:rsidSect="00306645">
      <w:footerReference w:type="default" r:id="rId32"/>
      <w:pgSz w:w="11905" w:h="16840"/>
      <w:pgMar w:top="1440" w:right="1440" w:bottom="1550" w:left="1441"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52DC9" w14:textId="77777777" w:rsidR="006A25B0" w:rsidRDefault="006A25B0" w:rsidP="00306645">
      <w:pPr>
        <w:spacing w:after="0" w:line="240" w:lineRule="auto"/>
      </w:pPr>
      <w:r>
        <w:separator/>
      </w:r>
    </w:p>
  </w:endnote>
  <w:endnote w:type="continuationSeparator" w:id="0">
    <w:p w14:paraId="1124A155" w14:textId="77777777" w:rsidR="006A25B0" w:rsidRDefault="006A25B0" w:rsidP="00306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5989623"/>
      <w:docPartObj>
        <w:docPartGallery w:val="Page Numbers (Bottom of Page)"/>
        <w:docPartUnique/>
      </w:docPartObj>
    </w:sdtPr>
    <w:sdtContent>
      <w:p w14:paraId="66C0EB0B" w14:textId="4148C545" w:rsidR="00306645" w:rsidRDefault="00306645">
        <w:pPr>
          <w:pStyle w:val="Footer"/>
          <w:jc w:val="center"/>
        </w:pPr>
        <w:r>
          <w:fldChar w:fldCharType="begin"/>
        </w:r>
        <w:r>
          <w:instrText>PAGE   \* MERGEFORMAT</w:instrText>
        </w:r>
        <w:r>
          <w:fldChar w:fldCharType="separate"/>
        </w:r>
        <w:r>
          <w:rPr>
            <w:lang w:val="en-GB"/>
          </w:rPr>
          <w:t>2</w:t>
        </w:r>
        <w:r>
          <w:fldChar w:fldCharType="end"/>
        </w:r>
      </w:p>
    </w:sdtContent>
  </w:sdt>
  <w:p w14:paraId="13E6BA78" w14:textId="77777777" w:rsidR="00306645" w:rsidRDefault="00306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65262" w14:textId="77777777" w:rsidR="006A25B0" w:rsidRDefault="006A25B0" w:rsidP="00306645">
      <w:pPr>
        <w:spacing w:after="0" w:line="240" w:lineRule="auto"/>
      </w:pPr>
      <w:r>
        <w:separator/>
      </w:r>
    </w:p>
  </w:footnote>
  <w:footnote w:type="continuationSeparator" w:id="0">
    <w:p w14:paraId="3F2CA362" w14:textId="77777777" w:rsidR="006A25B0" w:rsidRDefault="006A25B0" w:rsidP="00306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4F43"/>
    <w:multiLevelType w:val="hybridMultilevel"/>
    <w:tmpl w:val="416E926C"/>
    <w:lvl w:ilvl="0" w:tplc="3C4241E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68505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6627D8">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D2D6E8">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B04D90">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7E5E60">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324902A">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64BACA">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4E8A2F6">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7A141A5"/>
    <w:multiLevelType w:val="hybridMultilevel"/>
    <w:tmpl w:val="33E097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03356319">
    <w:abstractNumId w:val="0"/>
  </w:num>
  <w:num w:numId="2" w16cid:durableId="1245870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23A"/>
    <w:rsid w:val="001B63D4"/>
    <w:rsid w:val="00306645"/>
    <w:rsid w:val="00366631"/>
    <w:rsid w:val="003D4E3D"/>
    <w:rsid w:val="004E4DAB"/>
    <w:rsid w:val="004F2192"/>
    <w:rsid w:val="005B319E"/>
    <w:rsid w:val="0064623E"/>
    <w:rsid w:val="006A25B0"/>
    <w:rsid w:val="00821E06"/>
    <w:rsid w:val="00980391"/>
    <w:rsid w:val="00A9723A"/>
    <w:rsid w:val="00C3433D"/>
    <w:rsid w:val="00F85301"/>
    <w:rsid w:val="00FB67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BEE02"/>
  <w15:docId w15:val="{E0A75F1D-A05D-49F8-A07F-F0AFC4760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9" w:line="282" w:lineRule="auto"/>
      <w:ind w:left="12" w:hanging="10"/>
    </w:pPr>
    <w:rPr>
      <w:rFonts w:ascii="Arial" w:eastAsia="Arial" w:hAnsi="Arial" w:cs="Arial"/>
      <w:color w:val="000000"/>
    </w:rPr>
  </w:style>
  <w:style w:type="paragraph" w:styleId="Heading1">
    <w:name w:val="heading 1"/>
    <w:next w:val="Normal"/>
    <w:link w:val="Heading1Char"/>
    <w:uiPriority w:val="9"/>
    <w:qFormat/>
    <w:pPr>
      <w:keepNext/>
      <w:keepLines/>
      <w:spacing w:after="308" w:line="271"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308" w:line="271" w:lineRule="auto"/>
      <w:ind w:left="1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308" w:line="271" w:lineRule="auto"/>
      <w:ind w:left="10" w:hanging="10"/>
      <w:outlineLvl w:val="2"/>
    </w:pPr>
    <w:rPr>
      <w:rFonts w:ascii="Arial" w:eastAsia="Arial" w:hAnsi="Arial" w:cs="Arial"/>
      <w:b/>
      <w:color w:val="000000"/>
    </w:rPr>
  </w:style>
  <w:style w:type="paragraph" w:styleId="Heading4">
    <w:name w:val="heading 4"/>
    <w:next w:val="Normal"/>
    <w:link w:val="Heading4Char"/>
    <w:uiPriority w:val="9"/>
    <w:unhideWhenUsed/>
    <w:qFormat/>
    <w:pPr>
      <w:keepNext/>
      <w:keepLines/>
      <w:spacing w:after="308" w:line="271" w:lineRule="auto"/>
      <w:ind w:left="10" w:hanging="10"/>
      <w:outlineLvl w:val="3"/>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rPr>
  </w:style>
  <w:style w:type="character" w:customStyle="1" w:styleId="Heading4Char">
    <w:name w:val="Heading 4 Char"/>
    <w:link w:val="Heading4"/>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4"/>
    </w:rPr>
  </w:style>
  <w:style w:type="paragraph" w:styleId="TOC1">
    <w:name w:val="toc 1"/>
    <w:hidden/>
    <w:uiPriority w:val="39"/>
    <w:pPr>
      <w:spacing w:after="66" w:line="270" w:lineRule="auto"/>
      <w:ind w:left="25" w:right="17" w:hanging="10"/>
    </w:pPr>
    <w:rPr>
      <w:rFonts w:ascii="Calibri" w:eastAsia="Calibri" w:hAnsi="Calibri" w:cs="Calibri"/>
      <w:color w:val="000000"/>
    </w:rPr>
  </w:style>
  <w:style w:type="paragraph" w:styleId="TOC2">
    <w:name w:val="toc 2"/>
    <w:hidden/>
    <w:uiPriority w:val="39"/>
    <w:pPr>
      <w:spacing w:after="126" w:line="259" w:lineRule="auto"/>
      <w:ind w:left="245" w:right="17" w:hanging="10"/>
    </w:pPr>
    <w:rPr>
      <w:rFonts w:ascii="Calibri" w:eastAsia="Calibri" w:hAnsi="Calibri" w:cs="Calibri"/>
      <w:color w:val="000000"/>
    </w:rPr>
  </w:style>
  <w:style w:type="paragraph" w:styleId="TOC3">
    <w:name w:val="toc 3"/>
    <w:hidden/>
    <w:uiPriority w:val="39"/>
    <w:pPr>
      <w:spacing w:after="0" w:line="378" w:lineRule="auto"/>
      <w:ind w:left="245" w:right="17" w:hanging="10"/>
    </w:pPr>
    <w:rPr>
      <w:rFonts w:ascii="Calibri" w:eastAsia="Calibri" w:hAnsi="Calibri" w:cs="Calibri"/>
      <w:color w:val="000000"/>
    </w:rPr>
  </w:style>
  <w:style w:type="paragraph" w:styleId="TOC4">
    <w:name w:val="toc 4"/>
    <w:hidden/>
    <w:uiPriority w:val="39"/>
    <w:pPr>
      <w:spacing w:after="0" w:line="379" w:lineRule="auto"/>
      <w:ind w:left="235" w:right="22" w:firstLine="221"/>
    </w:pPr>
    <w:rPr>
      <w:rFonts w:ascii="Arial" w:eastAsia="Arial" w:hAnsi="Arial" w:cs="Arial"/>
      <w:color w:val="000000"/>
    </w:rPr>
  </w:style>
  <w:style w:type="paragraph" w:styleId="ListParagraph">
    <w:name w:val="List Paragraph"/>
    <w:basedOn w:val="Normal"/>
    <w:uiPriority w:val="34"/>
    <w:qFormat/>
    <w:rsid w:val="003D4E3D"/>
    <w:pPr>
      <w:ind w:left="720"/>
      <w:contextualSpacing/>
    </w:pPr>
  </w:style>
  <w:style w:type="character" w:styleId="Hyperlink">
    <w:name w:val="Hyperlink"/>
    <w:basedOn w:val="DefaultParagraphFont"/>
    <w:uiPriority w:val="99"/>
    <w:unhideWhenUsed/>
    <w:rsid w:val="003D4E3D"/>
    <w:rPr>
      <w:color w:val="0563C1" w:themeColor="hyperlink"/>
      <w:u w:val="single"/>
    </w:rPr>
  </w:style>
  <w:style w:type="paragraph" w:styleId="TOCHeading">
    <w:name w:val="TOC Heading"/>
    <w:basedOn w:val="Heading1"/>
    <w:next w:val="Normal"/>
    <w:uiPriority w:val="39"/>
    <w:unhideWhenUsed/>
    <w:qFormat/>
    <w:rsid w:val="003D4E3D"/>
    <w:pPr>
      <w:spacing w:before="240" w:after="0" w:line="259" w:lineRule="auto"/>
      <w:ind w:left="0" w:firstLine="0"/>
      <w:outlineLvl w:val="9"/>
    </w:pPr>
    <w:rPr>
      <w:rFonts w:asciiTheme="majorHAnsi" w:eastAsiaTheme="majorEastAsia" w:hAnsiTheme="majorHAnsi" w:cstheme="majorBidi"/>
      <w:b w:val="0"/>
      <w:color w:val="2F5496" w:themeColor="accent1" w:themeShade="BF"/>
      <w:kern w:val="0"/>
      <w:sz w:val="32"/>
      <w:szCs w:val="32"/>
      <w:lang w:val="en-GB" w:eastAsia="en-GB"/>
      <w14:ligatures w14:val="none"/>
    </w:rPr>
  </w:style>
  <w:style w:type="paragraph" w:styleId="Header">
    <w:name w:val="header"/>
    <w:basedOn w:val="Normal"/>
    <w:link w:val="HeaderChar"/>
    <w:uiPriority w:val="99"/>
    <w:unhideWhenUsed/>
    <w:rsid w:val="00306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645"/>
    <w:rPr>
      <w:rFonts w:ascii="Arial" w:eastAsia="Arial" w:hAnsi="Arial" w:cs="Arial"/>
      <w:color w:val="000000"/>
    </w:rPr>
  </w:style>
  <w:style w:type="paragraph" w:styleId="Footer">
    <w:name w:val="footer"/>
    <w:basedOn w:val="Normal"/>
    <w:link w:val="FooterChar"/>
    <w:uiPriority w:val="99"/>
    <w:unhideWhenUsed/>
    <w:rsid w:val="00306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645"/>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oecd.org/" TargetMode="External"/><Relationship Id="rId18" Type="http://schemas.openxmlformats.org/officeDocument/2006/relationships/hyperlink" Target="https://www.iea.org/reports/global-ev-outlook-2023" TargetMode="External"/><Relationship Id="rId26" Type="http://schemas.openxmlformats.org/officeDocument/2006/relationships/hyperlink" Target="https://www.volkswagenag.com/" TargetMode="External"/><Relationship Id="rId3" Type="http://schemas.openxmlformats.org/officeDocument/2006/relationships/settings" Target="settings.xml"/><Relationship Id="rId21" Type="http://schemas.openxmlformats.org/officeDocument/2006/relationships/hyperlink" Target="https://www.iea.org/reports/global-ev-outlook-2023"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www.oecd.org/" TargetMode="External"/><Relationship Id="rId17" Type="http://schemas.openxmlformats.org/officeDocument/2006/relationships/hyperlink" Target="https://www.iea.org/reports/global-ev-outlook-2023" TargetMode="External"/><Relationship Id="rId25" Type="http://schemas.openxmlformats.org/officeDocument/2006/relationships/hyperlink" Target="https://www.tesla.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ea.org/reports/global-ev-outlook-2023" TargetMode="External"/><Relationship Id="rId20" Type="http://schemas.openxmlformats.org/officeDocument/2006/relationships/hyperlink" Target="https://www.iea.org/reports/global-ev-outlook-2023" TargetMode="External"/><Relationship Id="rId29" Type="http://schemas.openxmlformats.org/officeDocument/2006/relationships/hyperlink" Target="https://www.mckinsey.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europa.eu/" TargetMode="External"/><Relationship Id="rId24" Type="http://schemas.openxmlformats.org/officeDocument/2006/relationships/hyperlink" Target="https://www.tesla.co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irena.org/" TargetMode="External"/><Relationship Id="rId23" Type="http://schemas.openxmlformats.org/officeDocument/2006/relationships/hyperlink" Target="https://www.iea.org/reports/global-ev-outlook-2023" TargetMode="External"/><Relationship Id="rId28" Type="http://schemas.openxmlformats.org/officeDocument/2006/relationships/hyperlink" Target="https://www.mckinsey.com/" TargetMode="External"/><Relationship Id="rId10" Type="http://schemas.openxmlformats.org/officeDocument/2006/relationships/hyperlink" Target="https://ec.europa.eu/" TargetMode="External"/><Relationship Id="rId19" Type="http://schemas.openxmlformats.org/officeDocument/2006/relationships/hyperlink" Target="https://www.iea.org/reports/global-ev-outlook-2023" TargetMode="External"/><Relationship Id="rId31" Type="http://schemas.openxmlformats.org/officeDocument/2006/relationships/hyperlink" Target="https://about.bnef.com/" TargetMode="External"/><Relationship Id="rId4" Type="http://schemas.openxmlformats.org/officeDocument/2006/relationships/webSettings" Target="webSettings.xml"/><Relationship Id="rId9" Type="http://schemas.openxmlformats.org/officeDocument/2006/relationships/hyperlink" Target="https://www2.deloitte.com/" TargetMode="External"/><Relationship Id="rId14" Type="http://schemas.openxmlformats.org/officeDocument/2006/relationships/hyperlink" Target="https://www.irena.org/" TargetMode="External"/><Relationship Id="rId22" Type="http://schemas.openxmlformats.org/officeDocument/2006/relationships/hyperlink" Target="https://www.iea.org/reports/global-ev-outlook-2023" TargetMode="External"/><Relationship Id="rId27" Type="http://schemas.openxmlformats.org/officeDocument/2006/relationships/hyperlink" Target="https://www.volkswagenag.com/" TargetMode="External"/><Relationship Id="rId30" Type="http://schemas.openxmlformats.org/officeDocument/2006/relationships/hyperlink" Target="https://about.bnef.com/" TargetMode="External"/><Relationship Id="rId8" Type="http://schemas.openxmlformats.org/officeDocument/2006/relationships/hyperlink" Target="https://www2.deloit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10</Pages>
  <Words>3243</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Shahbuddin Shah</dc:creator>
  <cp:keywords/>
  <cp:lastModifiedBy>raj singh</cp:lastModifiedBy>
  <cp:revision>4</cp:revision>
  <dcterms:created xsi:type="dcterms:W3CDTF">2026-03-27T11:27:00Z</dcterms:created>
  <dcterms:modified xsi:type="dcterms:W3CDTF">2026-03-27T12:23:00Z</dcterms:modified>
</cp:coreProperties>
</file>