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D1B" w:rsidRPr="00EB2D1B" w:rsidRDefault="00EB2D1B" w:rsidP="00EB2D1B">
      <w:pPr>
        <w:pStyle w:val="IntenseQuote"/>
        <w:rPr>
          <w:i w:val="0"/>
          <w:sz w:val="28"/>
          <w:szCs w:val="31"/>
        </w:rPr>
      </w:pPr>
      <w:r w:rsidRPr="00EB2D1B">
        <w:rPr>
          <w:i w:val="0"/>
          <w:sz w:val="28"/>
          <w:szCs w:val="31"/>
        </w:rPr>
        <w:t>Academic review of ‘King and Court in Ancient Macedonia; Rivalry, Treason and Conspiracy’ by E. Carney.</w:t>
      </w:r>
    </w:p>
    <w:p w:rsidR="00D93684" w:rsidRPr="002473A3" w:rsidRDefault="00D93684" w:rsidP="00D93684">
      <w:pPr>
        <w:tabs>
          <w:tab w:val="left" w:pos="1410"/>
        </w:tabs>
        <w:rPr>
          <w:sz w:val="24"/>
          <w:szCs w:val="24"/>
        </w:rPr>
      </w:pPr>
      <w:r w:rsidRPr="002473A3">
        <w:rPr>
          <w:sz w:val="24"/>
          <w:szCs w:val="24"/>
        </w:rPr>
        <w:t>The purpose of this review is to discuss Carney’s ‘King and Court in Ancient Macedonia’, the book is a collection of essays previously published by Carney, chosen to form a complete narrative discussing rivalry, treason and conspiracies within the Macedonian court</w:t>
      </w:r>
      <w:r w:rsidRPr="002473A3">
        <w:rPr>
          <w:rStyle w:val="FootnoteReference"/>
          <w:sz w:val="24"/>
          <w:szCs w:val="24"/>
        </w:rPr>
        <w:footnoteReference w:id="1"/>
      </w:r>
      <w:r w:rsidRPr="002473A3">
        <w:rPr>
          <w:sz w:val="24"/>
          <w:szCs w:val="24"/>
        </w:rPr>
        <w:t xml:space="preserve">. Organized into three parts, Carney has included an afterword after each chapter discussing the debates she has explored considering new academic discussions and evidence since the original publication, re-evaluating her position on key aspects of her discussions. The result being a new found insight into the modern historiography of Macedon for the academic reader.  </w:t>
      </w:r>
    </w:p>
    <w:p w:rsidR="00D93684" w:rsidRPr="002473A3" w:rsidRDefault="00D93684" w:rsidP="00D93684">
      <w:pPr>
        <w:tabs>
          <w:tab w:val="left" w:pos="1410"/>
        </w:tabs>
        <w:rPr>
          <w:sz w:val="24"/>
          <w:szCs w:val="24"/>
        </w:rPr>
      </w:pPr>
      <w:r w:rsidRPr="002473A3">
        <w:rPr>
          <w:sz w:val="24"/>
          <w:szCs w:val="24"/>
        </w:rPr>
        <w:t xml:space="preserve">The purpose of Carney’s collection is explored in her introductory essay: to collate a select number of her articles to discuss the monarchy and social elite of ancient Macedonia that allowed their style of monarchy. Carney’s </w:t>
      </w:r>
      <w:r w:rsidRPr="002473A3">
        <w:rPr>
          <w:sz w:val="24"/>
          <w:szCs w:val="24"/>
        </w:rPr>
        <w:t xml:space="preserve">considers </w:t>
      </w:r>
      <w:r w:rsidRPr="002473A3">
        <w:rPr>
          <w:sz w:val="24"/>
          <w:szCs w:val="24"/>
        </w:rPr>
        <w:t xml:space="preserve">that the surge in discussion on Macedon is a result of the 1977 discovery of the tomb of Philip II by </w:t>
      </w:r>
      <w:proofErr w:type="spellStart"/>
      <w:r w:rsidRPr="002473A3">
        <w:rPr>
          <w:sz w:val="24"/>
          <w:szCs w:val="24"/>
        </w:rPr>
        <w:t>Andronikos</w:t>
      </w:r>
      <w:proofErr w:type="spellEnd"/>
      <w:r w:rsidRPr="002473A3">
        <w:rPr>
          <w:sz w:val="24"/>
          <w:szCs w:val="24"/>
        </w:rPr>
        <w:t xml:space="preserve"> at Vergina</w:t>
      </w:r>
      <w:r w:rsidRPr="002473A3">
        <w:rPr>
          <w:rStyle w:val="FootnoteReference"/>
          <w:sz w:val="24"/>
          <w:szCs w:val="24"/>
        </w:rPr>
        <w:footnoteReference w:id="2"/>
      </w:r>
      <w:r w:rsidRPr="002473A3">
        <w:rPr>
          <w:sz w:val="24"/>
          <w:szCs w:val="24"/>
        </w:rPr>
        <w:t>. Carney argues</w:t>
      </w:r>
      <w:r w:rsidRPr="002473A3">
        <w:rPr>
          <w:sz w:val="24"/>
          <w:szCs w:val="24"/>
        </w:rPr>
        <w:t xml:space="preserve"> that these discoveries have enabled scholars to “engage in Macedonian history, not simply Alexander history”</w:t>
      </w:r>
      <w:r w:rsidRPr="002473A3">
        <w:rPr>
          <w:rStyle w:val="FootnoteReference"/>
          <w:sz w:val="24"/>
          <w:szCs w:val="24"/>
        </w:rPr>
        <w:footnoteReference w:id="3"/>
      </w:r>
      <w:r w:rsidRPr="002473A3">
        <w:rPr>
          <w:sz w:val="24"/>
          <w:szCs w:val="24"/>
        </w:rPr>
        <w:t xml:space="preserve">, which is primarily covered in the ancient sources that have survived until the present day, widening the discussions available to place Macedon in the cultural context of the ancient world. </w:t>
      </w:r>
    </w:p>
    <w:p w:rsidR="007E4F52" w:rsidRPr="002473A3" w:rsidRDefault="00D967E6" w:rsidP="00D967E6">
      <w:pPr>
        <w:rPr>
          <w:sz w:val="24"/>
          <w:szCs w:val="24"/>
        </w:rPr>
      </w:pPr>
      <w:r w:rsidRPr="002473A3">
        <w:rPr>
          <w:sz w:val="24"/>
          <w:szCs w:val="24"/>
        </w:rPr>
        <w:t>Chapter one ar</w:t>
      </w:r>
      <w:r w:rsidR="00AA5F15" w:rsidRPr="002473A3">
        <w:rPr>
          <w:sz w:val="24"/>
          <w:szCs w:val="24"/>
        </w:rPr>
        <w:t>gues</w:t>
      </w:r>
      <w:r w:rsidRPr="002473A3">
        <w:rPr>
          <w:sz w:val="24"/>
          <w:szCs w:val="24"/>
        </w:rPr>
        <w:t xml:space="preserve"> that the rule of Macedon belonged to the Argead clan as opposed to an individual. Carney focuses on instances where there was a crisis in the court and the women of the clan assumed positions of authority</w:t>
      </w:r>
      <w:r w:rsidR="0087586B" w:rsidRPr="002473A3">
        <w:rPr>
          <w:sz w:val="24"/>
          <w:szCs w:val="24"/>
        </w:rPr>
        <w:t>,</w:t>
      </w:r>
      <w:r w:rsidRPr="002473A3">
        <w:rPr>
          <w:rStyle w:val="FootnoteReference"/>
          <w:sz w:val="24"/>
          <w:szCs w:val="24"/>
        </w:rPr>
        <w:footnoteReference w:id="4"/>
      </w:r>
      <w:r w:rsidRPr="002473A3">
        <w:rPr>
          <w:sz w:val="24"/>
          <w:szCs w:val="24"/>
        </w:rPr>
        <w:t xml:space="preserve"> debating whether these women were interfering at court, highlighting their action was supported by the Macedonians</w:t>
      </w:r>
      <w:r w:rsidR="0087586B" w:rsidRPr="002473A3">
        <w:rPr>
          <w:sz w:val="24"/>
          <w:szCs w:val="24"/>
        </w:rPr>
        <w:t>.</w:t>
      </w:r>
      <w:r w:rsidRPr="002473A3">
        <w:rPr>
          <w:rStyle w:val="FootnoteReference"/>
          <w:sz w:val="24"/>
          <w:szCs w:val="24"/>
        </w:rPr>
        <w:footnoteReference w:id="5"/>
      </w:r>
      <w:r w:rsidR="0087586B" w:rsidRPr="002473A3">
        <w:rPr>
          <w:sz w:val="24"/>
          <w:szCs w:val="24"/>
        </w:rPr>
        <w:t xml:space="preserve"> This was even against</w:t>
      </w:r>
      <w:r w:rsidRPr="002473A3">
        <w:rPr>
          <w:sz w:val="24"/>
          <w:szCs w:val="24"/>
        </w:rPr>
        <w:t xml:space="preserve"> male opposition</w:t>
      </w:r>
      <w:r w:rsidR="0087586B" w:rsidRPr="002473A3">
        <w:rPr>
          <w:sz w:val="24"/>
          <w:szCs w:val="24"/>
        </w:rPr>
        <w:t>,</w:t>
      </w:r>
      <w:r w:rsidRPr="002473A3">
        <w:rPr>
          <w:rStyle w:val="FootnoteReference"/>
          <w:sz w:val="24"/>
          <w:szCs w:val="24"/>
        </w:rPr>
        <w:footnoteReference w:id="6"/>
      </w:r>
      <w:r w:rsidR="0087586B" w:rsidRPr="002473A3">
        <w:rPr>
          <w:sz w:val="24"/>
          <w:szCs w:val="24"/>
        </w:rPr>
        <w:t xml:space="preserve"> provided</w:t>
      </w:r>
      <w:r w:rsidRPr="002473A3">
        <w:rPr>
          <w:sz w:val="24"/>
          <w:szCs w:val="24"/>
        </w:rPr>
        <w:t xml:space="preserve"> their action served the dynasty and not personal </w:t>
      </w:r>
      <w:r w:rsidR="0087586B" w:rsidRPr="002473A3">
        <w:rPr>
          <w:sz w:val="24"/>
          <w:szCs w:val="24"/>
        </w:rPr>
        <w:t>ambition.</w:t>
      </w:r>
      <w:r w:rsidRPr="002473A3">
        <w:rPr>
          <w:rStyle w:val="FootnoteReference"/>
          <w:sz w:val="24"/>
          <w:szCs w:val="24"/>
        </w:rPr>
        <w:footnoteReference w:id="7"/>
      </w:r>
      <w:r w:rsidRPr="002473A3">
        <w:rPr>
          <w:sz w:val="24"/>
          <w:szCs w:val="24"/>
        </w:rPr>
        <w:t xml:space="preserve"> Carney sites a number of sources</w:t>
      </w:r>
      <w:r w:rsidR="0087586B" w:rsidRPr="002473A3">
        <w:rPr>
          <w:sz w:val="24"/>
          <w:szCs w:val="24"/>
        </w:rPr>
        <w:t>,</w:t>
      </w:r>
      <w:r w:rsidR="00AA5F15" w:rsidRPr="002473A3">
        <w:rPr>
          <w:rStyle w:val="FootnoteReference"/>
          <w:sz w:val="24"/>
          <w:szCs w:val="24"/>
        </w:rPr>
        <w:footnoteReference w:id="8"/>
      </w:r>
      <w:r w:rsidRPr="002473A3">
        <w:rPr>
          <w:sz w:val="24"/>
          <w:szCs w:val="24"/>
        </w:rPr>
        <w:t xml:space="preserve"> revising these in the afterword to consider new evidence</w:t>
      </w:r>
      <w:r w:rsidR="0087586B" w:rsidRPr="002473A3">
        <w:rPr>
          <w:sz w:val="24"/>
          <w:szCs w:val="24"/>
        </w:rPr>
        <w:t>.</w:t>
      </w:r>
      <w:r w:rsidR="00AA5F15" w:rsidRPr="002473A3">
        <w:rPr>
          <w:rStyle w:val="FootnoteReference"/>
          <w:sz w:val="24"/>
          <w:szCs w:val="24"/>
        </w:rPr>
        <w:footnoteReference w:id="9"/>
      </w:r>
      <w:r w:rsidR="00C5398F" w:rsidRPr="002473A3">
        <w:rPr>
          <w:sz w:val="24"/>
          <w:szCs w:val="24"/>
        </w:rPr>
        <w:t xml:space="preserve"> Carney’s view on women of court is interesting, </w:t>
      </w:r>
      <w:r w:rsidR="00AA5F15" w:rsidRPr="002473A3">
        <w:rPr>
          <w:sz w:val="24"/>
          <w:szCs w:val="24"/>
        </w:rPr>
        <w:t>the concept that action taken by members of the ruling clan were accepted providing they were not political rivals</w:t>
      </w:r>
      <w:r w:rsidR="00AA5F15" w:rsidRPr="002473A3">
        <w:rPr>
          <w:rStyle w:val="FootnoteReference"/>
          <w:sz w:val="24"/>
          <w:szCs w:val="24"/>
        </w:rPr>
        <w:footnoteReference w:id="10"/>
      </w:r>
      <w:r w:rsidR="00AA5F15" w:rsidRPr="002473A3">
        <w:rPr>
          <w:sz w:val="24"/>
          <w:szCs w:val="24"/>
        </w:rPr>
        <w:t xml:space="preserve"> to the ruling Argead provides an insight into a clan mentality that serves the dynasty.</w:t>
      </w:r>
    </w:p>
    <w:p w:rsidR="00D967E6" w:rsidRPr="002473A3" w:rsidRDefault="00D967E6" w:rsidP="00D967E6">
      <w:pPr>
        <w:rPr>
          <w:sz w:val="24"/>
          <w:szCs w:val="24"/>
        </w:rPr>
      </w:pPr>
      <w:r w:rsidRPr="002473A3">
        <w:rPr>
          <w:sz w:val="24"/>
          <w:szCs w:val="24"/>
        </w:rPr>
        <w:t xml:space="preserve">Chapter two argues the term mutiny cannot be applied to the Macedonian armies due to their unique style of discipline. Carney </w:t>
      </w:r>
      <w:r w:rsidR="009D10AB" w:rsidRPr="002473A3">
        <w:rPr>
          <w:sz w:val="24"/>
          <w:szCs w:val="24"/>
        </w:rPr>
        <w:t>argues that</w:t>
      </w:r>
      <w:r w:rsidRPr="002473A3">
        <w:rPr>
          <w:sz w:val="24"/>
          <w:szCs w:val="24"/>
        </w:rPr>
        <w:t xml:space="preserve"> the relationship between the King and </w:t>
      </w:r>
      <w:r w:rsidRPr="002473A3">
        <w:rPr>
          <w:sz w:val="24"/>
          <w:szCs w:val="24"/>
        </w:rPr>
        <w:lastRenderedPageBreak/>
        <w:t>the army was at the center of their discipline</w:t>
      </w:r>
      <w:r w:rsidR="00CD6CE9" w:rsidRPr="002473A3">
        <w:rPr>
          <w:sz w:val="24"/>
          <w:szCs w:val="24"/>
        </w:rPr>
        <w:t>,</w:t>
      </w:r>
      <w:r w:rsidRPr="002473A3">
        <w:rPr>
          <w:rStyle w:val="FootnoteReference"/>
          <w:sz w:val="24"/>
          <w:szCs w:val="24"/>
        </w:rPr>
        <w:footnoteReference w:id="11"/>
      </w:r>
      <w:r w:rsidRPr="002473A3">
        <w:rPr>
          <w:sz w:val="24"/>
          <w:szCs w:val="24"/>
        </w:rPr>
        <w:t xml:space="preserve"> and that bravery was equal to obedience</w:t>
      </w:r>
      <w:r w:rsidR="00CD6CE9" w:rsidRPr="002473A3">
        <w:rPr>
          <w:sz w:val="24"/>
          <w:szCs w:val="24"/>
        </w:rPr>
        <w:t>,</w:t>
      </w:r>
      <w:r w:rsidRPr="002473A3">
        <w:rPr>
          <w:rStyle w:val="FootnoteReference"/>
          <w:sz w:val="24"/>
          <w:szCs w:val="24"/>
        </w:rPr>
        <w:footnoteReference w:id="12"/>
      </w:r>
      <w:r w:rsidRPr="002473A3">
        <w:rPr>
          <w:sz w:val="24"/>
          <w:szCs w:val="24"/>
        </w:rPr>
        <w:t xml:space="preserve"> supported by evidence of outspoken soldiers</w:t>
      </w:r>
      <w:r w:rsidR="00CD6CE9" w:rsidRPr="002473A3">
        <w:rPr>
          <w:sz w:val="24"/>
          <w:szCs w:val="24"/>
        </w:rPr>
        <w:t>,</w:t>
      </w:r>
      <w:r w:rsidRPr="002473A3">
        <w:rPr>
          <w:rStyle w:val="FootnoteReference"/>
          <w:sz w:val="24"/>
          <w:szCs w:val="24"/>
        </w:rPr>
        <w:footnoteReference w:id="13"/>
      </w:r>
      <w:r w:rsidRPr="002473A3">
        <w:rPr>
          <w:sz w:val="24"/>
          <w:szCs w:val="24"/>
        </w:rPr>
        <w:t xml:space="preserve"> and a punishment and reward system based on </w:t>
      </w:r>
      <w:r w:rsidR="00CD6CE9" w:rsidRPr="002473A3">
        <w:rPr>
          <w:sz w:val="24"/>
          <w:szCs w:val="24"/>
        </w:rPr>
        <w:t>material gain and favor of the k</w:t>
      </w:r>
      <w:r w:rsidRPr="002473A3">
        <w:rPr>
          <w:sz w:val="24"/>
          <w:szCs w:val="24"/>
        </w:rPr>
        <w:t>ing</w:t>
      </w:r>
      <w:r w:rsidR="00CD6CE9" w:rsidRPr="002473A3">
        <w:rPr>
          <w:sz w:val="24"/>
          <w:szCs w:val="24"/>
        </w:rPr>
        <w:t>.</w:t>
      </w:r>
      <w:r w:rsidRPr="002473A3">
        <w:rPr>
          <w:rStyle w:val="FootnoteReference"/>
          <w:sz w:val="24"/>
          <w:szCs w:val="24"/>
        </w:rPr>
        <w:footnoteReference w:id="14"/>
      </w:r>
      <w:r w:rsidRPr="002473A3">
        <w:rPr>
          <w:sz w:val="24"/>
          <w:szCs w:val="24"/>
        </w:rPr>
        <w:t xml:space="preserve"> Only cowardice and treason were considered serious offences</w:t>
      </w:r>
      <w:r w:rsidR="00CD6CE9" w:rsidRPr="002473A3">
        <w:rPr>
          <w:sz w:val="24"/>
          <w:szCs w:val="24"/>
        </w:rPr>
        <w:t>.</w:t>
      </w:r>
      <w:r w:rsidRPr="002473A3">
        <w:rPr>
          <w:rStyle w:val="FootnoteReference"/>
          <w:sz w:val="24"/>
          <w:szCs w:val="24"/>
        </w:rPr>
        <w:footnoteReference w:id="15"/>
      </w:r>
      <w:r w:rsidRPr="002473A3">
        <w:rPr>
          <w:sz w:val="24"/>
          <w:szCs w:val="24"/>
        </w:rPr>
        <w:t xml:space="preserve"> Modern scholars such as</w:t>
      </w:r>
      <w:r w:rsidR="00C5398F" w:rsidRPr="002473A3">
        <w:rPr>
          <w:sz w:val="24"/>
          <w:szCs w:val="24"/>
        </w:rPr>
        <w:t xml:space="preserve"> Garlan</w:t>
      </w:r>
      <w:r w:rsidRPr="002473A3">
        <w:rPr>
          <w:sz w:val="24"/>
          <w:szCs w:val="24"/>
        </w:rPr>
        <w:t xml:space="preserve"> connect a lack of discipli</w:t>
      </w:r>
      <w:r w:rsidR="00CD6CE9" w:rsidRPr="002473A3">
        <w:rPr>
          <w:sz w:val="24"/>
          <w:szCs w:val="24"/>
        </w:rPr>
        <w:t>ne with the political system that the</w:t>
      </w:r>
      <w:r w:rsidRPr="002473A3">
        <w:rPr>
          <w:sz w:val="24"/>
          <w:szCs w:val="24"/>
        </w:rPr>
        <w:t xml:space="preserve"> army came from</w:t>
      </w:r>
      <w:r w:rsidR="00CD6CE9" w:rsidRPr="002473A3">
        <w:rPr>
          <w:sz w:val="24"/>
          <w:szCs w:val="24"/>
        </w:rPr>
        <w:t>.</w:t>
      </w:r>
      <w:r w:rsidRPr="002473A3">
        <w:rPr>
          <w:rStyle w:val="FootnoteReference"/>
          <w:sz w:val="24"/>
          <w:szCs w:val="24"/>
        </w:rPr>
        <w:footnoteReference w:id="16"/>
      </w:r>
      <w:r w:rsidRPr="002473A3">
        <w:rPr>
          <w:sz w:val="24"/>
          <w:szCs w:val="24"/>
        </w:rPr>
        <w:t xml:space="preserve"> </w:t>
      </w:r>
      <w:r w:rsidR="009D10AB" w:rsidRPr="002473A3">
        <w:rPr>
          <w:sz w:val="24"/>
          <w:szCs w:val="24"/>
        </w:rPr>
        <w:t>Carney</w:t>
      </w:r>
      <w:r w:rsidRPr="002473A3">
        <w:rPr>
          <w:sz w:val="24"/>
          <w:szCs w:val="24"/>
        </w:rPr>
        <w:t xml:space="preserve"> argue</w:t>
      </w:r>
      <w:r w:rsidR="009D10AB" w:rsidRPr="002473A3">
        <w:rPr>
          <w:sz w:val="24"/>
          <w:szCs w:val="24"/>
        </w:rPr>
        <w:t>s</w:t>
      </w:r>
      <w:r w:rsidRPr="002473A3">
        <w:rPr>
          <w:sz w:val="24"/>
          <w:szCs w:val="24"/>
        </w:rPr>
        <w:t xml:space="preserve"> that it was not a lack of discipline</w:t>
      </w:r>
      <w:r w:rsidR="00CD6CE9" w:rsidRPr="002473A3">
        <w:rPr>
          <w:sz w:val="24"/>
          <w:szCs w:val="24"/>
        </w:rPr>
        <w:t>,</w:t>
      </w:r>
      <w:r w:rsidRPr="002473A3">
        <w:rPr>
          <w:sz w:val="24"/>
          <w:szCs w:val="24"/>
        </w:rPr>
        <w:t xml:space="preserve"> rather a different style of discipline when compared to the armies of Rome and the modern world due to evidence of training as a form of psychological discipline</w:t>
      </w:r>
      <w:r w:rsidRPr="002473A3">
        <w:rPr>
          <w:rStyle w:val="FootnoteReference"/>
          <w:sz w:val="24"/>
          <w:szCs w:val="24"/>
        </w:rPr>
        <w:footnoteReference w:id="17"/>
      </w:r>
      <w:r w:rsidRPr="002473A3">
        <w:rPr>
          <w:sz w:val="24"/>
          <w:szCs w:val="24"/>
        </w:rPr>
        <w:t xml:space="preserve"> in the sources on Philip and Alexander’s armies</w:t>
      </w:r>
      <w:r w:rsidRPr="002473A3">
        <w:rPr>
          <w:rStyle w:val="FootnoteReference"/>
          <w:sz w:val="24"/>
          <w:szCs w:val="24"/>
        </w:rPr>
        <w:footnoteReference w:id="18"/>
      </w:r>
      <w:r w:rsidR="00CD6CE9" w:rsidRPr="002473A3">
        <w:rPr>
          <w:sz w:val="24"/>
          <w:szCs w:val="24"/>
        </w:rPr>
        <w:t>. However, it is clear that in Diodorus the actions of the soldiers can easily be perceived as mutinous, and this is not changed by their discipline style.</w:t>
      </w:r>
      <w:r w:rsidR="00CD6CE9" w:rsidRPr="002473A3">
        <w:rPr>
          <w:rStyle w:val="FootnoteReference"/>
          <w:sz w:val="24"/>
          <w:szCs w:val="24"/>
        </w:rPr>
        <w:footnoteReference w:id="19"/>
      </w:r>
    </w:p>
    <w:p w:rsidR="005D5E01" w:rsidRPr="002473A3" w:rsidRDefault="005D5E01" w:rsidP="00D967E6">
      <w:pPr>
        <w:rPr>
          <w:sz w:val="24"/>
          <w:szCs w:val="24"/>
        </w:rPr>
      </w:pPr>
      <w:r w:rsidRPr="002473A3">
        <w:rPr>
          <w:sz w:val="24"/>
          <w:szCs w:val="24"/>
        </w:rPr>
        <w:t xml:space="preserve">Chapter three </w:t>
      </w:r>
      <w:r w:rsidR="00695F97" w:rsidRPr="002473A3">
        <w:rPr>
          <w:sz w:val="24"/>
          <w:szCs w:val="24"/>
        </w:rPr>
        <w:t>focuses on an analysis of the Philippeum to discuss the effect Philip’s polygamy had on the dynastic image. Carney</w:t>
      </w:r>
      <w:r w:rsidR="00C64A29" w:rsidRPr="002473A3">
        <w:rPr>
          <w:sz w:val="24"/>
          <w:szCs w:val="24"/>
        </w:rPr>
        <w:t xml:space="preserve"> clearly</w:t>
      </w:r>
      <w:r w:rsidR="00695F97" w:rsidRPr="002473A3">
        <w:rPr>
          <w:sz w:val="24"/>
          <w:szCs w:val="24"/>
        </w:rPr>
        <w:t xml:space="preserve"> argues that Philip’s marriages are associated by scholars to the centralization of Macedonian power</w:t>
      </w:r>
      <w:r w:rsidR="00C64A29" w:rsidRPr="002473A3">
        <w:rPr>
          <w:sz w:val="24"/>
          <w:szCs w:val="24"/>
        </w:rPr>
        <w:t>,</w:t>
      </w:r>
      <w:r w:rsidR="00695F97" w:rsidRPr="002473A3">
        <w:rPr>
          <w:rStyle w:val="FootnoteReference"/>
          <w:sz w:val="24"/>
          <w:szCs w:val="24"/>
        </w:rPr>
        <w:footnoteReference w:id="20"/>
      </w:r>
      <w:r w:rsidR="00695F97" w:rsidRPr="002473A3">
        <w:rPr>
          <w:sz w:val="24"/>
          <w:szCs w:val="24"/>
        </w:rPr>
        <w:t xml:space="preserve"> and evidence suggests the southern Greek states did not look on the practice favorably while some sources suggest that the Macedonians were celebrated for living a Hellenistic way of life</w:t>
      </w:r>
      <w:r w:rsidR="00C64A29" w:rsidRPr="002473A3">
        <w:rPr>
          <w:sz w:val="24"/>
          <w:szCs w:val="24"/>
        </w:rPr>
        <w:t>.</w:t>
      </w:r>
      <w:r w:rsidR="00695F97" w:rsidRPr="002473A3">
        <w:rPr>
          <w:rStyle w:val="FootnoteReference"/>
          <w:sz w:val="24"/>
          <w:szCs w:val="24"/>
        </w:rPr>
        <w:footnoteReference w:id="21"/>
      </w:r>
      <w:r w:rsidR="00695F97" w:rsidRPr="002473A3">
        <w:rPr>
          <w:sz w:val="24"/>
          <w:szCs w:val="24"/>
        </w:rPr>
        <w:t xml:space="preserve"> Carney argues that Philip chose certain women from his life to become part of this new dynastic image</w:t>
      </w:r>
      <w:r w:rsidR="00C64A29" w:rsidRPr="002473A3">
        <w:rPr>
          <w:sz w:val="24"/>
          <w:szCs w:val="24"/>
        </w:rPr>
        <w:t>.</w:t>
      </w:r>
      <w:r w:rsidR="00695F97" w:rsidRPr="002473A3">
        <w:rPr>
          <w:rStyle w:val="FootnoteReference"/>
          <w:sz w:val="24"/>
          <w:szCs w:val="24"/>
        </w:rPr>
        <w:footnoteReference w:id="22"/>
      </w:r>
      <w:r w:rsidR="00695F97" w:rsidRPr="002473A3">
        <w:rPr>
          <w:sz w:val="24"/>
          <w:szCs w:val="24"/>
        </w:rPr>
        <w:t xml:space="preserve"> Schultz</w:t>
      </w:r>
      <w:r w:rsidR="00695F97" w:rsidRPr="002473A3">
        <w:rPr>
          <w:rStyle w:val="FootnoteReference"/>
          <w:sz w:val="24"/>
          <w:szCs w:val="24"/>
        </w:rPr>
        <w:footnoteReference w:id="23"/>
      </w:r>
      <w:r w:rsidR="00695F97" w:rsidRPr="002473A3">
        <w:rPr>
          <w:sz w:val="24"/>
          <w:szCs w:val="24"/>
        </w:rPr>
        <w:t xml:space="preserve"> focuses on the advancements made in relation to the artwork while Palagia</w:t>
      </w:r>
      <w:r w:rsidR="00695F97" w:rsidRPr="002473A3">
        <w:rPr>
          <w:rStyle w:val="FootnoteReference"/>
          <w:sz w:val="24"/>
          <w:szCs w:val="24"/>
        </w:rPr>
        <w:footnoteReference w:id="24"/>
      </w:r>
      <w:r w:rsidR="00695F97" w:rsidRPr="002473A3">
        <w:rPr>
          <w:sz w:val="24"/>
          <w:szCs w:val="24"/>
        </w:rPr>
        <w:t xml:space="preserve"> argues the inclusion of Eurydice in the Philippeum to be referring to his last wife, not his mother based on an extract of Arrian</w:t>
      </w:r>
      <w:r w:rsidR="00C64A29" w:rsidRPr="002473A3">
        <w:rPr>
          <w:sz w:val="24"/>
          <w:szCs w:val="24"/>
        </w:rPr>
        <w:t>.</w:t>
      </w:r>
      <w:r w:rsidR="00695F97" w:rsidRPr="002473A3">
        <w:rPr>
          <w:rStyle w:val="FootnoteReference"/>
          <w:sz w:val="24"/>
          <w:szCs w:val="24"/>
        </w:rPr>
        <w:footnoteReference w:id="25"/>
      </w:r>
      <w:r w:rsidR="00695F97" w:rsidRPr="002473A3">
        <w:rPr>
          <w:sz w:val="24"/>
          <w:szCs w:val="24"/>
        </w:rPr>
        <w:t xml:space="preserve"> </w:t>
      </w:r>
      <w:r w:rsidR="009D10AB" w:rsidRPr="002473A3">
        <w:rPr>
          <w:sz w:val="24"/>
          <w:szCs w:val="24"/>
        </w:rPr>
        <w:t>A</w:t>
      </w:r>
      <w:r w:rsidR="00695F97" w:rsidRPr="002473A3">
        <w:rPr>
          <w:sz w:val="24"/>
          <w:szCs w:val="24"/>
        </w:rPr>
        <w:t>lone</w:t>
      </w:r>
      <w:r w:rsidR="009D10AB" w:rsidRPr="002473A3">
        <w:rPr>
          <w:sz w:val="24"/>
          <w:szCs w:val="24"/>
        </w:rPr>
        <w:t>, that</w:t>
      </w:r>
      <w:r w:rsidR="00695F97" w:rsidRPr="002473A3">
        <w:rPr>
          <w:sz w:val="24"/>
          <w:szCs w:val="24"/>
        </w:rPr>
        <w:t xml:space="preserve"> is not enough for a conclusion however Fox</w:t>
      </w:r>
      <w:r w:rsidR="00695F97" w:rsidRPr="002473A3">
        <w:rPr>
          <w:rStyle w:val="FootnoteReference"/>
          <w:sz w:val="24"/>
          <w:szCs w:val="24"/>
        </w:rPr>
        <w:footnoteReference w:id="26"/>
      </w:r>
      <w:r w:rsidR="00695F97" w:rsidRPr="002473A3">
        <w:rPr>
          <w:sz w:val="24"/>
          <w:szCs w:val="24"/>
        </w:rPr>
        <w:t xml:space="preserve"> made a similar statement based on other factors. </w:t>
      </w:r>
      <w:r w:rsidR="009D10AB" w:rsidRPr="002473A3">
        <w:rPr>
          <w:sz w:val="24"/>
          <w:szCs w:val="24"/>
        </w:rPr>
        <w:t>Other works are</w:t>
      </w:r>
      <w:r w:rsidR="00695F97" w:rsidRPr="002473A3">
        <w:rPr>
          <w:sz w:val="24"/>
          <w:szCs w:val="24"/>
        </w:rPr>
        <w:t xml:space="preserve"> inclined to agree with Carney that this is not the case due to a contradiction in Palagia’s argument. </w:t>
      </w:r>
    </w:p>
    <w:p w:rsidR="005D5E01" w:rsidRPr="002473A3" w:rsidRDefault="005D5E01" w:rsidP="00D967E6">
      <w:pPr>
        <w:rPr>
          <w:sz w:val="24"/>
          <w:szCs w:val="24"/>
        </w:rPr>
      </w:pPr>
      <w:r w:rsidRPr="002473A3">
        <w:rPr>
          <w:sz w:val="24"/>
          <w:szCs w:val="24"/>
        </w:rPr>
        <w:t>Chapter four</w:t>
      </w:r>
      <w:r w:rsidR="00375C05" w:rsidRPr="002473A3">
        <w:rPr>
          <w:sz w:val="24"/>
          <w:szCs w:val="24"/>
        </w:rPr>
        <w:t xml:space="preserve"> and </w:t>
      </w:r>
      <w:r w:rsidR="00214327" w:rsidRPr="002473A3">
        <w:rPr>
          <w:sz w:val="24"/>
          <w:szCs w:val="24"/>
        </w:rPr>
        <w:t>c</w:t>
      </w:r>
      <w:r w:rsidRPr="002473A3">
        <w:rPr>
          <w:sz w:val="24"/>
          <w:szCs w:val="24"/>
        </w:rPr>
        <w:t>hapter five</w:t>
      </w:r>
      <w:r w:rsidR="00375C05" w:rsidRPr="002473A3">
        <w:rPr>
          <w:sz w:val="24"/>
          <w:szCs w:val="24"/>
        </w:rPr>
        <w:t xml:space="preserve"> are best reviewed together due to shared topic of the Great Tumulus and the tombs at Vergina, firstly about the identity of the dead in Tomb I and the importance of the Great Tumulus before chapter five discusses whether the tombs are royal. </w:t>
      </w:r>
      <w:r w:rsidR="00E607C1" w:rsidRPr="002473A3">
        <w:rPr>
          <w:sz w:val="24"/>
          <w:szCs w:val="24"/>
        </w:rPr>
        <w:t>To summarize the chapters together, Carney explores the debates surrounding the identity of the remains in the tombs. Carney includes discussions by Kottaradi</w:t>
      </w:r>
      <w:r w:rsidR="00E607C1" w:rsidRPr="002473A3">
        <w:rPr>
          <w:rStyle w:val="FootnoteReference"/>
          <w:sz w:val="24"/>
          <w:szCs w:val="24"/>
        </w:rPr>
        <w:footnoteReference w:id="27"/>
      </w:r>
      <w:r w:rsidR="00E607C1" w:rsidRPr="002473A3">
        <w:rPr>
          <w:sz w:val="24"/>
          <w:szCs w:val="24"/>
        </w:rPr>
        <w:t xml:space="preserve"> on the </w:t>
      </w:r>
      <w:r w:rsidR="00E607C1" w:rsidRPr="002473A3">
        <w:rPr>
          <w:sz w:val="24"/>
          <w:szCs w:val="24"/>
        </w:rPr>
        <w:lastRenderedPageBreak/>
        <w:t>chronology and stratigraphy</w:t>
      </w:r>
      <w:r w:rsidR="00E607C1" w:rsidRPr="002473A3">
        <w:rPr>
          <w:rStyle w:val="FootnoteReference"/>
          <w:sz w:val="24"/>
          <w:szCs w:val="24"/>
        </w:rPr>
        <w:footnoteReference w:id="28"/>
      </w:r>
      <w:r w:rsidR="00E607C1" w:rsidRPr="002473A3">
        <w:rPr>
          <w:sz w:val="24"/>
          <w:szCs w:val="24"/>
        </w:rPr>
        <w:t xml:space="preserve"> of the area as well as where scholars reach a consensus</w:t>
      </w:r>
      <w:r w:rsidR="00E607C1" w:rsidRPr="002473A3">
        <w:rPr>
          <w:rStyle w:val="FootnoteReference"/>
          <w:sz w:val="24"/>
          <w:szCs w:val="24"/>
        </w:rPr>
        <w:footnoteReference w:id="29"/>
      </w:r>
      <w:r w:rsidR="00E607C1" w:rsidRPr="002473A3">
        <w:rPr>
          <w:sz w:val="24"/>
          <w:szCs w:val="24"/>
        </w:rPr>
        <w:t xml:space="preserve"> and where they disagree</w:t>
      </w:r>
      <w:r w:rsidR="00E607C1" w:rsidRPr="002473A3">
        <w:rPr>
          <w:rStyle w:val="FootnoteReference"/>
          <w:sz w:val="24"/>
          <w:szCs w:val="24"/>
        </w:rPr>
        <w:footnoteReference w:id="30"/>
      </w:r>
      <w:r w:rsidR="00E607C1" w:rsidRPr="002473A3">
        <w:rPr>
          <w:sz w:val="24"/>
          <w:szCs w:val="24"/>
        </w:rPr>
        <w:t>. Carney focuses on her unease at the tombs discovered being assumed royal in chapter five</w:t>
      </w:r>
      <w:r w:rsidR="00C93C4E" w:rsidRPr="002473A3">
        <w:rPr>
          <w:sz w:val="24"/>
          <w:szCs w:val="24"/>
        </w:rPr>
        <w:t xml:space="preserve"> without finding specific evidence to support it</w:t>
      </w:r>
      <w:r w:rsidR="00E607C1" w:rsidRPr="002473A3">
        <w:rPr>
          <w:rStyle w:val="FootnoteReference"/>
          <w:sz w:val="24"/>
          <w:szCs w:val="24"/>
        </w:rPr>
        <w:footnoteReference w:id="31"/>
      </w:r>
      <w:r w:rsidR="003C0288" w:rsidRPr="002473A3">
        <w:rPr>
          <w:sz w:val="24"/>
          <w:szCs w:val="24"/>
        </w:rPr>
        <w:t xml:space="preserve"> bas</w:t>
      </w:r>
      <w:r w:rsidR="00C93C4E" w:rsidRPr="002473A3">
        <w:rPr>
          <w:sz w:val="24"/>
          <w:szCs w:val="24"/>
        </w:rPr>
        <w:t>ing her analysis</w:t>
      </w:r>
      <w:r w:rsidR="003C0288" w:rsidRPr="002473A3">
        <w:rPr>
          <w:sz w:val="24"/>
          <w:szCs w:val="24"/>
        </w:rPr>
        <w:t xml:space="preserve"> on the work of Faklaris</w:t>
      </w:r>
      <w:r w:rsidR="00C93C4E" w:rsidRPr="002473A3">
        <w:rPr>
          <w:rStyle w:val="FootnoteReference"/>
          <w:sz w:val="24"/>
          <w:szCs w:val="24"/>
        </w:rPr>
        <w:footnoteReference w:id="32"/>
      </w:r>
      <w:r w:rsidR="003C0288" w:rsidRPr="002473A3">
        <w:rPr>
          <w:sz w:val="24"/>
          <w:szCs w:val="24"/>
        </w:rPr>
        <w:t xml:space="preserve"> who </w:t>
      </w:r>
      <w:r w:rsidR="00C93C4E" w:rsidRPr="002473A3">
        <w:rPr>
          <w:sz w:val="24"/>
          <w:szCs w:val="24"/>
        </w:rPr>
        <w:t>determined V</w:t>
      </w:r>
      <w:r w:rsidR="00DA7F4F" w:rsidRPr="002473A3">
        <w:rPr>
          <w:sz w:val="24"/>
          <w:szCs w:val="24"/>
        </w:rPr>
        <w:t>ergina and Aeg</w:t>
      </w:r>
      <w:r w:rsidR="00C93C4E" w:rsidRPr="002473A3">
        <w:rPr>
          <w:sz w:val="24"/>
          <w:szCs w:val="24"/>
        </w:rPr>
        <w:t>a</w:t>
      </w:r>
      <w:r w:rsidR="00DA7F4F" w:rsidRPr="002473A3">
        <w:rPr>
          <w:sz w:val="24"/>
          <w:szCs w:val="24"/>
        </w:rPr>
        <w:t>e</w:t>
      </w:r>
      <w:r w:rsidR="00C93C4E" w:rsidRPr="002473A3">
        <w:rPr>
          <w:sz w:val="24"/>
          <w:szCs w:val="24"/>
        </w:rPr>
        <w:t xml:space="preserve"> were not one in the same and the sources determine that the r</w:t>
      </w:r>
      <w:r w:rsidR="00DA7F4F" w:rsidRPr="002473A3">
        <w:rPr>
          <w:sz w:val="24"/>
          <w:szCs w:val="24"/>
        </w:rPr>
        <w:t>oyal Argeads were buried at Aeg</w:t>
      </w:r>
      <w:r w:rsidR="00C93C4E" w:rsidRPr="002473A3">
        <w:rPr>
          <w:sz w:val="24"/>
          <w:szCs w:val="24"/>
        </w:rPr>
        <w:t>a</w:t>
      </w:r>
      <w:r w:rsidR="00DA7F4F" w:rsidRPr="002473A3">
        <w:rPr>
          <w:sz w:val="24"/>
          <w:szCs w:val="24"/>
        </w:rPr>
        <w:t>e.</w:t>
      </w:r>
      <w:r w:rsidR="00C93C4E" w:rsidRPr="002473A3">
        <w:rPr>
          <w:rStyle w:val="FootnoteReference"/>
          <w:sz w:val="24"/>
          <w:szCs w:val="24"/>
        </w:rPr>
        <w:footnoteReference w:id="33"/>
      </w:r>
      <w:r w:rsidR="00C93C4E" w:rsidRPr="002473A3">
        <w:rPr>
          <w:sz w:val="24"/>
          <w:szCs w:val="24"/>
        </w:rPr>
        <w:t xml:space="preserve"> Which based on evidence from the ancient sources</w:t>
      </w:r>
      <w:r w:rsidR="00DA7F4F" w:rsidRPr="002473A3">
        <w:rPr>
          <w:sz w:val="24"/>
          <w:szCs w:val="24"/>
        </w:rPr>
        <w:t>,</w:t>
      </w:r>
      <w:r w:rsidR="00C93C4E" w:rsidRPr="002473A3">
        <w:rPr>
          <w:sz w:val="24"/>
          <w:szCs w:val="24"/>
        </w:rPr>
        <w:t xml:space="preserve"> Carney determined that the tombs have to be royal</w:t>
      </w:r>
      <w:r w:rsidR="00C93C4E" w:rsidRPr="002473A3">
        <w:rPr>
          <w:rStyle w:val="FootnoteReference"/>
          <w:sz w:val="24"/>
          <w:szCs w:val="24"/>
        </w:rPr>
        <w:footnoteReference w:id="34"/>
      </w:r>
      <w:r w:rsidR="00C93C4E" w:rsidRPr="002473A3">
        <w:rPr>
          <w:sz w:val="24"/>
          <w:szCs w:val="24"/>
        </w:rPr>
        <w:t xml:space="preserve"> due to the affirmative location of Argead royal burials at Vergina</w:t>
      </w:r>
      <w:r w:rsidR="00DA7F4F" w:rsidRPr="002473A3">
        <w:rPr>
          <w:sz w:val="24"/>
          <w:szCs w:val="24"/>
        </w:rPr>
        <w:t>, although she fails to mention the connection between the oak leaf symbolism and the Argeads.</w:t>
      </w:r>
      <w:r w:rsidR="00C93C4E" w:rsidRPr="002473A3">
        <w:rPr>
          <w:rStyle w:val="FootnoteReference"/>
          <w:sz w:val="24"/>
          <w:szCs w:val="24"/>
        </w:rPr>
        <w:footnoteReference w:id="35"/>
      </w:r>
      <w:r w:rsidR="00DA7F4F" w:rsidRPr="002473A3">
        <w:rPr>
          <w:sz w:val="24"/>
          <w:szCs w:val="24"/>
        </w:rPr>
        <w:t xml:space="preserve"> </w:t>
      </w:r>
      <w:r w:rsidR="00E607C1" w:rsidRPr="002473A3">
        <w:rPr>
          <w:sz w:val="24"/>
          <w:szCs w:val="24"/>
        </w:rPr>
        <w:t xml:space="preserve">The works of Themelis and Touratsoglou argue that size, quality of offerings and cremation does not instantly identify the tombs as royal. However, the field of archaeology has advanced and Carney </w:t>
      </w:r>
      <w:r w:rsidR="00DA7F4F" w:rsidRPr="002473A3">
        <w:rPr>
          <w:sz w:val="24"/>
          <w:szCs w:val="24"/>
        </w:rPr>
        <w:t>argues some of their findings are</w:t>
      </w:r>
      <w:r w:rsidR="00E607C1" w:rsidRPr="002473A3">
        <w:rPr>
          <w:sz w:val="24"/>
          <w:szCs w:val="24"/>
        </w:rPr>
        <w:t xml:space="preserve"> outdated. </w:t>
      </w:r>
      <w:r w:rsidR="00214327" w:rsidRPr="002473A3">
        <w:rPr>
          <w:sz w:val="24"/>
          <w:szCs w:val="24"/>
        </w:rPr>
        <w:t>Interestingly, Carney does not include discussion of the other</w:t>
      </w:r>
      <w:r w:rsidR="00DA7F4F" w:rsidRPr="002473A3">
        <w:rPr>
          <w:sz w:val="24"/>
          <w:szCs w:val="24"/>
        </w:rPr>
        <w:t xml:space="preserve"> unexcavated</w:t>
      </w:r>
      <w:r w:rsidR="00214327" w:rsidRPr="002473A3">
        <w:rPr>
          <w:sz w:val="24"/>
          <w:szCs w:val="24"/>
        </w:rPr>
        <w:t xml:space="preserve"> burial mounds which would contribute to the debate significantly</w:t>
      </w:r>
      <w:r w:rsidR="003C0288" w:rsidRPr="002473A3">
        <w:rPr>
          <w:sz w:val="24"/>
          <w:szCs w:val="24"/>
        </w:rPr>
        <w:t>, however working with the available evidence at the time of publication</w:t>
      </w:r>
      <w:r w:rsidR="00DA7F4F" w:rsidRPr="002473A3">
        <w:rPr>
          <w:sz w:val="24"/>
          <w:szCs w:val="24"/>
        </w:rPr>
        <w:t>,</w:t>
      </w:r>
      <w:r w:rsidR="003C0288" w:rsidRPr="002473A3">
        <w:rPr>
          <w:sz w:val="24"/>
          <w:szCs w:val="24"/>
        </w:rPr>
        <w:t xml:space="preserve"> and the revisions made in the afterword Carney provides an extensive analysis of the tombs</w:t>
      </w:r>
      <w:r w:rsidR="00DA7F4F" w:rsidRPr="002473A3">
        <w:rPr>
          <w:sz w:val="24"/>
          <w:szCs w:val="24"/>
        </w:rPr>
        <w:t>. Believing</w:t>
      </w:r>
      <w:r w:rsidR="00214327" w:rsidRPr="002473A3">
        <w:rPr>
          <w:sz w:val="24"/>
          <w:szCs w:val="24"/>
        </w:rPr>
        <w:t xml:space="preserve"> that the Great Tumulus belongs to Philip II, excavation of the surrounding tombs would put the wealth of the </w:t>
      </w:r>
      <w:r w:rsidR="00DA7F4F" w:rsidRPr="002473A3">
        <w:rPr>
          <w:sz w:val="24"/>
          <w:szCs w:val="24"/>
        </w:rPr>
        <w:t>currently explored tombs i</w:t>
      </w:r>
      <w:r w:rsidR="00214327" w:rsidRPr="002473A3">
        <w:rPr>
          <w:sz w:val="24"/>
          <w:szCs w:val="24"/>
        </w:rPr>
        <w:t>nto persp</w:t>
      </w:r>
      <w:r w:rsidR="00DA7F4F" w:rsidRPr="002473A3">
        <w:rPr>
          <w:sz w:val="24"/>
          <w:szCs w:val="24"/>
        </w:rPr>
        <w:t xml:space="preserve">ective, allowing a more </w:t>
      </w:r>
      <w:r w:rsidR="0052213D" w:rsidRPr="002473A3">
        <w:rPr>
          <w:sz w:val="24"/>
          <w:szCs w:val="24"/>
        </w:rPr>
        <w:t>confident</w:t>
      </w:r>
      <w:r w:rsidR="00DA7F4F" w:rsidRPr="002473A3">
        <w:rPr>
          <w:sz w:val="24"/>
          <w:szCs w:val="24"/>
        </w:rPr>
        <w:t xml:space="preserve"> identif</w:t>
      </w:r>
      <w:r w:rsidR="0052213D" w:rsidRPr="002473A3">
        <w:rPr>
          <w:sz w:val="24"/>
          <w:szCs w:val="24"/>
        </w:rPr>
        <w:t>ication of the occupant of the Great T</w:t>
      </w:r>
      <w:r w:rsidR="00DA7F4F" w:rsidRPr="002473A3">
        <w:rPr>
          <w:sz w:val="24"/>
          <w:szCs w:val="24"/>
        </w:rPr>
        <w:t>umulus</w:t>
      </w:r>
      <w:r w:rsidR="00214327" w:rsidRPr="002473A3">
        <w:rPr>
          <w:sz w:val="24"/>
          <w:szCs w:val="24"/>
        </w:rPr>
        <w:t xml:space="preserve">. </w:t>
      </w:r>
    </w:p>
    <w:p w:rsidR="005D5E01" w:rsidRPr="002473A3" w:rsidRDefault="005D5E01" w:rsidP="00D967E6">
      <w:pPr>
        <w:rPr>
          <w:sz w:val="24"/>
          <w:szCs w:val="24"/>
        </w:rPr>
      </w:pPr>
      <w:r w:rsidRPr="002473A3">
        <w:rPr>
          <w:sz w:val="24"/>
          <w:szCs w:val="24"/>
        </w:rPr>
        <w:t>Chapter six</w:t>
      </w:r>
      <w:r w:rsidR="006D34B5" w:rsidRPr="002473A3">
        <w:rPr>
          <w:sz w:val="24"/>
          <w:szCs w:val="24"/>
        </w:rPr>
        <w:t xml:space="preserve"> marks the beginning of the second part of the book focusing on the conspiracies surround</w:t>
      </w:r>
      <w:r w:rsidR="0018087E" w:rsidRPr="002473A3">
        <w:rPr>
          <w:sz w:val="24"/>
          <w:szCs w:val="24"/>
        </w:rPr>
        <w:t>ing</w:t>
      </w:r>
      <w:r w:rsidR="006D34B5" w:rsidRPr="002473A3">
        <w:rPr>
          <w:sz w:val="24"/>
          <w:szCs w:val="24"/>
        </w:rPr>
        <w:t xml:space="preserve"> the Argead clan.</w:t>
      </w:r>
      <w:r w:rsidR="009D10AB" w:rsidRPr="002473A3">
        <w:rPr>
          <w:sz w:val="24"/>
          <w:szCs w:val="24"/>
        </w:rPr>
        <w:t xml:space="preserve"> It focuses on Alexander the Lyncestian</w:t>
      </w:r>
      <w:r w:rsidR="0052213D" w:rsidRPr="002473A3">
        <w:rPr>
          <w:sz w:val="24"/>
          <w:szCs w:val="24"/>
        </w:rPr>
        <w:t>,</w:t>
      </w:r>
      <w:r w:rsidR="009D10AB" w:rsidRPr="002473A3">
        <w:rPr>
          <w:sz w:val="24"/>
          <w:szCs w:val="24"/>
        </w:rPr>
        <w:t xml:space="preserve"> and Carney argues that he should be studied in his own right, not only as Alexander’s victim</w:t>
      </w:r>
      <w:r w:rsidR="0052213D" w:rsidRPr="002473A3">
        <w:rPr>
          <w:sz w:val="24"/>
          <w:szCs w:val="24"/>
        </w:rPr>
        <w:t>.</w:t>
      </w:r>
      <w:r w:rsidR="009D10AB" w:rsidRPr="002473A3">
        <w:rPr>
          <w:rStyle w:val="FootnoteReference"/>
          <w:sz w:val="24"/>
          <w:szCs w:val="24"/>
        </w:rPr>
        <w:footnoteReference w:id="36"/>
      </w:r>
      <w:r w:rsidR="009D10AB" w:rsidRPr="002473A3">
        <w:rPr>
          <w:sz w:val="24"/>
          <w:szCs w:val="24"/>
        </w:rPr>
        <w:t xml:space="preserve"> Her chapter explores candidacy for the throne, </w:t>
      </w:r>
      <w:r w:rsidR="00EB2D1B" w:rsidRPr="002473A3">
        <w:rPr>
          <w:sz w:val="24"/>
          <w:szCs w:val="24"/>
        </w:rPr>
        <w:t>the role of the Lyncestian family in the assassination of Philip II</w:t>
      </w:r>
      <w:r w:rsidR="00EB2D1B" w:rsidRPr="002473A3">
        <w:rPr>
          <w:rStyle w:val="FootnoteReference"/>
          <w:sz w:val="24"/>
          <w:szCs w:val="24"/>
        </w:rPr>
        <w:footnoteReference w:id="37"/>
      </w:r>
      <w:r w:rsidR="00EB2D1B" w:rsidRPr="002473A3">
        <w:rPr>
          <w:sz w:val="24"/>
          <w:szCs w:val="24"/>
        </w:rPr>
        <w:t xml:space="preserve"> and highlights the lack of evidence surrounding his motives</w:t>
      </w:r>
      <w:r w:rsidR="0052213D" w:rsidRPr="002473A3">
        <w:rPr>
          <w:sz w:val="24"/>
          <w:szCs w:val="24"/>
        </w:rPr>
        <w:t>.</w:t>
      </w:r>
      <w:r w:rsidR="00EB2D1B" w:rsidRPr="002473A3">
        <w:rPr>
          <w:rStyle w:val="FootnoteReference"/>
          <w:sz w:val="24"/>
          <w:szCs w:val="24"/>
        </w:rPr>
        <w:footnoteReference w:id="38"/>
      </w:r>
      <w:r w:rsidR="00EB2D1B" w:rsidRPr="002473A3">
        <w:rPr>
          <w:sz w:val="24"/>
          <w:szCs w:val="24"/>
        </w:rPr>
        <w:t xml:space="preserve"> </w:t>
      </w:r>
      <w:r w:rsidR="00E34378" w:rsidRPr="002473A3">
        <w:rPr>
          <w:sz w:val="24"/>
          <w:szCs w:val="24"/>
        </w:rPr>
        <w:t>Since the original publication of this article, Heckel</w:t>
      </w:r>
      <w:r w:rsidR="00E34378" w:rsidRPr="002473A3">
        <w:rPr>
          <w:rStyle w:val="FootnoteReference"/>
          <w:sz w:val="24"/>
          <w:szCs w:val="24"/>
        </w:rPr>
        <w:footnoteReference w:id="39"/>
      </w:r>
      <w:r w:rsidR="00E34378" w:rsidRPr="002473A3">
        <w:rPr>
          <w:sz w:val="24"/>
          <w:szCs w:val="24"/>
        </w:rPr>
        <w:t xml:space="preserve"> published two overviews of Alexander’s life and Carney still supports her original view that Lyncestian Alexander might have “seemed to some a plausible claimant to the throne”</w:t>
      </w:r>
      <w:r w:rsidR="0052213D" w:rsidRPr="002473A3">
        <w:rPr>
          <w:sz w:val="24"/>
          <w:szCs w:val="24"/>
        </w:rPr>
        <w:t>.</w:t>
      </w:r>
      <w:r w:rsidR="00E34378" w:rsidRPr="002473A3">
        <w:rPr>
          <w:rStyle w:val="FootnoteReference"/>
          <w:sz w:val="24"/>
          <w:szCs w:val="24"/>
        </w:rPr>
        <w:footnoteReference w:id="40"/>
      </w:r>
      <w:r w:rsidR="00E34378" w:rsidRPr="002473A3">
        <w:rPr>
          <w:sz w:val="24"/>
          <w:szCs w:val="24"/>
        </w:rPr>
        <w:t xml:space="preserve"> In relation to issues presented with the evidence, Carney notes the emphasis Heckel puts on Antipater as father-in-law and his role in keeping Alexander alive, due to elevated station. Carney disagrees and stresses the acknowledgement of Alexander III as his king early on</w:t>
      </w:r>
      <w:r w:rsidR="00E34378" w:rsidRPr="002473A3">
        <w:rPr>
          <w:rStyle w:val="FootnoteReference"/>
          <w:sz w:val="24"/>
          <w:szCs w:val="24"/>
        </w:rPr>
        <w:footnoteReference w:id="41"/>
      </w:r>
      <w:r w:rsidR="00E34378" w:rsidRPr="002473A3">
        <w:rPr>
          <w:sz w:val="24"/>
          <w:szCs w:val="24"/>
        </w:rPr>
        <w:t xml:space="preserve"> as the reason his life is spared, suggesting Alexander only married the daughter of Antipater because he was already important and not to gain </w:t>
      </w:r>
      <w:r w:rsidR="00E34378" w:rsidRPr="002473A3">
        <w:rPr>
          <w:sz w:val="24"/>
          <w:szCs w:val="24"/>
        </w:rPr>
        <w:lastRenderedPageBreak/>
        <w:t>station</w:t>
      </w:r>
      <w:r w:rsidR="0052213D" w:rsidRPr="002473A3">
        <w:rPr>
          <w:sz w:val="24"/>
          <w:szCs w:val="24"/>
        </w:rPr>
        <w:t>.</w:t>
      </w:r>
      <w:r w:rsidR="00E34378" w:rsidRPr="002473A3">
        <w:rPr>
          <w:rStyle w:val="FootnoteReference"/>
          <w:sz w:val="24"/>
          <w:szCs w:val="24"/>
        </w:rPr>
        <w:footnoteReference w:id="42"/>
      </w:r>
      <w:r w:rsidR="00E34378" w:rsidRPr="002473A3">
        <w:rPr>
          <w:sz w:val="24"/>
          <w:szCs w:val="24"/>
        </w:rPr>
        <w:t xml:space="preserve"> Ancient sources are full of references to Lyncestian Alexanders arrest</w:t>
      </w:r>
      <w:r w:rsidR="00E34378" w:rsidRPr="002473A3">
        <w:rPr>
          <w:rStyle w:val="FootnoteReference"/>
          <w:sz w:val="24"/>
          <w:szCs w:val="24"/>
        </w:rPr>
        <w:footnoteReference w:id="43"/>
      </w:r>
      <w:r w:rsidR="00E34378" w:rsidRPr="002473A3">
        <w:rPr>
          <w:sz w:val="24"/>
          <w:szCs w:val="24"/>
        </w:rPr>
        <w:t xml:space="preserve"> and Carney</w:t>
      </w:r>
      <w:r w:rsidR="00DF14E2" w:rsidRPr="002473A3">
        <w:rPr>
          <w:sz w:val="24"/>
          <w:szCs w:val="24"/>
        </w:rPr>
        <w:t xml:space="preserve"> </w:t>
      </w:r>
      <w:r w:rsidR="00E34378" w:rsidRPr="002473A3">
        <w:rPr>
          <w:sz w:val="24"/>
          <w:szCs w:val="24"/>
        </w:rPr>
        <w:t>determines that neither is more valuable than the other</w:t>
      </w:r>
      <w:r w:rsidR="0052213D" w:rsidRPr="002473A3">
        <w:rPr>
          <w:sz w:val="24"/>
          <w:szCs w:val="24"/>
        </w:rPr>
        <w:t>,</w:t>
      </w:r>
      <w:r w:rsidR="00E34378" w:rsidRPr="002473A3">
        <w:rPr>
          <w:sz w:val="24"/>
          <w:szCs w:val="24"/>
        </w:rPr>
        <w:t xml:space="preserve"> however</w:t>
      </w:r>
      <w:r w:rsidR="0052213D" w:rsidRPr="002473A3">
        <w:rPr>
          <w:sz w:val="24"/>
          <w:szCs w:val="24"/>
        </w:rPr>
        <w:t xml:space="preserve"> together</w:t>
      </w:r>
      <w:r w:rsidR="00E34378" w:rsidRPr="002473A3">
        <w:rPr>
          <w:sz w:val="24"/>
          <w:szCs w:val="24"/>
        </w:rPr>
        <w:t xml:space="preserve"> with minor adjustments</w:t>
      </w:r>
      <w:r w:rsidR="0052213D" w:rsidRPr="002473A3">
        <w:rPr>
          <w:sz w:val="24"/>
          <w:szCs w:val="24"/>
        </w:rPr>
        <w:t>,</w:t>
      </w:r>
      <w:r w:rsidR="00E34378" w:rsidRPr="002473A3">
        <w:rPr>
          <w:rStyle w:val="FootnoteReference"/>
          <w:sz w:val="24"/>
          <w:szCs w:val="24"/>
        </w:rPr>
        <w:footnoteReference w:id="44"/>
      </w:r>
      <w:r w:rsidR="00E34378" w:rsidRPr="002473A3">
        <w:rPr>
          <w:sz w:val="24"/>
          <w:szCs w:val="24"/>
        </w:rPr>
        <w:t xml:space="preserve"> can provide the “best solution”</w:t>
      </w:r>
      <w:r w:rsidR="0052213D" w:rsidRPr="002473A3">
        <w:rPr>
          <w:sz w:val="24"/>
          <w:szCs w:val="24"/>
        </w:rPr>
        <w:t>.</w:t>
      </w:r>
      <w:r w:rsidR="00E34378" w:rsidRPr="002473A3">
        <w:rPr>
          <w:rStyle w:val="FootnoteReference"/>
          <w:sz w:val="24"/>
          <w:szCs w:val="24"/>
        </w:rPr>
        <w:footnoteReference w:id="45"/>
      </w:r>
    </w:p>
    <w:p w:rsidR="005D5E01" w:rsidRPr="002473A3" w:rsidRDefault="005D5E01" w:rsidP="00D967E6">
      <w:pPr>
        <w:rPr>
          <w:sz w:val="24"/>
          <w:szCs w:val="24"/>
        </w:rPr>
      </w:pPr>
      <w:r w:rsidRPr="002473A3">
        <w:rPr>
          <w:sz w:val="24"/>
          <w:szCs w:val="24"/>
        </w:rPr>
        <w:t>Chapter seven</w:t>
      </w:r>
      <w:r w:rsidR="00B42950" w:rsidRPr="002473A3">
        <w:rPr>
          <w:sz w:val="24"/>
          <w:szCs w:val="24"/>
        </w:rPr>
        <w:t xml:space="preserve"> explore</w:t>
      </w:r>
      <w:r w:rsidR="00C908DA" w:rsidRPr="002473A3">
        <w:rPr>
          <w:sz w:val="24"/>
          <w:szCs w:val="24"/>
        </w:rPr>
        <w:t>s</w:t>
      </w:r>
      <w:r w:rsidR="00B42950" w:rsidRPr="002473A3">
        <w:rPr>
          <w:sz w:val="24"/>
          <w:szCs w:val="24"/>
        </w:rPr>
        <w:t xml:space="preserve"> the death of Cleitus</w:t>
      </w:r>
      <w:r w:rsidR="00972AA7" w:rsidRPr="002473A3">
        <w:rPr>
          <w:sz w:val="24"/>
          <w:szCs w:val="24"/>
        </w:rPr>
        <w:t>,</w:t>
      </w:r>
      <w:r w:rsidR="00B42950" w:rsidRPr="002473A3">
        <w:rPr>
          <w:sz w:val="24"/>
          <w:szCs w:val="24"/>
        </w:rPr>
        <w:t xml:space="preserve"> and Carney argues that </w:t>
      </w:r>
      <w:r w:rsidR="00972AA7" w:rsidRPr="002473A3">
        <w:rPr>
          <w:sz w:val="24"/>
          <w:szCs w:val="24"/>
        </w:rPr>
        <w:t xml:space="preserve">the </w:t>
      </w:r>
      <w:r w:rsidR="003E2EF9" w:rsidRPr="002473A3">
        <w:rPr>
          <w:sz w:val="24"/>
          <w:szCs w:val="24"/>
        </w:rPr>
        <w:t>murder of Cleitus by Alexander has been neglected in scholarship due to its apparent lack of premeditation, especially given the “elimination of Parmenio and Philotas in 333BC”</w:t>
      </w:r>
      <w:r w:rsidR="00C908DA" w:rsidRPr="002473A3">
        <w:rPr>
          <w:sz w:val="24"/>
          <w:szCs w:val="24"/>
        </w:rPr>
        <w:t>.</w:t>
      </w:r>
      <w:r w:rsidR="003E2EF9" w:rsidRPr="002473A3">
        <w:rPr>
          <w:rStyle w:val="FootnoteReference"/>
          <w:sz w:val="24"/>
          <w:szCs w:val="24"/>
        </w:rPr>
        <w:footnoteReference w:id="46"/>
      </w:r>
      <w:r w:rsidR="003E2EF9" w:rsidRPr="002473A3">
        <w:rPr>
          <w:sz w:val="24"/>
          <w:szCs w:val="24"/>
        </w:rPr>
        <w:t xml:space="preserve"> As with the previous chapter, Carney highlights the evidence to be vague. Cleitus, where he is mentioned, is deemed a model member of the Macedonian elite serving in its army</w:t>
      </w:r>
      <w:r w:rsidR="00C908DA" w:rsidRPr="002473A3">
        <w:rPr>
          <w:sz w:val="24"/>
          <w:szCs w:val="24"/>
        </w:rPr>
        <w:t>.</w:t>
      </w:r>
      <w:r w:rsidR="003E2EF9" w:rsidRPr="002473A3">
        <w:rPr>
          <w:rStyle w:val="FootnoteReference"/>
          <w:sz w:val="24"/>
          <w:szCs w:val="24"/>
        </w:rPr>
        <w:footnoteReference w:id="47"/>
      </w:r>
      <w:r w:rsidR="003E2EF9" w:rsidRPr="002473A3">
        <w:rPr>
          <w:sz w:val="24"/>
          <w:szCs w:val="24"/>
        </w:rPr>
        <w:t xml:space="preserve"> There are four surviving accounts of the banquet at which Cleitus died</w:t>
      </w:r>
      <w:r w:rsidR="00C908DA" w:rsidRPr="002473A3">
        <w:rPr>
          <w:sz w:val="24"/>
          <w:szCs w:val="24"/>
        </w:rPr>
        <w:t>,</w:t>
      </w:r>
      <w:r w:rsidR="003E2EF9" w:rsidRPr="002473A3">
        <w:rPr>
          <w:rStyle w:val="FootnoteReference"/>
          <w:sz w:val="24"/>
          <w:szCs w:val="24"/>
        </w:rPr>
        <w:footnoteReference w:id="48"/>
      </w:r>
      <w:r w:rsidR="003E2EF9" w:rsidRPr="002473A3">
        <w:rPr>
          <w:sz w:val="24"/>
          <w:szCs w:val="24"/>
        </w:rPr>
        <w:t xml:space="preserve"> with a number of articles analyzing these sources since the articles original publication</w:t>
      </w:r>
      <w:r w:rsidR="00C908DA" w:rsidRPr="002473A3">
        <w:rPr>
          <w:sz w:val="24"/>
          <w:szCs w:val="24"/>
        </w:rPr>
        <w:t>.</w:t>
      </w:r>
      <w:r w:rsidR="003E2EF9" w:rsidRPr="002473A3">
        <w:rPr>
          <w:rStyle w:val="FootnoteReference"/>
          <w:sz w:val="24"/>
          <w:szCs w:val="24"/>
        </w:rPr>
        <w:footnoteReference w:id="49"/>
      </w:r>
    </w:p>
    <w:p w:rsidR="005D5E01" w:rsidRPr="002473A3" w:rsidRDefault="005D5E01" w:rsidP="00D967E6">
      <w:pPr>
        <w:rPr>
          <w:sz w:val="24"/>
          <w:szCs w:val="24"/>
        </w:rPr>
      </w:pPr>
      <w:r w:rsidRPr="002473A3">
        <w:rPr>
          <w:sz w:val="24"/>
          <w:szCs w:val="24"/>
        </w:rPr>
        <w:t>Chapter eight</w:t>
      </w:r>
      <w:r w:rsidR="00C118E5" w:rsidRPr="002473A3">
        <w:rPr>
          <w:sz w:val="24"/>
          <w:szCs w:val="24"/>
        </w:rPr>
        <w:t xml:space="preserve"> discusses regicide. Carney states “primogeniture is not iron-clad”</w:t>
      </w:r>
      <w:r w:rsidR="00C118E5" w:rsidRPr="002473A3">
        <w:rPr>
          <w:rStyle w:val="FootnoteReference"/>
          <w:sz w:val="24"/>
          <w:szCs w:val="24"/>
        </w:rPr>
        <w:footnoteReference w:id="50"/>
      </w:r>
      <w:r w:rsidR="00C118E5" w:rsidRPr="002473A3">
        <w:rPr>
          <w:sz w:val="24"/>
          <w:szCs w:val="24"/>
        </w:rPr>
        <w:t xml:space="preserve"> as a method for succession and argues t</w:t>
      </w:r>
      <w:r w:rsidR="00FC3127" w:rsidRPr="002473A3">
        <w:rPr>
          <w:sz w:val="24"/>
          <w:szCs w:val="24"/>
        </w:rPr>
        <w:t>hat the conspiracies share</w:t>
      </w:r>
      <w:r w:rsidR="00C118E5" w:rsidRPr="002473A3">
        <w:rPr>
          <w:sz w:val="24"/>
          <w:szCs w:val="24"/>
        </w:rPr>
        <w:t xml:space="preserve"> common features</w:t>
      </w:r>
      <w:r w:rsidR="00C908DA" w:rsidRPr="002473A3">
        <w:rPr>
          <w:sz w:val="24"/>
          <w:szCs w:val="24"/>
        </w:rPr>
        <w:t>.</w:t>
      </w:r>
      <w:r w:rsidR="00C118E5" w:rsidRPr="002473A3">
        <w:rPr>
          <w:rStyle w:val="FootnoteReference"/>
          <w:sz w:val="24"/>
          <w:szCs w:val="24"/>
        </w:rPr>
        <w:footnoteReference w:id="51"/>
      </w:r>
      <w:r w:rsidR="00C118E5" w:rsidRPr="002473A3">
        <w:rPr>
          <w:sz w:val="24"/>
          <w:szCs w:val="24"/>
        </w:rPr>
        <w:t xml:space="preserve"> She discusses the conspiracies surrounding Archelaus</w:t>
      </w:r>
      <w:r w:rsidR="00C908DA" w:rsidRPr="002473A3">
        <w:rPr>
          <w:sz w:val="24"/>
          <w:szCs w:val="24"/>
        </w:rPr>
        <w:t>,</w:t>
      </w:r>
      <w:r w:rsidR="00C118E5" w:rsidRPr="002473A3">
        <w:rPr>
          <w:rStyle w:val="FootnoteReference"/>
          <w:sz w:val="24"/>
          <w:szCs w:val="24"/>
        </w:rPr>
        <w:footnoteReference w:id="52"/>
      </w:r>
      <w:r w:rsidR="00C118E5" w:rsidRPr="002473A3">
        <w:rPr>
          <w:sz w:val="24"/>
          <w:szCs w:val="24"/>
        </w:rPr>
        <w:t xml:space="preserve"> Alexander III</w:t>
      </w:r>
      <w:r w:rsidR="00C908DA" w:rsidRPr="002473A3">
        <w:rPr>
          <w:sz w:val="24"/>
          <w:szCs w:val="24"/>
        </w:rPr>
        <w:t>,</w:t>
      </w:r>
      <w:r w:rsidR="00C118E5" w:rsidRPr="002473A3">
        <w:rPr>
          <w:rStyle w:val="FootnoteReference"/>
          <w:sz w:val="24"/>
          <w:szCs w:val="24"/>
        </w:rPr>
        <w:footnoteReference w:id="53"/>
      </w:r>
      <w:r w:rsidR="00C118E5" w:rsidRPr="002473A3">
        <w:rPr>
          <w:sz w:val="24"/>
          <w:szCs w:val="24"/>
        </w:rPr>
        <w:t xml:space="preserve"> and Philip II</w:t>
      </w:r>
      <w:r w:rsidR="00C908DA" w:rsidRPr="002473A3">
        <w:rPr>
          <w:sz w:val="24"/>
          <w:szCs w:val="24"/>
        </w:rPr>
        <w:t>,</w:t>
      </w:r>
      <w:r w:rsidR="00C118E5" w:rsidRPr="002473A3">
        <w:rPr>
          <w:rStyle w:val="FootnoteReference"/>
          <w:sz w:val="24"/>
          <w:szCs w:val="24"/>
        </w:rPr>
        <w:footnoteReference w:id="54"/>
      </w:r>
      <w:r w:rsidR="00C118E5" w:rsidRPr="002473A3">
        <w:rPr>
          <w:sz w:val="24"/>
          <w:szCs w:val="24"/>
        </w:rPr>
        <w:t xml:space="preserve"> noting that the conspiracies often include homosexual themes in relation to motive. In these cases she argues that the aim is to remove the king from power not to take the throne themselves, a case of revenge for personal insult comparing the Macedonian cases to the Peisistratids in Athens</w:t>
      </w:r>
      <w:r w:rsidR="00C118E5" w:rsidRPr="002473A3">
        <w:rPr>
          <w:rStyle w:val="FootnoteReference"/>
          <w:sz w:val="24"/>
          <w:szCs w:val="24"/>
        </w:rPr>
        <w:footnoteReference w:id="55"/>
      </w:r>
      <w:r w:rsidR="00C118E5" w:rsidRPr="002473A3">
        <w:rPr>
          <w:sz w:val="24"/>
          <w:szCs w:val="24"/>
        </w:rPr>
        <w:t xml:space="preserve"> and while there are similarities between the incidents, Carney states that it cannot explain the frequency of regicide in Macedon</w:t>
      </w:r>
      <w:r w:rsidR="00694D01" w:rsidRPr="002473A3">
        <w:rPr>
          <w:sz w:val="24"/>
          <w:szCs w:val="24"/>
        </w:rPr>
        <w:t>.</w:t>
      </w:r>
      <w:r w:rsidR="00C118E5" w:rsidRPr="002473A3">
        <w:rPr>
          <w:rStyle w:val="FootnoteReference"/>
          <w:sz w:val="24"/>
          <w:szCs w:val="24"/>
        </w:rPr>
        <w:footnoteReference w:id="56"/>
      </w:r>
      <w:r w:rsidR="00C118E5" w:rsidRPr="002473A3">
        <w:rPr>
          <w:sz w:val="24"/>
          <w:szCs w:val="24"/>
        </w:rPr>
        <w:t xml:space="preserve"> Since the publication of Carney’s article in 1983, research into sexuality in the ancient w</w:t>
      </w:r>
      <w:r w:rsidR="00C908DA" w:rsidRPr="002473A3">
        <w:rPr>
          <w:sz w:val="24"/>
          <w:szCs w:val="24"/>
        </w:rPr>
        <w:t>orld has increased dramatically.</w:t>
      </w:r>
      <w:r w:rsidR="00C118E5" w:rsidRPr="002473A3">
        <w:rPr>
          <w:sz w:val="24"/>
          <w:szCs w:val="24"/>
        </w:rPr>
        <w:t xml:space="preserve"> Skinner</w:t>
      </w:r>
      <w:r w:rsidR="00C118E5" w:rsidRPr="002473A3">
        <w:rPr>
          <w:rStyle w:val="FootnoteReference"/>
          <w:sz w:val="24"/>
          <w:szCs w:val="24"/>
        </w:rPr>
        <w:footnoteReference w:id="57"/>
      </w:r>
      <w:r w:rsidR="00C118E5" w:rsidRPr="002473A3">
        <w:rPr>
          <w:sz w:val="24"/>
          <w:szCs w:val="24"/>
        </w:rPr>
        <w:t xml:space="preserve"> and Ogden’s</w:t>
      </w:r>
      <w:r w:rsidR="00C118E5" w:rsidRPr="002473A3">
        <w:rPr>
          <w:rStyle w:val="FootnoteReference"/>
          <w:sz w:val="24"/>
          <w:szCs w:val="24"/>
        </w:rPr>
        <w:footnoteReference w:id="58"/>
      </w:r>
      <w:r w:rsidR="00C118E5" w:rsidRPr="002473A3">
        <w:rPr>
          <w:sz w:val="24"/>
          <w:szCs w:val="24"/>
        </w:rPr>
        <w:t xml:space="preserve"> work on sexuality has shown an effect on the political sphere of the ancient world and </w:t>
      </w:r>
      <w:r w:rsidR="009D10AB" w:rsidRPr="002473A3">
        <w:rPr>
          <w:sz w:val="24"/>
          <w:szCs w:val="24"/>
        </w:rPr>
        <w:t xml:space="preserve">sexuality in the Argead court </w:t>
      </w:r>
      <w:r w:rsidR="00C118E5" w:rsidRPr="002473A3">
        <w:rPr>
          <w:sz w:val="24"/>
          <w:szCs w:val="24"/>
        </w:rPr>
        <w:t>is a key discussion point in cases of conspiracy.</w:t>
      </w:r>
    </w:p>
    <w:p w:rsidR="00D93684" w:rsidRPr="002473A3" w:rsidRDefault="00D93684" w:rsidP="00D93684">
      <w:pPr>
        <w:rPr>
          <w:sz w:val="24"/>
          <w:szCs w:val="24"/>
        </w:rPr>
      </w:pPr>
      <w:r w:rsidRPr="002473A3">
        <w:rPr>
          <w:sz w:val="24"/>
          <w:szCs w:val="24"/>
        </w:rPr>
        <w:t>Chapter nine discusses the politics of polygamy with specific reference to Olympias, Alexander and the murder of Philip. Carney argues that something was missing in the discussions about the motivations of Pausanias</w:t>
      </w:r>
      <w:r w:rsidRPr="002473A3">
        <w:rPr>
          <w:rStyle w:val="FootnoteReference"/>
          <w:sz w:val="24"/>
          <w:szCs w:val="24"/>
        </w:rPr>
        <w:footnoteReference w:id="59"/>
      </w:r>
      <w:r w:rsidRPr="002473A3">
        <w:rPr>
          <w:sz w:val="24"/>
          <w:szCs w:val="24"/>
        </w:rPr>
        <w:t xml:space="preserve"> specifically with reluctance to discuss male rape instead focusing on the time the event took place rather than the event itself. Carney </w:t>
      </w:r>
      <w:r w:rsidRPr="002473A3">
        <w:rPr>
          <w:sz w:val="24"/>
          <w:szCs w:val="24"/>
        </w:rPr>
        <w:lastRenderedPageBreak/>
        <w:t>discusses the assertions of Plutarch in some detail that the rape of Pausanias</w:t>
      </w:r>
      <w:r w:rsidRPr="002473A3">
        <w:rPr>
          <w:rStyle w:val="FootnoteReference"/>
          <w:sz w:val="24"/>
          <w:szCs w:val="24"/>
        </w:rPr>
        <w:footnoteReference w:id="60"/>
      </w:r>
      <w:r w:rsidRPr="002473A3">
        <w:rPr>
          <w:sz w:val="24"/>
          <w:szCs w:val="24"/>
        </w:rPr>
        <w:t>. Since the publication of this article the concept of male rape has been explored further in context of the ancient world and Storr</w:t>
      </w:r>
      <w:r w:rsidRPr="002473A3">
        <w:rPr>
          <w:rStyle w:val="FootnoteReference"/>
          <w:sz w:val="24"/>
          <w:szCs w:val="24"/>
        </w:rPr>
        <w:footnoteReference w:id="61"/>
      </w:r>
      <w:r w:rsidRPr="002473A3">
        <w:rPr>
          <w:sz w:val="24"/>
          <w:szCs w:val="24"/>
        </w:rPr>
        <w:t xml:space="preserve"> has referred to it as “a common weapon of war” supplemented with the work of Cohen</w:t>
      </w:r>
      <w:r w:rsidRPr="002473A3">
        <w:rPr>
          <w:rStyle w:val="FootnoteReference"/>
          <w:sz w:val="24"/>
          <w:szCs w:val="24"/>
        </w:rPr>
        <w:footnoteReference w:id="62"/>
      </w:r>
      <w:r w:rsidRPr="002473A3">
        <w:rPr>
          <w:sz w:val="24"/>
          <w:szCs w:val="24"/>
        </w:rPr>
        <w:t xml:space="preserve"> in the context of the ancient world it can be deemed a humiliation with the intent to assault the honor of the victim. Further, consensus has been reached around polygamy and the Argead kings, making the practice by Philip less alien while highlighting the fact he “practiced polygamy on an unprecedented scale”</w:t>
      </w:r>
      <w:r w:rsidRPr="002473A3">
        <w:rPr>
          <w:rStyle w:val="FootnoteReference"/>
          <w:sz w:val="24"/>
          <w:szCs w:val="24"/>
        </w:rPr>
        <w:footnoteReference w:id="63"/>
      </w:r>
      <w:r w:rsidRPr="002473A3">
        <w:rPr>
          <w:sz w:val="24"/>
          <w:szCs w:val="24"/>
        </w:rPr>
        <w:t xml:space="preserve"> with Ogden’s</w:t>
      </w:r>
      <w:r w:rsidRPr="002473A3">
        <w:rPr>
          <w:rStyle w:val="FootnoteReference"/>
          <w:sz w:val="24"/>
          <w:szCs w:val="24"/>
        </w:rPr>
        <w:footnoteReference w:id="64"/>
      </w:r>
      <w:r w:rsidRPr="002473A3">
        <w:rPr>
          <w:sz w:val="24"/>
          <w:szCs w:val="24"/>
        </w:rPr>
        <w:t xml:space="preserve"> work being key in these developments. </w:t>
      </w:r>
    </w:p>
    <w:p w:rsidR="00D93684" w:rsidRPr="002473A3" w:rsidRDefault="00D93684" w:rsidP="00D93684">
      <w:pPr>
        <w:rPr>
          <w:sz w:val="24"/>
          <w:szCs w:val="24"/>
          <w:lang w:val="en-GB"/>
        </w:rPr>
      </w:pPr>
      <w:r w:rsidRPr="002473A3">
        <w:rPr>
          <w:sz w:val="24"/>
          <w:szCs w:val="24"/>
        </w:rPr>
        <w:t>Chapter ten marks the third section of the book focusing on aspects of life at court with chapter ten centering on the education of the elite. Due to an apparent lack of evidence Carney and other scholars argue that education of the elite was based upon the education of the King due to “the cultural literacy”</w:t>
      </w:r>
      <w:r w:rsidRPr="002473A3">
        <w:rPr>
          <w:rStyle w:val="FootnoteReference"/>
          <w:sz w:val="24"/>
          <w:szCs w:val="24"/>
        </w:rPr>
        <w:footnoteReference w:id="65"/>
      </w:r>
      <w:r w:rsidRPr="002473A3">
        <w:rPr>
          <w:sz w:val="24"/>
          <w:szCs w:val="24"/>
        </w:rPr>
        <w:t xml:space="preserve"> of those at court. Carney references Plutarch often on the education of Alexander</w:t>
      </w:r>
      <w:r w:rsidRPr="002473A3">
        <w:rPr>
          <w:rStyle w:val="FootnoteReference"/>
          <w:sz w:val="24"/>
          <w:szCs w:val="24"/>
        </w:rPr>
        <w:footnoteReference w:id="66"/>
      </w:r>
      <w:r w:rsidRPr="002473A3">
        <w:rPr>
          <w:sz w:val="24"/>
          <w:szCs w:val="24"/>
        </w:rPr>
        <w:t>, as well as highlighting not all of Alexander’s education was academic</w:t>
      </w:r>
      <w:r w:rsidRPr="002473A3">
        <w:rPr>
          <w:rStyle w:val="FootnoteReference"/>
          <w:sz w:val="24"/>
          <w:szCs w:val="24"/>
        </w:rPr>
        <w:footnoteReference w:id="67"/>
      </w:r>
      <w:r w:rsidRPr="002473A3">
        <w:rPr>
          <w:sz w:val="24"/>
          <w:szCs w:val="24"/>
        </w:rPr>
        <w:t>. Carney argues the instruction Alexander received from Aristotle</w:t>
      </w:r>
      <w:r w:rsidRPr="002473A3">
        <w:rPr>
          <w:rStyle w:val="FootnoteReference"/>
          <w:sz w:val="24"/>
          <w:szCs w:val="24"/>
        </w:rPr>
        <w:footnoteReference w:id="68"/>
      </w:r>
      <w:r w:rsidRPr="002473A3">
        <w:rPr>
          <w:sz w:val="24"/>
          <w:szCs w:val="24"/>
        </w:rPr>
        <w:t xml:space="preserve"> was influential for the rest of his life including his reign as king where “many intellectuals and artists were present”</w:t>
      </w:r>
      <w:r w:rsidRPr="002473A3">
        <w:rPr>
          <w:rStyle w:val="FootnoteReference"/>
          <w:sz w:val="24"/>
          <w:szCs w:val="24"/>
        </w:rPr>
        <w:footnoteReference w:id="69"/>
      </w:r>
      <w:r w:rsidRPr="002473A3">
        <w:rPr>
          <w:sz w:val="24"/>
          <w:szCs w:val="24"/>
        </w:rPr>
        <w:t>. Since the articles original publication, the work of Psoma</w:t>
      </w:r>
      <w:r w:rsidRPr="002473A3">
        <w:rPr>
          <w:rStyle w:val="FootnoteReference"/>
          <w:sz w:val="24"/>
          <w:szCs w:val="24"/>
        </w:rPr>
        <w:footnoteReference w:id="70"/>
      </w:r>
      <w:r w:rsidRPr="002473A3">
        <w:rPr>
          <w:sz w:val="24"/>
          <w:szCs w:val="24"/>
        </w:rPr>
        <w:t xml:space="preserve"> explored different aspects of Macedonian education as well as the education of young women, something Carney’s work omitted, potentially due to the lack of evidence or interest in the subject at the time however, Carney’s work explores the influence of Homer and specifically Achilles on Alexander, highlighting the importance of Alexander’s mother’s claims of decadency from Achilles</w:t>
      </w:r>
      <w:r w:rsidRPr="002473A3">
        <w:rPr>
          <w:rStyle w:val="FootnoteReference"/>
          <w:sz w:val="24"/>
          <w:szCs w:val="24"/>
        </w:rPr>
        <w:footnoteReference w:id="71"/>
      </w:r>
      <w:r w:rsidRPr="002473A3">
        <w:rPr>
          <w:sz w:val="24"/>
          <w:szCs w:val="24"/>
        </w:rPr>
        <w:t>.</w:t>
      </w:r>
    </w:p>
    <w:p w:rsidR="00D93684" w:rsidRPr="002473A3" w:rsidRDefault="00D93684" w:rsidP="00D93684">
      <w:pPr>
        <w:rPr>
          <w:sz w:val="24"/>
          <w:szCs w:val="24"/>
        </w:rPr>
      </w:pPr>
      <w:r w:rsidRPr="002473A3">
        <w:rPr>
          <w:sz w:val="24"/>
          <w:szCs w:val="24"/>
        </w:rPr>
        <w:t>Chapter eleven</w:t>
      </w:r>
      <w:r w:rsidR="00DF14E2" w:rsidRPr="002473A3">
        <w:rPr>
          <w:sz w:val="24"/>
          <w:szCs w:val="24"/>
        </w:rPr>
        <w:t xml:space="preserve"> discusses the </w:t>
      </w:r>
      <w:proofErr w:type="spellStart"/>
      <w:r w:rsidR="00DF14E2" w:rsidRPr="002473A3">
        <w:rPr>
          <w:i/>
          <w:sz w:val="24"/>
          <w:szCs w:val="24"/>
        </w:rPr>
        <w:t>basilioi</w:t>
      </w:r>
      <w:proofErr w:type="spellEnd"/>
      <w:r w:rsidR="00DF14E2" w:rsidRPr="002473A3">
        <w:rPr>
          <w:i/>
          <w:sz w:val="24"/>
          <w:szCs w:val="24"/>
        </w:rPr>
        <w:t xml:space="preserve"> </w:t>
      </w:r>
      <w:proofErr w:type="spellStart"/>
      <w:r w:rsidR="00DF14E2" w:rsidRPr="002473A3">
        <w:rPr>
          <w:i/>
          <w:sz w:val="24"/>
          <w:szCs w:val="24"/>
        </w:rPr>
        <w:t>paides</w:t>
      </w:r>
      <w:proofErr w:type="spellEnd"/>
      <w:r w:rsidR="00DF14E2" w:rsidRPr="002473A3">
        <w:rPr>
          <w:i/>
          <w:sz w:val="24"/>
          <w:szCs w:val="24"/>
        </w:rPr>
        <w:t xml:space="preserve">, </w:t>
      </w:r>
      <w:r w:rsidR="00DF14E2" w:rsidRPr="002473A3">
        <w:rPr>
          <w:sz w:val="24"/>
          <w:szCs w:val="24"/>
        </w:rPr>
        <w:t xml:space="preserve">or pages of the Macedonian court. Carney argues that this article was an update to her work from 1981 to focus more on the role of the pages than the conspiracy concerning Alexander. Carney </w:t>
      </w:r>
      <w:r w:rsidR="00E82591" w:rsidRPr="002473A3">
        <w:rPr>
          <w:sz w:val="24"/>
          <w:szCs w:val="24"/>
        </w:rPr>
        <w:t xml:space="preserve">originally </w:t>
      </w:r>
      <w:r w:rsidR="00DF14E2" w:rsidRPr="002473A3">
        <w:rPr>
          <w:sz w:val="24"/>
          <w:szCs w:val="24"/>
        </w:rPr>
        <w:t>considered the political defiance of Hermolaus as the king shooting first on a hunt is recorded as a Persian custom</w:t>
      </w:r>
      <w:r w:rsidR="00DF14E2" w:rsidRPr="002473A3">
        <w:rPr>
          <w:rStyle w:val="FootnoteReference"/>
          <w:sz w:val="24"/>
          <w:szCs w:val="24"/>
        </w:rPr>
        <w:footnoteReference w:id="72"/>
      </w:r>
      <w:r w:rsidR="00DF14E2" w:rsidRPr="002473A3">
        <w:rPr>
          <w:sz w:val="24"/>
          <w:szCs w:val="24"/>
        </w:rPr>
        <w:t xml:space="preserve"> as well as the extract from Arrian suggesting Hermolaus was acting to protect the king</w:t>
      </w:r>
      <w:r w:rsidR="00DF14E2" w:rsidRPr="002473A3">
        <w:rPr>
          <w:rStyle w:val="FootnoteReference"/>
          <w:sz w:val="24"/>
          <w:szCs w:val="24"/>
        </w:rPr>
        <w:footnoteReference w:id="73"/>
      </w:r>
      <w:r w:rsidR="00DF14E2" w:rsidRPr="002473A3">
        <w:rPr>
          <w:sz w:val="24"/>
          <w:szCs w:val="24"/>
        </w:rPr>
        <w:t>. Carney argues that the importance of the Royal Youths has never been doubted</w:t>
      </w:r>
      <w:r w:rsidR="00DF14E2" w:rsidRPr="002473A3">
        <w:rPr>
          <w:rStyle w:val="FootnoteReference"/>
          <w:sz w:val="24"/>
          <w:szCs w:val="24"/>
        </w:rPr>
        <w:footnoteReference w:id="74"/>
      </w:r>
      <w:r w:rsidR="00DF14E2" w:rsidRPr="002473A3">
        <w:rPr>
          <w:sz w:val="24"/>
          <w:szCs w:val="24"/>
        </w:rPr>
        <w:t>, with the sources detailing the roles they performed</w:t>
      </w:r>
      <w:r w:rsidR="00E82591" w:rsidRPr="002473A3">
        <w:rPr>
          <w:rStyle w:val="FootnoteReference"/>
          <w:sz w:val="24"/>
          <w:szCs w:val="24"/>
        </w:rPr>
        <w:footnoteReference w:id="75"/>
      </w:r>
      <w:r w:rsidR="00DF14E2" w:rsidRPr="002473A3">
        <w:rPr>
          <w:sz w:val="24"/>
          <w:szCs w:val="24"/>
        </w:rPr>
        <w:t xml:space="preserve"> to include protecting the king as he </w:t>
      </w:r>
      <w:r w:rsidR="00DF14E2" w:rsidRPr="002473A3">
        <w:rPr>
          <w:sz w:val="24"/>
          <w:szCs w:val="24"/>
        </w:rPr>
        <w:lastRenderedPageBreak/>
        <w:t>slept</w:t>
      </w:r>
      <w:r w:rsidR="00DF14E2" w:rsidRPr="002473A3">
        <w:rPr>
          <w:rStyle w:val="FootnoteReference"/>
          <w:sz w:val="24"/>
          <w:szCs w:val="24"/>
        </w:rPr>
        <w:footnoteReference w:id="76"/>
      </w:r>
      <w:r w:rsidR="00E82591" w:rsidRPr="002473A3">
        <w:rPr>
          <w:sz w:val="24"/>
          <w:szCs w:val="24"/>
        </w:rPr>
        <w:t xml:space="preserve"> to hunting alongside him</w:t>
      </w:r>
      <w:r w:rsidR="00E82591" w:rsidRPr="002473A3">
        <w:rPr>
          <w:rStyle w:val="FootnoteReference"/>
          <w:sz w:val="24"/>
          <w:szCs w:val="24"/>
        </w:rPr>
        <w:footnoteReference w:id="77"/>
      </w:r>
      <w:r w:rsidR="00E82591" w:rsidRPr="002473A3">
        <w:rPr>
          <w:sz w:val="24"/>
          <w:szCs w:val="24"/>
        </w:rPr>
        <w:t xml:space="preserve"> and the ancient and modern scholarship on the subject is complimentary to her views</w:t>
      </w:r>
      <w:r w:rsidR="00E82591" w:rsidRPr="002473A3">
        <w:rPr>
          <w:rStyle w:val="FootnoteReference"/>
          <w:sz w:val="24"/>
          <w:szCs w:val="24"/>
        </w:rPr>
        <w:footnoteReference w:id="78"/>
      </w:r>
      <w:r w:rsidR="00E82591" w:rsidRPr="002473A3">
        <w:rPr>
          <w:sz w:val="24"/>
          <w:szCs w:val="24"/>
        </w:rPr>
        <w:t xml:space="preserve"> especially the work of Müller on the conspiracy</w:t>
      </w:r>
      <w:r w:rsidR="00E82591" w:rsidRPr="002473A3">
        <w:rPr>
          <w:rStyle w:val="FootnoteReference"/>
          <w:sz w:val="24"/>
          <w:szCs w:val="24"/>
        </w:rPr>
        <w:footnoteReference w:id="79"/>
      </w:r>
      <w:r w:rsidR="00E82591" w:rsidRPr="002473A3">
        <w:rPr>
          <w:sz w:val="24"/>
          <w:szCs w:val="24"/>
        </w:rPr>
        <w:t>.</w:t>
      </w:r>
    </w:p>
    <w:p w:rsidR="00D93684" w:rsidRPr="002473A3" w:rsidRDefault="00D93684" w:rsidP="00D93684">
      <w:pPr>
        <w:rPr>
          <w:sz w:val="24"/>
          <w:szCs w:val="24"/>
        </w:rPr>
      </w:pPr>
      <w:r w:rsidRPr="002473A3">
        <w:rPr>
          <w:sz w:val="24"/>
          <w:szCs w:val="24"/>
        </w:rPr>
        <w:t>Chapter twelve focuses on Symposia and the Macedonian elite. Carney argues there is a significant difference between the Macedonian and Greek drinking habits that is not “simply a construct of our prejudiced Greek sources”</w:t>
      </w:r>
      <w:r w:rsidRPr="002473A3">
        <w:rPr>
          <w:rStyle w:val="FootnoteReference"/>
          <w:sz w:val="24"/>
          <w:szCs w:val="24"/>
        </w:rPr>
        <w:footnoteReference w:id="80"/>
      </w:r>
      <w:r w:rsidRPr="002473A3">
        <w:rPr>
          <w:sz w:val="24"/>
          <w:szCs w:val="24"/>
        </w:rPr>
        <w:t xml:space="preserve"> as well as these drinking habits being central to the court system</w:t>
      </w:r>
      <w:r w:rsidRPr="002473A3">
        <w:rPr>
          <w:rStyle w:val="FootnoteReference"/>
          <w:sz w:val="24"/>
          <w:szCs w:val="24"/>
        </w:rPr>
        <w:footnoteReference w:id="81"/>
      </w:r>
      <w:r w:rsidRPr="002473A3">
        <w:rPr>
          <w:sz w:val="24"/>
          <w:szCs w:val="24"/>
        </w:rPr>
        <w:t>. Carney identifies the main issue with discussing Macedonian drinking habits to be the uncertainty around the chronology that would enable the reader to determine how these habits changed over time</w:t>
      </w:r>
      <w:r w:rsidRPr="002473A3">
        <w:rPr>
          <w:rStyle w:val="FootnoteReference"/>
          <w:sz w:val="24"/>
          <w:szCs w:val="24"/>
        </w:rPr>
        <w:footnoteReference w:id="82"/>
      </w:r>
      <w:r w:rsidRPr="002473A3">
        <w:rPr>
          <w:sz w:val="24"/>
          <w:szCs w:val="24"/>
        </w:rPr>
        <w:t>. Carney argues the uncertainty around the time is a particular issue around the fourth century due to the fact “this was a society in rapid change”</w:t>
      </w:r>
      <w:r w:rsidRPr="002473A3">
        <w:rPr>
          <w:rStyle w:val="FootnoteReference"/>
          <w:sz w:val="24"/>
          <w:szCs w:val="24"/>
        </w:rPr>
        <w:footnoteReference w:id="83"/>
      </w:r>
      <w:r w:rsidRPr="002473A3">
        <w:rPr>
          <w:sz w:val="24"/>
          <w:szCs w:val="24"/>
        </w:rPr>
        <w:t>. Symposia specifically is referenced in the ancient sources as being held by the Kings personally</w:t>
      </w:r>
      <w:r w:rsidRPr="002473A3">
        <w:rPr>
          <w:rStyle w:val="FootnoteReference"/>
          <w:sz w:val="24"/>
          <w:szCs w:val="24"/>
        </w:rPr>
        <w:footnoteReference w:id="84"/>
      </w:r>
      <w:r w:rsidRPr="002473A3">
        <w:rPr>
          <w:sz w:val="24"/>
          <w:szCs w:val="24"/>
        </w:rPr>
        <w:t>, as well as its use in epic</w:t>
      </w:r>
      <w:r w:rsidRPr="002473A3">
        <w:rPr>
          <w:rStyle w:val="FootnoteReference"/>
          <w:sz w:val="24"/>
          <w:szCs w:val="24"/>
        </w:rPr>
        <w:footnoteReference w:id="85"/>
      </w:r>
      <w:r w:rsidRPr="002473A3">
        <w:rPr>
          <w:sz w:val="24"/>
          <w:szCs w:val="24"/>
        </w:rPr>
        <w:t xml:space="preserve"> to show how a leader would build support</w:t>
      </w:r>
      <w:r w:rsidRPr="002473A3">
        <w:rPr>
          <w:rStyle w:val="FootnoteReference"/>
          <w:sz w:val="24"/>
          <w:szCs w:val="24"/>
        </w:rPr>
        <w:footnoteReference w:id="86"/>
      </w:r>
      <w:r w:rsidRPr="002473A3">
        <w:rPr>
          <w:sz w:val="24"/>
          <w:szCs w:val="24"/>
        </w:rPr>
        <w:t>, Carney highlights the warning of excess in ancient sources in regards to drinking</w:t>
      </w:r>
      <w:r w:rsidRPr="002473A3">
        <w:rPr>
          <w:rStyle w:val="FootnoteReference"/>
          <w:sz w:val="24"/>
          <w:szCs w:val="24"/>
        </w:rPr>
        <w:footnoteReference w:id="87"/>
      </w:r>
      <w:r w:rsidRPr="002473A3">
        <w:rPr>
          <w:sz w:val="24"/>
          <w:szCs w:val="24"/>
        </w:rPr>
        <w:t>. Modern scholars have expanded this area of debate since publication to determine the extent women were involved in symposia</w:t>
      </w:r>
      <w:r w:rsidRPr="002473A3">
        <w:rPr>
          <w:rStyle w:val="FootnoteReference"/>
          <w:sz w:val="24"/>
          <w:szCs w:val="24"/>
        </w:rPr>
        <w:footnoteReference w:id="88"/>
      </w:r>
      <w:r w:rsidRPr="002473A3">
        <w:rPr>
          <w:sz w:val="24"/>
          <w:szCs w:val="24"/>
        </w:rPr>
        <w:t xml:space="preserve"> and Carney engaged in this debate in the afterword to show the idea of Macedonian women being involved is more appealing without “Attic customs”</w:t>
      </w:r>
      <w:r w:rsidRPr="002473A3">
        <w:rPr>
          <w:rStyle w:val="FootnoteReference"/>
          <w:sz w:val="24"/>
          <w:szCs w:val="24"/>
        </w:rPr>
        <w:footnoteReference w:id="89"/>
      </w:r>
      <w:r w:rsidRPr="002473A3">
        <w:rPr>
          <w:sz w:val="24"/>
          <w:szCs w:val="24"/>
        </w:rPr>
        <w:t xml:space="preserve"> influencing her understanding.</w:t>
      </w:r>
    </w:p>
    <w:p w:rsidR="005D5E01" w:rsidRPr="002473A3" w:rsidRDefault="00D93684" w:rsidP="00D93684">
      <w:pPr>
        <w:rPr>
          <w:sz w:val="24"/>
          <w:szCs w:val="24"/>
        </w:rPr>
      </w:pPr>
      <w:r w:rsidRPr="002473A3">
        <w:rPr>
          <w:sz w:val="24"/>
          <w:szCs w:val="24"/>
        </w:rPr>
        <w:t>Chapter thirteen focuses on hunting and the elite in Macedon, Carney argues that the interaction of the King with the elite on these excursions provide an insight into the monarchy and the relations at court. The image of what Carney refers to as the Rider</w:t>
      </w:r>
      <w:r w:rsidRPr="002473A3">
        <w:rPr>
          <w:rStyle w:val="FootnoteReference"/>
          <w:sz w:val="24"/>
          <w:szCs w:val="24"/>
        </w:rPr>
        <w:footnoteReference w:id="90"/>
      </w:r>
      <w:r w:rsidRPr="002473A3">
        <w:rPr>
          <w:sz w:val="24"/>
          <w:szCs w:val="24"/>
        </w:rPr>
        <w:t xml:space="preserve"> appears throughout Macedonian art, specifically on their coinage</w:t>
      </w:r>
      <w:r w:rsidRPr="002473A3">
        <w:rPr>
          <w:rStyle w:val="FootnoteReference"/>
          <w:sz w:val="24"/>
          <w:szCs w:val="24"/>
        </w:rPr>
        <w:footnoteReference w:id="91"/>
      </w:r>
      <w:r w:rsidRPr="002473A3">
        <w:rPr>
          <w:sz w:val="24"/>
          <w:szCs w:val="24"/>
        </w:rPr>
        <w:t>, which Carney highlights has not linked hunting with the monarchy directly in a number of modern sources. Price in his earlier work suggested the opposite of this</w:t>
      </w:r>
      <w:r w:rsidRPr="002473A3">
        <w:rPr>
          <w:rStyle w:val="FootnoteReference"/>
          <w:sz w:val="24"/>
          <w:szCs w:val="24"/>
        </w:rPr>
        <w:footnoteReference w:id="92"/>
      </w:r>
      <w:r w:rsidRPr="002473A3">
        <w:rPr>
          <w:sz w:val="24"/>
          <w:szCs w:val="24"/>
        </w:rPr>
        <w:t>. Carney also discusses the Hermolaus conspiracy mentioned in a previous chapter that involved the attempted assassination of Alexander for a misunderstanding during a hunt</w:t>
      </w:r>
      <w:r w:rsidRPr="002473A3">
        <w:rPr>
          <w:rStyle w:val="FootnoteReference"/>
          <w:sz w:val="24"/>
          <w:szCs w:val="24"/>
        </w:rPr>
        <w:footnoteReference w:id="93"/>
      </w:r>
      <w:r w:rsidRPr="002473A3">
        <w:rPr>
          <w:sz w:val="24"/>
          <w:szCs w:val="24"/>
        </w:rPr>
        <w:t>. Carney concludes with the assessment that, like the symposia, hunting was a central part of the court system that stressed cooperation and bonding</w:t>
      </w:r>
      <w:r w:rsidRPr="002473A3">
        <w:rPr>
          <w:rStyle w:val="FootnoteReference"/>
          <w:sz w:val="24"/>
          <w:szCs w:val="24"/>
        </w:rPr>
        <w:footnoteReference w:id="94"/>
      </w:r>
      <w:r w:rsidRPr="002473A3">
        <w:rPr>
          <w:sz w:val="24"/>
          <w:szCs w:val="24"/>
        </w:rPr>
        <w:t xml:space="preserve"> supplemented by the work of Coppola in 2010 that the hunting </w:t>
      </w:r>
      <w:r w:rsidRPr="002473A3">
        <w:rPr>
          <w:sz w:val="24"/>
          <w:szCs w:val="24"/>
        </w:rPr>
        <w:lastRenderedPageBreak/>
        <w:t>practices of Alexander was “an amalgam of his own interests and of Macedonian and Persian court practices”</w:t>
      </w:r>
      <w:r w:rsidRPr="002473A3">
        <w:rPr>
          <w:rStyle w:val="FootnoteReference"/>
          <w:sz w:val="24"/>
          <w:szCs w:val="24"/>
        </w:rPr>
        <w:footnoteReference w:id="95"/>
      </w:r>
      <w:r w:rsidRPr="002473A3">
        <w:rPr>
          <w:sz w:val="24"/>
          <w:szCs w:val="24"/>
        </w:rPr>
        <w:t>.</w:t>
      </w:r>
    </w:p>
    <w:p w:rsidR="00084F5E" w:rsidRDefault="00231C55" w:rsidP="00D93684">
      <w:pPr>
        <w:rPr>
          <w:sz w:val="24"/>
          <w:szCs w:val="24"/>
        </w:rPr>
      </w:pPr>
      <w:r w:rsidRPr="002473A3">
        <w:rPr>
          <w:sz w:val="24"/>
          <w:szCs w:val="24"/>
        </w:rPr>
        <w:t>To conclude, the book ‘</w:t>
      </w:r>
      <w:r w:rsidRPr="002473A3">
        <w:rPr>
          <w:sz w:val="24"/>
          <w:szCs w:val="24"/>
        </w:rPr>
        <w:t>King and Court in Ancient Macedonia; Rivalry, Treason and Conspiracy</w:t>
      </w:r>
      <w:r w:rsidRPr="002473A3">
        <w:rPr>
          <w:sz w:val="24"/>
          <w:szCs w:val="24"/>
        </w:rPr>
        <w:t xml:space="preserve">’ by E. Carney discusses a number of themes in Ancient Macedonia which both provides an in depth study of specific aspects for more advanced scholars as well as an excellent overview for those first introduced to Macedon for study. The </w:t>
      </w:r>
      <w:r w:rsidR="002473A3" w:rsidRPr="002473A3">
        <w:rPr>
          <w:sz w:val="24"/>
          <w:szCs w:val="24"/>
        </w:rPr>
        <w:t>author’s</w:t>
      </w:r>
      <w:r w:rsidRPr="002473A3">
        <w:rPr>
          <w:sz w:val="24"/>
          <w:szCs w:val="24"/>
        </w:rPr>
        <w:t xml:space="preserve"> selection of articles is both cohesive and relevant and the afterword at the end of each chapter allows the author to reflect</w:t>
      </w:r>
      <w:r w:rsidR="002473A3">
        <w:rPr>
          <w:sz w:val="24"/>
          <w:szCs w:val="24"/>
        </w:rPr>
        <w:t xml:space="preserve"> on and engage</w:t>
      </w:r>
      <w:r w:rsidRPr="002473A3">
        <w:rPr>
          <w:sz w:val="24"/>
          <w:szCs w:val="24"/>
        </w:rPr>
        <w:t xml:space="preserve"> </w:t>
      </w:r>
      <w:r w:rsidR="002473A3">
        <w:rPr>
          <w:sz w:val="24"/>
          <w:szCs w:val="24"/>
        </w:rPr>
        <w:t>with</w:t>
      </w:r>
      <w:r w:rsidRPr="002473A3">
        <w:rPr>
          <w:sz w:val="24"/>
          <w:szCs w:val="24"/>
        </w:rPr>
        <w:t xml:space="preserve"> new scholarship on the subject in question enabling the reader to follow the development of debates following new evidence as well as a renewal of interest in specific areas of study. </w:t>
      </w:r>
    </w:p>
    <w:p w:rsidR="00084F5E" w:rsidRPr="00084F5E" w:rsidRDefault="00084F5E" w:rsidP="00084F5E">
      <w:pPr>
        <w:rPr>
          <w:sz w:val="24"/>
          <w:szCs w:val="24"/>
        </w:rPr>
      </w:pPr>
    </w:p>
    <w:p w:rsidR="00084F5E" w:rsidRPr="00084F5E" w:rsidRDefault="00084F5E" w:rsidP="00084F5E">
      <w:pPr>
        <w:rPr>
          <w:sz w:val="24"/>
          <w:szCs w:val="24"/>
        </w:rPr>
      </w:pPr>
    </w:p>
    <w:p w:rsidR="00084F5E" w:rsidRPr="00084F5E" w:rsidRDefault="00084F5E" w:rsidP="00084F5E">
      <w:pPr>
        <w:rPr>
          <w:sz w:val="24"/>
          <w:szCs w:val="24"/>
        </w:rPr>
      </w:pPr>
    </w:p>
    <w:p w:rsidR="00084F5E" w:rsidRPr="00084F5E" w:rsidRDefault="00084F5E" w:rsidP="00084F5E">
      <w:pPr>
        <w:rPr>
          <w:sz w:val="24"/>
          <w:szCs w:val="24"/>
        </w:rPr>
      </w:pPr>
    </w:p>
    <w:p w:rsidR="00084F5E" w:rsidRPr="00084F5E" w:rsidRDefault="00084F5E" w:rsidP="00084F5E">
      <w:pPr>
        <w:rPr>
          <w:sz w:val="24"/>
          <w:szCs w:val="24"/>
        </w:rPr>
      </w:pPr>
    </w:p>
    <w:p w:rsidR="00084F5E" w:rsidRPr="00084F5E" w:rsidRDefault="00084F5E" w:rsidP="00084F5E">
      <w:pPr>
        <w:rPr>
          <w:sz w:val="24"/>
          <w:szCs w:val="24"/>
        </w:rPr>
      </w:pPr>
    </w:p>
    <w:p w:rsidR="00084F5E" w:rsidRPr="00084F5E" w:rsidRDefault="00084F5E" w:rsidP="00084F5E">
      <w:pPr>
        <w:rPr>
          <w:sz w:val="24"/>
          <w:szCs w:val="24"/>
        </w:rPr>
      </w:pPr>
    </w:p>
    <w:p w:rsidR="00084F5E" w:rsidRPr="00084F5E" w:rsidRDefault="00084F5E" w:rsidP="00084F5E">
      <w:pPr>
        <w:rPr>
          <w:sz w:val="24"/>
          <w:szCs w:val="24"/>
        </w:rPr>
      </w:pPr>
    </w:p>
    <w:p w:rsidR="00084F5E" w:rsidRPr="00084F5E" w:rsidRDefault="00084F5E" w:rsidP="00084F5E">
      <w:pPr>
        <w:rPr>
          <w:sz w:val="24"/>
          <w:szCs w:val="24"/>
        </w:rPr>
      </w:pPr>
    </w:p>
    <w:p w:rsidR="00231C55" w:rsidRDefault="00231C55"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Default="00084F5E" w:rsidP="00084F5E">
      <w:pPr>
        <w:rPr>
          <w:sz w:val="24"/>
          <w:szCs w:val="24"/>
        </w:rPr>
      </w:pPr>
    </w:p>
    <w:p w:rsidR="00084F5E" w:rsidRPr="00EE2EEA" w:rsidRDefault="00084F5E" w:rsidP="00084F5E">
      <w:pPr>
        <w:rPr>
          <w:b/>
          <w:sz w:val="28"/>
          <w:szCs w:val="24"/>
          <w:u w:val="single"/>
        </w:rPr>
      </w:pPr>
      <w:r w:rsidRPr="00EE2EEA">
        <w:rPr>
          <w:b/>
          <w:sz w:val="28"/>
          <w:szCs w:val="24"/>
          <w:u w:val="single"/>
        </w:rPr>
        <w:lastRenderedPageBreak/>
        <w:t>Bibliography</w:t>
      </w:r>
    </w:p>
    <w:p w:rsidR="00084F5E" w:rsidRDefault="00084F5E" w:rsidP="00084F5E">
      <w:pPr>
        <w:rPr>
          <w:b/>
          <w:sz w:val="24"/>
          <w:szCs w:val="24"/>
        </w:rPr>
      </w:pPr>
      <w:r>
        <w:rPr>
          <w:b/>
          <w:sz w:val="24"/>
          <w:szCs w:val="24"/>
        </w:rPr>
        <w:t>Ancient Sources:</w:t>
      </w:r>
    </w:p>
    <w:p w:rsidR="00084F5E" w:rsidRDefault="00084F5E" w:rsidP="00084F5E">
      <w:pPr>
        <w:rPr>
          <w:rFonts w:cstheme="minorHAnsi"/>
          <w:sz w:val="24"/>
          <w:szCs w:val="24"/>
        </w:rPr>
      </w:pPr>
      <w:r w:rsidRPr="00084F5E">
        <w:rPr>
          <w:rFonts w:cstheme="minorHAnsi"/>
          <w:sz w:val="24"/>
          <w:szCs w:val="24"/>
        </w:rPr>
        <w:t xml:space="preserve">Aristotle, </w:t>
      </w:r>
      <w:r w:rsidRPr="00084F5E">
        <w:rPr>
          <w:rFonts w:cstheme="minorHAnsi"/>
          <w:i/>
          <w:sz w:val="24"/>
          <w:szCs w:val="24"/>
        </w:rPr>
        <w:t>Politics.</w:t>
      </w:r>
      <w:r w:rsidRPr="00084F5E">
        <w:rPr>
          <w:rFonts w:cstheme="minorHAnsi"/>
          <w:sz w:val="24"/>
          <w:szCs w:val="24"/>
        </w:rPr>
        <w:t xml:space="preserve"> H. Rackham (</w:t>
      </w:r>
      <w:proofErr w:type="gramStart"/>
      <w:r w:rsidRPr="00084F5E">
        <w:rPr>
          <w:rFonts w:cstheme="minorHAnsi"/>
          <w:sz w:val="24"/>
          <w:szCs w:val="24"/>
        </w:rPr>
        <w:t>trans</w:t>
      </w:r>
      <w:proofErr w:type="gramEnd"/>
      <w:r w:rsidRPr="00084F5E">
        <w:rPr>
          <w:rFonts w:cstheme="minorHAnsi"/>
          <w:sz w:val="24"/>
          <w:szCs w:val="24"/>
        </w:rPr>
        <w:t>.). 1944. London: William Heinemann.</w:t>
      </w:r>
    </w:p>
    <w:p w:rsidR="00084F5E" w:rsidRPr="008F1412" w:rsidRDefault="00084F5E" w:rsidP="00084F5E">
      <w:pPr>
        <w:rPr>
          <w:sz w:val="24"/>
          <w:szCs w:val="24"/>
        </w:rPr>
      </w:pPr>
      <w:r>
        <w:rPr>
          <w:rFonts w:cstheme="minorHAnsi"/>
          <w:sz w:val="24"/>
          <w:szCs w:val="24"/>
        </w:rPr>
        <w:t xml:space="preserve">Arrian, </w:t>
      </w:r>
      <w:r w:rsidRPr="008F1412">
        <w:rPr>
          <w:rFonts w:cstheme="minorHAnsi"/>
          <w:i/>
          <w:sz w:val="24"/>
          <w:szCs w:val="24"/>
        </w:rPr>
        <w:t xml:space="preserve">Anabasis </w:t>
      </w:r>
      <w:proofErr w:type="spellStart"/>
      <w:r w:rsidRPr="008F1412">
        <w:rPr>
          <w:rFonts w:cstheme="minorHAnsi"/>
          <w:i/>
          <w:sz w:val="24"/>
          <w:szCs w:val="24"/>
        </w:rPr>
        <w:t>Alexandri</w:t>
      </w:r>
      <w:proofErr w:type="spellEnd"/>
      <w:r w:rsidRPr="008F1412">
        <w:rPr>
          <w:rFonts w:cstheme="minorHAnsi"/>
          <w:i/>
          <w:sz w:val="24"/>
          <w:szCs w:val="24"/>
        </w:rPr>
        <w:t>.</w:t>
      </w:r>
      <w:r w:rsidRPr="008F1412">
        <w:rPr>
          <w:rFonts w:cstheme="minorHAnsi"/>
          <w:sz w:val="24"/>
          <w:szCs w:val="24"/>
        </w:rPr>
        <w:t xml:space="preserve"> </w:t>
      </w:r>
      <w:r w:rsidRPr="008F1412">
        <w:rPr>
          <w:iCs/>
          <w:color w:val="000000"/>
          <w:sz w:val="24"/>
          <w:szCs w:val="24"/>
          <w:shd w:val="clear" w:color="auto" w:fill="F0FFFF"/>
        </w:rPr>
        <w:t xml:space="preserve">E. </w:t>
      </w:r>
      <w:proofErr w:type="spellStart"/>
      <w:r w:rsidRPr="008F1412">
        <w:rPr>
          <w:iCs/>
          <w:color w:val="000000"/>
          <w:sz w:val="24"/>
          <w:szCs w:val="24"/>
          <w:shd w:val="clear" w:color="auto" w:fill="F0FFFF"/>
        </w:rPr>
        <w:t>Iliff</w:t>
      </w:r>
      <w:proofErr w:type="spellEnd"/>
      <w:r w:rsidRPr="008F1412">
        <w:rPr>
          <w:iCs/>
          <w:color w:val="000000"/>
          <w:sz w:val="24"/>
          <w:szCs w:val="24"/>
          <w:shd w:val="clear" w:color="auto" w:fill="F0FFFF"/>
        </w:rPr>
        <w:t xml:space="preserve"> Robson (</w:t>
      </w:r>
      <w:proofErr w:type="gramStart"/>
      <w:r w:rsidRPr="008F1412">
        <w:rPr>
          <w:iCs/>
          <w:color w:val="000000"/>
          <w:sz w:val="24"/>
          <w:szCs w:val="24"/>
          <w:shd w:val="clear" w:color="auto" w:fill="F0FFFF"/>
        </w:rPr>
        <w:t>trans</w:t>
      </w:r>
      <w:proofErr w:type="gramEnd"/>
      <w:r w:rsidRPr="008F1412">
        <w:rPr>
          <w:iCs/>
          <w:color w:val="000000"/>
          <w:sz w:val="24"/>
          <w:szCs w:val="24"/>
          <w:shd w:val="clear" w:color="auto" w:fill="F0FFFF"/>
        </w:rPr>
        <w:t xml:space="preserve">.). 1929. </w:t>
      </w:r>
      <w:r w:rsidR="008F1412" w:rsidRPr="008F1412">
        <w:rPr>
          <w:sz w:val="24"/>
          <w:szCs w:val="24"/>
        </w:rPr>
        <w:t xml:space="preserve">London: </w:t>
      </w:r>
      <w:r w:rsidRPr="008F1412">
        <w:rPr>
          <w:sz w:val="24"/>
          <w:szCs w:val="24"/>
        </w:rPr>
        <w:t>William Heinemann</w:t>
      </w:r>
    </w:p>
    <w:p w:rsidR="008F1412" w:rsidRPr="008F1412" w:rsidRDefault="008F1412" w:rsidP="00084F5E">
      <w:pPr>
        <w:rPr>
          <w:rFonts w:cstheme="minorHAnsi"/>
          <w:sz w:val="24"/>
          <w:szCs w:val="24"/>
        </w:rPr>
      </w:pPr>
      <w:r w:rsidRPr="008F1412">
        <w:rPr>
          <w:sz w:val="24"/>
          <w:szCs w:val="24"/>
        </w:rPr>
        <w:t xml:space="preserve">Curtius Rufus, </w:t>
      </w:r>
      <w:r w:rsidRPr="008F1412">
        <w:rPr>
          <w:i/>
          <w:sz w:val="24"/>
          <w:szCs w:val="24"/>
        </w:rPr>
        <w:t>History of Alexander the Great of Macedon.</w:t>
      </w:r>
      <w:r w:rsidRPr="008F1412">
        <w:rPr>
          <w:sz w:val="24"/>
          <w:szCs w:val="24"/>
        </w:rPr>
        <w:t xml:space="preserve"> </w:t>
      </w:r>
      <w:proofErr w:type="spellStart"/>
      <w:r w:rsidRPr="008F1412">
        <w:rPr>
          <w:iCs/>
          <w:color w:val="000000"/>
          <w:sz w:val="24"/>
          <w:szCs w:val="24"/>
          <w:shd w:val="clear" w:color="auto" w:fill="F0FFFF"/>
        </w:rPr>
        <w:t>J.C.Rolfe</w:t>
      </w:r>
      <w:proofErr w:type="spellEnd"/>
      <w:r w:rsidRPr="008F1412">
        <w:rPr>
          <w:iCs/>
          <w:color w:val="000000"/>
          <w:sz w:val="24"/>
          <w:szCs w:val="24"/>
          <w:shd w:val="clear" w:color="auto" w:fill="F0FFFF"/>
        </w:rPr>
        <w:t xml:space="preserve"> (</w:t>
      </w:r>
      <w:proofErr w:type="gramStart"/>
      <w:r w:rsidRPr="008F1412">
        <w:rPr>
          <w:iCs/>
          <w:color w:val="000000"/>
          <w:sz w:val="24"/>
          <w:szCs w:val="24"/>
          <w:shd w:val="clear" w:color="auto" w:fill="F0FFFF"/>
        </w:rPr>
        <w:t>trans</w:t>
      </w:r>
      <w:proofErr w:type="gramEnd"/>
      <w:r w:rsidRPr="008F1412">
        <w:rPr>
          <w:iCs/>
          <w:color w:val="000000"/>
          <w:sz w:val="24"/>
          <w:szCs w:val="24"/>
          <w:shd w:val="clear" w:color="auto" w:fill="F0FFFF"/>
        </w:rPr>
        <w:t xml:space="preserve">.). 1946. London: William </w:t>
      </w:r>
      <w:proofErr w:type="spellStart"/>
      <w:r w:rsidRPr="008F1412">
        <w:rPr>
          <w:iCs/>
          <w:color w:val="000000"/>
          <w:sz w:val="24"/>
          <w:szCs w:val="24"/>
          <w:shd w:val="clear" w:color="auto" w:fill="F0FFFF"/>
        </w:rPr>
        <w:t>Hienemann</w:t>
      </w:r>
      <w:proofErr w:type="spellEnd"/>
      <w:r w:rsidRPr="008F1412">
        <w:rPr>
          <w:iCs/>
          <w:color w:val="000000"/>
          <w:sz w:val="24"/>
          <w:szCs w:val="24"/>
          <w:shd w:val="clear" w:color="auto" w:fill="F0FFFF"/>
        </w:rPr>
        <w:t>.</w:t>
      </w:r>
    </w:p>
    <w:p w:rsidR="00084F5E" w:rsidRDefault="00084F5E" w:rsidP="00084F5E">
      <w:pPr>
        <w:rPr>
          <w:sz w:val="24"/>
          <w:szCs w:val="24"/>
        </w:rPr>
      </w:pPr>
      <w:r w:rsidRPr="008F1412">
        <w:rPr>
          <w:sz w:val="24"/>
          <w:szCs w:val="24"/>
        </w:rPr>
        <w:t xml:space="preserve">Diodorus </w:t>
      </w:r>
      <w:proofErr w:type="spellStart"/>
      <w:r w:rsidRPr="008F1412">
        <w:rPr>
          <w:sz w:val="24"/>
          <w:szCs w:val="24"/>
        </w:rPr>
        <w:t>Siculus</w:t>
      </w:r>
      <w:proofErr w:type="spellEnd"/>
      <w:r w:rsidRPr="008F1412">
        <w:rPr>
          <w:sz w:val="24"/>
          <w:szCs w:val="24"/>
        </w:rPr>
        <w:t xml:space="preserve">, Library. C.H. </w:t>
      </w:r>
      <w:proofErr w:type="spellStart"/>
      <w:r w:rsidRPr="008F1412">
        <w:rPr>
          <w:sz w:val="24"/>
          <w:szCs w:val="24"/>
        </w:rPr>
        <w:t>Oldfather</w:t>
      </w:r>
      <w:proofErr w:type="spellEnd"/>
      <w:r w:rsidRPr="008F1412">
        <w:rPr>
          <w:sz w:val="24"/>
          <w:szCs w:val="24"/>
        </w:rPr>
        <w:t xml:space="preserve"> (</w:t>
      </w:r>
      <w:proofErr w:type="gramStart"/>
      <w:r w:rsidRPr="008F1412">
        <w:rPr>
          <w:sz w:val="24"/>
          <w:szCs w:val="24"/>
        </w:rPr>
        <w:t>trans</w:t>
      </w:r>
      <w:proofErr w:type="gramEnd"/>
      <w:r w:rsidRPr="008F1412">
        <w:rPr>
          <w:sz w:val="24"/>
          <w:szCs w:val="24"/>
        </w:rPr>
        <w:t>.). 1989. London: William Heinemann</w:t>
      </w:r>
      <w:r w:rsidR="008F1412">
        <w:rPr>
          <w:sz w:val="24"/>
          <w:szCs w:val="24"/>
        </w:rPr>
        <w:t>.</w:t>
      </w:r>
    </w:p>
    <w:p w:rsidR="008F1412" w:rsidRPr="008F1412" w:rsidRDefault="008F1412" w:rsidP="008F1412">
      <w:pPr>
        <w:rPr>
          <w:rFonts w:cstheme="minorHAnsi"/>
        </w:rPr>
      </w:pPr>
      <w:r w:rsidRPr="008F1412">
        <w:rPr>
          <w:rFonts w:cstheme="minorHAnsi"/>
        </w:rPr>
        <w:t xml:space="preserve">Herodotus, </w:t>
      </w:r>
      <w:proofErr w:type="gramStart"/>
      <w:r w:rsidRPr="008F1412">
        <w:rPr>
          <w:rFonts w:cstheme="minorHAnsi"/>
          <w:i/>
        </w:rPr>
        <w:t>The</w:t>
      </w:r>
      <w:proofErr w:type="gramEnd"/>
      <w:r w:rsidRPr="008F1412">
        <w:rPr>
          <w:rFonts w:cstheme="minorHAnsi"/>
          <w:i/>
        </w:rPr>
        <w:t xml:space="preserve"> Histories.</w:t>
      </w:r>
      <w:r w:rsidRPr="008F1412">
        <w:rPr>
          <w:rFonts w:cstheme="minorHAnsi"/>
        </w:rPr>
        <w:t xml:space="preserve"> A.D. Godley. (</w:t>
      </w:r>
      <w:proofErr w:type="gramStart"/>
      <w:r w:rsidRPr="008F1412">
        <w:rPr>
          <w:rFonts w:cstheme="minorHAnsi"/>
        </w:rPr>
        <w:t>trans</w:t>
      </w:r>
      <w:proofErr w:type="gramEnd"/>
      <w:r w:rsidRPr="008F1412">
        <w:rPr>
          <w:rFonts w:cstheme="minorHAnsi"/>
        </w:rPr>
        <w:t>.). 1920. Cambridge: Harvard University Press.</w:t>
      </w:r>
    </w:p>
    <w:p w:rsidR="008F1412" w:rsidRDefault="008F1412" w:rsidP="00084F5E">
      <w:pPr>
        <w:rPr>
          <w:sz w:val="24"/>
          <w:szCs w:val="24"/>
        </w:rPr>
      </w:pPr>
      <w:r>
        <w:rPr>
          <w:sz w:val="24"/>
          <w:szCs w:val="24"/>
        </w:rPr>
        <w:t xml:space="preserve">Homer, </w:t>
      </w:r>
      <w:r>
        <w:rPr>
          <w:i/>
          <w:sz w:val="24"/>
          <w:szCs w:val="24"/>
        </w:rPr>
        <w:t>Odyssey.</w:t>
      </w:r>
      <w:r>
        <w:rPr>
          <w:sz w:val="24"/>
          <w:szCs w:val="24"/>
        </w:rPr>
        <w:t xml:space="preserve"> E. V. </w:t>
      </w:r>
      <w:proofErr w:type="spellStart"/>
      <w:r>
        <w:rPr>
          <w:sz w:val="24"/>
          <w:szCs w:val="24"/>
        </w:rPr>
        <w:t>Rieu</w:t>
      </w:r>
      <w:proofErr w:type="spellEnd"/>
      <w:r>
        <w:rPr>
          <w:sz w:val="24"/>
          <w:szCs w:val="24"/>
        </w:rPr>
        <w:t xml:space="preserve"> (</w:t>
      </w:r>
      <w:proofErr w:type="gramStart"/>
      <w:r>
        <w:rPr>
          <w:sz w:val="24"/>
          <w:szCs w:val="24"/>
        </w:rPr>
        <w:t>trans</w:t>
      </w:r>
      <w:proofErr w:type="gramEnd"/>
      <w:r>
        <w:rPr>
          <w:sz w:val="24"/>
          <w:szCs w:val="24"/>
        </w:rPr>
        <w:t>.). 2003. London: Penguin Classics.</w:t>
      </w:r>
    </w:p>
    <w:p w:rsidR="008F1412" w:rsidRPr="008F1412" w:rsidRDefault="008F1412" w:rsidP="008F1412">
      <w:pPr>
        <w:rPr>
          <w:sz w:val="24"/>
          <w:szCs w:val="24"/>
          <w:shd w:val="clear" w:color="auto" w:fill="FFFFFF"/>
        </w:rPr>
      </w:pPr>
      <w:r w:rsidRPr="008F1412">
        <w:rPr>
          <w:sz w:val="24"/>
          <w:szCs w:val="24"/>
          <w:shd w:val="clear" w:color="auto" w:fill="FFFFFF"/>
        </w:rPr>
        <w:t xml:space="preserve">Justin, </w:t>
      </w:r>
      <w:proofErr w:type="spellStart"/>
      <w:r w:rsidRPr="008F1412">
        <w:rPr>
          <w:i/>
          <w:sz w:val="24"/>
          <w:szCs w:val="24"/>
          <w:shd w:val="clear" w:color="auto" w:fill="FFFFFF"/>
        </w:rPr>
        <w:t>Phillipic</w:t>
      </w:r>
      <w:proofErr w:type="spellEnd"/>
      <w:r w:rsidRPr="008F1412">
        <w:rPr>
          <w:i/>
          <w:sz w:val="24"/>
          <w:szCs w:val="24"/>
          <w:shd w:val="clear" w:color="auto" w:fill="FFFFFF"/>
        </w:rPr>
        <w:t>.</w:t>
      </w:r>
      <w:r w:rsidRPr="008F1412">
        <w:rPr>
          <w:sz w:val="24"/>
          <w:szCs w:val="24"/>
          <w:shd w:val="clear" w:color="auto" w:fill="FFFFFF"/>
        </w:rPr>
        <w:t xml:space="preserve"> J.S.</w:t>
      </w:r>
      <w:r w:rsidRPr="008F1412">
        <w:rPr>
          <w:sz w:val="24"/>
          <w:szCs w:val="24"/>
          <w:shd w:val="clear" w:color="auto" w:fill="FFFFFF"/>
        </w:rPr>
        <w:t xml:space="preserve"> Watson</w:t>
      </w:r>
      <w:r w:rsidRPr="008F1412">
        <w:rPr>
          <w:sz w:val="24"/>
          <w:szCs w:val="24"/>
          <w:shd w:val="clear" w:color="auto" w:fill="FFFFFF"/>
        </w:rPr>
        <w:t xml:space="preserve"> (</w:t>
      </w:r>
      <w:proofErr w:type="gramStart"/>
      <w:r w:rsidRPr="008F1412">
        <w:rPr>
          <w:sz w:val="24"/>
          <w:szCs w:val="24"/>
          <w:shd w:val="clear" w:color="auto" w:fill="FFFFFF"/>
        </w:rPr>
        <w:t>trans</w:t>
      </w:r>
      <w:proofErr w:type="gramEnd"/>
      <w:r w:rsidRPr="008F1412">
        <w:rPr>
          <w:sz w:val="24"/>
          <w:szCs w:val="24"/>
          <w:shd w:val="clear" w:color="auto" w:fill="FFFFFF"/>
        </w:rPr>
        <w:t>.). 1853. London: Henry G. Bohn.</w:t>
      </w:r>
    </w:p>
    <w:p w:rsidR="008F1412" w:rsidRPr="008F1412" w:rsidRDefault="008F1412" w:rsidP="008F1412">
      <w:pPr>
        <w:rPr>
          <w:rFonts w:cstheme="minorHAnsi"/>
          <w:sz w:val="24"/>
          <w:szCs w:val="24"/>
        </w:rPr>
      </w:pPr>
      <w:r w:rsidRPr="008F1412">
        <w:rPr>
          <w:rFonts w:cstheme="minorHAnsi"/>
          <w:sz w:val="24"/>
          <w:szCs w:val="24"/>
        </w:rPr>
        <w:t xml:space="preserve">Plutarch, </w:t>
      </w:r>
      <w:r w:rsidRPr="008F1412">
        <w:rPr>
          <w:rFonts w:cstheme="minorHAnsi"/>
          <w:i/>
          <w:sz w:val="24"/>
          <w:szCs w:val="24"/>
        </w:rPr>
        <w:t>Alexander</w:t>
      </w:r>
      <w:r w:rsidRPr="008F1412">
        <w:rPr>
          <w:rFonts w:cstheme="minorHAnsi"/>
          <w:i/>
          <w:sz w:val="24"/>
          <w:szCs w:val="24"/>
        </w:rPr>
        <w:t>.</w:t>
      </w:r>
      <w:r w:rsidRPr="008F1412">
        <w:rPr>
          <w:rFonts w:cstheme="minorHAnsi"/>
          <w:sz w:val="24"/>
          <w:szCs w:val="24"/>
        </w:rPr>
        <w:t xml:space="preserve"> B. Perrin (</w:t>
      </w:r>
      <w:proofErr w:type="gramStart"/>
      <w:r w:rsidRPr="008F1412">
        <w:rPr>
          <w:rFonts w:cstheme="minorHAnsi"/>
          <w:sz w:val="24"/>
          <w:szCs w:val="24"/>
        </w:rPr>
        <w:t>trans</w:t>
      </w:r>
      <w:proofErr w:type="gramEnd"/>
      <w:r w:rsidRPr="008F1412">
        <w:rPr>
          <w:rFonts w:cstheme="minorHAnsi"/>
          <w:sz w:val="24"/>
          <w:szCs w:val="24"/>
        </w:rPr>
        <w:t>.). 191</w:t>
      </w:r>
      <w:r w:rsidRPr="008F1412">
        <w:rPr>
          <w:rFonts w:cstheme="minorHAnsi"/>
          <w:sz w:val="24"/>
          <w:szCs w:val="24"/>
        </w:rPr>
        <w:t>9</w:t>
      </w:r>
      <w:r w:rsidRPr="008F1412">
        <w:rPr>
          <w:rFonts w:cstheme="minorHAnsi"/>
          <w:sz w:val="24"/>
          <w:szCs w:val="24"/>
        </w:rPr>
        <w:t>. London: William Heinemann.</w:t>
      </w:r>
    </w:p>
    <w:p w:rsidR="008F1412" w:rsidRPr="00EE2EEA" w:rsidRDefault="008F1412" w:rsidP="008F1412">
      <w:pPr>
        <w:rPr>
          <w:rFonts w:cstheme="minorHAnsi"/>
          <w:sz w:val="24"/>
          <w:szCs w:val="24"/>
        </w:rPr>
      </w:pPr>
      <w:r w:rsidRPr="008F1412">
        <w:rPr>
          <w:rFonts w:cstheme="minorHAnsi"/>
          <w:sz w:val="24"/>
          <w:szCs w:val="24"/>
        </w:rPr>
        <w:t>Pl</w:t>
      </w:r>
      <w:r w:rsidRPr="00EE2EEA">
        <w:rPr>
          <w:rFonts w:cstheme="minorHAnsi"/>
          <w:sz w:val="24"/>
          <w:szCs w:val="24"/>
        </w:rPr>
        <w:t xml:space="preserve">utarch, </w:t>
      </w:r>
      <w:r w:rsidRPr="00EE2EEA">
        <w:rPr>
          <w:rFonts w:cstheme="minorHAnsi"/>
          <w:i/>
          <w:sz w:val="24"/>
          <w:szCs w:val="24"/>
        </w:rPr>
        <w:t>Pyrrhus</w:t>
      </w:r>
      <w:r w:rsidRPr="00EE2EEA">
        <w:rPr>
          <w:rFonts w:cstheme="minorHAnsi"/>
          <w:i/>
          <w:sz w:val="24"/>
          <w:szCs w:val="24"/>
        </w:rPr>
        <w:t>.</w:t>
      </w:r>
      <w:r w:rsidRPr="00EE2EEA">
        <w:rPr>
          <w:rFonts w:cstheme="minorHAnsi"/>
          <w:sz w:val="24"/>
          <w:szCs w:val="24"/>
        </w:rPr>
        <w:t xml:space="preserve"> B. Perrin (</w:t>
      </w:r>
      <w:proofErr w:type="gramStart"/>
      <w:r w:rsidRPr="00EE2EEA">
        <w:rPr>
          <w:rFonts w:cstheme="minorHAnsi"/>
          <w:sz w:val="24"/>
          <w:szCs w:val="24"/>
        </w:rPr>
        <w:t>trans</w:t>
      </w:r>
      <w:proofErr w:type="gramEnd"/>
      <w:r w:rsidRPr="00EE2EEA">
        <w:rPr>
          <w:rFonts w:cstheme="minorHAnsi"/>
          <w:sz w:val="24"/>
          <w:szCs w:val="24"/>
        </w:rPr>
        <w:t>.). 1920</w:t>
      </w:r>
      <w:r w:rsidRPr="00EE2EEA">
        <w:rPr>
          <w:rFonts w:cstheme="minorHAnsi"/>
          <w:sz w:val="24"/>
          <w:szCs w:val="24"/>
        </w:rPr>
        <w:t>. London: William Heinemann.</w:t>
      </w:r>
    </w:p>
    <w:p w:rsidR="008F1412" w:rsidRPr="00EE2EEA" w:rsidRDefault="008F1412" w:rsidP="008F1412">
      <w:pPr>
        <w:rPr>
          <w:sz w:val="24"/>
          <w:szCs w:val="24"/>
        </w:rPr>
      </w:pPr>
      <w:r w:rsidRPr="00EE2EEA">
        <w:rPr>
          <w:sz w:val="24"/>
          <w:szCs w:val="24"/>
        </w:rPr>
        <w:t>Strabo,</w:t>
      </w:r>
      <w:r w:rsidR="00EE2EEA" w:rsidRPr="00EE2EEA">
        <w:rPr>
          <w:sz w:val="24"/>
          <w:szCs w:val="24"/>
        </w:rPr>
        <w:t xml:space="preserve"> </w:t>
      </w:r>
      <w:r w:rsidR="00EE2EEA" w:rsidRPr="00EE2EEA">
        <w:rPr>
          <w:i/>
          <w:sz w:val="24"/>
          <w:szCs w:val="24"/>
        </w:rPr>
        <w:t>Geography.</w:t>
      </w:r>
      <w:r w:rsidR="00EE2EEA" w:rsidRPr="00EE2EEA">
        <w:rPr>
          <w:sz w:val="24"/>
          <w:szCs w:val="24"/>
        </w:rPr>
        <w:t xml:space="preserve"> H. L. Jones (</w:t>
      </w:r>
      <w:proofErr w:type="gramStart"/>
      <w:r w:rsidR="00EE2EEA" w:rsidRPr="00EE2EEA">
        <w:rPr>
          <w:sz w:val="24"/>
          <w:szCs w:val="24"/>
        </w:rPr>
        <w:t>trans</w:t>
      </w:r>
      <w:proofErr w:type="gramEnd"/>
      <w:r w:rsidR="00EE2EEA" w:rsidRPr="00EE2EEA">
        <w:rPr>
          <w:sz w:val="24"/>
          <w:szCs w:val="24"/>
        </w:rPr>
        <w:t>.). 1924. London: William Heinemann.</w:t>
      </w:r>
    </w:p>
    <w:p w:rsidR="00084F5E" w:rsidRPr="00084F5E" w:rsidRDefault="00084F5E" w:rsidP="00084F5E">
      <w:pPr>
        <w:rPr>
          <w:rFonts w:cstheme="minorHAnsi"/>
          <w:sz w:val="24"/>
          <w:szCs w:val="24"/>
        </w:rPr>
      </w:pPr>
      <w:r w:rsidRPr="00084F5E">
        <w:rPr>
          <w:rFonts w:cstheme="minorHAnsi"/>
          <w:sz w:val="24"/>
          <w:szCs w:val="24"/>
        </w:rPr>
        <w:t xml:space="preserve">Thucydides, </w:t>
      </w:r>
      <w:r w:rsidRPr="00084F5E">
        <w:rPr>
          <w:rFonts w:cstheme="minorHAnsi"/>
          <w:i/>
          <w:sz w:val="24"/>
          <w:szCs w:val="24"/>
        </w:rPr>
        <w:t>History of the Peloponnesian War.</w:t>
      </w:r>
      <w:r w:rsidRPr="00084F5E">
        <w:rPr>
          <w:rFonts w:cstheme="minorHAnsi"/>
          <w:sz w:val="24"/>
          <w:szCs w:val="24"/>
        </w:rPr>
        <w:t xml:space="preserve"> B. Jowett (</w:t>
      </w:r>
      <w:proofErr w:type="gramStart"/>
      <w:r w:rsidRPr="00084F5E">
        <w:rPr>
          <w:rFonts w:cstheme="minorHAnsi"/>
          <w:sz w:val="24"/>
          <w:szCs w:val="24"/>
        </w:rPr>
        <w:t>trans</w:t>
      </w:r>
      <w:proofErr w:type="gramEnd"/>
      <w:r w:rsidRPr="00084F5E">
        <w:rPr>
          <w:rFonts w:cstheme="minorHAnsi"/>
          <w:sz w:val="24"/>
          <w:szCs w:val="24"/>
        </w:rPr>
        <w:t>.). 1881. Oxford: Clarendon Press.</w:t>
      </w:r>
    </w:p>
    <w:p w:rsidR="004F455E" w:rsidRPr="00084F5E" w:rsidRDefault="004F455E" w:rsidP="00084F5E">
      <w:pPr>
        <w:rPr>
          <w:b/>
          <w:sz w:val="24"/>
          <w:szCs w:val="24"/>
        </w:rPr>
      </w:pPr>
    </w:p>
    <w:p w:rsidR="00084F5E" w:rsidRDefault="00084F5E" w:rsidP="00084F5E">
      <w:pPr>
        <w:rPr>
          <w:b/>
          <w:sz w:val="24"/>
          <w:szCs w:val="24"/>
        </w:rPr>
      </w:pPr>
      <w:r>
        <w:rPr>
          <w:b/>
          <w:sz w:val="24"/>
          <w:szCs w:val="24"/>
        </w:rPr>
        <w:t>Modern Scholarship:</w:t>
      </w:r>
    </w:p>
    <w:p w:rsidR="00EE2EEA" w:rsidRDefault="004F455E" w:rsidP="004F455E">
      <w:pPr>
        <w:rPr>
          <w:sz w:val="24"/>
        </w:rPr>
      </w:pPr>
      <w:r w:rsidRPr="004F455E">
        <w:rPr>
          <w:sz w:val="24"/>
        </w:rPr>
        <w:t xml:space="preserve">Adams, W.L. 1986. ‘Macedonian Kingship and the Right of Petition’, </w:t>
      </w:r>
      <w:r w:rsidRPr="004F455E">
        <w:rPr>
          <w:i/>
          <w:sz w:val="24"/>
        </w:rPr>
        <w:t xml:space="preserve">AM </w:t>
      </w:r>
      <w:r w:rsidRPr="004F455E">
        <w:rPr>
          <w:sz w:val="24"/>
        </w:rPr>
        <w:t>4, 43-52.</w:t>
      </w:r>
    </w:p>
    <w:p w:rsidR="004F455E" w:rsidRDefault="004F455E" w:rsidP="004F455E">
      <w:pPr>
        <w:rPr>
          <w:sz w:val="24"/>
        </w:rPr>
      </w:pPr>
      <w:r>
        <w:rPr>
          <w:sz w:val="24"/>
        </w:rPr>
        <w:t xml:space="preserve">Anson, M. 2009. ‘Philip II, </w:t>
      </w:r>
      <w:proofErr w:type="spellStart"/>
      <w:r>
        <w:rPr>
          <w:sz w:val="24"/>
        </w:rPr>
        <w:t>Amyntas</w:t>
      </w:r>
      <w:proofErr w:type="spellEnd"/>
      <w:r>
        <w:rPr>
          <w:sz w:val="24"/>
        </w:rPr>
        <w:t xml:space="preserve"> </w:t>
      </w:r>
      <w:proofErr w:type="spellStart"/>
      <w:r>
        <w:rPr>
          <w:sz w:val="24"/>
        </w:rPr>
        <w:t>Perdicca</w:t>
      </w:r>
      <w:proofErr w:type="spellEnd"/>
      <w:r>
        <w:rPr>
          <w:sz w:val="24"/>
        </w:rPr>
        <w:t xml:space="preserve">, and Macedonian Royal Succession’. </w:t>
      </w:r>
      <w:proofErr w:type="spellStart"/>
      <w:r>
        <w:rPr>
          <w:i/>
          <w:sz w:val="24"/>
        </w:rPr>
        <w:t>Historia</w:t>
      </w:r>
      <w:proofErr w:type="spellEnd"/>
      <w:r>
        <w:rPr>
          <w:i/>
          <w:sz w:val="24"/>
        </w:rPr>
        <w:t xml:space="preserve"> </w:t>
      </w:r>
      <w:r>
        <w:rPr>
          <w:sz w:val="24"/>
        </w:rPr>
        <w:t>58, 276-86.</w:t>
      </w:r>
    </w:p>
    <w:p w:rsidR="004F455E" w:rsidRDefault="004F455E" w:rsidP="004F455E">
      <w:pPr>
        <w:rPr>
          <w:sz w:val="24"/>
        </w:rPr>
      </w:pPr>
      <w:r>
        <w:rPr>
          <w:sz w:val="24"/>
        </w:rPr>
        <w:t xml:space="preserve">Baynham, E. 1998. </w:t>
      </w:r>
      <w:r>
        <w:rPr>
          <w:i/>
          <w:sz w:val="24"/>
        </w:rPr>
        <w:t xml:space="preserve">Alexander the Great: The Unique History of Quintus Curtius, </w:t>
      </w:r>
      <w:r>
        <w:rPr>
          <w:sz w:val="24"/>
        </w:rPr>
        <w:t>Ann Arbor.</w:t>
      </w:r>
    </w:p>
    <w:p w:rsidR="004F455E" w:rsidRDefault="004F455E" w:rsidP="004F455E">
      <w:pPr>
        <w:rPr>
          <w:sz w:val="24"/>
        </w:rPr>
      </w:pPr>
      <w:proofErr w:type="spellStart"/>
      <w:r>
        <w:rPr>
          <w:sz w:val="24"/>
        </w:rPr>
        <w:t>Borza</w:t>
      </w:r>
      <w:proofErr w:type="spellEnd"/>
      <w:r>
        <w:rPr>
          <w:sz w:val="24"/>
        </w:rPr>
        <w:t xml:space="preserve">, E. N. 1992. </w:t>
      </w:r>
      <w:r>
        <w:rPr>
          <w:i/>
          <w:sz w:val="24"/>
        </w:rPr>
        <w:t>In the Shadow of Olympus: The Emergence of Macedon.</w:t>
      </w:r>
      <w:r>
        <w:rPr>
          <w:sz w:val="24"/>
        </w:rPr>
        <w:t xml:space="preserve"> Princeton.  </w:t>
      </w:r>
    </w:p>
    <w:p w:rsidR="004F455E" w:rsidRDefault="004F455E" w:rsidP="004F455E">
      <w:pPr>
        <w:rPr>
          <w:sz w:val="24"/>
        </w:rPr>
      </w:pPr>
      <w:proofErr w:type="spellStart"/>
      <w:r>
        <w:rPr>
          <w:sz w:val="24"/>
        </w:rPr>
        <w:t>Borza</w:t>
      </w:r>
      <w:proofErr w:type="spellEnd"/>
      <w:r>
        <w:rPr>
          <w:sz w:val="24"/>
        </w:rPr>
        <w:t xml:space="preserve">, E. N. 1999. </w:t>
      </w:r>
      <w:r>
        <w:rPr>
          <w:i/>
          <w:sz w:val="24"/>
        </w:rPr>
        <w:t xml:space="preserve">Before Alexander: Constructing Early Macedonia. </w:t>
      </w:r>
      <w:r>
        <w:rPr>
          <w:sz w:val="24"/>
        </w:rPr>
        <w:t>CA: Publications of the Association of Ancient Historians 6.</w:t>
      </w:r>
    </w:p>
    <w:p w:rsidR="00423EA4" w:rsidRPr="00423EA4" w:rsidRDefault="00423EA4" w:rsidP="004F455E">
      <w:pPr>
        <w:rPr>
          <w:sz w:val="24"/>
        </w:rPr>
      </w:pPr>
      <w:r>
        <w:rPr>
          <w:sz w:val="24"/>
        </w:rPr>
        <w:t xml:space="preserve">Bosworth, A. B. 1995. </w:t>
      </w:r>
      <w:r>
        <w:rPr>
          <w:i/>
          <w:sz w:val="24"/>
        </w:rPr>
        <w:t xml:space="preserve">Commentary on </w:t>
      </w:r>
      <w:proofErr w:type="spellStart"/>
      <w:r>
        <w:rPr>
          <w:i/>
          <w:sz w:val="24"/>
        </w:rPr>
        <w:t>Arrian’s</w:t>
      </w:r>
      <w:proofErr w:type="spellEnd"/>
      <w:r>
        <w:rPr>
          <w:i/>
          <w:sz w:val="24"/>
        </w:rPr>
        <w:t xml:space="preserve"> History of Alexander. </w:t>
      </w:r>
      <w:r>
        <w:rPr>
          <w:sz w:val="24"/>
        </w:rPr>
        <w:t>Vol ii. Oxford.</w:t>
      </w:r>
    </w:p>
    <w:p w:rsidR="004F455E" w:rsidRDefault="004F455E" w:rsidP="004F455E">
      <w:pPr>
        <w:rPr>
          <w:sz w:val="24"/>
        </w:rPr>
      </w:pPr>
      <w:r>
        <w:rPr>
          <w:sz w:val="24"/>
        </w:rPr>
        <w:t xml:space="preserve">Burton, J. 1998. ‘Women’s Commensality in the Ancient Greek World’, </w:t>
      </w:r>
      <w:r>
        <w:rPr>
          <w:i/>
          <w:sz w:val="24"/>
        </w:rPr>
        <w:t xml:space="preserve">G&amp;R </w:t>
      </w:r>
      <w:r>
        <w:rPr>
          <w:sz w:val="24"/>
        </w:rPr>
        <w:t>14, 143-65.</w:t>
      </w:r>
    </w:p>
    <w:p w:rsidR="003844BC" w:rsidRPr="00423EA4" w:rsidRDefault="003844BC" w:rsidP="004F455E">
      <w:pPr>
        <w:rPr>
          <w:sz w:val="24"/>
        </w:rPr>
      </w:pPr>
      <w:r>
        <w:rPr>
          <w:sz w:val="24"/>
        </w:rPr>
        <w:t>Carney, E. 2015.</w:t>
      </w:r>
      <w:r w:rsidR="00423EA4" w:rsidRPr="00423EA4">
        <w:rPr>
          <w:i/>
          <w:sz w:val="24"/>
          <w:szCs w:val="24"/>
        </w:rPr>
        <w:t xml:space="preserve"> </w:t>
      </w:r>
      <w:r w:rsidR="00423EA4" w:rsidRPr="00423EA4">
        <w:rPr>
          <w:i/>
          <w:sz w:val="24"/>
          <w:szCs w:val="24"/>
        </w:rPr>
        <w:t>King and Court in Ancient Macedonia; Rivalry, Treason and Conspiracy</w:t>
      </w:r>
      <w:r w:rsidR="00423EA4">
        <w:rPr>
          <w:i/>
          <w:sz w:val="24"/>
          <w:szCs w:val="24"/>
        </w:rPr>
        <w:t>.</w:t>
      </w:r>
      <w:r w:rsidR="00423EA4">
        <w:rPr>
          <w:sz w:val="24"/>
          <w:szCs w:val="24"/>
        </w:rPr>
        <w:t xml:space="preserve"> Swansea: The Classical Press of Wales.</w:t>
      </w:r>
      <w:bookmarkStart w:id="0" w:name="_GoBack"/>
      <w:bookmarkEnd w:id="0"/>
    </w:p>
    <w:p w:rsidR="004F455E" w:rsidRDefault="00215BE1" w:rsidP="004F455E">
      <w:pPr>
        <w:rPr>
          <w:sz w:val="24"/>
        </w:rPr>
      </w:pPr>
      <w:r>
        <w:rPr>
          <w:sz w:val="24"/>
        </w:rPr>
        <w:t xml:space="preserve">Cohen, A. 2010. </w:t>
      </w:r>
      <w:r>
        <w:rPr>
          <w:i/>
          <w:sz w:val="24"/>
        </w:rPr>
        <w:t xml:space="preserve">Art in the Era of Alexander the Great: Paradigms of Manhood and their Cultural Traditions. </w:t>
      </w:r>
      <w:r>
        <w:rPr>
          <w:sz w:val="24"/>
        </w:rPr>
        <w:t xml:space="preserve">Cambridge: Cambridge University Press. </w:t>
      </w:r>
    </w:p>
    <w:p w:rsidR="00215BE1" w:rsidRDefault="00215BE1" w:rsidP="004F455E">
      <w:pPr>
        <w:rPr>
          <w:sz w:val="24"/>
        </w:rPr>
      </w:pPr>
      <w:r>
        <w:rPr>
          <w:sz w:val="24"/>
        </w:rPr>
        <w:lastRenderedPageBreak/>
        <w:t xml:space="preserve">Coppola, A. 2010. ‘Alexander’s Court’ </w:t>
      </w:r>
      <w:r>
        <w:rPr>
          <w:i/>
          <w:sz w:val="24"/>
        </w:rPr>
        <w:t xml:space="preserve">Der </w:t>
      </w:r>
      <w:proofErr w:type="spellStart"/>
      <w:r>
        <w:rPr>
          <w:i/>
          <w:sz w:val="24"/>
        </w:rPr>
        <w:t>Ach</w:t>
      </w:r>
      <w:r>
        <w:rPr>
          <w:rFonts w:cstheme="minorHAnsi"/>
          <w:i/>
          <w:sz w:val="24"/>
        </w:rPr>
        <w:t>ӓ</w:t>
      </w:r>
      <w:r>
        <w:rPr>
          <w:i/>
          <w:sz w:val="24"/>
        </w:rPr>
        <w:t>menidemhof</w:t>
      </w:r>
      <w:proofErr w:type="spellEnd"/>
      <w:r>
        <w:rPr>
          <w:i/>
          <w:sz w:val="24"/>
        </w:rPr>
        <w:t xml:space="preserve">: the </w:t>
      </w:r>
      <w:proofErr w:type="spellStart"/>
      <w:r>
        <w:rPr>
          <w:i/>
          <w:sz w:val="24"/>
        </w:rPr>
        <w:t>Archaemenid</w:t>
      </w:r>
      <w:proofErr w:type="spellEnd"/>
      <w:r>
        <w:rPr>
          <w:i/>
          <w:sz w:val="24"/>
        </w:rPr>
        <w:t xml:space="preserve"> Court.</w:t>
      </w:r>
      <w:r>
        <w:rPr>
          <w:sz w:val="24"/>
        </w:rPr>
        <w:t xml:space="preserve"> Wiesbaden, 139-48.</w:t>
      </w:r>
    </w:p>
    <w:p w:rsidR="00215BE1" w:rsidRDefault="00215BE1" w:rsidP="004F455E">
      <w:pPr>
        <w:rPr>
          <w:sz w:val="24"/>
        </w:rPr>
      </w:pPr>
      <w:r>
        <w:rPr>
          <w:sz w:val="24"/>
        </w:rPr>
        <w:t>Erickson, K. 2013. ‘</w:t>
      </w:r>
      <w:proofErr w:type="spellStart"/>
      <w:r>
        <w:rPr>
          <w:sz w:val="24"/>
        </w:rPr>
        <w:t>Seleucus</w:t>
      </w:r>
      <w:proofErr w:type="spellEnd"/>
      <w:r>
        <w:rPr>
          <w:sz w:val="24"/>
        </w:rPr>
        <w:t xml:space="preserve"> I, Zeus and Alexander’,</w:t>
      </w:r>
      <w:r>
        <w:rPr>
          <w:i/>
          <w:sz w:val="24"/>
        </w:rPr>
        <w:t xml:space="preserve"> </w:t>
      </w:r>
      <w:proofErr w:type="gramStart"/>
      <w:r>
        <w:rPr>
          <w:i/>
          <w:sz w:val="24"/>
        </w:rPr>
        <w:t>Every</w:t>
      </w:r>
      <w:proofErr w:type="gramEnd"/>
      <w:r w:rsidR="003844BC">
        <w:rPr>
          <w:i/>
          <w:sz w:val="24"/>
        </w:rPr>
        <w:t xml:space="preserve"> inch a King.</w:t>
      </w:r>
      <w:r w:rsidR="003844BC">
        <w:rPr>
          <w:sz w:val="24"/>
        </w:rPr>
        <w:t xml:space="preserve"> 109-127. Leiden: Brill.</w:t>
      </w:r>
    </w:p>
    <w:p w:rsidR="003844BC" w:rsidRPr="003844BC" w:rsidRDefault="003844BC" w:rsidP="004F455E">
      <w:pPr>
        <w:rPr>
          <w:sz w:val="24"/>
        </w:rPr>
      </w:pPr>
      <w:r>
        <w:rPr>
          <w:sz w:val="24"/>
        </w:rPr>
        <w:t xml:space="preserve">Faklaris, P. B. 1994. ‘Aegae: Determining the Site of the First Capital of the Macedonians’ </w:t>
      </w:r>
      <w:r>
        <w:rPr>
          <w:i/>
          <w:sz w:val="24"/>
        </w:rPr>
        <w:t>AJA</w:t>
      </w:r>
      <w:r>
        <w:rPr>
          <w:sz w:val="24"/>
        </w:rPr>
        <w:t xml:space="preserve"> 98, 609-16.</w:t>
      </w:r>
    </w:p>
    <w:p w:rsidR="00215BE1" w:rsidRDefault="003844BC" w:rsidP="004F455E">
      <w:pPr>
        <w:rPr>
          <w:sz w:val="24"/>
        </w:rPr>
      </w:pPr>
      <w:r>
        <w:rPr>
          <w:sz w:val="24"/>
        </w:rPr>
        <w:t xml:space="preserve">Garlan, Y. 1975. </w:t>
      </w:r>
      <w:r>
        <w:rPr>
          <w:i/>
          <w:sz w:val="24"/>
        </w:rPr>
        <w:t>War in the Ancient World: A Social History.</w:t>
      </w:r>
      <w:r>
        <w:rPr>
          <w:sz w:val="24"/>
        </w:rPr>
        <w:t xml:space="preserve"> London. </w:t>
      </w:r>
    </w:p>
    <w:p w:rsidR="003844BC" w:rsidRDefault="003844BC" w:rsidP="004F455E">
      <w:pPr>
        <w:rPr>
          <w:sz w:val="24"/>
        </w:rPr>
      </w:pPr>
      <w:r>
        <w:rPr>
          <w:sz w:val="24"/>
        </w:rPr>
        <w:t xml:space="preserve">Hammond, </w:t>
      </w:r>
      <w:r>
        <w:rPr>
          <w:sz w:val="24"/>
        </w:rPr>
        <w:t xml:space="preserve">N. G. L. 1990. ‘Royal Pages, Personal Pages and Boys Trained in the Macedonian Manner </w:t>
      </w:r>
      <w:proofErr w:type="gramStart"/>
      <w:r>
        <w:rPr>
          <w:sz w:val="24"/>
        </w:rPr>
        <w:t>During</w:t>
      </w:r>
      <w:proofErr w:type="gramEnd"/>
      <w:r>
        <w:rPr>
          <w:sz w:val="24"/>
        </w:rPr>
        <w:t xml:space="preserve"> the Period of the </w:t>
      </w:r>
      <w:proofErr w:type="spellStart"/>
      <w:r>
        <w:rPr>
          <w:sz w:val="24"/>
        </w:rPr>
        <w:t>Temenid</w:t>
      </w:r>
      <w:proofErr w:type="spellEnd"/>
      <w:r>
        <w:rPr>
          <w:sz w:val="24"/>
        </w:rPr>
        <w:t xml:space="preserve"> Monarchy’ </w:t>
      </w:r>
      <w:proofErr w:type="spellStart"/>
      <w:r>
        <w:rPr>
          <w:i/>
          <w:sz w:val="24"/>
        </w:rPr>
        <w:t>Historia</w:t>
      </w:r>
      <w:proofErr w:type="spellEnd"/>
      <w:r>
        <w:rPr>
          <w:sz w:val="24"/>
        </w:rPr>
        <w:t xml:space="preserve"> 39. 261-90.</w:t>
      </w:r>
    </w:p>
    <w:p w:rsidR="003844BC" w:rsidRPr="003844BC" w:rsidRDefault="003844BC" w:rsidP="004F455E">
      <w:pPr>
        <w:rPr>
          <w:sz w:val="24"/>
        </w:rPr>
      </w:pPr>
      <w:r>
        <w:rPr>
          <w:sz w:val="24"/>
        </w:rPr>
        <w:t xml:space="preserve">Heckel, W. 1992. </w:t>
      </w:r>
      <w:r>
        <w:rPr>
          <w:i/>
          <w:sz w:val="24"/>
        </w:rPr>
        <w:t>The Marshals of Alexander’s Empire.</w:t>
      </w:r>
      <w:r>
        <w:rPr>
          <w:sz w:val="24"/>
        </w:rPr>
        <w:t xml:space="preserve"> New York.</w:t>
      </w:r>
    </w:p>
    <w:p w:rsidR="003844BC" w:rsidRDefault="003844BC" w:rsidP="004F455E">
      <w:pPr>
        <w:rPr>
          <w:sz w:val="24"/>
        </w:rPr>
      </w:pPr>
      <w:r>
        <w:rPr>
          <w:sz w:val="24"/>
        </w:rPr>
        <w:t xml:space="preserve">Heckel, W. 2006. </w:t>
      </w:r>
      <w:r>
        <w:rPr>
          <w:i/>
          <w:sz w:val="24"/>
        </w:rPr>
        <w:t xml:space="preserve">Who’s who in the Age of Alexander the Great: Prosopography of Alexander’s Empire. </w:t>
      </w:r>
      <w:r>
        <w:rPr>
          <w:sz w:val="24"/>
        </w:rPr>
        <w:t>Malden, MA.</w:t>
      </w:r>
    </w:p>
    <w:p w:rsidR="00A57B34" w:rsidRDefault="00A57B34" w:rsidP="004F455E">
      <w:pPr>
        <w:rPr>
          <w:sz w:val="24"/>
        </w:rPr>
      </w:pPr>
      <w:r>
        <w:rPr>
          <w:sz w:val="24"/>
        </w:rPr>
        <w:t xml:space="preserve">King, C. 2010. ‘Macedonian Kingship and Other Political Institutions’ </w:t>
      </w:r>
      <w:proofErr w:type="spellStart"/>
      <w:r>
        <w:rPr>
          <w:i/>
          <w:sz w:val="24"/>
        </w:rPr>
        <w:t>Roisman</w:t>
      </w:r>
      <w:proofErr w:type="spellEnd"/>
      <w:r>
        <w:rPr>
          <w:i/>
          <w:sz w:val="24"/>
        </w:rPr>
        <w:t xml:space="preserve"> and </w:t>
      </w:r>
      <w:proofErr w:type="spellStart"/>
      <w:r>
        <w:rPr>
          <w:i/>
          <w:sz w:val="24"/>
        </w:rPr>
        <w:t>Kingsly</w:t>
      </w:r>
      <w:proofErr w:type="spellEnd"/>
      <w:r>
        <w:rPr>
          <w:i/>
          <w:sz w:val="24"/>
        </w:rPr>
        <w:t>,</w:t>
      </w:r>
      <w:r>
        <w:rPr>
          <w:sz w:val="24"/>
        </w:rPr>
        <w:t xml:space="preserve"> B.M.</w:t>
      </w:r>
    </w:p>
    <w:p w:rsidR="00A57B34" w:rsidRPr="00A57B34" w:rsidRDefault="00A57B34" w:rsidP="004F455E">
      <w:pPr>
        <w:rPr>
          <w:sz w:val="24"/>
        </w:rPr>
      </w:pPr>
      <w:r>
        <w:rPr>
          <w:sz w:val="24"/>
        </w:rPr>
        <w:t xml:space="preserve">Kottaridi, A. 2004. ‘The Lady of </w:t>
      </w:r>
      <w:proofErr w:type="spellStart"/>
      <w:r>
        <w:rPr>
          <w:sz w:val="24"/>
        </w:rPr>
        <w:t>Aegai</w:t>
      </w:r>
      <w:proofErr w:type="spellEnd"/>
      <w:r>
        <w:rPr>
          <w:sz w:val="24"/>
        </w:rPr>
        <w:t xml:space="preserve">’ </w:t>
      </w:r>
      <w:proofErr w:type="spellStart"/>
      <w:r>
        <w:rPr>
          <w:i/>
          <w:sz w:val="24"/>
        </w:rPr>
        <w:t>Pandermalis</w:t>
      </w:r>
      <w:proofErr w:type="spellEnd"/>
      <w:r>
        <w:rPr>
          <w:sz w:val="24"/>
        </w:rPr>
        <w:t>, 139-48.</w:t>
      </w:r>
    </w:p>
    <w:p w:rsidR="00A57B34" w:rsidRDefault="00A57B34" w:rsidP="004F455E">
      <w:pPr>
        <w:rPr>
          <w:sz w:val="24"/>
        </w:rPr>
      </w:pPr>
      <w:r>
        <w:rPr>
          <w:sz w:val="24"/>
        </w:rPr>
        <w:t xml:space="preserve">Kottaridi, A. 2011. </w:t>
      </w:r>
      <w:r>
        <w:rPr>
          <w:i/>
          <w:sz w:val="24"/>
        </w:rPr>
        <w:t xml:space="preserve">Heracles to Alexander: Treasures from the Royal Capital of Macedon, </w:t>
      </w:r>
      <w:proofErr w:type="gramStart"/>
      <w:r>
        <w:rPr>
          <w:i/>
          <w:sz w:val="24"/>
        </w:rPr>
        <w:t>A</w:t>
      </w:r>
      <w:proofErr w:type="gramEnd"/>
      <w:r>
        <w:rPr>
          <w:i/>
          <w:sz w:val="24"/>
        </w:rPr>
        <w:t xml:space="preserve"> Hellenic Kingdom in the Age of Democracy. </w:t>
      </w:r>
      <w:r>
        <w:rPr>
          <w:sz w:val="24"/>
        </w:rPr>
        <w:t>Oxford.</w:t>
      </w:r>
    </w:p>
    <w:p w:rsidR="00A57B34" w:rsidRPr="00A57B34" w:rsidRDefault="00A57B34" w:rsidP="004F455E">
      <w:pPr>
        <w:rPr>
          <w:sz w:val="24"/>
        </w:rPr>
      </w:pPr>
      <w:r>
        <w:rPr>
          <w:sz w:val="24"/>
        </w:rPr>
        <w:t xml:space="preserve">Lane Fox, R. 1973. </w:t>
      </w:r>
      <w:r>
        <w:rPr>
          <w:i/>
          <w:sz w:val="24"/>
        </w:rPr>
        <w:t>Alexander the Great.</w:t>
      </w:r>
      <w:r>
        <w:rPr>
          <w:sz w:val="24"/>
        </w:rPr>
        <w:t xml:space="preserve"> London.</w:t>
      </w:r>
    </w:p>
    <w:p w:rsidR="00A57B34" w:rsidRPr="00A57B34" w:rsidRDefault="00A57B34" w:rsidP="004F455E">
      <w:pPr>
        <w:rPr>
          <w:sz w:val="24"/>
        </w:rPr>
      </w:pPr>
      <w:r>
        <w:rPr>
          <w:sz w:val="24"/>
        </w:rPr>
        <w:t xml:space="preserve">Lane Fox, R. 2011. </w:t>
      </w:r>
      <w:r>
        <w:rPr>
          <w:i/>
          <w:sz w:val="24"/>
        </w:rPr>
        <w:t>Brill’s Companion to Ancient Macedon: Studies in the Archaeology and History of Macedon, 650 BC – 300 AD</w:t>
      </w:r>
      <w:r>
        <w:rPr>
          <w:sz w:val="24"/>
        </w:rPr>
        <w:t>, Leiden.</w:t>
      </w:r>
    </w:p>
    <w:p w:rsidR="00215BE1" w:rsidRPr="00654019" w:rsidRDefault="00654019" w:rsidP="004F455E">
      <w:pPr>
        <w:rPr>
          <w:sz w:val="24"/>
        </w:rPr>
      </w:pPr>
      <w:proofErr w:type="spellStart"/>
      <w:r>
        <w:rPr>
          <w:sz w:val="24"/>
        </w:rPr>
        <w:t>McNiell</w:t>
      </w:r>
      <w:proofErr w:type="spellEnd"/>
      <w:r>
        <w:rPr>
          <w:sz w:val="24"/>
        </w:rPr>
        <w:t xml:space="preserve">, W. H. 1982. </w:t>
      </w:r>
      <w:r>
        <w:rPr>
          <w:i/>
          <w:sz w:val="24"/>
        </w:rPr>
        <w:t xml:space="preserve">The Pursuit of Power: Technology, Armed Force and Society since 1000. </w:t>
      </w:r>
      <w:r>
        <w:rPr>
          <w:sz w:val="24"/>
        </w:rPr>
        <w:t>Chicago: McQueen.</w:t>
      </w:r>
    </w:p>
    <w:p w:rsidR="00215BE1" w:rsidRDefault="00654019" w:rsidP="00215BE1">
      <w:pPr>
        <w:rPr>
          <w:sz w:val="24"/>
          <w:szCs w:val="24"/>
        </w:rPr>
      </w:pPr>
      <w:r w:rsidRPr="00654019">
        <w:rPr>
          <w:sz w:val="24"/>
          <w:szCs w:val="24"/>
        </w:rPr>
        <w:t>Müller</w:t>
      </w:r>
      <w:r>
        <w:rPr>
          <w:sz w:val="24"/>
          <w:szCs w:val="24"/>
        </w:rPr>
        <w:t xml:space="preserve">, S. 2010. ‘In the Shadow of His </w:t>
      </w:r>
      <w:proofErr w:type="spellStart"/>
      <w:r>
        <w:rPr>
          <w:sz w:val="24"/>
          <w:szCs w:val="24"/>
        </w:rPr>
        <w:t>FatherL</w:t>
      </w:r>
      <w:proofErr w:type="spellEnd"/>
      <w:r>
        <w:rPr>
          <w:sz w:val="24"/>
          <w:szCs w:val="24"/>
        </w:rPr>
        <w:t xml:space="preserve"> Alexander, Hermolaus, and the Legend of Philip’ </w:t>
      </w:r>
      <w:r>
        <w:rPr>
          <w:i/>
          <w:sz w:val="24"/>
          <w:szCs w:val="24"/>
        </w:rPr>
        <w:t>Carney and Ogden,</w:t>
      </w:r>
      <w:r>
        <w:rPr>
          <w:sz w:val="24"/>
          <w:szCs w:val="24"/>
        </w:rPr>
        <w:t xml:space="preserve"> 25-32.</w:t>
      </w:r>
    </w:p>
    <w:p w:rsidR="00654019" w:rsidRPr="00654019" w:rsidRDefault="00654019" w:rsidP="00215BE1">
      <w:pPr>
        <w:rPr>
          <w:sz w:val="24"/>
          <w:szCs w:val="24"/>
        </w:rPr>
      </w:pPr>
      <w:r>
        <w:rPr>
          <w:sz w:val="24"/>
          <w:szCs w:val="24"/>
        </w:rPr>
        <w:t xml:space="preserve">Odgen, D. 1999. </w:t>
      </w:r>
      <w:r>
        <w:rPr>
          <w:i/>
          <w:sz w:val="24"/>
          <w:szCs w:val="24"/>
        </w:rPr>
        <w:t>Polygamy, Prostitutes and Death: The Hellenistic Dynasties.</w:t>
      </w:r>
      <w:r>
        <w:rPr>
          <w:sz w:val="24"/>
          <w:szCs w:val="24"/>
        </w:rPr>
        <w:t xml:space="preserve"> London.</w:t>
      </w:r>
    </w:p>
    <w:p w:rsidR="00654019" w:rsidRDefault="00654019" w:rsidP="00215BE1">
      <w:pPr>
        <w:rPr>
          <w:sz w:val="24"/>
          <w:szCs w:val="24"/>
        </w:rPr>
      </w:pPr>
      <w:r>
        <w:rPr>
          <w:sz w:val="24"/>
          <w:szCs w:val="24"/>
        </w:rPr>
        <w:t xml:space="preserve">Odgen, D. 2011. </w:t>
      </w:r>
      <w:r>
        <w:rPr>
          <w:i/>
          <w:sz w:val="24"/>
          <w:szCs w:val="24"/>
        </w:rPr>
        <w:t>Alexander the Great: Myth, Genesis and Sexuality.</w:t>
      </w:r>
      <w:r>
        <w:rPr>
          <w:sz w:val="24"/>
          <w:szCs w:val="24"/>
        </w:rPr>
        <w:t xml:space="preserve"> Exeter. </w:t>
      </w:r>
    </w:p>
    <w:p w:rsidR="00654019" w:rsidRDefault="00654019" w:rsidP="00215BE1">
      <w:pPr>
        <w:rPr>
          <w:sz w:val="24"/>
          <w:szCs w:val="24"/>
        </w:rPr>
      </w:pPr>
      <w:r>
        <w:rPr>
          <w:sz w:val="24"/>
          <w:szCs w:val="24"/>
        </w:rPr>
        <w:t xml:space="preserve">Palagia, O. 2010. ‘Philip’s Eurydice in the Philippeum at Olympia’ </w:t>
      </w:r>
      <w:r>
        <w:rPr>
          <w:i/>
          <w:sz w:val="24"/>
          <w:szCs w:val="24"/>
        </w:rPr>
        <w:t>Carney and Ogden</w:t>
      </w:r>
      <w:r>
        <w:rPr>
          <w:sz w:val="24"/>
          <w:szCs w:val="24"/>
        </w:rPr>
        <w:t>, 33-42.</w:t>
      </w:r>
    </w:p>
    <w:p w:rsidR="00654019" w:rsidRPr="00654019" w:rsidRDefault="00654019" w:rsidP="00215BE1">
      <w:pPr>
        <w:rPr>
          <w:sz w:val="24"/>
          <w:szCs w:val="24"/>
        </w:rPr>
      </w:pPr>
      <w:r>
        <w:rPr>
          <w:sz w:val="24"/>
          <w:szCs w:val="24"/>
        </w:rPr>
        <w:t xml:space="preserve">Price, M.J. 1974. </w:t>
      </w:r>
      <w:r>
        <w:rPr>
          <w:i/>
          <w:sz w:val="24"/>
          <w:szCs w:val="24"/>
        </w:rPr>
        <w:t>The Coins of the Macedonians.</w:t>
      </w:r>
      <w:r>
        <w:rPr>
          <w:sz w:val="24"/>
          <w:szCs w:val="24"/>
        </w:rPr>
        <w:t xml:space="preserve"> London.</w:t>
      </w:r>
    </w:p>
    <w:p w:rsidR="00654019" w:rsidRPr="00654019" w:rsidRDefault="00654019" w:rsidP="00215BE1">
      <w:pPr>
        <w:rPr>
          <w:sz w:val="24"/>
          <w:szCs w:val="24"/>
        </w:rPr>
      </w:pPr>
      <w:r>
        <w:rPr>
          <w:sz w:val="24"/>
          <w:szCs w:val="24"/>
        </w:rPr>
        <w:t xml:space="preserve">Pritchett, W.K. 1974. </w:t>
      </w:r>
      <w:r>
        <w:rPr>
          <w:i/>
          <w:sz w:val="24"/>
          <w:szCs w:val="24"/>
        </w:rPr>
        <w:t xml:space="preserve">The Greek State at War, </w:t>
      </w:r>
      <w:r>
        <w:rPr>
          <w:sz w:val="24"/>
          <w:szCs w:val="24"/>
        </w:rPr>
        <w:t xml:space="preserve">Part II. Berkeley. </w:t>
      </w:r>
    </w:p>
    <w:p w:rsidR="00654019" w:rsidRDefault="00654019" w:rsidP="00215BE1">
      <w:pPr>
        <w:rPr>
          <w:sz w:val="24"/>
          <w:szCs w:val="24"/>
        </w:rPr>
      </w:pPr>
      <w:r>
        <w:rPr>
          <w:sz w:val="24"/>
          <w:szCs w:val="24"/>
        </w:rPr>
        <w:t xml:space="preserve">Psoma, S. 2006. ‘Entre </w:t>
      </w:r>
      <w:proofErr w:type="spellStart"/>
      <w:r>
        <w:rPr>
          <w:sz w:val="24"/>
          <w:szCs w:val="24"/>
        </w:rPr>
        <w:t>l’arm</w:t>
      </w:r>
      <w:r>
        <w:rPr>
          <w:rFonts w:cstheme="minorHAnsi"/>
          <w:sz w:val="24"/>
          <w:szCs w:val="24"/>
        </w:rPr>
        <w:t>é</w:t>
      </w:r>
      <w:r>
        <w:rPr>
          <w:sz w:val="24"/>
          <w:szCs w:val="24"/>
        </w:rPr>
        <w:t>e</w:t>
      </w:r>
      <w:proofErr w:type="spellEnd"/>
      <w:r>
        <w:rPr>
          <w:sz w:val="24"/>
          <w:szCs w:val="24"/>
        </w:rPr>
        <w:t xml:space="preserve"> </w:t>
      </w:r>
      <w:proofErr w:type="gramStart"/>
      <w:r>
        <w:rPr>
          <w:sz w:val="24"/>
          <w:szCs w:val="24"/>
        </w:rPr>
        <w:t>et</w:t>
      </w:r>
      <w:proofErr w:type="gramEnd"/>
      <w:r>
        <w:rPr>
          <w:sz w:val="24"/>
          <w:szCs w:val="24"/>
        </w:rPr>
        <w:t xml:space="preserve"> </w:t>
      </w:r>
      <w:proofErr w:type="spellStart"/>
      <w:r>
        <w:rPr>
          <w:sz w:val="24"/>
          <w:szCs w:val="24"/>
        </w:rPr>
        <w:t>l’</w:t>
      </w:r>
      <w:r>
        <w:rPr>
          <w:i/>
          <w:sz w:val="24"/>
          <w:szCs w:val="24"/>
        </w:rPr>
        <w:t>oikos</w:t>
      </w:r>
      <w:proofErr w:type="spellEnd"/>
      <w:r>
        <w:rPr>
          <w:i/>
          <w:sz w:val="24"/>
          <w:szCs w:val="24"/>
        </w:rPr>
        <w:t>:</w:t>
      </w:r>
      <w:r>
        <w:rPr>
          <w:sz w:val="24"/>
          <w:szCs w:val="24"/>
        </w:rPr>
        <w:t xml:space="preserve"> </w:t>
      </w:r>
      <w:proofErr w:type="spellStart"/>
      <w:r>
        <w:rPr>
          <w:sz w:val="24"/>
          <w:szCs w:val="24"/>
        </w:rPr>
        <w:t>l’education</w:t>
      </w:r>
      <w:proofErr w:type="spellEnd"/>
      <w:r>
        <w:rPr>
          <w:sz w:val="24"/>
          <w:szCs w:val="24"/>
        </w:rPr>
        <w:t xml:space="preserve"> </w:t>
      </w:r>
      <w:proofErr w:type="spellStart"/>
      <w:r>
        <w:rPr>
          <w:sz w:val="24"/>
          <w:szCs w:val="24"/>
        </w:rPr>
        <w:t>dans</w:t>
      </w:r>
      <w:proofErr w:type="spellEnd"/>
      <w:r>
        <w:rPr>
          <w:sz w:val="24"/>
          <w:szCs w:val="24"/>
        </w:rPr>
        <w:t xml:space="preserve"> le </w:t>
      </w:r>
      <w:proofErr w:type="spellStart"/>
      <w:r>
        <w:rPr>
          <w:sz w:val="24"/>
          <w:szCs w:val="24"/>
        </w:rPr>
        <w:t>royaume</w:t>
      </w:r>
      <w:proofErr w:type="spellEnd"/>
      <w:r>
        <w:rPr>
          <w:sz w:val="24"/>
          <w:szCs w:val="24"/>
        </w:rPr>
        <w:t xml:space="preserve"> de </w:t>
      </w:r>
      <w:proofErr w:type="spellStart"/>
      <w:r>
        <w:rPr>
          <w:sz w:val="24"/>
          <w:szCs w:val="24"/>
        </w:rPr>
        <w:t>Mac</w:t>
      </w:r>
      <w:r>
        <w:rPr>
          <w:rFonts w:cstheme="minorHAnsi"/>
          <w:sz w:val="24"/>
          <w:szCs w:val="24"/>
        </w:rPr>
        <w:t>é</w:t>
      </w:r>
      <w:r w:rsidR="00BA53A3">
        <w:rPr>
          <w:sz w:val="24"/>
          <w:szCs w:val="24"/>
        </w:rPr>
        <w:t>doine</w:t>
      </w:r>
      <w:proofErr w:type="spellEnd"/>
      <w:r w:rsidR="00BA53A3">
        <w:rPr>
          <w:sz w:val="24"/>
          <w:szCs w:val="24"/>
        </w:rPr>
        <w:t xml:space="preserve">’ </w:t>
      </w:r>
      <w:proofErr w:type="spellStart"/>
      <w:r w:rsidR="00BA53A3">
        <w:rPr>
          <w:i/>
          <w:sz w:val="24"/>
          <w:szCs w:val="24"/>
        </w:rPr>
        <w:t>Guimier</w:t>
      </w:r>
      <w:proofErr w:type="spellEnd"/>
      <w:r w:rsidR="00BA53A3">
        <w:rPr>
          <w:i/>
          <w:sz w:val="24"/>
          <w:szCs w:val="24"/>
        </w:rPr>
        <w:t xml:space="preserve">-Sorbets </w:t>
      </w:r>
      <w:proofErr w:type="spellStart"/>
      <w:r w:rsidR="00BA53A3">
        <w:rPr>
          <w:i/>
          <w:sz w:val="24"/>
          <w:szCs w:val="24"/>
        </w:rPr>
        <w:t>Hatzopoulos</w:t>
      </w:r>
      <w:proofErr w:type="spellEnd"/>
      <w:r w:rsidR="00BA53A3">
        <w:rPr>
          <w:i/>
          <w:sz w:val="24"/>
          <w:szCs w:val="24"/>
        </w:rPr>
        <w:t xml:space="preserve"> and </w:t>
      </w:r>
      <w:proofErr w:type="spellStart"/>
      <w:r w:rsidR="00BA53A3">
        <w:rPr>
          <w:i/>
          <w:sz w:val="24"/>
          <w:szCs w:val="24"/>
        </w:rPr>
        <w:t>Morizot</w:t>
      </w:r>
      <w:proofErr w:type="spellEnd"/>
      <w:r w:rsidR="00BA53A3">
        <w:rPr>
          <w:i/>
          <w:sz w:val="24"/>
          <w:szCs w:val="24"/>
        </w:rPr>
        <w:t>.</w:t>
      </w:r>
      <w:r w:rsidR="00BA53A3">
        <w:rPr>
          <w:sz w:val="24"/>
          <w:szCs w:val="24"/>
        </w:rPr>
        <w:t xml:space="preserve"> 285-99.</w:t>
      </w:r>
    </w:p>
    <w:p w:rsidR="00423EA4" w:rsidRPr="00423EA4" w:rsidRDefault="00423EA4" w:rsidP="00215BE1">
      <w:pPr>
        <w:rPr>
          <w:sz w:val="24"/>
          <w:szCs w:val="24"/>
        </w:rPr>
      </w:pPr>
      <w:r>
        <w:rPr>
          <w:sz w:val="24"/>
          <w:szCs w:val="24"/>
        </w:rPr>
        <w:t>Schultz, P. 2007. ‘‘</w:t>
      </w:r>
      <w:proofErr w:type="spellStart"/>
      <w:r>
        <w:rPr>
          <w:sz w:val="24"/>
          <w:szCs w:val="24"/>
        </w:rPr>
        <w:t>Leochares</w:t>
      </w:r>
      <w:proofErr w:type="spellEnd"/>
      <w:r>
        <w:rPr>
          <w:sz w:val="24"/>
          <w:szCs w:val="24"/>
        </w:rPr>
        <w:t xml:space="preserve">’ Argead Portraits in the </w:t>
      </w:r>
      <w:proofErr w:type="spellStart"/>
      <w:r>
        <w:rPr>
          <w:sz w:val="24"/>
          <w:szCs w:val="24"/>
        </w:rPr>
        <w:t>Philippeion</w:t>
      </w:r>
      <w:proofErr w:type="spellEnd"/>
      <w:r>
        <w:rPr>
          <w:sz w:val="24"/>
          <w:szCs w:val="24"/>
        </w:rPr>
        <w:t xml:space="preserve">’ </w:t>
      </w:r>
      <w:r>
        <w:rPr>
          <w:i/>
          <w:sz w:val="24"/>
          <w:szCs w:val="24"/>
        </w:rPr>
        <w:t xml:space="preserve">Early Hellenistic Portraiture: Image, Style, </w:t>
      </w:r>
      <w:proofErr w:type="gramStart"/>
      <w:r>
        <w:rPr>
          <w:i/>
          <w:sz w:val="24"/>
          <w:szCs w:val="24"/>
        </w:rPr>
        <w:t>Context</w:t>
      </w:r>
      <w:proofErr w:type="gramEnd"/>
      <w:r>
        <w:rPr>
          <w:i/>
          <w:sz w:val="24"/>
          <w:szCs w:val="24"/>
        </w:rPr>
        <w:t xml:space="preserve">. </w:t>
      </w:r>
      <w:r>
        <w:rPr>
          <w:sz w:val="24"/>
          <w:szCs w:val="24"/>
        </w:rPr>
        <w:t>Cambridge. 205-33.</w:t>
      </w:r>
    </w:p>
    <w:p w:rsidR="00423EA4" w:rsidRPr="00423EA4" w:rsidRDefault="00423EA4" w:rsidP="00215BE1">
      <w:pPr>
        <w:rPr>
          <w:sz w:val="24"/>
          <w:szCs w:val="24"/>
        </w:rPr>
      </w:pPr>
      <w:r>
        <w:rPr>
          <w:sz w:val="24"/>
          <w:szCs w:val="24"/>
        </w:rPr>
        <w:lastRenderedPageBreak/>
        <w:t xml:space="preserve">Schultz, P.2009. ‘Divine Images and Royal Ideology in the </w:t>
      </w:r>
      <w:proofErr w:type="spellStart"/>
      <w:r>
        <w:rPr>
          <w:sz w:val="24"/>
          <w:szCs w:val="24"/>
        </w:rPr>
        <w:t>Philippeion</w:t>
      </w:r>
      <w:proofErr w:type="spellEnd"/>
      <w:r>
        <w:rPr>
          <w:sz w:val="24"/>
          <w:szCs w:val="24"/>
        </w:rPr>
        <w:t xml:space="preserve"> at Olympia’ </w:t>
      </w:r>
      <w:r>
        <w:rPr>
          <w:i/>
          <w:sz w:val="24"/>
          <w:szCs w:val="24"/>
        </w:rPr>
        <w:t xml:space="preserve">Greek Cult: Ritual, Context, </w:t>
      </w:r>
      <w:proofErr w:type="gramStart"/>
      <w:r>
        <w:rPr>
          <w:i/>
          <w:sz w:val="24"/>
          <w:szCs w:val="24"/>
        </w:rPr>
        <w:t>Iconography</w:t>
      </w:r>
      <w:proofErr w:type="gramEnd"/>
      <w:r>
        <w:rPr>
          <w:i/>
          <w:sz w:val="24"/>
          <w:szCs w:val="24"/>
        </w:rPr>
        <w:t xml:space="preserve">. Mediterranean Antiquity. </w:t>
      </w:r>
      <w:r>
        <w:rPr>
          <w:sz w:val="24"/>
          <w:szCs w:val="24"/>
        </w:rPr>
        <w:t>123-192.</w:t>
      </w:r>
    </w:p>
    <w:p w:rsidR="00423EA4" w:rsidRPr="00423EA4" w:rsidRDefault="00423EA4" w:rsidP="00215BE1">
      <w:pPr>
        <w:rPr>
          <w:sz w:val="24"/>
          <w:szCs w:val="24"/>
        </w:rPr>
      </w:pPr>
      <w:r>
        <w:rPr>
          <w:sz w:val="24"/>
          <w:szCs w:val="24"/>
        </w:rPr>
        <w:t xml:space="preserve">Skinner, M. 2005. </w:t>
      </w:r>
      <w:r>
        <w:rPr>
          <w:i/>
          <w:sz w:val="24"/>
          <w:szCs w:val="24"/>
        </w:rPr>
        <w:t>Sexuality in Greek and Roman Culture.</w:t>
      </w:r>
      <w:r>
        <w:rPr>
          <w:sz w:val="24"/>
          <w:szCs w:val="24"/>
        </w:rPr>
        <w:t xml:space="preserve"> Malden, MA. Oxford.</w:t>
      </w:r>
    </w:p>
    <w:p w:rsidR="00423EA4" w:rsidRPr="00423EA4" w:rsidRDefault="00423EA4" w:rsidP="00215BE1">
      <w:pPr>
        <w:rPr>
          <w:i/>
          <w:sz w:val="24"/>
          <w:szCs w:val="24"/>
        </w:rPr>
      </w:pPr>
      <w:r>
        <w:rPr>
          <w:sz w:val="24"/>
          <w:szCs w:val="24"/>
        </w:rPr>
        <w:t>Storr, W. 2011. ‘The Rape of Men’</w:t>
      </w:r>
      <w:r>
        <w:rPr>
          <w:i/>
          <w:sz w:val="24"/>
          <w:szCs w:val="24"/>
        </w:rPr>
        <w:t xml:space="preserve"> </w:t>
      </w:r>
      <w:proofErr w:type="gramStart"/>
      <w:r>
        <w:rPr>
          <w:i/>
          <w:sz w:val="24"/>
          <w:szCs w:val="24"/>
        </w:rPr>
        <w:t>The</w:t>
      </w:r>
      <w:proofErr w:type="gramEnd"/>
      <w:r>
        <w:rPr>
          <w:i/>
          <w:sz w:val="24"/>
          <w:szCs w:val="24"/>
        </w:rPr>
        <w:t xml:space="preserve"> Observer. </w:t>
      </w:r>
    </w:p>
    <w:p w:rsidR="00215BE1" w:rsidRPr="00215BE1" w:rsidRDefault="00215BE1" w:rsidP="004F455E">
      <w:pPr>
        <w:rPr>
          <w:sz w:val="24"/>
        </w:rPr>
      </w:pPr>
    </w:p>
    <w:sectPr w:rsidR="00215BE1" w:rsidRPr="00215BE1" w:rsidSect="00084F5E">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25E" w:rsidRDefault="0004225E" w:rsidP="00D967E6">
      <w:pPr>
        <w:spacing w:after="0" w:line="240" w:lineRule="auto"/>
      </w:pPr>
      <w:r>
        <w:separator/>
      </w:r>
    </w:p>
  </w:endnote>
  <w:endnote w:type="continuationSeparator" w:id="0">
    <w:p w:rsidR="0004225E" w:rsidRDefault="0004225E" w:rsidP="00D96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1765115"/>
      <w:docPartObj>
        <w:docPartGallery w:val="Page Numbers (Bottom of Page)"/>
        <w:docPartUnique/>
      </w:docPartObj>
    </w:sdtPr>
    <w:sdtEndPr>
      <w:rPr>
        <w:noProof/>
      </w:rPr>
    </w:sdtEndPr>
    <w:sdtContent>
      <w:p w:rsidR="00084F5E" w:rsidRDefault="00084F5E">
        <w:pPr>
          <w:pStyle w:val="Footer"/>
          <w:jc w:val="center"/>
        </w:pPr>
        <w:r>
          <w:fldChar w:fldCharType="begin"/>
        </w:r>
        <w:r>
          <w:instrText xml:space="preserve"> PAGE   \* MERGEFORMAT </w:instrText>
        </w:r>
        <w:r>
          <w:fldChar w:fldCharType="separate"/>
        </w:r>
        <w:r w:rsidR="00423EA4">
          <w:rPr>
            <w:noProof/>
          </w:rPr>
          <w:t>10</w:t>
        </w:r>
        <w:r>
          <w:rPr>
            <w:noProof/>
          </w:rPr>
          <w:fldChar w:fldCharType="end"/>
        </w:r>
      </w:p>
    </w:sdtContent>
  </w:sdt>
  <w:p w:rsidR="00084F5E" w:rsidRPr="00084F5E" w:rsidRDefault="00084F5E">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25E" w:rsidRDefault="0004225E" w:rsidP="00D967E6">
      <w:pPr>
        <w:spacing w:after="0" w:line="240" w:lineRule="auto"/>
      </w:pPr>
      <w:r>
        <w:separator/>
      </w:r>
    </w:p>
  </w:footnote>
  <w:footnote w:type="continuationSeparator" w:id="0">
    <w:p w:rsidR="0004225E" w:rsidRDefault="0004225E" w:rsidP="00D967E6">
      <w:pPr>
        <w:spacing w:after="0" w:line="240" w:lineRule="auto"/>
      </w:pPr>
      <w:r>
        <w:continuationSeparator/>
      </w:r>
    </w:p>
  </w:footnote>
  <w:footnote w:id="1">
    <w:p w:rsidR="00D93684" w:rsidRPr="00765701" w:rsidRDefault="00D93684" w:rsidP="00D93684">
      <w:pPr>
        <w:pStyle w:val="FootnoteText"/>
        <w:rPr>
          <w:lang w:val="en-GB"/>
        </w:rPr>
      </w:pPr>
      <w:r>
        <w:rPr>
          <w:rStyle w:val="FootnoteReference"/>
        </w:rPr>
        <w:footnoteRef/>
      </w:r>
      <w:r>
        <w:t xml:space="preserve"> </w:t>
      </w:r>
      <w:r>
        <w:rPr>
          <w:lang w:val="en-GB"/>
        </w:rPr>
        <w:t>Carney, 2015.</w:t>
      </w:r>
    </w:p>
  </w:footnote>
  <w:footnote w:id="2">
    <w:p w:rsidR="00D93684" w:rsidRDefault="00D93684" w:rsidP="00D93684">
      <w:pPr>
        <w:pStyle w:val="FootnoteText"/>
      </w:pPr>
      <w:r>
        <w:rPr>
          <w:rStyle w:val="FootnoteReference"/>
        </w:rPr>
        <w:footnoteRef/>
      </w:r>
      <w:r>
        <w:t xml:space="preserve"> Carney, 2015. xi</w:t>
      </w:r>
    </w:p>
  </w:footnote>
  <w:footnote w:id="3">
    <w:p w:rsidR="00D93684" w:rsidRDefault="00D93684" w:rsidP="00D93684">
      <w:pPr>
        <w:pStyle w:val="FootnoteText"/>
      </w:pPr>
      <w:r>
        <w:rPr>
          <w:rStyle w:val="FootnoteReference"/>
        </w:rPr>
        <w:footnoteRef/>
      </w:r>
      <w:r>
        <w:t xml:space="preserve"> Carney, 2015. xi</w:t>
      </w:r>
    </w:p>
  </w:footnote>
  <w:footnote w:id="4">
    <w:p w:rsidR="00D967E6" w:rsidRPr="00CE37F5" w:rsidRDefault="00D967E6" w:rsidP="00D967E6">
      <w:pPr>
        <w:pStyle w:val="FootnoteText"/>
        <w:rPr>
          <w:lang w:val="en-GB"/>
        </w:rPr>
      </w:pPr>
      <w:r>
        <w:rPr>
          <w:rStyle w:val="FootnoteReference"/>
        </w:rPr>
        <w:footnoteRef/>
      </w:r>
      <w:r>
        <w:t xml:space="preserve"> Carney, 2015. 7.</w:t>
      </w:r>
    </w:p>
  </w:footnote>
  <w:footnote w:id="5">
    <w:p w:rsidR="00D967E6" w:rsidRPr="00D967E6" w:rsidRDefault="00D967E6">
      <w:pPr>
        <w:pStyle w:val="FootnoteText"/>
        <w:rPr>
          <w:lang w:val="en-GB"/>
        </w:rPr>
      </w:pPr>
      <w:r>
        <w:rPr>
          <w:rStyle w:val="FootnoteReference"/>
        </w:rPr>
        <w:footnoteRef/>
      </w:r>
      <w:r>
        <w:t xml:space="preserve"> Carney, 2015. ; Diod.19.59.4-6 </w:t>
      </w:r>
      <w:r w:rsidR="005D5E01">
        <w:t>and</w:t>
      </w:r>
      <w:r>
        <w:t xml:space="preserve"> 19.59.5 specifically, Antipater goes to Phila for advice on affairs of state. </w:t>
      </w:r>
    </w:p>
  </w:footnote>
  <w:footnote w:id="6">
    <w:p w:rsidR="00D967E6" w:rsidRPr="006C04BA" w:rsidRDefault="00D967E6" w:rsidP="00D967E6">
      <w:pPr>
        <w:pStyle w:val="FootnoteText"/>
        <w:rPr>
          <w:lang w:val="en-GB"/>
        </w:rPr>
      </w:pPr>
      <w:r>
        <w:rPr>
          <w:rStyle w:val="FootnoteReference"/>
        </w:rPr>
        <w:footnoteRef/>
      </w:r>
      <w:r>
        <w:t xml:space="preserve"> </w:t>
      </w:r>
      <w:r>
        <w:rPr>
          <w:lang w:val="en-GB"/>
        </w:rPr>
        <w:t xml:space="preserve">Arr. </w:t>
      </w:r>
      <w:r>
        <w:rPr>
          <w:i/>
          <w:lang w:val="en-GB"/>
        </w:rPr>
        <w:t>FGrH</w:t>
      </w:r>
      <w:r>
        <w:rPr>
          <w:lang w:val="en-GB"/>
        </w:rPr>
        <w:t xml:space="preserve"> 156 F 9.23, 31-33; Diod.19.11.2-3.</w:t>
      </w:r>
    </w:p>
  </w:footnote>
  <w:footnote w:id="7">
    <w:p w:rsidR="00D967E6" w:rsidRPr="00D967E6" w:rsidRDefault="00D967E6">
      <w:pPr>
        <w:pStyle w:val="FootnoteText"/>
        <w:rPr>
          <w:lang w:val="en-GB"/>
        </w:rPr>
      </w:pPr>
      <w:r>
        <w:rPr>
          <w:rStyle w:val="FootnoteReference"/>
        </w:rPr>
        <w:footnoteRef/>
      </w:r>
      <w:r>
        <w:t xml:space="preserve"> Carney, 2015. 17.</w:t>
      </w:r>
    </w:p>
  </w:footnote>
  <w:footnote w:id="8">
    <w:p w:rsidR="00AA5F15" w:rsidRPr="00AA5F15" w:rsidRDefault="00AA5F15">
      <w:pPr>
        <w:pStyle w:val="FootnoteText"/>
        <w:rPr>
          <w:lang w:val="en-GB"/>
        </w:rPr>
      </w:pPr>
      <w:r>
        <w:rPr>
          <w:rStyle w:val="FootnoteReference"/>
        </w:rPr>
        <w:footnoteRef/>
      </w:r>
      <w:r>
        <w:t xml:space="preserve"> Anson, 2009. The original source cited has since been revisited by the author. </w:t>
      </w:r>
    </w:p>
  </w:footnote>
  <w:footnote w:id="9">
    <w:p w:rsidR="00AA5F15" w:rsidRPr="00AA5F15" w:rsidRDefault="00AA5F15">
      <w:pPr>
        <w:pStyle w:val="FootnoteText"/>
        <w:rPr>
          <w:lang w:val="en-GB"/>
        </w:rPr>
      </w:pPr>
      <w:r>
        <w:rPr>
          <w:rStyle w:val="FootnoteReference"/>
        </w:rPr>
        <w:footnoteRef/>
      </w:r>
      <w:r>
        <w:t xml:space="preserve"> Kottandi, 2004; King, 2010; Anson, 2009.</w:t>
      </w:r>
    </w:p>
  </w:footnote>
  <w:footnote w:id="10">
    <w:p w:rsidR="00AA5F15" w:rsidRPr="00AA5F15" w:rsidRDefault="00AA5F15">
      <w:pPr>
        <w:pStyle w:val="FootnoteText"/>
        <w:rPr>
          <w:lang w:val="en-GB"/>
        </w:rPr>
      </w:pPr>
      <w:r>
        <w:rPr>
          <w:rStyle w:val="FootnoteReference"/>
        </w:rPr>
        <w:footnoteRef/>
      </w:r>
      <w:r>
        <w:t xml:space="preserve"> </w:t>
      </w:r>
      <w:r>
        <w:rPr>
          <w:lang w:val="en-GB"/>
        </w:rPr>
        <w:t>Carney, 2015. 12.</w:t>
      </w:r>
    </w:p>
  </w:footnote>
  <w:footnote w:id="11">
    <w:p w:rsidR="00D967E6" w:rsidRPr="00D967E6" w:rsidRDefault="00D967E6">
      <w:pPr>
        <w:pStyle w:val="FootnoteText"/>
        <w:rPr>
          <w:lang w:val="en-GB"/>
        </w:rPr>
      </w:pPr>
      <w:r>
        <w:rPr>
          <w:rStyle w:val="FootnoteReference"/>
        </w:rPr>
        <w:footnoteRef/>
      </w:r>
      <w:r>
        <w:t xml:space="preserve"> Garlan, 1975, 178. Compares the relationship to the Spartan Kings</w:t>
      </w:r>
      <w:r w:rsidR="00C5398F">
        <w:t>; Thuc.5.9.9.</w:t>
      </w:r>
    </w:p>
  </w:footnote>
  <w:footnote w:id="12">
    <w:p w:rsidR="00D967E6" w:rsidRPr="00D967E6" w:rsidRDefault="00D967E6">
      <w:pPr>
        <w:pStyle w:val="FootnoteText"/>
        <w:rPr>
          <w:lang w:val="en-GB"/>
        </w:rPr>
      </w:pPr>
      <w:r>
        <w:rPr>
          <w:rStyle w:val="FootnoteReference"/>
        </w:rPr>
        <w:footnoteRef/>
      </w:r>
      <w:r>
        <w:t xml:space="preserve"> </w:t>
      </w:r>
      <w:r w:rsidR="00EE2EEA">
        <w:rPr>
          <w:lang w:val="en-GB"/>
        </w:rPr>
        <w:t xml:space="preserve">Carney, 2015. </w:t>
      </w:r>
    </w:p>
  </w:footnote>
  <w:footnote w:id="13">
    <w:p w:rsidR="00D967E6" w:rsidRPr="00D967E6" w:rsidRDefault="00D967E6">
      <w:pPr>
        <w:pStyle w:val="FootnoteText"/>
        <w:rPr>
          <w:lang w:val="en-GB"/>
        </w:rPr>
      </w:pPr>
      <w:r>
        <w:rPr>
          <w:rStyle w:val="FootnoteReference"/>
        </w:rPr>
        <w:footnoteRef/>
      </w:r>
      <w:r>
        <w:t xml:space="preserve"> </w:t>
      </w:r>
      <w:r>
        <w:rPr>
          <w:lang w:val="en-GB"/>
        </w:rPr>
        <w:t>Adams, 1986. 43-52.</w:t>
      </w:r>
    </w:p>
  </w:footnote>
  <w:footnote w:id="14">
    <w:p w:rsidR="00D967E6" w:rsidRPr="00D967E6" w:rsidRDefault="00D967E6">
      <w:pPr>
        <w:pStyle w:val="FootnoteText"/>
        <w:rPr>
          <w:lang w:val="en-GB"/>
        </w:rPr>
      </w:pPr>
      <w:r>
        <w:rPr>
          <w:rStyle w:val="FootnoteReference"/>
        </w:rPr>
        <w:footnoteRef/>
      </w:r>
      <w:r>
        <w:t xml:space="preserve"> Carney, 2015. 31; Plut.</w:t>
      </w:r>
      <w:r>
        <w:rPr>
          <w:i/>
        </w:rPr>
        <w:t>Alex.</w:t>
      </w:r>
      <w:r>
        <w:t>34.1, 39.1-6.</w:t>
      </w:r>
    </w:p>
  </w:footnote>
  <w:footnote w:id="15">
    <w:p w:rsidR="00D967E6" w:rsidRPr="00D967E6" w:rsidRDefault="00D967E6">
      <w:pPr>
        <w:pStyle w:val="FootnoteText"/>
        <w:rPr>
          <w:lang w:val="en-GB"/>
        </w:rPr>
      </w:pPr>
      <w:r>
        <w:rPr>
          <w:rStyle w:val="FootnoteReference"/>
        </w:rPr>
        <w:footnoteRef/>
      </w:r>
      <w:r>
        <w:t xml:space="preserve"> </w:t>
      </w:r>
      <w:r>
        <w:rPr>
          <w:lang w:val="en-GB"/>
        </w:rPr>
        <w:t>Thuc.5.72.1</w:t>
      </w:r>
      <w:r w:rsidR="00C5398F">
        <w:rPr>
          <w:lang w:val="en-GB"/>
        </w:rPr>
        <w:t>; Pritchett, 1974. 234.</w:t>
      </w:r>
    </w:p>
  </w:footnote>
  <w:footnote w:id="16">
    <w:p w:rsidR="00D967E6" w:rsidRPr="00D967E6" w:rsidRDefault="00D967E6">
      <w:pPr>
        <w:pStyle w:val="FootnoteText"/>
        <w:rPr>
          <w:lang w:val="en-GB"/>
        </w:rPr>
      </w:pPr>
      <w:r>
        <w:rPr>
          <w:rStyle w:val="FootnoteReference"/>
        </w:rPr>
        <w:footnoteRef/>
      </w:r>
      <w:r>
        <w:t xml:space="preserve"> Car</w:t>
      </w:r>
      <w:r w:rsidR="00C5398F">
        <w:t>n</w:t>
      </w:r>
      <w:r>
        <w:t xml:space="preserve">ey, 2015. 29; </w:t>
      </w:r>
      <w:r w:rsidR="00C5398F">
        <w:t>Garlan, 1975.</w:t>
      </w:r>
    </w:p>
  </w:footnote>
  <w:footnote w:id="17">
    <w:p w:rsidR="00D967E6" w:rsidRPr="00D967E6" w:rsidRDefault="00D967E6">
      <w:pPr>
        <w:pStyle w:val="FootnoteText"/>
        <w:rPr>
          <w:lang w:val="en-GB"/>
        </w:rPr>
      </w:pPr>
      <w:r>
        <w:rPr>
          <w:rStyle w:val="FootnoteReference"/>
        </w:rPr>
        <w:footnoteRef/>
      </w:r>
      <w:r>
        <w:t xml:space="preserve"> </w:t>
      </w:r>
      <w:r>
        <w:rPr>
          <w:lang w:val="en-GB"/>
        </w:rPr>
        <w:t>Carney, 2015. 31; McNeill, 1982. 130-133.</w:t>
      </w:r>
    </w:p>
  </w:footnote>
  <w:footnote w:id="18">
    <w:p w:rsidR="00D967E6" w:rsidRPr="00D967E6" w:rsidRDefault="00D967E6">
      <w:pPr>
        <w:pStyle w:val="FootnoteText"/>
        <w:rPr>
          <w:lang w:val="en-GB"/>
        </w:rPr>
      </w:pPr>
      <w:r>
        <w:rPr>
          <w:rStyle w:val="FootnoteReference"/>
        </w:rPr>
        <w:footnoteRef/>
      </w:r>
      <w:r>
        <w:t xml:space="preserve"> </w:t>
      </w:r>
      <w:proofErr w:type="spellStart"/>
      <w:r>
        <w:rPr>
          <w:lang w:val="en-GB"/>
        </w:rPr>
        <w:t>Diod</w:t>
      </w:r>
      <w:proofErr w:type="spellEnd"/>
      <w:r>
        <w:rPr>
          <w:lang w:val="en-GB"/>
        </w:rPr>
        <w:t>.</w:t>
      </w:r>
      <w:r w:rsidR="00CD6CE9">
        <w:rPr>
          <w:lang w:val="en-GB"/>
        </w:rPr>
        <w:t xml:space="preserve"> </w:t>
      </w:r>
      <w:r>
        <w:rPr>
          <w:lang w:val="en-GB"/>
        </w:rPr>
        <w:t>16.3.1-3; Diod.17.2.3.</w:t>
      </w:r>
    </w:p>
  </w:footnote>
  <w:footnote w:id="19">
    <w:p w:rsidR="00CD6CE9" w:rsidRPr="00CD6CE9" w:rsidRDefault="00CD6CE9">
      <w:pPr>
        <w:pStyle w:val="FootnoteText"/>
        <w:rPr>
          <w:lang w:val="en-GB"/>
        </w:rPr>
      </w:pPr>
      <w:r>
        <w:rPr>
          <w:rStyle w:val="FootnoteReference"/>
        </w:rPr>
        <w:footnoteRef/>
      </w:r>
      <w:r>
        <w:t xml:space="preserve"> </w:t>
      </w:r>
      <w:proofErr w:type="spellStart"/>
      <w:r>
        <w:rPr>
          <w:lang w:val="en-GB"/>
        </w:rPr>
        <w:t>Diod</w:t>
      </w:r>
      <w:proofErr w:type="spellEnd"/>
      <w:r>
        <w:rPr>
          <w:lang w:val="en-GB"/>
        </w:rPr>
        <w:t>. 17.109</w:t>
      </w:r>
    </w:p>
  </w:footnote>
  <w:footnote w:id="20">
    <w:p w:rsidR="00695F97" w:rsidRPr="00695F97" w:rsidRDefault="00695F97">
      <w:pPr>
        <w:pStyle w:val="FootnoteText"/>
        <w:rPr>
          <w:lang w:val="en-GB"/>
        </w:rPr>
      </w:pPr>
      <w:r>
        <w:rPr>
          <w:rStyle w:val="FootnoteReference"/>
        </w:rPr>
        <w:footnoteRef/>
      </w:r>
      <w:r>
        <w:t xml:space="preserve"> </w:t>
      </w:r>
      <w:r>
        <w:rPr>
          <w:lang w:val="en-GB"/>
        </w:rPr>
        <w:t>Carney, 2015. 63</w:t>
      </w:r>
      <w:r w:rsidR="00084F5E">
        <w:rPr>
          <w:lang w:val="en-GB"/>
        </w:rPr>
        <w:t>.</w:t>
      </w:r>
    </w:p>
  </w:footnote>
  <w:footnote w:id="21">
    <w:p w:rsidR="00695F97" w:rsidRPr="00695F97" w:rsidRDefault="00695F97">
      <w:pPr>
        <w:pStyle w:val="FootnoteText"/>
        <w:rPr>
          <w:lang w:val="en-GB"/>
        </w:rPr>
      </w:pPr>
      <w:r>
        <w:rPr>
          <w:rStyle w:val="FootnoteReference"/>
        </w:rPr>
        <w:footnoteRef/>
      </w:r>
      <w:r>
        <w:t xml:space="preserve"> </w:t>
      </w:r>
      <w:r>
        <w:rPr>
          <w:lang w:val="en-GB"/>
        </w:rPr>
        <w:t>Hdt.5.17-21.</w:t>
      </w:r>
    </w:p>
  </w:footnote>
  <w:footnote w:id="22">
    <w:p w:rsidR="00695F97" w:rsidRPr="00695F97" w:rsidRDefault="00695F97">
      <w:pPr>
        <w:pStyle w:val="FootnoteText"/>
        <w:rPr>
          <w:lang w:val="en-GB"/>
        </w:rPr>
      </w:pPr>
      <w:r>
        <w:rPr>
          <w:rStyle w:val="FootnoteReference"/>
        </w:rPr>
        <w:footnoteRef/>
      </w:r>
      <w:r>
        <w:t xml:space="preserve"> Carney, 2015.</w:t>
      </w:r>
    </w:p>
  </w:footnote>
  <w:footnote w:id="23">
    <w:p w:rsidR="00695F97" w:rsidRPr="00695F97" w:rsidRDefault="00695F97">
      <w:pPr>
        <w:pStyle w:val="FootnoteText"/>
        <w:rPr>
          <w:lang w:val="en-GB"/>
        </w:rPr>
      </w:pPr>
      <w:r>
        <w:rPr>
          <w:rStyle w:val="FootnoteReference"/>
        </w:rPr>
        <w:footnoteRef/>
      </w:r>
      <w:r>
        <w:t xml:space="preserve"> Schultz, 2007. 221. and 2009.</w:t>
      </w:r>
    </w:p>
  </w:footnote>
  <w:footnote w:id="24">
    <w:p w:rsidR="00695F97" w:rsidRPr="00695F97" w:rsidRDefault="00695F97">
      <w:pPr>
        <w:pStyle w:val="FootnoteText"/>
        <w:rPr>
          <w:lang w:val="en-GB"/>
        </w:rPr>
      </w:pPr>
      <w:r>
        <w:rPr>
          <w:rStyle w:val="FootnoteReference"/>
        </w:rPr>
        <w:footnoteRef/>
      </w:r>
      <w:r>
        <w:t xml:space="preserve"> Palagia, 2010.</w:t>
      </w:r>
    </w:p>
  </w:footnote>
  <w:footnote w:id="25">
    <w:p w:rsidR="00695F97" w:rsidRPr="00695F97" w:rsidRDefault="00695F97">
      <w:pPr>
        <w:pStyle w:val="FootnoteText"/>
        <w:rPr>
          <w:lang w:val="en-GB"/>
        </w:rPr>
      </w:pPr>
      <w:r>
        <w:rPr>
          <w:rStyle w:val="FootnoteReference"/>
        </w:rPr>
        <w:footnoteRef/>
      </w:r>
      <w:r>
        <w:t xml:space="preserve"> Arr.</w:t>
      </w:r>
      <w:r w:rsidR="00375C05">
        <w:rPr>
          <w:i/>
        </w:rPr>
        <w:t>Anab</w:t>
      </w:r>
      <w:r>
        <w:rPr>
          <w:i/>
        </w:rPr>
        <w:t>.</w:t>
      </w:r>
      <w:r>
        <w:t>3.6.5</w:t>
      </w:r>
      <w:r w:rsidR="00375C05">
        <w:t xml:space="preserve"> Extract states “Philip took Eurydice to wife” question of translation?</w:t>
      </w:r>
    </w:p>
  </w:footnote>
  <w:footnote w:id="26">
    <w:p w:rsidR="00695F97" w:rsidRPr="00695F97" w:rsidRDefault="00695F97">
      <w:pPr>
        <w:pStyle w:val="FootnoteText"/>
        <w:rPr>
          <w:lang w:val="en-GB"/>
        </w:rPr>
      </w:pPr>
      <w:r>
        <w:rPr>
          <w:rStyle w:val="FootnoteReference"/>
        </w:rPr>
        <w:footnoteRef/>
      </w:r>
      <w:r>
        <w:t xml:space="preserve"> </w:t>
      </w:r>
      <w:r w:rsidR="003844BC">
        <w:t xml:space="preserve">Lane </w:t>
      </w:r>
      <w:r>
        <w:rPr>
          <w:lang w:val="en-GB"/>
        </w:rPr>
        <w:t>Fox, 1973. 504.</w:t>
      </w:r>
    </w:p>
  </w:footnote>
  <w:footnote w:id="27">
    <w:p w:rsidR="00E607C1" w:rsidRPr="00E607C1" w:rsidRDefault="00E607C1">
      <w:pPr>
        <w:pStyle w:val="FootnoteText"/>
        <w:rPr>
          <w:lang w:val="en-GB"/>
        </w:rPr>
      </w:pPr>
      <w:r>
        <w:rPr>
          <w:rStyle w:val="FootnoteReference"/>
        </w:rPr>
        <w:footnoteRef/>
      </w:r>
      <w:r w:rsidR="00EE2EEA">
        <w:t xml:space="preserve"> Kottaridi, 2011</w:t>
      </w:r>
      <w:r>
        <w:t>. 15.</w:t>
      </w:r>
    </w:p>
  </w:footnote>
  <w:footnote w:id="28">
    <w:p w:rsidR="00E607C1" w:rsidRPr="00E607C1" w:rsidRDefault="00E607C1">
      <w:pPr>
        <w:pStyle w:val="FootnoteText"/>
        <w:rPr>
          <w:lang w:val="en-GB"/>
        </w:rPr>
      </w:pPr>
      <w:r>
        <w:rPr>
          <w:rStyle w:val="FootnoteReference"/>
        </w:rPr>
        <w:footnoteRef/>
      </w:r>
      <w:r>
        <w:t xml:space="preserve"> Carney, 2015. 107.</w:t>
      </w:r>
    </w:p>
  </w:footnote>
  <w:footnote w:id="29">
    <w:p w:rsidR="00E607C1" w:rsidRPr="00E607C1" w:rsidRDefault="00E607C1">
      <w:pPr>
        <w:pStyle w:val="FootnoteText"/>
        <w:rPr>
          <w:lang w:val="en-GB"/>
        </w:rPr>
      </w:pPr>
      <w:r>
        <w:rPr>
          <w:rStyle w:val="FootnoteReference"/>
        </w:rPr>
        <w:footnoteRef/>
      </w:r>
      <w:r>
        <w:t xml:space="preserve"> </w:t>
      </w:r>
      <w:r w:rsidR="00214327">
        <w:t xml:space="preserve">Carney, 2015. </w:t>
      </w:r>
    </w:p>
  </w:footnote>
  <w:footnote w:id="30">
    <w:p w:rsidR="00E607C1" w:rsidRPr="00E607C1" w:rsidRDefault="00E607C1">
      <w:pPr>
        <w:pStyle w:val="FootnoteText"/>
        <w:rPr>
          <w:lang w:val="en-GB"/>
        </w:rPr>
      </w:pPr>
      <w:r>
        <w:rPr>
          <w:rStyle w:val="FootnoteReference"/>
        </w:rPr>
        <w:footnoteRef/>
      </w:r>
      <w:r>
        <w:t xml:space="preserve"> </w:t>
      </w:r>
      <w:r w:rsidR="003844BC">
        <w:t xml:space="preserve">Lane </w:t>
      </w:r>
      <w:r w:rsidR="00214327">
        <w:t>Fox, 2011. 7.</w:t>
      </w:r>
    </w:p>
  </w:footnote>
  <w:footnote w:id="31">
    <w:p w:rsidR="00E607C1" w:rsidRPr="00E607C1" w:rsidRDefault="00E607C1">
      <w:pPr>
        <w:pStyle w:val="FootnoteText"/>
        <w:rPr>
          <w:lang w:val="en-GB"/>
        </w:rPr>
      </w:pPr>
      <w:r>
        <w:rPr>
          <w:rStyle w:val="FootnoteReference"/>
        </w:rPr>
        <w:footnoteRef/>
      </w:r>
      <w:r>
        <w:t xml:space="preserve"> </w:t>
      </w:r>
      <w:r w:rsidR="00C93C4E">
        <w:t>Carney, 2015. 125.</w:t>
      </w:r>
    </w:p>
  </w:footnote>
  <w:footnote w:id="32">
    <w:p w:rsidR="00C93C4E" w:rsidRPr="00C93C4E" w:rsidRDefault="00C93C4E">
      <w:pPr>
        <w:pStyle w:val="FootnoteText"/>
        <w:rPr>
          <w:lang w:val="en-GB"/>
        </w:rPr>
      </w:pPr>
      <w:r>
        <w:rPr>
          <w:rStyle w:val="FootnoteReference"/>
        </w:rPr>
        <w:footnoteRef/>
      </w:r>
      <w:r>
        <w:t xml:space="preserve"> </w:t>
      </w:r>
      <w:r>
        <w:rPr>
          <w:lang w:val="en-GB"/>
        </w:rPr>
        <w:t xml:space="preserve">Faklaris, 1994. </w:t>
      </w:r>
      <w:r>
        <w:rPr>
          <w:i/>
          <w:lang w:val="en-GB"/>
        </w:rPr>
        <w:t>AJA.</w:t>
      </w:r>
    </w:p>
  </w:footnote>
  <w:footnote w:id="33">
    <w:p w:rsidR="00C93C4E" w:rsidRPr="00C93C4E" w:rsidRDefault="00C93C4E">
      <w:pPr>
        <w:pStyle w:val="FootnoteText"/>
        <w:rPr>
          <w:lang w:val="en-GB"/>
        </w:rPr>
      </w:pPr>
      <w:r>
        <w:rPr>
          <w:rStyle w:val="FootnoteReference"/>
        </w:rPr>
        <w:footnoteRef/>
      </w:r>
      <w:r>
        <w:t xml:space="preserve"> </w:t>
      </w:r>
      <w:r>
        <w:rPr>
          <w:lang w:val="en-GB"/>
        </w:rPr>
        <w:t>Diod.19.52.5; Plut.</w:t>
      </w:r>
      <w:r>
        <w:rPr>
          <w:i/>
          <w:lang w:val="en-GB"/>
        </w:rPr>
        <w:t>Pyrrh.</w:t>
      </w:r>
      <w:r>
        <w:rPr>
          <w:lang w:val="en-GB"/>
        </w:rPr>
        <w:t>26.6.</w:t>
      </w:r>
    </w:p>
  </w:footnote>
  <w:footnote w:id="34">
    <w:p w:rsidR="00C93C4E" w:rsidRPr="003C0288" w:rsidRDefault="00C93C4E" w:rsidP="00C93C4E">
      <w:pPr>
        <w:pStyle w:val="FootnoteText"/>
        <w:rPr>
          <w:lang w:val="en-GB"/>
        </w:rPr>
      </w:pPr>
      <w:r>
        <w:rPr>
          <w:rStyle w:val="FootnoteReference"/>
        </w:rPr>
        <w:footnoteRef/>
      </w:r>
      <w:r>
        <w:t xml:space="preserve"> </w:t>
      </w:r>
      <w:r>
        <w:rPr>
          <w:lang w:val="en-GB"/>
        </w:rPr>
        <w:t>Hdt.1.145</w:t>
      </w:r>
    </w:p>
  </w:footnote>
  <w:footnote w:id="35">
    <w:p w:rsidR="00C93C4E" w:rsidRPr="003C0288" w:rsidRDefault="00C93C4E" w:rsidP="00C93C4E">
      <w:pPr>
        <w:pStyle w:val="FootnoteText"/>
        <w:rPr>
          <w:lang w:val="en-GB"/>
        </w:rPr>
      </w:pPr>
      <w:r>
        <w:rPr>
          <w:rStyle w:val="FootnoteReference"/>
        </w:rPr>
        <w:footnoteRef/>
      </w:r>
      <w:r>
        <w:t xml:space="preserve"> </w:t>
      </w:r>
      <w:r>
        <w:rPr>
          <w:lang w:val="en-GB"/>
        </w:rPr>
        <w:t>Diod.18.52</w:t>
      </w:r>
    </w:p>
  </w:footnote>
  <w:footnote w:id="36">
    <w:p w:rsidR="009D10AB" w:rsidRPr="009D10AB" w:rsidRDefault="009D10AB">
      <w:pPr>
        <w:pStyle w:val="FootnoteText"/>
        <w:rPr>
          <w:lang w:val="en-GB"/>
        </w:rPr>
      </w:pPr>
      <w:r>
        <w:rPr>
          <w:rStyle w:val="FootnoteReference"/>
        </w:rPr>
        <w:footnoteRef/>
      </w:r>
      <w:r>
        <w:t xml:space="preserve"> Carney, 2015. 138</w:t>
      </w:r>
      <w:r w:rsidR="00E34378">
        <w:t>.</w:t>
      </w:r>
    </w:p>
  </w:footnote>
  <w:footnote w:id="37">
    <w:p w:rsidR="00EB2D1B" w:rsidRPr="00EB2D1B" w:rsidRDefault="00EB2D1B">
      <w:pPr>
        <w:pStyle w:val="FootnoteText"/>
        <w:rPr>
          <w:lang w:val="en-GB"/>
        </w:rPr>
      </w:pPr>
      <w:r>
        <w:rPr>
          <w:rStyle w:val="FootnoteReference"/>
        </w:rPr>
        <w:footnoteRef/>
      </w:r>
      <w:r>
        <w:t xml:space="preserve"> </w:t>
      </w:r>
      <w:r>
        <w:rPr>
          <w:lang w:val="en-GB"/>
        </w:rPr>
        <w:t>Arr.1.25.1-2; Carney, 2015. 129; Curt.7.1.6-7.</w:t>
      </w:r>
    </w:p>
  </w:footnote>
  <w:footnote w:id="38">
    <w:p w:rsidR="00EB2D1B" w:rsidRPr="00EB2D1B" w:rsidRDefault="00EB2D1B">
      <w:pPr>
        <w:pStyle w:val="FootnoteText"/>
        <w:rPr>
          <w:lang w:val="en-GB"/>
        </w:rPr>
      </w:pPr>
      <w:r>
        <w:rPr>
          <w:rStyle w:val="FootnoteReference"/>
        </w:rPr>
        <w:footnoteRef/>
      </w:r>
      <w:r>
        <w:t xml:space="preserve"> </w:t>
      </w:r>
      <w:r>
        <w:rPr>
          <w:lang w:val="en-GB"/>
        </w:rPr>
        <w:t>Carney, 2015. 132.</w:t>
      </w:r>
    </w:p>
  </w:footnote>
  <w:footnote w:id="39">
    <w:p w:rsidR="00E34378" w:rsidRPr="00E34378" w:rsidRDefault="00E34378">
      <w:pPr>
        <w:pStyle w:val="FootnoteText"/>
        <w:rPr>
          <w:lang w:val="en-GB"/>
        </w:rPr>
      </w:pPr>
      <w:r>
        <w:rPr>
          <w:rStyle w:val="FootnoteReference"/>
        </w:rPr>
        <w:footnoteRef/>
      </w:r>
      <w:r>
        <w:t xml:space="preserve"> </w:t>
      </w:r>
      <w:r w:rsidR="00B42950">
        <w:t>Heckel, 1992, 357-8 and 2006, 54-60.</w:t>
      </w:r>
    </w:p>
  </w:footnote>
  <w:footnote w:id="40">
    <w:p w:rsidR="00E34378" w:rsidRPr="00E34378" w:rsidRDefault="00E34378">
      <w:pPr>
        <w:pStyle w:val="FootnoteText"/>
        <w:rPr>
          <w:lang w:val="en-GB"/>
        </w:rPr>
      </w:pPr>
      <w:r>
        <w:rPr>
          <w:rStyle w:val="FootnoteReference"/>
        </w:rPr>
        <w:footnoteRef/>
      </w:r>
      <w:r>
        <w:t xml:space="preserve"> </w:t>
      </w:r>
      <w:r>
        <w:rPr>
          <w:lang w:val="en-GB"/>
        </w:rPr>
        <w:t>Carney, 2015. 138.</w:t>
      </w:r>
    </w:p>
  </w:footnote>
  <w:footnote w:id="41">
    <w:p w:rsidR="00E34378" w:rsidRPr="00E34378" w:rsidRDefault="00E34378">
      <w:pPr>
        <w:pStyle w:val="FootnoteText"/>
        <w:rPr>
          <w:lang w:val="en-GB"/>
        </w:rPr>
      </w:pPr>
      <w:r>
        <w:rPr>
          <w:rStyle w:val="FootnoteReference"/>
        </w:rPr>
        <w:footnoteRef/>
      </w:r>
      <w:r>
        <w:t xml:space="preserve"> </w:t>
      </w:r>
      <w:r w:rsidR="00B42950">
        <w:rPr>
          <w:lang w:val="en-GB"/>
        </w:rPr>
        <w:t>Carney, 2015. 129; King, 2010, 386; Curt.10.7.14.</w:t>
      </w:r>
    </w:p>
  </w:footnote>
  <w:footnote w:id="42">
    <w:p w:rsidR="00E34378" w:rsidRPr="00E34378" w:rsidRDefault="00E34378">
      <w:pPr>
        <w:pStyle w:val="FootnoteText"/>
        <w:rPr>
          <w:lang w:val="en-GB"/>
        </w:rPr>
      </w:pPr>
      <w:r>
        <w:rPr>
          <w:rStyle w:val="FootnoteReference"/>
        </w:rPr>
        <w:footnoteRef/>
      </w:r>
      <w:r>
        <w:t xml:space="preserve"> </w:t>
      </w:r>
      <w:r w:rsidR="00B42950">
        <w:t>Carney, 2015. 138.</w:t>
      </w:r>
    </w:p>
  </w:footnote>
  <w:footnote w:id="43">
    <w:p w:rsidR="00E34378" w:rsidRPr="00E34378" w:rsidRDefault="00E34378">
      <w:pPr>
        <w:pStyle w:val="FootnoteText"/>
        <w:rPr>
          <w:lang w:val="en-GB"/>
        </w:rPr>
      </w:pPr>
      <w:r>
        <w:rPr>
          <w:rStyle w:val="FootnoteReference"/>
        </w:rPr>
        <w:footnoteRef/>
      </w:r>
      <w:r>
        <w:t xml:space="preserve"> </w:t>
      </w:r>
      <w:r>
        <w:rPr>
          <w:lang w:val="en-GB"/>
        </w:rPr>
        <w:t>Arr.1.25.1-10; Just.11.7.1-2; Diod.17.32.1-2; Curt.7.1.6</w:t>
      </w:r>
    </w:p>
  </w:footnote>
  <w:footnote w:id="44">
    <w:p w:rsidR="00E34378" w:rsidRPr="00E34378" w:rsidRDefault="00E34378">
      <w:pPr>
        <w:pStyle w:val="FootnoteText"/>
        <w:rPr>
          <w:lang w:val="en-GB"/>
        </w:rPr>
      </w:pPr>
      <w:r>
        <w:rPr>
          <w:rStyle w:val="FootnoteReference"/>
        </w:rPr>
        <w:footnoteRef/>
      </w:r>
      <w:r>
        <w:t xml:space="preserve"> </w:t>
      </w:r>
      <w:r>
        <w:rPr>
          <w:lang w:val="en-GB"/>
        </w:rPr>
        <w:t xml:space="preserve">Carney, 2015. 131. </w:t>
      </w:r>
    </w:p>
  </w:footnote>
  <w:footnote w:id="45">
    <w:p w:rsidR="00E34378" w:rsidRPr="00E34378" w:rsidRDefault="00E34378">
      <w:pPr>
        <w:pStyle w:val="FootnoteText"/>
        <w:rPr>
          <w:lang w:val="en-GB"/>
        </w:rPr>
      </w:pPr>
      <w:r>
        <w:rPr>
          <w:rStyle w:val="FootnoteReference"/>
        </w:rPr>
        <w:footnoteRef/>
      </w:r>
      <w:r>
        <w:t xml:space="preserve"> </w:t>
      </w:r>
      <w:r>
        <w:rPr>
          <w:lang w:val="en-GB"/>
        </w:rPr>
        <w:t>Carney, 2015. 131.</w:t>
      </w:r>
    </w:p>
  </w:footnote>
  <w:footnote w:id="46">
    <w:p w:rsidR="003E2EF9" w:rsidRPr="003E2EF9" w:rsidRDefault="003E2EF9">
      <w:pPr>
        <w:pStyle w:val="FootnoteText"/>
        <w:rPr>
          <w:lang w:val="en-GB"/>
        </w:rPr>
      </w:pPr>
      <w:r>
        <w:rPr>
          <w:rStyle w:val="FootnoteReference"/>
        </w:rPr>
        <w:footnoteRef/>
      </w:r>
      <w:r>
        <w:t xml:space="preserve"> Carney, 2015. 141.</w:t>
      </w:r>
    </w:p>
  </w:footnote>
  <w:footnote w:id="47">
    <w:p w:rsidR="003E2EF9" w:rsidRPr="003E2EF9" w:rsidRDefault="003E2EF9">
      <w:pPr>
        <w:pStyle w:val="FootnoteText"/>
        <w:rPr>
          <w:lang w:val="en-GB"/>
        </w:rPr>
      </w:pPr>
      <w:r>
        <w:rPr>
          <w:rStyle w:val="FootnoteReference"/>
        </w:rPr>
        <w:footnoteRef/>
      </w:r>
      <w:r>
        <w:t xml:space="preserve"> </w:t>
      </w:r>
      <w:r>
        <w:rPr>
          <w:lang w:val="en-GB"/>
        </w:rPr>
        <w:t>Arr.3.11.8; Diod.17.57.1; Curt.4.13.26.</w:t>
      </w:r>
    </w:p>
  </w:footnote>
  <w:footnote w:id="48">
    <w:p w:rsidR="003E2EF9" w:rsidRPr="003E2EF9" w:rsidRDefault="003E2EF9">
      <w:pPr>
        <w:pStyle w:val="FootnoteText"/>
        <w:rPr>
          <w:lang w:val="en-GB"/>
        </w:rPr>
      </w:pPr>
      <w:r>
        <w:rPr>
          <w:rStyle w:val="FootnoteReference"/>
        </w:rPr>
        <w:footnoteRef/>
      </w:r>
      <w:r>
        <w:t xml:space="preserve"> </w:t>
      </w:r>
      <w:r>
        <w:rPr>
          <w:lang w:val="en-GB"/>
        </w:rPr>
        <w:t>Plut.</w:t>
      </w:r>
      <w:r>
        <w:rPr>
          <w:i/>
          <w:lang w:val="en-GB"/>
        </w:rPr>
        <w:t>Alex</w:t>
      </w:r>
      <w:r>
        <w:rPr>
          <w:lang w:val="en-GB"/>
        </w:rPr>
        <w:t>.50-52.4; Arr.4.8.1-9.9; Curt.8.1.19-2.13.</w:t>
      </w:r>
    </w:p>
  </w:footnote>
  <w:footnote w:id="49">
    <w:p w:rsidR="003E2EF9" w:rsidRPr="003E2EF9" w:rsidRDefault="003E2EF9">
      <w:pPr>
        <w:pStyle w:val="FootnoteText"/>
        <w:rPr>
          <w:lang w:val="en-GB"/>
        </w:rPr>
      </w:pPr>
      <w:r>
        <w:rPr>
          <w:rStyle w:val="FootnoteReference"/>
        </w:rPr>
        <w:footnoteRef/>
      </w:r>
      <w:r>
        <w:t xml:space="preserve"> </w:t>
      </w:r>
      <w:r>
        <w:rPr>
          <w:lang w:val="en-GB"/>
        </w:rPr>
        <w:t xml:space="preserve">Bosworth, 1995, 51-68 on Arrian; Baynham, 1998, 85-90 on Curtius. </w:t>
      </w:r>
    </w:p>
  </w:footnote>
  <w:footnote w:id="50">
    <w:p w:rsidR="00C118E5" w:rsidRPr="00E16BA2" w:rsidRDefault="00C118E5" w:rsidP="00C118E5">
      <w:pPr>
        <w:pStyle w:val="FootnoteText"/>
        <w:rPr>
          <w:lang w:val="en-GB"/>
        </w:rPr>
      </w:pPr>
      <w:r>
        <w:rPr>
          <w:rStyle w:val="FootnoteReference"/>
        </w:rPr>
        <w:footnoteRef/>
      </w:r>
      <w:r>
        <w:t xml:space="preserve"> Carney, 2015. 155.</w:t>
      </w:r>
    </w:p>
  </w:footnote>
  <w:footnote w:id="51">
    <w:p w:rsidR="00C118E5" w:rsidRPr="00E16BA2" w:rsidRDefault="00C118E5" w:rsidP="00C118E5">
      <w:pPr>
        <w:pStyle w:val="FootnoteText"/>
        <w:rPr>
          <w:lang w:val="en-GB"/>
        </w:rPr>
      </w:pPr>
      <w:r>
        <w:rPr>
          <w:rStyle w:val="FootnoteReference"/>
        </w:rPr>
        <w:footnoteRef/>
      </w:r>
      <w:r>
        <w:t xml:space="preserve"> </w:t>
      </w:r>
      <w:r w:rsidR="00FC3127">
        <w:t>Carney, 2015. 160.</w:t>
      </w:r>
    </w:p>
  </w:footnote>
  <w:footnote w:id="52">
    <w:p w:rsidR="00C118E5" w:rsidRPr="00E16BA2" w:rsidRDefault="00C118E5" w:rsidP="00C118E5">
      <w:pPr>
        <w:pStyle w:val="FootnoteText"/>
        <w:rPr>
          <w:lang w:val="en-GB"/>
        </w:rPr>
      </w:pPr>
      <w:r>
        <w:rPr>
          <w:rStyle w:val="FootnoteReference"/>
        </w:rPr>
        <w:footnoteRef/>
      </w:r>
      <w:r>
        <w:t xml:space="preserve"> </w:t>
      </w:r>
      <w:r>
        <w:rPr>
          <w:lang w:val="en-GB"/>
        </w:rPr>
        <w:t>Dio</w:t>
      </w:r>
      <w:r w:rsidR="00EE2EEA">
        <w:rPr>
          <w:lang w:val="en-GB"/>
        </w:rPr>
        <w:t>d</w:t>
      </w:r>
      <w:r>
        <w:rPr>
          <w:lang w:val="en-GB"/>
        </w:rPr>
        <w:t>.14.37.6; Arist.</w:t>
      </w:r>
      <w:r>
        <w:rPr>
          <w:i/>
          <w:lang w:val="en-GB"/>
        </w:rPr>
        <w:t>Pol.</w:t>
      </w:r>
      <w:r>
        <w:rPr>
          <w:lang w:val="en-GB"/>
        </w:rPr>
        <w:t>1311b.</w:t>
      </w:r>
    </w:p>
  </w:footnote>
  <w:footnote w:id="53">
    <w:p w:rsidR="00C118E5" w:rsidRPr="00E16BA2" w:rsidRDefault="00C118E5" w:rsidP="00C118E5">
      <w:pPr>
        <w:pStyle w:val="FootnoteText"/>
        <w:rPr>
          <w:lang w:val="en-GB"/>
        </w:rPr>
      </w:pPr>
      <w:r>
        <w:rPr>
          <w:rStyle w:val="FootnoteReference"/>
        </w:rPr>
        <w:footnoteRef/>
      </w:r>
      <w:r>
        <w:t xml:space="preserve"> </w:t>
      </w:r>
      <w:r>
        <w:rPr>
          <w:lang w:val="en-GB"/>
        </w:rPr>
        <w:t xml:space="preserve">Diod.17.79.1; Arr.4.10.1-14.4; </w:t>
      </w:r>
    </w:p>
  </w:footnote>
  <w:footnote w:id="54">
    <w:p w:rsidR="00C118E5" w:rsidRPr="00E16BA2" w:rsidRDefault="00C118E5" w:rsidP="00C118E5">
      <w:pPr>
        <w:pStyle w:val="FootnoteText"/>
        <w:rPr>
          <w:lang w:val="en-GB"/>
        </w:rPr>
      </w:pPr>
      <w:r>
        <w:rPr>
          <w:rStyle w:val="FootnoteReference"/>
        </w:rPr>
        <w:footnoteRef/>
      </w:r>
      <w:r>
        <w:t xml:space="preserve"> Carney, 2015. 157.</w:t>
      </w:r>
    </w:p>
  </w:footnote>
  <w:footnote w:id="55">
    <w:p w:rsidR="00C118E5" w:rsidRPr="00E16BA2" w:rsidRDefault="00C118E5" w:rsidP="00C118E5">
      <w:pPr>
        <w:pStyle w:val="FootnoteText"/>
        <w:rPr>
          <w:lang w:val="en-GB"/>
        </w:rPr>
      </w:pPr>
      <w:r>
        <w:rPr>
          <w:rStyle w:val="FootnoteReference"/>
        </w:rPr>
        <w:footnoteRef/>
      </w:r>
      <w:r>
        <w:t xml:space="preserve"> Carney, 2015. 161.</w:t>
      </w:r>
    </w:p>
  </w:footnote>
  <w:footnote w:id="56">
    <w:p w:rsidR="00C118E5" w:rsidRPr="00E16BA2" w:rsidRDefault="00C118E5" w:rsidP="00C118E5">
      <w:pPr>
        <w:pStyle w:val="FootnoteText"/>
        <w:rPr>
          <w:lang w:val="en-GB"/>
        </w:rPr>
      </w:pPr>
      <w:r>
        <w:rPr>
          <w:rStyle w:val="FootnoteReference"/>
        </w:rPr>
        <w:footnoteRef/>
      </w:r>
      <w:r>
        <w:t xml:space="preserve"> </w:t>
      </w:r>
      <w:r>
        <w:rPr>
          <w:lang w:val="en-GB"/>
        </w:rPr>
        <w:t>Carney, 2015. 160.</w:t>
      </w:r>
    </w:p>
  </w:footnote>
  <w:footnote w:id="57">
    <w:p w:rsidR="00C118E5" w:rsidRPr="005D5E01" w:rsidRDefault="00C118E5" w:rsidP="00C118E5">
      <w:pPr>
        <w:pStyle w:val="FootnoteText"/>
        <w:rPr>
          <w:lang w:val="en-GB"/>
        </w:rPr>
      </w:pPr>
      <w:r>
        <w:rPr>
          <w:rStyle w:val="FootnoteReference"/>
        </w:rPr>
        <w:footnoteRef/>
      </w:r>
      <w:r>
        <w:t xml:space="preserve"> Skinner, 2005.</w:t>
      </w:r>
    </w:p>
  </w:footnote>
  <w:footnote w:id="58">
    <w:p w:rsidR="00C118E5" w:rsidRPr="005D5E01" w:rsidRDefault="00C118E5" w:rsidP="00C118E5">
      <w:pPr>
        <w:pStyle w:val="FootnoteText"/>
        <w:rPr>
          <w:lang w:val="en-GB"/>
        </w:rPr>
      </w:pPr>
      <w:r>
        <w:rPr>
          <w:rStyle w:val="FootnoteReference"/>
        </w:rPr>
        <w:footnoteRef/>
      </w:r>
      <w:r>
        <w:t xml:space="preserve"> Odgen, 2011.</w:t>
      </w:r>
    </w:p>
  </w:footnote>
  <w:footnote w:id="59">
    <w:p w:rsidR="00D93684" w:rsidRPr="00CE1173" w:rsidRDefault="00D93684" w:rsidP="00D93684">
      <w:pPr>
        <w:pStyle w:val="FootnoteText"/>
        <w:rPr>
          <w:lang w:val="en-GB"/>
        </w:rPr>
      </w:pPr>
      <w:r>
        <w:rPr>
          <w:rStyle w:val="FootnoteReference"/>
        </w:rPr>
        <w:footnoteRef/>
      </w:r>
      <w:r>
        <w:t xml:space="preserve"> </w:t>
      </w:r>
      <w:r>
        <w:rPr>
          <w:lang w:val="en-GB"/>
        </w:rPr>
        <w:t>Carney, 2015. 189.</w:t>
      </w:r>
    </w:p>
  </w:footnote>
  <w:footnote w:id="60">
    <w:p w:rsidR="00D93684" w:rsidRPr="00CE1173" w:rsidRDefault="00D93684" w:rsidP="00D93684">
      <w:pPr>
        <w:pStyle w:val="FootnoteText"/>
        <w:rPr>
          <w:lang w:val="en-GB"/>
        </w:rPr>
      </w:pPr>
      <w:r>
        <w:rPr>
          <w:rStyle w:val="FootnoteReference"/>
        </w:rPr>
        <w:footnoteRef/>
      </w:r>
      <w:r>
        <w:t xml:space="preserve"> </w:t>
      </w:r>
      <w:r>
        <w:rPr>
          <w:lang w:val="en-GB"/>
        </w:rPr>
        <w:t>Plut.</w:t>
      </w:r>
      <w:r>
        <w:rPr>
          <w:i/>
          <w:lang w:val="en-GB"/>
        </w:rPr>
        <w:t>Alex.</w:t>
      </w:r>
      <w:r>
        <w:rPr>
          <w:lang w:val="en-GB"/>
        </w:rPr>
        <w:t>10.4.</w:t>
      </w:r>
    </w:p>
  </w:footnote>
  <w:footnote w:id="61">
    <w:p w:rsidR="00D93684" w:rsidRPr="00CE1173" w:rsidRDefault="00D93684" w:rsidP="00D93684">
      <w:pPr>
        <w:pStyle w:val="FootnoteText"/>
        <w:rPr>
          <w:lang w:val="en-GB"/>
        </w:rPr>
      </w:pPr>
      <w:r>
        <w:rPr>
          <w:rStyle w:val="FootnoteReference"/>
        </w:rPr>
        <w:footnoteRef/>
      </w:r>
      <w:r>
        <w:t xml:space="preserve"> </w:t>
      </w:r>
      <w:r>
        <w:rPr>
          <w:lang w:val="en-GB"/>
        </w:rPr>
        <w:t>Storr, 2011.</w:t>
      </w:r>
    </w:p>
  </w:footnote>
  <w:footnote w:id="62">
    <w:p w:rsidR="00D93684" w:rsidRPr="00CE1173" w:rsidRDefault="00D93684" w:rsidP="00D93684">
      <w:pPr>
        <w:pStyle w:val="FootnoteText"/>
        <w:rPr>
          <w:lang w:val="en-GB"/>
        </w:rPr>
      </w:pPr>
      <w:r>
        <w:rPr>
          <w:rStyle w:val="FootnoteReference"/>
        </w:rPr>
        <w:footnoteRef/>
      </w:r>
      <w:r>
        <w:t xml:space="preserve"> </w:t>
      </w:r>
      <w:r>
        <w:rPr>
          <w:lang w:val="en-GB"/>
        </w:rPr>
        <w:t>Cohen, 2010, 170 n.23.</w:t>
      </w:r>
    </w:p>
  </w:footnote>
  <w:footnote w:id="63">
    <w:p w:rsidR="00D93684" w:rsidRPr="004C3292" w:rsidRDefault="00D93684" w:rsidP="00D93684">
      <w:pPr>
        <w:pStyle w:val="FootnoteText"/>
        <w:rPr>
          <w:lang w:val="en-GB"/>
        </w:rPr>
      </w:pPr>
      <w:r>
        <w:rPr>
          <w:rStyle w:val="FootnoteReference"/>
        </w:rPr>
        <w:footnoteRef/>
      </w:r>
      <w:r>
        <w:t xml:space="preserve"> </w:t>
      </w:r>
      <w:r>
        <w:rPr>
          <w:lang w:val="en-GB"/>
        </w:rPr>
        <w:t>Carney, 2015. 62.</w:t>
      </w:r>
    </w:p>
  </w:footnote>
  <w:footnote w:id="64">
    <w:p w:rsidR="00D93684" w:rsidRPr="004C3292" w:rsidRDefault="00D93684" w:rsidP="00D93684">
      <w:pPr>
        <w:pStyle w:val="FootnoteText"/>
        <w:rPr>
          <w:lang w:val="en-GB"/>
        </w:rPr>
      </w:pPr>
      <w:r>
        <w:rPr>
          <w:rStyle w:val="FootnoteReference"/>
        </w:rPr>
        <w:footnoteRef/>
      </w:r>
      <w:r>
        <w:t xml:space="preserve"> </w:t>
      </w:r>
      <w:r>
        <w:rPr>
          <w:lang w:val="en-GB"/>
        </w:rPr>
        <w:t>Odgen, 1999.</w:t>
      </w:r>
    </w:p>
  </w:footnote>
  <w:footnote w:id="65">
    <w:p w:rsidR="00D93684" w:rsidRPr="006A5D66" w:rsidRDefault="00D93684" w:rsidP="00D93684">
      <w:pPr>
        <w:pStyle w:val="FootnoteText"/>
        <w:rPr>
          <w:lang w:val="en-GB"/>
        </w:rPr>
      </w:pPr>
      <w:r>
        <w:rPr>
          <w:rStyle w:val="FootnoteReference"/>
        </w:rPr>
        <w:footnoteRef/>
      </w:r>
      <w:r>
        <w:t xml:space="preserve"> </w:t>
      </w:r>
      <w:r>
        <w:rPr>
          <w:lang w:val="en-GB"/>
        </w:rPr>
        <w:t xml:space="preserve">Carney, 2015. 191. </w:t>
      </w:r>
    </w:p>
  </w:footnote>
  <w:footnote w:id="66">
    <w:p w:rsidR="00D93684" w:rsidRPr="006A5D66" w:rsidRDefault="00D93684" w:rsidP="00D93684">
      <w:pPr>
        <w:pStyle w:val="FootnoteText"/>
        <w:rPr>
          <w:lang w:val="en-GB"/>
        </w:rPr>
      </w:pPr>
      <w:r>
        <w:rPr>
          <w:rStyle w:val="FootnoteReference"/>
        </w:rPr>
        <w:footnoteRef/>
      </w:r>
      <w:r>
        <w:t xml:space="preserve"> </w:t>
      </w:r>
      <w:r>
        <w:rPr>
          <w:lang w:val="en-GB"/>
        </w:rPr>
        <w:t>Plut.</w:t>
      </w:r>
      <w:r>
        <w:rPr>
          <w:i/>
          <w:lang w:val="en-GB"/>
        </w:rPr>
        <w:t>Alex.</w:t>
      </w:r>
      <w:r>
        <w:rPr>
          <w:lang w:val="en-GB"/>
        </w:rPr>
        <w:t>5.4.</w:t>
      </w:r>
    </w:p>
  </w:footnote>
  <w:footnote w:id="67">
    <w:p w:rsidR="00D93684" w:rsidRPr="006A5D66" w:rsidRDefault="00D93684" w:rsidP="00D93684">
      <w:pPr>
        <w:pStyle w:val="FootnoteText"/>
        <w:rPr>
          <w:lang w:val="en-GB"/>
        </w:rPr>
      </w:pPr>
      <w:r>
        <w:rPr>
          <w:rStyle w:val="FootnoteReference"/>
        </w:rPr>
        <w:footnoteRef/>
      </w:r>
      <w:r>
        <w:t xml:space="preserve"> </w:t>
      </w:r>
      <w:r>
        <w:rPr>
          <w:lang w:val="en-GB"/>
        </w:rPr>
        <w:t>Plut.</w:t>
      </w:r>
      <w:r>
        <w:rPr>
          <w:i/>
          <w:lang w:val="en-GB"/>
        </w:rPr>
        <w:t>Alex.</w:t>
      </w:r>
      <w:r>
        <w:rPr>
          <w:lang w:val="en-GB"/>
        </w:rPr>
        <w:t xml:space="preserve">6.1-5; </w:t>
      </w:r>
    </w:p>
  </w:footnote>
  <w:footnote w:id="68">
    <w:p w:rsidR="00D93684" w:rsidRPr="006A5D66" w:rsidRDefault="00D93684" w:rsidP="00D93684">
      <w:pPr>
        <w:pStyle w:val="FootnoteText"/>
        <w:rPr>
          <w:lang w:val="en-GB"/>
        </w:rPr>
      </w:pPr>
      <w:r>
        <w:rPr>
          <w:rStyle w:val="FootnoteReference"/>
        </w:rPr>
        <w:footnoteRef/>
      </w:r>
      <w:r>
        <w:t xml:space="preserve"> </w:t>
      </w:r>
      <w:r>
        <w:rPr>
          <w:lang w:val="en-GB"/>
        </w:rPr>
        <w:t>Plut.</w:t>
      </w:r>
      <w:r>
        <w:rPr>
          <w:i/>
          <w:lang w:val="en-GB"/>
        </w:rPr>
        <w:t>Alex.</w:t>
      </w:r>
      <w:r>
        <w:rPr>
          <w:lang w:val="en-GB"/>
        </w:rPr>
        <w:t>7.2-3; Strab.13.608.</w:t>
      </w:r>
    </w:p>
  </w:footnote>
  <w:footnote w:id="69">
    <w:p w:rsidR="00D93684" w:rsidRPr="006A5D66" w:rsidRDefault="00D93684" w:rsidP="00D93684">
      <w:pPr>
        <w:pStyle w:val="FootnoteText"/>
        <w:rPr>
          <w:lang w:val="en-GB"/>
        </w:rPr>
      </w:pPr>
      <w:r>
        <w:rPr>
          <w:rStyle w:val="FootnoteReference"/>
        </w:rPr>
        <w:footnoteRef/>
      </w:r>
      <w:r>
        <w:t xml:space="preserve"> </w:t>
      </w:r>
      <w:r>
        <w:rPr>
          <w:lang w:val="en-GB"/>
        </w:rPr>
        <w:t>Carney, 2015. 194.</w:t>
      </w:r>
    </w:p>
  </w:footnote>
  <w:footnote w:id="70">
    <w:p w:rsidR="00D93684" w:rsidRPr="006A5D66" w:rsidRDefault="00D93684" w:rsidP="00D93684">
      <w:pPr>
        <w:pStyle w:val="FootnoteText"/>
        <w:rPr>
          <w:lang w:val="en-GB"/>
        </w:rPr>
      </w:pPr>
      <w:r>
        <w:rPr>
          <w:rStyle w:val="FootnoteReference"/>
        </w:rPr>
        <w:footnoteRef/>
      </w:r>
      <w:r>
        <w:t xml:space="preserve"> </w:t>
      </w:r>
      <w:r>
        <w:rPr>
          <w:lang w:val="en-GB"/>
        </w:rPr>
        <w:t xml:space="preserve">Psoma, 2006. </w:t>
      </w:r>
    </w:p>
  </w:footnote>
  <w:footnote w:id="71">
    <w:p w:rsidR="00D93684" w:rsidRPr="00AF6703" w:rsidRDefault="00D93684" w:rsidP="00D93684">
      <w:pPr>
        <w:pStyle w:val="FootnoteText"/>
        <w:rPr>
          <w:lang w:val="en-GB"/>
        </w:rPr>
      </w:pPr>
      <w:r>
        <w:rPr>
          <w:rStyle w:val="FootnoteReference"/>
        </w:rPr>
        <w:footnoteRef/>
      </w:r>
      <w:r>
        <w:t xml:space="preserve"> </w:t>
      </w:r>
      <w:r>
        <w:rPr>
          <w:lang w:val="en-GB"/>
        </w:rPr>
        <w:t>Carney, 2015. 205.</w:t>
      </w:r>
    </w:p>
  </w:footnote>
  <w:footnote w:id="72">
    <w:p w:rsidR="00DF14E2" w:rsidRPr="00DF14E2" w:rsidRDefault="00DF14E2">
      <w:pPr>
        <w:pStyle w:val="FootnoteText"/>
        <w:rPr>
          <w:lang w:val="en-GB"/>
        </w:rPr>
      </w:pPr>
      <w:r>
        <w:rPr>
          <w:rStyle w:val="FootnoteReference"/>
        </w:rPr>
        <w:footnoteRef/>
      </w:r>
      <w:r>
        <w:t xml:space="preserve"> </w:t>
      </w:r>
      <w:r>
        <w:rPr>
          <w:lang w:val="en-GB"/>
        </w:rPr>
        <w:t>Carney, 2015. 222.</w:t>
      </w:r>
    </w:p>
  </w:footnote>
  <w:footnote w:id="73">
    <w:p w:rsidR="00DF14E2" w:rsidRPr="00DF14E2" w:rsidRDefault="00DF14E2">
      <w:pPr>
        <w:pStyle w:val="FootnoteText"/>
        <w:rPr>
          <w:lang w:val="en-GB"/>
        </w:rPr>
      </w:pPr>
      <w:r>
        <w:rPr>
          <w:rStyle w:val="FootnoteReference"/>
        </w:rPr>
        <w:footnoteRef/>
      </w:r>
      <w:r>
        <w:t xml:space="preserve"> </w:t>
      </w:r>
      <w:r>
        <w:rPr>
          <w:lang w:val="en-GB"/>
        </w:rPr>
        <w:t>Arr.4.13.2.</w:t>
      </w:r>
    </w:p>
  </w:footnote>
  <w:footnote w:id="74">
    <w:p w:rsidR="00DF14E2" w:rsidRPr="00DF14E2" w:rsidRDefault="00DF14E2">
      <w:pPr>
        <w:pStyle w:val="FootnoteText"/>
        <w:rPr>
          <w:lang w:val="en-GB"/>
        </w:rPr>
      </w:pPr>
      <w:r>
        <w:rPr>
          <w:rStyle w:val="FootnoteReference"/>
        </w:rPr>
        <w:footnoteRef/>
      </w:r>
      <w:r>
        <w:t xml:space="preserve"> </w:t>
      </w:r>
      <w:r>
        <w:rPr>
          <w:lang w:val="en-GB"/>
        </w:rPr>
        <w:t>Carney, 2015. 207.</w:t>
      </w:r>
    </w:p>
  </w:footnote>
  <w:footnote w:id="75">
    <w:p w:rsidR="00E82591" w:rsidRPr="00E82591" w:rsidRDefault="00E82591">
      <w:pPr>
        <w:pStyle w:val="FootnoteText"/>
        <w:rPr>
          <w:lang w:val="en-GB"/>
        </w:rPr>
      </w:pPr>
      <w:r>
        <w:rPr>
          <w:rStyle w:val="FootnoteReference"/>
        </w:rPr>
        <w:footnoteRef/>
      </w:r>
      <w:r>
        <w:t xml:space="preserve"> </w:t>
      </w:r>
      <w:r>
        <w:rPr>
          <w:lang w:val="en-GB"/>
        </w:rPr>
        <w:t>Curt.5.1.42, 8.6.2-6.</w:t>
      </w:r>
    </w:p>
  </w:footnote>
  <w:footnote w:id="76">
    <w:p w:rsidR="00DF14E2" w:rsidRPr="00DF14E2" w:rsidRDefault="00DF14E2">
      <w:pPr>
        <w:pStyle w:val="FootnoteText"/>
        <w:rPr>
          <w:lang w:val="en-GB"/>
        </w:rPr>
      </w:pPr>
      <w:r>
        <w:rPr>
          <w:rStyle w:val="FootnoteReference"/>
        </w:rPr>
        <w:footnoteRef/>
      </w:r>
      <w:r>
        <w:t xml:space="preserve"> </w:t>
      </w:r>
      <w:r>
        <w:rPr>
          <w:lang w:val="en-GB"/>
        </w:rPr>
        <w:t>Arr.4.13.1.</w:t>
      </w:r>
    </w:p>
  </w:footnote>
  <w:footnote w:id="77">
    <w:p w:rsidR="00E82591" w:rsidRPr="00E82591" w:rsidRDefault="00E82591">
      <w:pPr>
        <w:pStyle w:val="FootnoteText"/>
        <w:rPr>
          <w:lang w:val="en-GB"/>
        </w:rPr>
      </w:pPr>
      <w:r>
        <w:rPr>
          <w:rStyle w:val="FootnoteReference"/>
        </w:rPr>
        <w:footnoteRef/>
      </w:r>
      <w:r>
        <w:t xml:space="preserve"> </w:t>
      </w:r>
      <w:r>
        <w:rPr>
          <w:lang w:val="en-GB"/>
        </w:rPr>
        <w:t>Hammond, 1990. 262-63.</w:t>
      </w:r>
    </w:p>
  </w:footnote>
  <w:footnote w:id="78">
    <w:p w:rsidR="00E82591" w:rsidRPr="00E82591" w:rsidRDefault="00E82591">
      <w:pPr>
        <w:pStyle w:val="FootnoteText"/>
        <w:rPr>
          <w:lang w:val="en-GB"/>
        </w:rPr>
      </w:pPr>
      <w:r>
        <w:rPr>
          <w:rStyle w:val="FootnoteReference"/>
        </w:rPr>
        <w:footnoteRef/>
      </w:r>
      <w:r>
        <w:t xml:space="preserve"> </w:t>
      </w:r>
      <w:proofErr w:type="spellStart"/>
      <w:r>
        <w:rPr>
          <w:lang w:val="en-GB"/>
        </w:rPr>
        <w:t>Borza</w:t>
      </w:r>
      <w:proofErr w:type="spellEnd"/>
      <w:r>
        <w:rPr>
          <w:lang w:val="en-GB"/>
        </w:rPr>
        <w:t xml:space="preserve">, 1992 and 1999. </w:t>
      </w:r>
    </w:p>
  </w:footnote>
  <w:footnote w:id="79">
    <w:p w:rsidR="00E82591" w:rsidRPr="00E82591" w:rsidRDefault="00E82591">
      <w:pPr>
        <w:pStyle w:val="FootnoteText"/>
        <w:rPr>
          <w:lang w:val="en-GB"/>
        </w:rPr>
      </w:pPr>
      <w:r>
        <w:rPr>
          <w:rStyle w:val="FootnoteReference"/>
        </w:rPr>
        <w:footnoteRef/>
      </w:r>
      <w:r w:rsidRPr="00E82591">
        <w:rPr>
          <w:sz w:val="16"/>
        </w:rPr>
        <w:t xml:space="preserve"> </w:t>
      </w:r>
      <w:r w:rsidRPr="00E82591">
        <w:t>Müller</w:t>
      </w:r>
      <w:r w:rsidRPr="00E82591">
        <w:t>, 2010</w:t>
      </w:r>
    </w:p>
  </w:footnote>
  <w:footnote w:id="80">
    <w:p w:rsidR="00D93684" w:rsidRPr="00270B49" w:rsidRDefault="00D93684" w:rsidP="00D93684">
      <w:pPr>
        <w:pStyle w:val="FootnoteText"/>
        <w:rPr>
          <w:lang w:val="en-GB"/>
        </w:rPr>
      </w:pPr>
      <w:r>
        <w:rPr>
          <w:rStyle w:val="FootnoteReference"/>
        </w:rPr>
        <w:footnoteRef/>
      </w:r>
      <w:r>
        <w:t xml:space="preserve"> </w:t>
      </w:r>
      <w:r>
        <w:rPr>
          <w:lang w:val="en-GB"/>
        </w:rPr>
        <w:t>Carney, 2015. 263.</w:t>
      </w:r>
    </w:p>
  </w:footnote>
  <w:footnote w:id="81">
    <w:p w:rsidR="00D93684" w:rsidRPr="00FB5F92" w:rsidRDefault="00D93684" w:rsidP="00D93684">
      <w:pPr>
        <w:pStyle w:val="FootnoteText"/>
        <w:rPr>
          <w:lang w:val="en-GB"/>
        </w:rPr>
      </w:pPr>
      <w:r>
        <w:rPr>
          <w:rStyle w:val="FootnoteReference"/>
        </w:rPr>
        <w:footnoteRef/>
      </w:r>
      <w:r>
        <w:t xml:space="preserve"> </w:t>
      </w:r>
      <w:r>
        <w:rPr>
          <w:lang w:val="en-GB"/>
        </w:rPr>
        <w:t>Carney, 2015.280.</w:t>
      </w:r>
    </w:p>
  </w:footnote>
  <w:footnote w:id="82">
    <w:p w:rsidR="00D93684" w:rsidRPr="00C638E5" w:rsidRDefault="00D93684" w:rsidP="00D93684">
      <w:pPr>
        <w:pStyle w:val="FootnoteText"/>
        <w:rPr>
          <w:lang w:val="en-GB"/>
        </w:rPr>
      </w:pPr>
      <w:r>
        <w:rPr>
          <w:rStyle w:val="FootnoteReference"/>
        </w:rPr>
        <w:footnoteRef/>
      </w:r>
      <w:r>
        <w:t xml:space="preserve"> </w:t>
      </w:r>
      <w:r>
        <w:rPr>
          <w:lang w:val="en-GB"/>
        </w:rPr>
        <w:t>Carney, 2015. 225.</w:t>
      </w:r>
    </w:p>
  </w:footnote>
  <w:footnote w:id="83">
    <w:p w:rsidR="00D93684" w:rsidRPr="00C638E5" w:rsidRDefault="00D93684" w:rsidP="00D93684">
      <w:pPr>
        <w:pStyle w:val="FootnoteText"/>
        <w:rPr>
          <w:lang w:val="en-GB"/>
        </w:rPr>
      </w:pPr>
      <w:r>
        <w:rPr>
          <w:rStyle w:val="FootnoteReference"/>
        </w:rPr>
        <w:footnoteRef/>
      </w:r>
      <w:r>
        <w:t xml:space="preserve"> </w:t>
      </w:r>
      <w:r>
        <w:rPr>
          <w:lang w:val="en-GB"/>
        </w:rPr>
        <w:t>Carney, 2015. 226.</w:t>
      </w:r>
    </w:p>
  </w:footnote>
  <w:footnote w:id="84">
    <w:p w:rsidR="00D93684" w:rsidRPr="00037D83" w:rsidRDefault="00D93684" w:rsidP="00D93684">
      <w:pPr>
        <w:pStyle w:val="FootnoteText"/>
        <w:rPr>
          <w:lang w:val="en-GB"/>
        </w:rPr>
      </w:pPr>
      <w:r>
        <w:rPr>
          <w:rStyle w:val="FootnoteReference"/>
        </w:rPr>
        <w:footnoteRef/>
      </w:r>
      <w:r>
        <w:t xml:space="preserve"> </w:t>
      </w:r>
      <w:r>
        <w:rPr>
          <w:lang w:val="en-GB"/>
        </w:rPr>
        <w:t>Diod.17.16.4; Plut.</w:t>
      </w:r>
      <w:r>
        <w:rPr>
          <w:i/>
          <w:lang w:val="en-GB"/>
        </w:rPr>
        <w:t>Alex.</w:t>
      </w:r>
      <w:r>
        <w:rPr>
          <w:lang w:val="en-GB"/>
        </w:rPr>
        <w:t>70.2.</w:t>
      </w:r>
    </w:p>
  </w:footnote>
  <w:footnote w:id="85">
    <w:p w:rsidR="00D93684" w:rsidRPr="00037D83" w:rsidRDefault="00D93684" w:rsidP="00D93684">
      <w:pPr>
        <w:pStyle w:val="FootnoteText"/>
        <w:rPr>
          <w:lang w:val="en-GB"/>
        </w:rPr>
      </w:pPr>
      <w:r>
        <w:rPr>
          <w:rStyle w:val="FootnoteReference"/>
        </w:rPr>
        <w:footnoteRef/>
      </w:r>
      <w:r>
        <w:t xml:space="preserve"> </w:t>
      </w:r>
      <w:r>
        <w:rPr>
          <w:lang w:val="en-GB"/>
        </w:rPr>
        <w:t>Hom.</w:t>
      </w:r>
      <w:r>
        <w:rPr>
          <w:i/>
          <w:lang w:val="en-GB"/>
        </w:rPr>
        <w:t>Od.</w:t>
      </w:r>
      <w:r>
        <w:rPr>
          <w:lang w:val="en-GB"/>
        </w:rPr>
        <w:t>3.390.</w:t>
      </w:r>
    </w:p>
  </w:footnote>
  <w:footnote w:id="86">
    <w:p w:rsidR="00D93684" w:rsidRPr="00037D83" w:rsidRDefault="00D93684" w:rsidP="00D93684">
      <w:pPr>
        <w:pStyle w:val="FootnoteText"/>
        <w:rPr>
          <w:lang w:val="en-GB"/>
        </w:rPr>
      </w:pPr>
      <w:r>
        <w:rPr>
          <w:rStyle w:val="FootnoteReference"/>
        </w:rPr>
        <w:footnoteRef/>
      </w:r>
      <w:r>
        <w:t xml:space="preserve"> </w:t>
      </w:r>
      <w:r>
        <w:rPr>
          <w:lang w:val="en-GB"/>
        </w:rPr>
        <w:t>Carney, 2015. 231.</w:t>
      </w:r>
    </w:p>
  </w:footnote>
  <w:footnote w:id="87">
    <w:p w:rsidR="00D93684" w:rsidRPr="00037D83" w:rsidRDefault="00D93684" w:rsidP="00D93684">
      <w:pPr>
        <w:pStyle w:val="FootnoteText"/>
        <w:rPr>
          <w:lang w:val="en-GB"/>
        </w:rPr>
      </w:pPr>
      <w:r>
        <w:rPr>
          <w:rStyle w:val="FootnoteReference"/>
        </w:rPr>
        <w:footnoteRef/>
      </w:r>
      <w:r>
        <w:t xml:space="preserve"> </w:t>
      </w:r>
      <w:r>
        <w:rPr>
          <w:lang w:val="en-GB"/>
        </w:rPr>
        <w:t xml:space="preserve">Hdt.6.84; </w:t>
      </w:r>
    </w:p>
  </w:footnote>
  <w:footnote w:id="88">
    <w:p w:rsidR="00D93684" w:rsidRPr="00037D83" w:rsidRDefault="00D93684" w:rsidP="00D93684">
      <w:pPr>
        <w:pStyle w:val="FootnoteText"/>
        <w:rPr>
          <w:lang w:val="en-GB"/>
        </w:rPr>
      </w:pPr>
      <w:r>
        <w:rPr>
          <w:rStyle w:val="FootnoteReference"/>
        </w:rPr>
        <w:footnoteRef/>
      </w:r>
      <w:r>
        <w:t xml:space="preserve"> </w:t>
      </w:r>
      <w:r w:rsidR="00215BE1">
        <w:rPr>
          <w:lang w:val="en-GB"/>
        </w:rPr>
        <w:t>Burton, 1998</w:t>
      </w:r>
    </w:p>
  </w:footnote>
  <w:footnote w:id="89">
    <w:p w:rsidR="00D93684" w:rsidRPr="00037D83" w:rsidRDefault="00D93684" w:rsidP="00D93684">
      <w:pPr>
        <w:pStyle w:val="FootnoteText"/>
        <w:rPr>
          <w:lang w:val="en-GB"/>
        </w:rPr>
      </w:pPr>
      <w:r>
        <w:rPr>
          <w:rStyle w:val="FootnoteReference"/>
        </w:rPr>
        <w:footnoteRef/>
      </w:r>
      <w:r>
        <w:t xml:space="preserve"> Carney, 2015. 264.</w:t>
      </w:r>
    </w:p>
  </w:footnote>
  <w:footnote w:id="90">
    <w:p w:rsidR="00D93684" w:rsidRPr="00A2669E" w:rsidRDefault="00D93684" w:rsidP="00D93684">
      <w:pPr>
        <w:pStyle w:val="FootnoteText"/>
        <w:rPr>
          <w:lang w:val="en-GB"/>
        </w:rPr>
      </w:pPr>
      <w:r>
        <w:rPr>
          <w:rStyle w:val="FootnoteReference"/>
        </w:rPr>
        <w:footnoteRef/>
      </w:r>
      <w:r>
        <w:t xml:space="preserve"> </w:t>
      </w:r>
      <w:r>
        <w:rPr>
          <w:lang w:val="en-GB"/>
        </w:rPr>
        <w:t>Carney, 2015. 267.</w:t>
      </w:r>
    </w:p>
  </w:footnote>
  <w:footnote w:id="91">
    <w:p w:rsidR="00D93684" w:rsidRPr="00A2669E" w:rsidRDefault="00D93684" w:rsidP="00D93684">
      <w:pPr>
        <w:pStyle w:val="FootnoteText"/>
        <w:rPr>
          <w:lang w:val="en-GB"/>
        </w:rPr>
      </w:pPr>
      <w:r>
        <w:rPr>
          <w:rStyle w:val="FootnoteReference"/>
        </w:rPr>
        <w:footnoteRef/>
      </w:r>
      <w:r>
        <w:t xml:space="preserve"> Erikson, 2013.</w:t>
      </w:r>
    </w:p>
  </w:footnote>
  <w:footnote w:id="92">
    <w:p w:rsidR="00D93684" w:rsidRPr="00A2669E" w:rsidRDefault="00D93684" w:rsidP="00D93684">
      <w:pPr>
        <w:pStyle w:val="FootnoteText"/>
        <w:rPr>
          <w:lang w:val="en-GB"/>
        </w:rPr>
      </w:pPr>
      <w:r>
        <w:rPr>
          <w:rStyle w:val="FootnoteReference"/>
        </w:rPr>
        <w:footnoteRef/>
      </w:r>
      <w:r>
        <w:t xml:space="preserve"> </w:t>
      </w:r>
      <w:r>
        <w:rPr>
          <w:lang w:val="en-GB"/>
        </w:rPr>
        <w:t>Price, 1974. 5.</w:t>
      </w:r>
    </w:p>
  </w:footnote>
  <w:footnote w:id="93">
    <w:p w:rsidR="00D93684" w:rsidRPr="00FB5F92" w:rsidRDefault="00D93684" w:rsidP="00D93684">
      <w:pPr>
        <w:pStyle w:val="FootnoteText"/>
        <w:rPr>
          <w:lang w:val="en-GB"/>
        </w:rPr>
      </w:pPr>
      <w:r>
        <w:rPr>
          <w:rStyle w:val="FootnoteReference"/>
        </w:rPr>
        <w:footnoteRef/>
      </w:r>
      <w:r>
        <w:t xml:space="preserve"> </w:t>
      </w:r>
      <w:proofErr w:type="spellStart"/>
      <w:r>
        <w:rPr>
          <w:lang w:val="en-GB"/>
        </w:rPr>
        <w:t>Koulakiotis</w:t>
      </w:r>
      <w:proofErr w:type="spellEnd"/>
      <w:r>
        <w:rPr>
          <w:lang w:val="en-GB"/>
        </w:rPr>
        <w:t>, 2005.</w:t>
      </w:r>
    </w:p>
  </w:footnote>
  <w:footnote w:id="94">
    <w:p w:rsidR="00D93684" w:rsidRPr="00FB5F92" w:rsidRDefault="00D93684" w:rsidP="00D93684">
      <w:pPr>
        <w:pStyle w:val="FootnoteText"/>
        <w:rPr>
          <w:lang w:val="en-GB"/>
        </w:rPr>
      </w:pPr>
      <w:r>
        <w:rPr>
          <w:rStyle w:val="FootnoteReference"/>
        </w:rPr>
        <w:footnoteRef/>
      </w:r>
      <w:r>
        <w:t xml:space="preserve"> </w:t>
      </w:r>
      <w:r>
        <w:rPr>
          <w:lang w:val="en-GB"/>
        </w:rPr>
        <w:t>Carney, 2015. 281.</w:t>
      </w:r>
    </w:p>
  </w:footnote>
  <w:footnote w:id="95">
    <w:p w:rsidR="00D93684" w:rsidRPr="00A47CA7" w:rsidRDefault="00D93684" w:rsidP="00D93684">
      <w:pPr>
        <w:pStyle w:val="FootnoteText"/>
        <w:rPr>
          <w:lang w:val="en-GB"/>
        </w:rPr>
      </w:pPr>
      <w:r>
        <w:rPr>
          <w:rStyle w:val="FootnoteReference"/>
        </w:rPr>
        <w:footnoteRef/>
      </w:r>
      <w:r>
        <w:t xml:space="preserve"> </w:t>
      </w:r>
      <w:r>
        <w:rPr>
          <w:lang w:val="en-GB"/>
        </w:rPr>
        <w:t>Carney, 2015. 281; Coppola, 2010.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F5E" w:rsidRPr="00084F5E" w:rsidRDefault="00084F5E" w:rsidP="00084F5E">
    <w:pPr>
      <w:jc w:val="center"/>
      <w:rPr>
        <w:sz w:val="20"/>
      </w:rPr>
    </w:pPr>
    <w:r w:rsidRPr="00084F5E">
      <w:rPr>
        <w:sz w:val="20"/>
      </w:rPr>
      <w:t>Academic review of ‘King and Court in Ancient Macedonia; Rivalry, Treason and Conspiracy’ by E. Carney.</w:t>
    </w:r>
    <w:r>
      <w:rPr>
        <w:sz w:val="20"/>
      </w:rPr>
      <w:t xml:space="preserve"> Tamara Bowie</w:t>
    </w:r>
    <w:r>
      <w:rPr>
        <w:sz w:val="20"/>
      </w:rPr>
      <w:tab/>
      <w:t>1601293</w:t>
    </w:r>
  </w:p>
  <w:p w:rsidR="00084F5E" w:rsidRPr="00084F5E" w:rsidRDefault="00084F5E" w:rsidP="00084F5E">
    <w:pPr>
      <w:jc w:val="center"/>
      <w:rPr>
        <w:sz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7E6"/>
    <w:rsid w:val="00036F67"/>
    <w:rsid w:val="0004225E"/>
    <w:rsid w:val="00084F5E"/>
    <w:rsid w:val="0018087E"/>
    <w:rsid w:val="001C73B0"/>
    <w:rsid w:val="00214327"/>
    <w:rsid w:val="00215BE1"/>
    <w:rsid w:val="00231C55"/>
    <w:rsid w:val="002473A3"/>
    <w:rsid w:val="00337843"/>
    <w:rsid w:val="00351336"/>
    <w:rsid w:val="00375C05"/>
    <w:rsid w:val="003844BC"/>
    <w:rsid w:val="003C0288"/>
    <w:rsid w:val="003E2EF9"/>
    <w:rsid w:val="00423EA4"/>
    <w:rsid w:val="00460047"/>
    <w:rsid w:val="00464C5A"/>
    <w:rsid w:val="004F455E"/>
    <w:rsid w:val="0052213D"/>
    <w:rsid w:val="005C24A0"/>
    <w:rsid w:val="005D5E01"/>
    <w:rsid w:val="00606AEC"/>
    <w:rsid w:val="00614E82"/>
    <w:rsid w:val="00654019"/>
    <w:rsid w:val="00694D01"/>
    <w:rsid w:val="00695F97"/>
    <w:rsid w:val="006B170B"/>
    <w:rsid w:val="006D34B5"/>
    <w:rsid w:val="007259E9"/>
    <w:rsid w:val="007E4F52"/>
    <w:rsid w:val="007F72AA"/>
    <w:rsid w:val="008051E9"/>
    <w:rsid w:val="0087586B"/>
    <w:rsid w:val="008D2F3C"/>
    <w:rsid w:val="008E4CB1"/>
    <w:rsid w:val="008F1412"/>
    <w:rsid w:val="00972AA7"/>
    <w:rsid w:val="009D10AB"/>
    <w:rsid w:val="00A57B34"/>
    <w:rsid w:val="00AA5F15"/>
    <w:rsid w:val="00B42950"/>
    <w:rsid w:val="00B90D6B"/>
    <w:rsid w:val="00BA53A3"/>
    <w:rsid w:val="00C118E5"/>
    <w:rsid w:val="00C2447A"/>
    <w:rsid w:val="00C5398F"/>
    <w:rsid w:val="00C64A29"/>
    <w:rsid w:val="00C908DA"/>
    <w:rsid w:val="00C93C4E"/>
    <w:rsid w:val="00CD6CE9"/>
    <w:rsid w:val="00D0087D"/>
    <w:rsid w:val="00D93684"/>
    <w:rsid w:val="00D967E6"/>
    <w:rsid w:val="00DA7F4F"/>
    <w:rsid w:val="00DB2B23"/>
    <w:rsid w:val="00DF14E2"/>
    <w:rsid w:val="00E16BA2"/>
    <w:rsid w:val="00E34378"/>
    <w:rsid w:val="00E43D72"/>
    <w:rsid w:val="00E607C1"/>
    <w:rsid w:val="00E82591"/>
    <w:rsid w:val="00EB2D1B"/>
    <w:rsid w:val="00EB4FB0"/>
    <w:rsid w:val="00EE2EEA"/>
    <w:rsid w:val="00FC3127"/>
    <w:rsid w:val="00FF6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0B1A"/>
  <w15:chartTrackingRefBased/>
  <w15:docId w15:val="{CA74FE50-8E8A-46E7-ADA7-FAECE64CE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7E6"/>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967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67E6"/>
    <w:rPr>
      <w:sz w:val="20"/>
      <w:szCs w:val="20"/>
      <w:lang w:val="en-US"/>
    </w:rPr>
  </w:style>
  <w:style w:type="character" w:styleId="FootnoteReference">
    <w:name w:val="footnote reference"/>
    <w:basedOn w:val="DefaultParagraphFont"/>
    <w:uiPriority w:val="99"/>
    <w:semiHidden/>
    <w:unhideWhenUsed/>
    <w:rsid w:val="00D967E6"/>
    <w:rPr>
      <w:vertAlign w:val="superscript"/>
    </w:rPr>
  </w:style>
  <w:style w:type="paragraph" w:styleId="BalloonText">
    <w:name w:val="Balloon Text"/>
    <w:basedOn w:val="Normal"/>
    <w:link w:val="BalloonTextChar"/>
    <w:uiPriority w:val="99"/>
    <w:semiHidden/>
    <w:unhideWhenUsed/>
    <w:rsid w:val="009D10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0AB"/>
    <w:rPr>
      <w:rFonts w:ascii="Segoe UI" w:hAnsi="Segoe UI" w:cs="Segoe UI"/>
      <w:sz w:val="18"/>
      <w:szCs w:val="18"/>
      <w:lang w:val="en-US"/>
    </w:rPr>
  </w:style>
  <w:style w:type="paragraph" w:styleId="IntenseQuote">
    <w:name w:val="Intense Quote"/>
    <w:basedOn w:val="Normal"/>
    <w:next w:val="Normal"/>
    <w:link w:val="IntenseQuoteChar"/>
    <w:uiPriority w:val="30"/>
    <w:qFormat/>
    <w:rsid w:val="00EB2D1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B2D1B"/>
    <w:rPr>
      <w:i/>
      <w:iCs/>
      <w:color w:val="5B9BD5" w:themeColor="accent1"/>
      <w:lang w:val="en-US"/>
    </w:rPr>
  </w:style>
  <w:style w:type="paragraph" w:styleId="Header">
    <w:name w:val="header"/>
    <w:basedOn w:val="Normal"/>
    <w:link w:val="HeaderChar"/>
    <w:uiPriority w:val="99"/>
    <w:unhideWhenUsed/>
    <w:rsid w:val="00084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F5E"/>
    <w:rPr>
      <w:lang w:val="en-US"/>
    </w:rPr>
  </w:style>
  <w:style w:type="paragraph" w:styleId="Footer">
    <w:name w:val="footer"/>
    <w:basedOn w:val="Normal"/>
    <w:link w:val="FooterChar"/>
    <w:uiPriority w:val="99"/>
    <w:unhideWhenUsed/>
    <w:rsid w:val="00084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F5E"/>
    <w:rPr>
      <w:lang w:val="en-US"/>
    </w:rPr>
  </w:style>
  <w:style w:type="character" w:styleId="Emphasis">
    <w:name w:val="Emphasis"/>
    <w:basedOn w:val="DefaultParagraphFont"/>
    <w:uiPriority w:val="20"/>
    <w:qFormat/>
    <w:rsid w:val="004F45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75911-F1BB-4594-BBE1-482C3C86C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10</Pages>
  <Words>2833</Words>
  <Characters>16153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Tamara Bowie (1601293)</cp:lastModifiedBy>
  <cp:revision>26</cp:revision>
  <cp:lastPrinted>2019-03-29T16:33:00Z</cp:lastPrinted>
  <dcterms:created xsi:type="dcterms:W3CDTF">2019-03-29T12:05:00Z</dcterms:created>
  <dcterms:modified xsi:type="dcterms:W3CDTF">2019-03-29T22:19:00Z</dcterms:modified>
</cp:coreProperties>
</file>