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4FD1D2" w14:textId="55AAEAA1" w:rsidR="00695F1C" w:rsidRDefault="5CA49FAF" w:rsidP="0DAE8C58">
      <w:pPr>
        <w:spacing w:line="257" w:lineRule="auto"/>
      </w:pPr>
      <w:r>
        <w:rPr>
          <w:noProof/>
        </w:rPr>
        <w:drawing>
          <wp:inline distT="0" distB="0" distL="0" distR="0" wp14:anchorId="54FEE63D" wp14:editId="7724AD86">
            <wp:extent cx="2619375" cy="1171575"/>
            <wp:effectExtent l="0" t="0" r="0" b="0"/>
            <wp:docPr id="1174013612" name="drawing" title="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013612" name="Picture 1174013612"/>
                    <pic:cNvPicPr/>
                  </pic:nvPicPr>
                  <pic:blipFill>
                    <a:blip r:embed="rId7">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w14:paraId="1EE802A7" w14:textId="1D75984C" w:rsidR="00695F1C" w:rsidRDefault="5CA49FAF" w:rsidP="0DAE8C58">
      <w:pPr>
        <w:spacing w:line="257" w:lineRule="auto"/>
        <w:jc w:val="center"/>
      </w:pPr>
      <w:r w:rsidRPr="0DAE8C58">
        <w:rPr>
          <w:rFonts w:ascii="Calibri" w:eastAsia="Calibri" w:hAnsi="Calibri" w:cs="Calibri"/>
          <w:b/>
          <w:bCs/>
          <w:color w:val="FF0000"/>
          <w:sz w:val="40"/>
          <w:szCs w:val="40"/>
        </w:rPr>
        <w:t xml:space="preserve"> </w:t>
      </w:r>
    </w:p>
    <w:p w14:paraId="583CC87C" w14:textId="03287469" w:rsidR="00695F1C" w:rsidRDefault="5CA49FAF" w:rsidP="0DAE8C58">
      <w:pPr>
        <w:spacing w:line="257" w:lineRule="auto"/>
        <w:jc w:val="center"/>
      </w:pPr>
      <w:r w:rsidRPr="0DAE8C58">
        <w:rPr>
          <w:rFonts w:ascii="Calibri" w:eastAsia="Calibri" w:hAnsi="Calibri" w:cs="Calibri"/>
          <w:b/>
          <w:bCs/>
          <w:color w:val="FF0000"/>
          <w:sz w:val="40"/>
          <w:szCs w:val="40"/>
        </w:rPr>
        <w:t xml:space="preserve"> </w:t>
      </w:r>
    </w:p>
    <w:p w14:paraId="35601424" w14:textId="6C1E1CC7" w:rsidR="00695F1C" w:rsidRDefault="00695F1C" w:rsidP="0DAE8C58">
      <w:pPr>
        <w:spacing w:line="257" w:lineRule="auto"/>
        <w:jc w:val="center"/>
        <w:rPr>
          <w:rFonts w:ascii="Calibri" w:eastAsia="Calibri" w:hAnsi="Calibri" w:cs="Calibri"/>
          <w:b/>
          <w:bCs/>
          <w:color w:val="FF0000"/>
          <w:sz w:val="40"/>
          <w:szCs w:val="40"/>
        </w:rPr>
      </w:pPr>
    </w:p>
    <w:p w14:paraId="17AF5F9B" w14:textId="36095201" w:rsidR="170A91A1" w:rsidRDefault="170A91A1" w:rsidP="170A91A1">
      <w:pPr>
        <w:spacing w:line="257" w:lineRule="auto"/>
        <w:jc w:val="center"/>
        <w:rPr>
          <w:rFonts w:ascii="Calibri" w:eastAsia="Calibri" w:hAnsi="Calibri" w:cs="Calibri"/>
          <w:b/>
          <w:bCs/>
          <w:color w:val="FF0000"/>
          <w:sz w:val="40"/>
          <w:szCs w:val="40"/>
        </w:rPr>
      </w:pPr>
    </w:p>
    <w:p w14:paraId="7EE991D3" w14:textId="1B8AEB3D" w:rsidR="00695F1C" w:rsidRDefault="00695F1C" w:rsidP="0DAE8C58">
      <w:pPr>
        <w:spacing w:line="257" w:lineRule="auto"/>
        <w:jc w:val="center"/>
        <w:rPr>
          <w:rFonts w:ascii="Calibri" w:eastAsia="Calibri" w:hAnsi="Calibri" w:cs="Calibri"/>
          <w:b/>
          <w:bCs/>
          <w:color w:val="FF0000"/>
          <w:sz w:val="40"/>
          <w:szCs w:val="40"/>
        </w:rPr>
      </w:pPr>
    </w:p>
    <w:p w14:paraId="6F536207" w14:textId="61B3F967" w:rsidR="00695F1C" w:rsidRDefault="65E01AD0" w:rsidP="0DAE8C58">
      <w:pPr>
        <w:spacing w:line="257" w:lineRule="auto"/>
        <w:jc w:val="center"/>
      </w:pPr>
      <w:r w:rsidRPr="170A91A1">
        <w:rPr>
          <w:rFonts w:ascii="Calibri" w:eastAsia="Calibri" w:hAnsi="Calibri" w:cs="Calibri"/>
          <w:b/>
          <w:bCs/>
          <w:color w:val="FF0000"/>
          <w:sz w:val="40"/>
          <w:szCs w:val="40"/>
        </w:rPr>
        <w:t xml:space="preserve"> </w:t>
      </w:r>
    </w:p>
    <w:p w14:paraId="0358FFA1" w14:textId="7A0A42F5" w:rsidR="00695F1C" w:rsidRDefault="5003E189" w:rsidP="170A91A1">
      <w:pPr>
        <w:spacing w:line="257" w:lineRule="auto"/>
        <w:jc w:val="center"/>
      </w:pPr>
      <w:r w:rsidRPr="170A91A1">
        <w:rPr>
          <w:b/>
          <w:bCs/>
          <w:sz w:val="36"/>
          <w:szCs w:val="36"/>
        </w:rPr>
        <w:t>COMPONENT 2 – INDIVIDUAL REPORT</w:t>
      </w:r>
    </w:p>
    <w:p w14:paraId="0629C5A1" w14:textId="62E2FBE1" w:rsidR="170A91A1" w:rsidRDefault="170A91A1" w:rsidP="170A91A1">
      <w:pPr>
        <w:spacing w:line="257" w:lineRule="auto"/>
        <w:jc w:val="center"/>
        <w:rPr>
          <w:rFonts w:ascii="Calibri" w:eastAsia="Calibri" w:hAnsi="Calibri" w:cs="Calibri"/>
          <w:sz w:val="96"/>
          <w:szCs w:val="96"/>
        </w:rPr>
      </w:pPr>
    </w:p>
    <w:p w14:paraId="3C23E5F0" w14:textId="6F52D16E" w:rsidR="65E01AD0" w:rsidRDefault="65E01AD0" w:rsidP="170A91A1">
      <w:pPr>
        <w:spacing w:line="257" w:lineRule="auto"/>
        <w:jc w:val="center"/>
      </w:pPr>
      <w:r w:rsidRPr="170A91A1">
        <w:rPr>
          <w:rFonts w:ascii="Calibri" w:eastAsia="Calibri" w:hAnsi="Calibri" w:cs="Calibri"/>
          <w:sz w:val="96"/>
          <w:szCs w:val="96"/>
        </w:rPr>
        <w:t xml:space="preserve"> </w:t>
      </w:r>
    </w:p>
    <w:p w14:paraId="0E55C856" w14:textId="3E562105" w:rsidR="170A91A1" w:rsidRDefault="170A91A1" w:rsidP="170A91A1">
      <w:pPr>
        <w:spacing w:line="276" w:lineRule="auto"/>
        <w:rPr>
          <w:rFonts w:ascii="Arial" w:eastAsia="Arial" w:hAnsi="Arial" w:cs="Arial"/>
          <w:b/>
          <w:bCs/>
          <w:sz w:val="22"/>
          <w:szCs w:val="22"/>
        </w:rPr>
      </w:pPr>
    </w:p>
    <w:p w14:paraId="3AAA2E9D" w14:textId="7E5EB914" w:rsidR="170A91A1" w:rsidRDefault="170A91A1" w:rsidP="170A91A1">
      <w:pPr>
        <w:spacing w:line="276" w:lineRule="auto"/>
        <w:rPr>
          <w:rFonts w:ascii="Arial" w:eastAsia="Arial" w:hAnsi="Arial" w:cs="Arial"/>
          <w:b/>
          <w:bCs/>
          <w:sz w:val="22"/>
          <w:szCs w:val="22"/>
        </w:rPr>
      </w:pPr>
    </w:p>
    <w:p w14:paraId="746A3289" w14:textId="6002ABDE" w:rsidR="170A91A1" w:rsidRDefault="170A91A1" w:rsidP="170A91A1">
      <w:pPr>
        <w:spacing w:line="276" w:lineRule="auto"/>
        <w:rPr>
          <w:rFonts w:ascii="Arial" w:eastAsia="Arial" w:hAnsi="Arial" w:cs="Arial"/>
          <w:b/>
          <w:bCs/>
          <w:sz w:val="22"/>
          <w:szCs w:val="22"/>
        </w:rPr>
      </w:pPr>
    </w:p>
    <w:p w14:paraId="22F32646" w14:textId="46415B39" w:rsidR="170A91A1" w:rsidRDefault="170A91A1" w:rsidP="170A91A1">
      <w:pPr>
        <w:spacing w:line="276" w:lineRule="auto"/>
        <w:rPr>
          <w:rFonts w:ascii="Arial" w:eastAsia="Arial" w:hAnsi="Arial" w:cs="Arial"/>
          <w:b/>
          <w:bCs/>
          <w:sz w:val="22"/>
          <w:szCs w:val="22"/>
        </w:rPr>
      </w:pPr>
    </w:p>
    <w:p w14:paraId="608C133F" w14:textId="77777777" w:rsidR="00D117DE" w:rsidRDefault="00D117DE" w:rsidP="170A91A1">
      <w:pPr>
        <w:spacing w:line="276" w:lineRule="auto"/>
        <w:rPr>
          <w:rFonts w:ascii="Arial" w:eastAsia="Arial" w:hAnsi="Arial" w:cs="Arial"/>
          <w:b/>
          <w:bCs/>
          <w:sz w:val="22"/>
          <w:szCs w:val="22"/>
        </w:rPr>
      </w:pPr>
    </w:p>
    <w:p w14:paraId="2695BA5D" w14:textId="77777777" w:rsidR="00D117DE" w:rsidRDefault="00D117DE" w:rsidP="170A91A1">
      <w:pPr>
        <w:spacing w:line="276" w:lineRule="auto"/>
        <w:rPr>
          <w:rFonts w:ascii="Arial" w:eastAsia="Arial" w:hAnsi="Arial" w:cs="Arial"/>
          <w:b/>
          <w:bCs/>
          <w:sz w:val="22"/>
          <w:szCs w:val="22"/>
        </w:rPr>
      </w:pPr>
    </w:p>
    <w:p w14:paraId="083DEA52" w14:textId="77777777" w:rsidR="00D117DE" w:rsidRDefault="00D117DE" w:rsidP="170A91A1">
      <w:pPr>
        <w:spacing w:line="276" w:lineRule="auto"/>
        <w:rPr>
          <w:rFonts w:ascii="Arial" w:eastAsia="Arial" w:hAnsi="Arial" w:cs="Arial"/>
          <w:b/>
          <w:bCs/>
          <w:sz w:val="22"/>
          <w:szCs w:val="22"/>
        </w:rPr>
      </w:pPr>
    </w:p>
    <w:p w14:paraId="6C656D64" w14:textId="77777777" w:rsidR="00D117DE" w:rsidRDefault="00D117DE" w:rsidP="170A91A1">
      <w:pPr>
        <w:spacing w:line="276" w:lineRule="auto"/>
        <w:rPr>
          <w:rFonts w:ascii="Arial" w:eastAsia="Arial" w:hAnsi="Arial" w:cs="Arial"/>
          <w:b/>
          <w:bCs/>
          <w:sz w:val="22"/>
          <w:szCs w:val="22"/>
        </w:rPr>
      </w:pPr>
    </w:p>
    <w:p w14:paraId="1EE48F3A" w14:textId="4B879EAE" w:rsidR="00695F1C" w:rsidRDefault="5CA49FAF" w:rsidP="0DAE8C58">
      <w:pPr>
        <w:spacing w:line="276" w:lineRule="auto"/>
      </w:pPr>
      <w:r w:rsidRPr="0DAE8C58">
        <w:rPr>
          <w:rFonts w:ascii="Arial" w:eastAsia="Arial" w:hAnsi="Arial" w:cs="Arial"/>
          <w:b/>
          <w:bCs/>
          <w:sz w:val="22"/>
          <w:szCs w:val="22"/>
        </w:rPr>
        <w:t>Student Name: ROSA PIMINCHUMO DE ZARCZYNSKI</w:t>
      </w:r>
    </w:p>
    <w:p w14:paraId="4264C6C9" w14:textId="5C040E8F" w:rsidR="00695F1C" w:rsidRDefault="5CA49FAF" w:rsidP="0DAE8C58">
      <w:pPr>
        <w:spacing w:line="276" w:lineRule="auto"/>
      </w:pPr>
      <w:r w:rsidRPr="0DAE8C58">
        <w:rPr>
          <w:rFonts w:ascii="Arial" w:eastAsia="Arial" w:hAnsi="Arial" w:cs="Arial"/>
          <w:b/>
          <w:bCs/>
          <w:sz w:val="22"/>
          <w:szCs w:val="22"/>
        </w:rPr>
        <w:t>Student ID: 2436125</w:t>
      </w:r>
    </w:p>
    <w:p w14:paraId="3D15BB39" w14:textId="611AA3DF" w:rsidR="00695F1C" w:rsidRDefault="5CA49FAF" w:rsidP="0DAE8C58">
      <w:pPr>
        <w:spacing w:line="276" w:lineRule="auto"/>
      </w:pPr>
      <w:r w:rsidRPr="0DAE8C58">
        <w:rPr>
          <w:rFonts w:ascii="Arial" w:eastAsia="Arial" w:hAnsi="Arial" w:cs="Arial"/>
          <w:b/>
          <w:bCs/>
          <w:sz w:val="22"/>
          <w:szCs w:val="22"/>
        </w:rPr>
        <w:t>Module Code: LCLM</w:t>
      </w:r>
      <w:r w:rsidR="17C4DF21" w:rsidRPr="0DAE8C58">
        <w:rPr>
          <w:rFonts w:ascii="Arial" w:eastAsia="Arial" w:hAnsi="Arial" w:cs="Arial"/>
          <w:b/>
          <w:bCs/>
          <w:sz w:val="22"/>
          <w:szCs w:val="22"/>
        </w:rPr>
        <w:t>5</w:t>
      </w:r>
      <w:r w:rsidRPr="0DAE8C58">
        <w:rPr>
          <w:rFonts w:ascii="Arial" w:eastAsia="Arial" w:hAnsi="Arial" w:cs="Arial"/>
          <w:b/>
          <w:bCs/>
          <w:sz w:val="22"/>
          <w:szCs w:val="22"/>
        </w:rPr>
        <w:t>001</w:t>
      </w:r>
    </w:p>
    <w:p w14:paraId="579D74B2" w14:textId="7345051E" w:rsidR="65E01AD0" w:rsidRDefault="65E01AD0" w:rsidP="170A91A1">
      <w:pPr>
        <w:spacing w:line="276" w:lineRule="auto"/>
      </w:pPr>
      <w:r w:rsidRPr="170A91A1">
        <w:rPr>
          <w:rFonts w:ascii="Arial" w:eastAsia="Arial" w:hAnsi="Arial" w:cs="Arial"/>
          <w:b/>
          <w:bCs/>
          <w:sz w:val="22"/>
          <w:szCs w:val="22"/>
        </w:rPr>
        <w:t xml:space="preserve">Module: </w:t>
      </w:r>
      <w:r w:rsidR="097D9804" w:rsidRPr="170A91A1">
        <w:rPr>
          <w:rFonts w:ascii="Arial" w:eastAsia="Arial" w:hAnsi="Arial" w:cs="Arial"/>
          <w:b/>
          <w:bCs/>
          <w:sz w:val="22"/>
          <w:szCs w:val="22"/>
        </w:rPr>
        <w:t>Developing and Managing Individual and Teams</w:t>
      </w:r>
    </w:p>
    <w:p w14:paraId="53CBAC52" w14:textId="4901F292" w:rsidR="00695F1C" w:rsidRDefault="65E01AD0" w:rsidP="170A91A1">
      <w:pPr>
        <w:spacing w:line="257" w:lineRule="auto"/>
        <w:rPr>
          <w:rFonts w:ascii="Arial" w:eastAsia="Arial" w:hAnsi="Arial" w:cs="Arial"/>
          <w:b/>
          <w:bCs/>
          <w:color w:val="000000" w:themeColor="text1"/>
          <w:sz w:val="23"/>
          <w:szCs w:val="23"/>
          <w:lang w:val="en-US"/>
        </w:rPr>
      </w:pPr>
      <w:r w:rsidRPr="170A91A1">
        <w:rPr>
          <w:rFonts w:ascii="Arial" w:eastAsia="Arial" w:hAnsi="Arial" w:cs="Arial"/>
          <w:b/>
          <w:bCs/>
          <w:sz w:val="22"/>
          <w:szCs w:val="22"/>
        </w:rPr>
        <w:t>Lecturer:</w:t>
      </w:r>
      <w:r w:rsidRPr="170A91A1">
        <w:rPr>
          <w:rFonts w:ascii="Arial" w:eastAsia="Arial" w:hAnsi="Arial" w:cs="Arial"/>
          <w:color w:val="242130"/>
          <w:sz w:val="22"/>
          <w:szCs w:val="22"/>
        </w:rPr>
        <w:t xml:space="preserve"> </w:t>
      </w:r>
      <w:r w:rsidR="0D7F9592" w:rsidRPr="170A91A1">
        <w:rPr>
          <w:rFonts w:ascii="Arial" w:eastAsia="Arial" w:hAnsi="Arial" w:cs="Arial"/>
          <w:b/>
          <w:bCs/>
          <w:color w:val="000000" w:themeColor="text1"/>
          <w:sz w:val="23"/>
          <w:szCs w:val="23"/>
          <w:lang w:val="en-US"/>
        </w:rPr>
        <w:t xml:space="preserve">Mohammad </w:t>
      </w:r>
      <w:r w:rsidR="5AB85907" w:rsidRPr="170A91A1">
        <w:rPr>
          <w:rFonts w:ascii="Arial" w:eastAsia="Arial" w:hAnsi="Arial" w:cs="Arial"/>
          <w:b/>
          <w:bCs/>
          <w:color w:val="000000" w:themeColor="text1"/>
          <w:sz w:val="23"/>
          <w:szCs w:val="23"/>
          <w:lang w:val="en-US"/>
        </w:rPr>
        <w:t>Rahman</w:t>
      </w:r>
    </w:p>
    <w:p w14:paraId="1A835DD0" w14:textId="1C30D509" w:rsidR="117DCC2E" w:rsidRDefault="117DCC2E" w:rsidP="0DAE8C58">
      <w:pPr>
        <w:spacing w:line="360" w:lineRule="auto"/>
        <w:jc w:val="center"/>
        <w:rPr>
          <w:rFonts w:ascii="Arial" w:eastAsia="Arial" w:hAnsi="Arial" w:cs="Arial"/>
          <w:color w:val="000000" w:themeColor="text1"/>
          <w:sz w:val="22"/>
          <w:szCs w:val="22"/>
        </w:rPr>
      </w:pPr>
      <w:r w:rsidRPr="0DAE8C58">
        <w:rPr>
          <w:rFonts w:ascii="Arial" w:eastAsia="Arial" w:hAnsi="Arial" w:cs="Arial"/>
          <w:b/>
          <w:bCs/>
          <w:color w:val="000000" w:themeColor="text1"/>
          <w:sz w:val="22"/>
          <w:szCs w:val="22"/>
          <w:lang w:val="en-US"/>
        </w:rPr>
        <w:lastRenderedPageBreak/>
        <w:t>Table of Contents</w:t>
      </w:r>
    </w:p>
    <w:p w14:paraId="7521AF56" w14:textId="7DB0A42D" w:rsidR="0DAE8C58" w:rsidRDefault="0DAE8C58" w:rsidP="0DAE8C58">
      <w:pPr>
        <w:spacing w:line="360" w:lineRule="auto"/>
        <w:jc w:val="both"/>
        <w:rPr>
          <w:rFonts w:ascii="Arial" w:eastAsia="Arial" w:hAnsi="Arial" w:cs="Arial"/>
          <w:color w:val="000000" w:themeColor="text1"/>
          <w:sz w:val="22"/>
          <w:szCs w:val="22"/>
        </w:rPr>
      </w:pPr>
    </w:p>
    <w:p w14:paraId="72E54075" w14:textId="58BA697A" w:rsidR="117DCC2E" w:rsidRDefault="46405B4C" w:rsidP="170A91A1">
      <w:pPr>
        <w:spacing w:line="360" w:lineRule="auto"/>
        <w:jc w:val="both"/>
        <w:rPr>
          <w:rFonts w:ascii="Arial" w:eastAsia="Arial" w:hAnsi="Arial" w:cs="Arial"/>
          <w:color w:val="000000" w:themeColor="text1"/>
          <w:sz w:val="22"/>
          <w:szCs w:val="22"/>
        </w:rPr>
      </w:pPr>
      <w:r w:rsidRPr="170A91A1">
        <w:rPr>
          <w:rFonts w:ascii="Arial" w:eastAsia="Arial" w:hAnsi="Arial" w:cs="Arial"/>
          <w:b/>
          <w:bCs/>
          <w:color w:val="000000" w:themeColor="text1"/>
          <w:sz w:val="22"/>
          <w:szCs w:val="22"/>
          <w:lang w:val="en-US"/>
        </w:rPr>
        <w:t>1.0.</w:t>
      </w:r>
      <w:r w:rsidR="117DCC2E">
        <w:tab/>
      </w:r>
      <w:r w:rsidRPr="170A91A1">
        <w:rPr>
          <w:rFonts w:ascii="Arial" w:eastAsia="Arial" w:hAnsi="Arial" w:cs="Arial"/>
          <w:b/>
          <w:bCs/>
          <w:color w:val="000000" w:themeColor="text1"/>
          <w:sz w:val="22"/>
          <w:szCs w:val="22"/>
          <w:lang w:val="en-US"/>
        </w:rPr>
        <w:t xml:space="preserve">Introduction </w:t>
      </w:r>
    </w:p>
    <w:p w14:paraId="500DFF67" w14:textId="18B0B2A1" w:rsidR="117DCC2E" w:rsidRDefault="46405B4C" w:rsidP="170A91A1">
      <w:pPr>
        <w:spacing w:line="360" w:lineRule="auto"/>
        <w:jc w:val="both"/>
        <w:rPr>
          <w:b/>
          <w:bCs/>
          <w:color w:val="000000" w:themeColor="text1"/>
          <w:sz w:val="22"/>
          <w:szCs w:val="22"/>
          <w:lang w:val="en-US"/>
        </w:rPr>
      </w:pPr>
      <w:r w:rsidRPr="170A91A1">
        <w:rPr>
          <w:b/>
          <w:bCs/>
          <w:color w:val="000000" w:themeColor="text1"/>
          <w:sz w:val="22"/>
          <w:szCs w:val="22"/>
          <w:lang w:val="en-US"/>
        </w:rPr>
        <w:t>2.0</w:t>
      </w:r>
      <w:r w:rsidR="117DCC2E">
        <w:tab/>
      </w:r>
      <w:r w:rsidR="0709369F" w:rsidRPr="170A91A1">
        <w:rPr>
          <w:b/>
          <w:bCs/>
          <w:color w:val="000000" w:themeColor="text1"/>
          <w:sz w:val="22"/>
          <w:szCs w:val="22"/>
          <w:lang w:val="en-US"/>
        </w:rPr>
        <w:t>Explanation of Key Factors</w:t>
      </w:r>
    </w:p>
    <w:p w14:paraId="3AD7B3A4" w14:textId="282BFC4E" w:rsidR="5C2EF96B" w:rsidRDefault="5C2EF96B" w:rsidP="00456125">
      <w:pPr>
        <w:spacing w:line="360" w:lineRule="auto"/>
        <w:ind w:firstLine="720"/>
        <w:jc w:val="both"/>
        <w:rPr>
          <w:b/>
          <w:bCs/>
          <w:sz w:val="22"/>
          <w:szCs w:val="22"/>
          <w:lang w:val="en-US"/>
        </w:rPr>
      </w:pPr>
      <w:r w:rsidRPr="170A91A1">
        <w:rPr>
          <w:b/>
          <w:bCs/>
          <w:sz w:val="22"/>
          <w:szCs w:val="22"/>
          <w:lang w:val="en-US"/>
        </w:rPr>
        <w:t>Adapting to technological advancements</w:t>
      </w:r>
    </w:p>
    <w:p w14:paraId="1369DEC7" w14:textId="24A333FA" w:rsidR="5C2EF96B" w:rsidRDefault="5C2EF96B" w:rsidP="170A91A1">
      <w:pPr>
        <w:spacing w:line="360" w:lineRule="auto"/>
        <w:ind w:firstLine="720"/>
        <w:jc w:val="both"/>
        <w:rPr>
          <w:b/>
          <w:bCs/>
          <w:sz w:val="22"/>
          <w:szCs w:val="22"/>
          <w:lang w:val="en-US"/>
        </w:rPr>
      </w:pPr>
      <w:r w:rsidRPr="170A91A1">
        <w:rPr>
          <w:b/>
          <w:bCs/>
          <w:sz w:val="22"/>
          <w:szCs w:val="22"/>
          <w:lang w:val="en-US"/>
        </w:rPr>
        <w:t>Talent acquisition and retention</w:t>
      </w:r>
    </w:p>
    <w:p w14:paraId="213E69E2" w14:textId="3C013B48" w:rsidR="5C2EF96B" w:rsidRDefault="5C2EF96B" w:rsidP="170A91A1">
      <w:pPr>
        <w:spacing w:line="360" w:lineRule="auto"/>
        <w:ind w:firstLine="720"/>
        <w:jc w:val="both"/>
        <w:rPr>
          <w:b/>
          <w:bCs/>
          <w:sz w:val="22"/>
          <w:szCs w:val="22"/>
          <w:lang w:val="en-US"/>
        </w:rPr>
      </w:pPr>
      <w:r w:rsidRPr="170A91A1">
        <w:rPr>
          <w:b/>
          <w:bCs/>
          <w:sz w:val="22"/>
          <w:szCs w:val="22"/>
          <w:lang w:val="en-US"/>
        </w:rPr>
        <w:t>Diversity, Equity, and Inclusion (DEI)</w:t>
      </w:r>
    </w:p>
    <w:p w14:paraId="1AE9C64B" w14:textId="0C59E927" w:rsidR="117DCC2E" w:rsidRDefault="46405B4C" w:rsidP="170A91A1">
      <w:pPr>
        <w:spacing w:line="360" w:lineRule="auto"/>
        <w:jc w:val="both"/>
        <w:rPr>
          <w:b/>
          <w:bCs/>
          <w:sz w:val="22"/>
          <w:szCs w:val="22"/>
        </w:rPr>
      </w:pPr>
      <w:r w:rsidRPr="170A91A1">
        <w:rPr>
          <w:b/>
          <w:bCs/>
          <w:color w:val="000000" w:themeColor="text1"/>
          <w:sz w:val="22"/>
          <w:szCs w:val="22"/>
          <w:lang w:val="en-US"/>
        </w:rPr>
        <w:t>3.0</w:t>
      </w:r>
      <w:r w:rsidR="117DCC2E">
        <w:tab/>
      </w:r>
      <w:r w:rsidR="76181CE4" w:rsidRPr="170A91A1">
        <w:rPr>
          <w:b/>
          <w:bCs/>
          <w:sz w:val="22"/>
          <w:szCs w:val="22"/>
        </w:rPr>
        <w:t>Evaluation of Contemporary HR Practices</w:t>
      </w:r>
    </w:p>
    <w:p w14:paraId="76EBE59B" w14:textId="3C85E104" w:rsidR="602DACF5" w:rsidRDefault="602DACF5" w:rsidP="170A91A1">
      <w:pPr>
        <w:spacing w:line="360" w:lineRule="auto"/>
        <w:ind w:left="720"/>
        <w:jc w:val="both"/>
        <w:rPr>
          <w:b/>
          <w:bCs/>
          <w:sz w:val="22"/>
          <w:szCs w:val="22"/>
        </w:rPr>
      </w:pPr>
      <w:r w:rsidRPr="170A91A1">
        <w:rPr>
          <w:b/>
          <w:bCs/>
          <w:sz w:val="22"/>
          <w:szCs w:val="22"/>
        </w:rPr>
        <w:t xml:space="preserve">Digital HR systems and workforce analytics </w:t>
      </w:r>
    </w:p>
    <w:p w14:paraId="270940B0" w14:textId="00D5128B" w:rsidR="602DACF5" w:rsidRDefault="602DACF5" w:rsidP="170A91A1">
      <w:pPr>
        <w:spacing w:line="360" w:lineRule="auto"/>
        <w:ind w:left="720"/>
        <w:jc w:val="both"/>
        <w:rPr>
          <w:b/>
          <w:bCs/>
          <w:sz w:val="22"/>
          <w:szCs w:val="22"/>
        </w:rPr>
      </w:pPr>
      <w:r w:rsidRPr="170A91A1">
        <w:rPr>
          <w:b/>
          <w:bCs/>
          <w:sz w:val="22"/>
          <w:szCs w:val="22"/>
        </w:rPr>
        <w:t>Employer branding and strategic workforce planning</w:t>
      </w:r>
    </w:p>
    <w:p w14:paraId="05746576" w14:textId="4475F798" w:rsidR="602DACF5" w:rsidRDefault="602DACF5" w:rsidP="170A91A1">
      <w:pPr>
        <w:spacing w:line="360" w:lineRule="auto"/>
        <w:ind w:left="720"/>
        <w:jc w:val="both"/>
        <w:rPr>
          <w:b/>
          <w:bCs/>
          <w:sz w:val="22"/>
          <w:szCs w:val="22"/>
        </w:rPr>
      </w:pPr>
      <w:r w:rsidRPr="170A91A1">
        <w:rPr>
          <w:b/>
          <w:bCs/>
          <w:sz w:val="22"/>
          <w:szCs w:val="22"/>
        </w:rPr>
        <w:t>Employee engagement and retention strategies</w:t>
      </w:r>
    </w:p>
    <w:p w14:paraId="6D662709" w14:textId="16866D67" w:rsidR="602DACF5" w:rsidRDefault="602DACF5" w:rsidP="170A91A1">
      <w:pPr>
        <w:spacing w:line="360" w:lineRule="auto"/>
        <w:ind w:left="720"/>
        <w:jc w:val="both"/>
        <w:rPr>
          <w:b/>
          <w:bCs/>
          <w:sz w:val="22"/>
          <w:szCs w:val="22"/>
        </w:rPr>
      </w:pPr>
      <w:r w:rsidRPr="170A91A1">
        <w:rPr>
          <w:b/>
          <w:bCs/>
          <w:sz w:val="22"/>
          <w:szCs w:val="22"/>
        </w:rPr>
        <w:t>Inclusive recruitment practices</w:t>
      </w:r>
    </w:p>
    <w:p w14:paraId="4A1355B6" w14:textId="27A1C945" w:rsidR="602DACF5" w:rsidRDefault="602DACF5" w:rsidP="170A91A1">
      <w:pPr>
        <w:spacing w:line="360" w:lineRule="auto"/>
        <w:ind w:left="720"/>
        <w:jc w:val="both"/>
        <w:rPr>
          <w:b/>
          <w:bCs/>
          <w:sz w:val="22"/>
          <w:szCs w:val="22"/>
        </w:rPr>
      </w:pPr>
      <w:r w:rsidRPr="170A91A1">
        <w:rPr>
          <w:b/>
          <w:bCs/>
          <w:sz w:val="22"/>
          <w:szCs w:val="22"/>
        </w:rPr>
        <w:t>DEI policies and leadership development initiatives</w:t>
      </w:r>
    </w:p>
    <w:p w14:paraId="1B59A318" w14:textId="6772D871" w:rsidR="117DCC2E" w:rsidRDefault="46405B4C" w:rsidP="170A91A1">
      <w:pPr>
        <w:spacing w:line="360" w:lineRule="auto"/>
        <w:jc w:val="both"/>
        <w:rPr>
          <w:b/>
          <w:bCs/>
          <w:sz w:val="22"/>
          <w:szCs w:val="22"/>
        </w:rPr>
      </w:pPr>
      <w:r w:rsidRPr="170A91A1">
        <w:rPr>
          <w:b/>
          <w:bCs/>
          <w:color w:val="000000" w:themeColor="text1"/>
          <w:sz w:val="22"/>
          <w:szCs w:val="22"/>
          <w:lang w:val="en-US"/>
        </w:rPr>
        <w:t>4.0</w:t>
      </w:r>
      <w:r w:rsidR="117DCC2E">
        <w:tab/>
      </w:r>
      <w:r w:rsidR="10AA5DE9" w:rsidRPr="170A91A1">
        <w:rPr>
          <w:b/>
          <w:bCs/>
          <w:sz w:val="22"/>
          <w:szCs w:val="22"/>
        </w:rPr>
        <w:t xml:space="preserve">Critical Evaluation of Managerial Implementation </w:t>
      </w:r>
    </w:p>
    <w:p w14:paraId="02D715D2" w14:textId="2123E118" w:rsidR="10AA5DE9" w:rsidRDefault="10AA5DE9" w:rsidP="170A91A1">
      <w:pPr>
        <w:spacing w:line="360" w:lineRule="auto"/>
        <w:ind w:left="720"/>
        <w:jc w:val="both"/>
        <w:rPr>
          <w:b/>
          <w:bCs/>
          <w:sz w:val="22"/>
          <w:szCs w:val="22"/>
        </w:rPr>
      </w:pPr>
      <w:r w:rsidRPr="170A91A1">
        <w:rPr>
          <w:b/>
          <w:bCs/>
          <w:sz w:val="22"/>
          <w:szCs w:val="22"/>
        </w:rPr>
        <w:t>Leadership accountability</w:t>
      </w:r>
    </w:p>
    <w:p w14:paraId="7C360F95" w14:textId="4957EA8A" w:rsidR="10AA5DE9" w:rsidRDefault="10AA5DE9" w:rsidP="170A91A1">
      <w:pPr>
        <w:spacing w:line="360" w:lineRule="auto"/>
        <w:ind w:left="720"/>
        <w:jc w:val="both"/>
        <w:rPr>
          <w:b/>
          <w:bCs/>
          <w:sz w:val="22"/>
          <w:szCs w:val="22"/>
        </w:rPr>
      </w:pPr>
      <w:r w:rsidRPr="170A91A1">
        <w:rPr>
          <w:b/>
          <w:bCs/>
          <w:sz w:val="22"/>
          <w:szCs w:val="22"/>
        </w:rPr>
        <w:t xml:space="preserve">Communication strategies </w:t>
      </w:r>
    </w:p>
    <w:p w14:paraId="34F496F4" w14:textId="4E6C8421" w:rsidR="10AA5DE9" w:rsidRDefault="10AA5DE9" w:rsidP="170A91A1">
      <w:pPr>
        <w:spacing w:line="360" w:lineRule="auto"/>
        <w:ind w:left="720"/>
        <w:jc w:val="both"/>
        <w:rPr>
          <w:b/>
          <w:bCs/>
          <w:sz w:val="22"/>
          <w:szCs w:val="22"/>
        </w:rPr>
      </w:pPr>
      <w:r w:rsidRPr="170A91A1">
        <w:rPr>
          <w:b/>
          <w:bCs/>
          <w:sz w:val="22"/>
          <w:szCs w:val="22"/>
        </w:rPr>
        <w:t xml:space="preserve">Monitoring and performance measurement </w:t>
      </w:r>
    </w:p>
    <w:p w14:paraId="18892C42" w14:textId="7A686DC3" w:rsidR="10AA5DE9" w:rsidRDefault="10AA5DE9" w:rsidP="170A91A1">
      <w:pPr>
        <w:spacing w:line="360" w:lineRule="auto"/>
        <w:ind w:left="720"/>
        <w:jc w:val="both"/>
        <w:rPr>
          <w:b/>
          <w:bCs/>
          <w:sz w:val="22"/>
          <w:szCs w:val="22"/>
        </w:rPr>
      </w:pPr>
      <w:r w:rsidRPr="170A91A1">
        <w:rPr>
          <w:b/>
          <w:bCs/>
          <w:sz w:val="22"/>
          <w:szCs w:val="22"/>
        </w:rPr>
        <w:t xml:space="preserve">Organisational culture </w:t>
      </w:r>
    </w:p>
    <w:p w14:paraId="38BC3D6E" w14:textId="3FDEA1EE" w:rsidR="10AA5DE9" w:rsidRDefault="10AA5DE9" w:rsidP="170A91A1">
      <w:pPr>
        <w:spacing w:line="360" w:lineRule="auto"/>
        <w:ind w:left="720"/>
        <w:jc w:val="both"/>
        <w:rPr>
          <w:b/>
          <w:bCs/>
          <w:sz w:val="22"/>
          <w:szCs w:val="22"/>
        </w:rPr>
      </w:pPr>
      <w:r w:rsidRPr="170A91A1">
        <w:rPr>
          <w:b/>
          <w:bCs/>
          <w:sz w:val="22"/>
          <w:szCs w:val="22"/>
        </w:rPr>
        <w:t>Barriers to implementation and how they can be overcome</w:t>
      </w:r>
    </w:p>
    <w:p w14:paraId="75B31450" w14:textId="3B4517F3" w:rsidR="117DCC2E" w:rsidRDefault="014B9802" w:rsidP="170A91A1">
      <w:pPr>
        <w:spacing w:line="360" w:lineRule="auto"/>
        <w:jc w:val="both"/>
        <w:rPr>
          <w:rFonts w:ascii="Arial" w:eastAsia="Arial" w:hAnsi="Arial" w:cs="Arial"/>
          <w:color w:val="000000" w:themeColor="text1"/>
          <w:sz w:val="22"/>
          <w:szCs w:val="22"/>
        </w:rPr>
      </w:pPr>
      <w:r w:rsidRPr="170A91A1">
        <w:rPr>
          <w:rFonts w:ascii="Arial" w:eastAsia="Arial" w:hAnsi="Arial" w:cs="Arial"/>
          <w:b/>
          <w:bCs/>
          <w:color w:val="000000" w:themeColor="text1"/>
          <w:sz w:val="22"/>
          <w:szCs w:val="22"/>
          <w:lang w:val="en-US"/>
        </w:rPr>
        <w:t>5</w:t>
      </w:r>
      <w:r w:rsidR="46405B4C" w:rsidRPr="170A91A1">
        <w:rPr>
          <w:rFonts w:ascii="Arial" w:eastAsia="Arial" w:hAnsi="Arial" w:cs="Arial"/>
          <w:b/>
          <w:bCs/>
          <w:color w:val="000000" w:themeColor="text1"/>
          <w:sz w:val="22"/>
          <w:szCs w:val="22"/>
          <w:lang w:val="en-US"/>
        </w:rPr>
        <w:t>.0</w:t>
      </w:r>
      <w:r w:rsidR="117DCC2E">
        <w:tab/>
      </w:r>
      <w:r w:rsidR="46405B4C" w:rsidRPr="170A91A1">
        <w:rPr>
          <w:rFonts w:ascii="Arial" w:eastAsia="Arial" w:hAnsi="Arial" w:cs="Arial"/>
          <w:b/>
          <w:bCs/>
          <w:color w:val="000000" w:themeColor="text1"/>
          <w:sz w:val="22"/>
          <w:szCs w:val="22"/>
          <w:lang w:val="en-US"/>
        </w:rPr>
        <w:t>Recommendation</w:t>
      </w:r>
    </w:p>
    <w:p w14:paraId="75D1D301" w14:textId="19170764" w:rsidR="4AF4834B" w:rsidRDefault="197285FC" w:rsidP="170A91A1">
      <w:pPr>
        <w:spacing w:line="360" w:lineRule="auto"/>
        <w:jc w:val="both"/>
        <w:rPr>
          <w:rFonts w:ascii="Arial" w:eastAsia="Arial" w:hAnsi="Arial" w:cs="Arial"/>
          <w:color w:val="000000" w:themeColor="text1"/>
          <w:sz w:val="22"/>
          <w:szCs w:val="22"/>
        </w:rPr>
      </w:pPr>
      <w:r w:rsidRPr="170A91A1">
        <w:rPr>
          <w:rFonts w:ascii="Arial" w:eastAsia="Arial" w:hAnsi="Arial" w:cs="Arial"/>
          <w:b/>
          <w:bCs/>
          <w:color w:val="000000" w:themeColor="text1"/>
          <w:sz w:val="22"/>
          <w:szCs w:val="22"/>
          <w:lang w:val="en-US"/>
        </w:rPr>
        <w:t>6</w:t>
      </w:r>
      <w:r w:rsidR="7873C72E" w:rsidRPr="170A91A1">
        <w:rPr>
          <w:rFonts w:ascii="Arial" w:eastAsia="Arial" w:hAnsi="Arial" w:cs="Arial"/>
          <w:b/>
          <w:bCs/>
          <w:color w:val="000000" w:themeColor="text1"/>
          <w:sz w:val="22"/>
          <w:szCs w:val="22"/>
          <w:lang w:val="en-US"/>
        </w:rPr>
        <w:t>.0</w:t>
      </w:r>
      <w:r w:rsidR="4AF4834B">
        <w:tab/>
      </w:r>
      <w:r w:rsidR="46405B4C" w:rsidRPr="170A91A1">
        <w:rPr>
          <w:rFonts w:ascii="Arial" w:eastAsia="Arial" w:hAnsi="Arial" w:cs="Arial"/>
          <w:b/>
          <w:bCs/>
          <w:color w:val="000000" w:themeColor="text1"/>
          <w:sz w:val="22"/>
          <w:szCs w:val="22"/>
          <w:lang w:val="en-US"/>
        </w:rPr>
        <w:t>Conclusion</w:t>
      </w:r>
    </w:p>
    <w:p w14:paraId="551C2DAE" w14:textId="66FE6F84" w:rsidR="008A1341" w:rsidRDefault="258E3B80" w:rsidP="170A91A1">
      <w:pPr>
        <w:spacing w:line="360" w:lineRule="auto"/>
        <w:jc w:val="both"/>
        <w:rPr>
          <w:rFonts w:ascii="Arial" w:eastAsia="Arial" w:hAnsi="Arial" w:cs="Arial"/>
          <w:color w:val="000000" w:themeColor="text1"/>
          <w:sz w:val="22"/>
          <w:szCs w:val="22"/>
        </w:rPr>
      </w:pPr>
      <w:r w:rsidRPr="170A91A1">
        <w:rPr>
          <w:rFonts w:ascii="Arial" w:eastAsia="Arial" w:hAnsi="Arial" w:cs="Arial"/>
          <w:b/>
          <w:bCs/>
          <w:color w:val="000000" w:themeColor="text1"/>
          <w:sz w:val="22"/>
          <w:szCs w:val="22"/>
          <w:lang w:val="en-US"/>
        </w:rPr>
        <w:t>7</w:t>
      </w:r>
      <w:r w:rsidR="31E2CB68" w:rsidRPr="170A91A1">
        <w:rPr>
          <w:rFonts w:ascii="Arial" w:eastAsia="Arial" w:hAnsi="Arial" w:cs="Arial"/>
          <w:b/>
          <w:bCs/>
          <w:color w:val="000000" w:themeColor="text1"/>
          <w:sz w:val="22"/>
          <w:szCs w:val="22"/>
          <w:lang w:val="en-US"/>
        </w:rPr>
        <w:t>.0</w:t>
      </w:r>
      <w:r w:rsidR="008A1341">
        <w:tab/>
      </w:r>
      <w:r w:rsidR="46405B4C" w:rsidRPr="170A91A1">
        <w:rPr>
          <w:rFonts w:ascii="Arial" w:eastAsia="Arial" w:hAnsi="Arial" w:cs="Arial"/>
          <w:b/>
          <w:bCs/>
          <w:color w:val="000000" w:themeColor="text1"/>
          <w:sz w:val="22"/>
          <w:szCs w:val="22"/>
          <w:lang w:val="en-US"/>
        </w:rPr>
        <w:t>References</w:t>
      </w:r>
    </w:p>
    <w:p w14:paraId="41009497" w14:textId="7EFFF953" w:rsidR="0DAE8C58" w:rsidRDefault="0DAE8C58" w:rsidP="0DAE8C58">
      <w:pPr>
        <w:spacing w:line="360" w:lineRule="auto"/>
        <w:rPr>
          <w:sz w:val="22"/>
          <w:szCs w:val="22"/>
        </w:rPr>
      </w:pPr>
    </w:p>
    <w:p w14:paraId="50233A27" w14:textId="585AF6AD" w:rsidR="0DAE8C58" w:rsidRDefault="0DAE8C58" w:rsidP="170A91A1">
      <w:pPr>
        <w:spacing w:line="360" w:lineRule="auto"/>
        <w:rPr>
          <w:sz w:val="22"/>
          <w:szCs w:val="22"/>
        </w:rPr>
      </w:pPr>
    </w:p>
    <w:p w14:paraId="69C9EB6E" w14:textId="77777777" w:rsidR="00D117DE" w:rsidRDefault="00D117DE" w:rsidP="170A91A1">
      <w:pPr>
        <w:spacing w:line="360" w:lineRule="auto"/>
        <w:rPr>
          <w:sz w:val="22"/>
          <w:szCs w:val="22"/>
        </w:rPr>
      </w:pPr>
    </w:p>
    <w:p w14:paraId="49626CA6" w14:textId="77777777" w:rsidR="00D117DE" w:rsidRDefault="00D117DE" w:rsidP="170A91A1">
      <w:pPr>
        <w:spacing w:line="360" w:lineRule="auto"/>
        <w:rPr>
          <w:sz w:val="22"/>
          <w:szCs w:val="22"/>
        </w:rPr>
      </w:pPr>
    </w:p>
    <w:p w14:paraId="0EEFCDAD" w14:textId="316CA3B2" w:rsidR="561FC3D5" w:rsidRDefault="3E72D606" w:rsidP="170A91A1">
      <w:pPr>
        <w:spacing w:line="360" w:lineRule="auto"/>
      </w:pPr>
      <w:r w:rsidRPr="170A91A1">
        <w:rPr>
          <w:rFonts w:ascii="Arial" w:eastAsia="Arial" w:hAnsi="Arial" w:cs="Arial"/>
          <w:b/>
          <w:bCs/>
          <w:color w:val="000000" w:themeColor="text1"/>
          <w:sz w:val="22"/>
          <w:szCs w:val="22"/>
          <w:lang w:val="en-US"/>
        </w:rPr>
        <w:lastRenderedPageBreak/>
        <w:t>1.0</w:t>
      </w:r>
      <w:r w:rsidR="561FC3D5">
        <w:tab/>
      </w:r>
      <w:r w:rsidRPr="170A91A1">
        <w:rPr>
          <w:rFonts w:ascii="Arial" w:eastAsia="Arial" w:hAnsi="Arial" w:cs="Arial"/>
          <w:b/>
          <w:bCs/>
          <w:color w:val="000000" w:themeColor="text1"/>
          <w:sz w:val="22"/>
          <w:szCs w:val="22"/>
          <w:lang w:val="en-US"/>
        </w:rPr>
        <w:t>Introduction</w:t>
      </w:r>
    </w:p>
    <w:p w14:paraId="55605860" w14:textId="15A86132" w:rsidR="170A91A1" w:rsidRDefault="170A91A1" w:rsidP="170A91A1">
      <w:pPr>
        <w:spacing w:line="360" w:lineRule="auto"/>
        <w:jc w:val="both"/>
        <w:rPr>
          <w:rFonts w:ascii="Arial" w:eastAsia="Arial" w:hAnsi="Arial" w:cs="Arial"/>
          <w:sz w:val="22"/>
          <w:szCs w:val="22"/>
          <w:lang w:val="en-US"/>
        </w:rPr>
      </w:pPr>
    </w:p>
    <w:p w14:paraId="138743F3" w14:textId="1A8FC98D" w:rsidR="65B28033" w:rsidRDefault="65B28033" w:rsidP="170A91A1">
      <w:pPr>
        <w:spacing w:line="360" w:lineRule="auto"/>
        <w:ind w:left="720"/>
        <w:jc w:val="both"/>
      </w:pPr>
      <w:r w:rsidRPr="170A91A1">
        <w:rPr>
          <w:rFonts w:ascii="Arial" w:eastAsia="Arial" w:hAnsi="Arial" w:cs="Arial"/>
          <w:sz w:val="22"/>
          <w:szCs w:val="22"/>
          <w:lang w:val="en-US"/>
        </w:rPr>
        <w:t xml:space="preserve">This report examines the key contemporary human resource challenges facing University Hospital Southampton NHS Foundation Trust (UHS), </w:t>
      </w:r>
      <w:r w:rsidR="778C8FF2" w:rsidRPr="170A91A1">
        <w:rPr>
          <w:rFonts w:ascii="Arial" w:eastAsia="Arial" w:hAnsi="Arial" w:cs="Arial"/>
          <w:sz w:val="22"/>
          <w:szCs w:val="22"/>
          <w:lang w:val="en-US"/>
        </w:rPr>
        <w:t>a leading healthcare institution withing the United Kingdom</w:t>
      </w:r>
      <w:r w:rsidRPr="170A91A1">
        <w:rPr>
          <w:rFonts w:ascii="Arial" w:eastAsia="Arial" w:hAnsi="Arial" w:cs="Arial"/>
          <w:sz w:val="22"/>
          <w:szCs w:val="22"/>
          <w:lang w:val="en-US"/>
        </w:rPr>
        <w:t xml:space="preserve"> employing more than 13,000</w:t>
      </w:r>
      <w:r w:rsidR="673A3124" w:rsidRPr="170A91A1">
        <w:rPr>
          <w:rFonts w:ascii="Arial" w:eastAsia="Arial" w:hAnsi="Arial" w:cs="Arial"/>
          <w:sz w:val="22"/>
          <w:szCs w:val="22"/>
          <w:lang w:val="en-US"/>
        </w:rPr>
        <w:t xml:space="preserve"> professionals</w:t>
      </w:r>
      <w:r w:rsidR="6D1D4685" w:rsidRPr="170A91A1">
        <w:rPr>
          <w:rFonts w:ascii="Arial" w:eastAsia="Arial" w:hAnsi="Arial" w:cs="Arial"/>
          <w:sz w:val="22"/>
          <w:szCs w:val="22"/>
          <w:lang w:val="en-US"/>
        </w:rPr>
        <w:t xml:space="preserve">. </w:t>
      </w:r>
      <w:r w:rsidRPr="170A91A1">
        <w:rPr>
          <w:rFonts w:ascii="Arial" w:eastAsia="Arial" w:hAnsi="Arial" w:cs="Arial"/>
          <w:sz w:val="22"/>
          <w:szCs w:val="22"/>
          <w:lang w:val="en-US"/>
        </w:rPr>
        <w:t xml:space="preserve">In an increasingly complex and dynamic environment, UHS must respond effectively to rapid technological advancements, intensifying competition for skilled professionals, and the growing strategic importance of diversity, equity, and inclusion (DEI). </w:t>
      </w:r>
      <w:r w:rsidR="766CDC3C" w:rsidRPr="170A91A1">
        <w:rPr>
          <w:rFonts w:ascii="Arial" w:eastAsia="Arial" w:hAnsi="Arial" w:cs="Arial"/>
          <w:sz w:val="22"/>
          <w:szCs w:val="22"/>
          <w:lang w:val="en-US"/>
        </w:rPr>
        <w:t xml:space="preserve">These challenges reflect wider </w:t>
      </w:r>
      <w:proofErr w:type="spellStart"/>
      <w:r w:rsidR="766CDC3C" w:rsidRPr="170A91A1">
        <w:rPr>
          <w:rFonts w:ascii="Arial" w:eastAsia="Arial" w:hAnsi="Arial" w:cs="Arial"/>
          <w:sz w:val="22"/>
          <w:szCs w:val="22"/>
          <w:lang w:val="en-US"/>
        </w:rPr>
        <w:t>organisational</w:t>
      </w:r>
      <w:proofErr w:type="spellEnd"/>
      <w:r w:rsidR="766CDC3C" w:rsidRPr="170A91A1">
        <w:rPr>
          <w:rFonts w:ascii="Arial" w:eastAsia="Arial" w:hAnsi="Arial" w:cs="Arial"/>
          <w:sz w:val="22"/>
          <w:szCs w:val="22"/>
          <w:lang w:val="en-US"/>
        </w:rPr>
        <w:t xml:space="preserve"> pressures described by Freeman’s stakeholder theory, which </w:t>
      </w:r>
      <w:proofErr w:type="spellStart"/>
      <w:r w:rsidR="766CDC3C" w:rsidRPr="170A91A1">
        <w:rPr>
          <w:rFonts w:ascii="Arial" w:eastAsia="Arial" w:hAnsi="Arial" w:cs="Arial"/>
          <w:sz w:val="22"/>
          <w:szCs w:val="22"/>
          <w:lang w:val="en-US"/>
        </w:rPr>
        <w:t>emphasises</w:t>
      </w:r>
      <w:proofErr w:type="spellEnd"/>
      <w:r w:rsidR="766CDC3C" w:rsidRPr="170A91A1">
        <w:rPr>
          <w:rFonts w:ascii="Arial" w:eastAsia="Arial" w:hAnsi="Arial" w:cs="Arial"/>
          <w:sz w:val="22"/>
          <w:szCs w:val="22"/>
          <w:lang w:val="en-US"/>
        </w:rPr>
        <w:t xml:space="preserve"> the need to balance multiple workforce and patient interests (</w:t>
      </w:r>
      <w:r w:rsidR="15B96DA2" w:rsidRPr="170A91A1">
        <w:rPr>
          <w:rFonts w:ascii="Arial" w:eastAsia="Arial" w:hAnsi="Arial" w:cs="Arial"/>
          <w:sz w:val="22"/>
          <w:szCs w:val="22"/>
          <w:lang w:val="en-US"/>
        </w:rPr>
        <w:t>Freeman, 1984)</w:t>
      </w:r>
      <w:r w:rsidRPr="170A91A1">
        <w:rPr>
          <w:rStyle w:val="FootnoteReference"/>
          <w:rFonts w:ascii="Arial" w:eastAsia="Arial" w:hAnsi="Arial" w:cs="Arial"/>
          <w:sz w:val="22"/>
          <w:szCs w:val="22"/>
          <w:lang w:val="en-US"/>
        </w:rPr>
        <w:footnoteReference w:id="1"/>
      </w:r>
      <w:r w:rsidR="15B96DA2" w:rsidRPr="170A91A1">
        <w:rPr>
          <w:rFonts w:ascii="Arial" w:eastAsia="Arial" w:hAnsi="Arial" w:cs="Arial"/>
          <w:sz w:val="22"/>
          <w:szCs w:val="22"/>
          <w:lang w:val="en-US"/>
        </w:rPr>
        <w:t xml:space="preserve">. </w:t>
      </w:r>
      <w:r w:rsidRPr="170A91A1">
        <w:rPr>
          <w:rFonts w:ascii="Arial" w:eastAsia="Arial" w:hAnsi="Arial" w:cs="Arial"/>
          <w:sz w:val="22"/>
          <w:szCs w:val="22"/>
          <w:lang w:val="en-US"/>
        </w:rPr>
        <w:t>The report provides a critical analysis of how UHS is affected by these challenges and evaluates the contemporary HR practices implemented to address them. Furthermore, it assesses the role of departmental managers in ensuring effective and timely implementation of these practices. The report concludes with evidence</w:t>
      </w:r>
      <w:r>
        <w:noBreakHyphen/>
      </w:r>
      <w:r w:rsidRPr="170A91A1">
        <w:rPr>
          <w:rFonts w:ascii="Arial" w:eastAsia="Arial" w:hAnsi="Arial" w:cs="Arial"/>
          <w:sz w:val="22"/>
          <w:szCs w:val="22"/>
          <w:lang w:val="en-US"/>
        </w:rPr>
        <w:t>based recommendations designed to strengthen HR capability and support UHS in delivering high</w:t>
      </w:r>
      <w:r>
        <w:noBreakHyphen/>
      </w:r>
      <w:r w:rsidRPr="170A91A1">
        <w:rPr>
          <w:rFonts w:ascii="Arial" w:eastAsia="Arial" w:hAnsi="Arial" w:cs="Arial"/>
          <w:sz w:val="22"/>
          <w:szCs w:val="22"/>
          <w:lang w:val="en-US"/>
        </w:rPr>
        <w:t>quality, patient</w:t>
      </w:r>
      <w:r>
        <w:noBreakHyphen/>
      </w:r>
      <w:proofErr w:type="spellStart"/>
      <w:r w:rsidRPr="170A91A1">
        <w:rPr>
          <w:rFonts w:ascii="Arial" w:eastAsia="Arial" w:hAnsi="Arial" w:cs="Arial"/>
          <w:sz w:val="22"/>
          <w:szCs w:val="22"/>
          <w:lang w:val="en-US"/>
        </w:rPr>
        <w:t>centred</w:t>
      </w:r>
      <w:proofErr w:type="spellEnd"/>
      <w:r w:rsidRPr="170A91A1">
        <w:rPr>
          <w:rFonts w:ascii="Arial" w:eastAsia="Arial" w:hAnsi="Arial" w:cs="Arial"/>
          <w:sz w:val="22"/>
          <w:szCs w:val="22"/>
          <w:lang w:val="en-US"/>
        </w:rPr>
        <w:t xml:space="preserve"> care through a motivated, inclusive, and resilient workforce.</w:t>
      </w:r>
    </w:p>
    <w:p w14:paraId="7DCF8B36" w14:textId="4AE8256F" w:rsidR="0DAE8C58" w:rsidRDefault="0DAE8C58" w:rsidP="170A91A1">
      <w:pPr>
        <w:pStyle w:val="Heading3"/>
        <w:spacing w:line="360" w:lineRule="auto"/>
        <w:ind w:left="720"/>
        <w:jc w:val="both"/>
        <w:rPr>
          <w:rFonts w:ascii="Arial" w:eastAsia="Arial" w:hAnsi="Arial" w:cs="Arial"/>
          <w:b/>
          <w:bCs/>
          <w:color w:val="000000" w:themeColor="text1"/>
          <w:sz w:val="22"/>
          <w:szCs w:val="22"/>
          <w:lang w:val="en-US"/>
        </w:rPr>
      </w:pPr>
    </w:p>
    <w:p w14:paraId="010323CD" w14:textId="18B0B2A1" w:rsidR="0DAE8C58" w:rsidRDefault="72457B68" w:rsidP="170A91A1">
      <w:pPr>
        <w:spacing w:line="360" w:lineRule="auto"/>
        <w:jc w:val="both"/>
        <w:rPr>
          <w:b/>
          <w:bCs/>
          <w:color w:val="000000" w:themeColor="text1"/>
          <w:sz w:val="22"/>
          <w:szCs w:val="22"/>
          <w:lang w:val="en-US"/>
        </w:rPr>
      </w:pPr>
      <w:r w:rsidRPr="170A91A1">
        <w:rPr>
          <w:b/>
          <w:bCs/>
          <w:color w:val="000000" w:themeColor="text1"/>
          <w:sz w:val="22"/>
          <w:szCs w:val="22"/>
          <w:lang w:val="en-US"/>
        </w:rPr>
        <w:t>2.0</w:t>
      </w:r>
      <w:r w:rsidR="0DAE8C58">
        <w:tab/>
      </w:r>
      <w:r w:rsidRPr="170A91A1">
        <w:rPr>
          <w:b/>
          <w:bCs/>
          <w:color w:val="000000" w:themeColor="text1"/>
          <w:sz w:val="22"/>
          <w:szCs w:val="22"/>
          <w:lang w:val="en-US"/>
        </w:rPr>
        <w:t>Explanation of Key Factors</w:t>
      </w:r>
    </w:p>
    <w:p w14:paraId="216ABB09" w14:textId="282BFC4E" w:rsidR="0DAE8C58" w:rsidRDefault="72457B68" w:rsidP="00D117DE">
      <w:pPr>
        <w:spacing w:line="360" w:lineRule="auto"/>
        <w:ind w:firstLine="720"/>
        <w:jc w:val="both"/>
      </w:pPr>
      <w:r w:rsidRPr="170A91A1">
        <w:rPr>
          <w:b/>
          <w:bCs/>
          <w:sz w:val="22"/>
          <w:szCs w:val="22"/>
          <w:lang w:val="en-US"/>
        </w:rPr>
        <w:t>Adapting to technological advancements</w:t>
      </w:r>
    </w:p>
    <w:p w14:paraId="30D20960" w14:textId="5E613FF4" w:rsidR="0DAE8C58" w:rsidRDefault="3CEA3A9D" w:rsidP="170A91A1">
      <w:pPr>
        <w:spacing w:line="360" w:lineRule="auto"/>
        <w:ind w:left="720"/>
        <w:jc w:val="both"/>
      </w:pPr>
      <w:r w:rsidRPr="170A91A1">
        <w:rPr>
          <w:sz w:val="22"/>
          <w:szCs w:val="22"/>
          <w:lang w:val="en-US"/>
        </w:rPr>
        <w:t xml:space="preserve">University Hospital Southampton NHS Foundation Trust (UHS) operates within a healthcare sector </w:t>
      </w:r>
      <w:proofErr w:type="spellStart"/>
      <w:r w:rsidRPr="170A91A1">
        <w:rPr>
          <w:sz w:val="22"/>
          <w:szCs w:val="22"/>
          <w:lang w:val="en-US"/>
        </w:rPr>
        <w:t>characterised</w:t>
      </w:r>
      <w:proofErr w:type="spellEnd"/>
      <w:r w:rsidRPr="170A91A1">
        <w:rPr>
          <w:sz w:val="22"/>
          <w:szCs w:val="22"/>
          <w:lang w:val="en-US"/>
        </w:rPr>
        <w:t xml:space="preserve"> </w:t>
      </w:r>
      <w:r w:rsidR="5DB1BD99" w:rsidRPr="170A91A1">
        <w:rPr>
          <w:sz w:val="22"/>
          <w:szCs w:val="22"/>
          <w:lang w:val="en-US"/>
        </w:rPr>
        <w:t xml:space="preserve">by continuous technological innovation and digital transformation. </w:t>
      </w:r>
      <w:r w:rsidR="74F3ED08" w:rsidRPr="170A91A1">
        <w:rPr>
          <w:sz w:val="22"/>
          <w:szCs w:val="22"/>
          <w:lang w:val="en-US"/>
        </w:rPr>
        <w:t xml:space="preserve">The implementation of electronic health records (EHR), telemedicine </w:t>
      </w:r>
      <w:r w:rsidR="0EA394B7" w:rsidRPr="170A91A1">
        <w:rPr>
          <w:sz w:val="22"/>
          <w:szCs w:val="22"/>
          <w:lang w:val="en-US"/>
        </w:rPr>
        <w:t xml:space="preserve">platforms, and artificial intelligence (AI) assisted diagnostic </w:t>
      </w:r>
      <w:r w:rsidR="2867A1C4" w:rsidRPr="170A91A1">
        <w:rPr>
          <w:sz w:val="22"/>
          <w:szCs w:val="22"/>
          <w:lang w:val="en-US"/>
        </w:rPr>
        <w:t xml:space="preserve">tools </w:t>
      </w:r>
      <w:r w:rsidR="0EA394B7" w:rsidRPr="170A91A1">
        <w:rPr>
          <w:sz w:val="22"/>
          <w:szCs w:val="22"/>
          <w:lang w:val="en-US"/>
        </w:rPr>
        <w:t xml:space="preserve">has </w:t>
      </w:r>
      <w:proofErr w:type="spellStart"/>
      <w:r w:rsidR="768773F0" w:rsidRPr="170A91A1">
        <w:rPr>
          <w:sz w:val="22"/>
          <w:szCs w:val="22"/>
          <w:lang w:val="en-US"/>
        </w:rPr>
        <w:t>revolutionised</w:t>
      </w:r>
      <w:proofErr w:type="spellEnd"/>
      <w:r w:rsidR="768773F0" w:rsidRPr="170A91A1">
        <w:rPr>
          <w:sz w:val="22"/>
          <w:szCs w:val="22"/>
          <w:lang w:val="en-US"/>
        </w:rPr>
        <w:t xml:space="preserve"> clinical practice and administrative efficiency</w:t>
      </w:r>
      <w:r w:rsidR="4C426BFE" w:rsidRPr="170A91A1">
        <w:rPr>
          <w:sz w:val="22"/>
          <w:szCs w:val="22"/>
          <w:lang w:val="en-US"/>
        </w:rPr>
        <w:t>, consistent with Elkington’s (1997)</w:t>
      </w:r>
      <w:r w:rsidR="0DAE8C58" w:rsidRPr="170A91A1">
        <w:rPr>
          <w:rStyle w:val="FootnoteReference"/>
          <w:sz w:val="22"/>
          <w:szCs w:val="22"/>
          <w:lang w:val="en-US"/>
        </w:rPr>
        <w:footnoteReference w:id="2"/>
      </w:r>
      <w:r w:rsidR="4C426BFE" w:rsidRPr="170A91A1">
        <w:rPr>
          <w:sz w:val="22"/>
          <w:szCs w:val="22"/>
          <w:lang w:val="en-US"/>
        </w:rPr>
        <w:t xml:space="preserve"> argument that modern </w:t>
      </w:r>
      <w:proofErr w:type="spellStart"/>
      <w:r w:rsidR="4C426BFE" w:rsidRPr="170A91A1">
        <w:rPr>
          <w:sz w:val="22"/>
          <w:szCs w:val="22"/>
          <w:lang w:val="en-US"/>
        </w:rPr>
        <w:t>organisations</w:t>
      </w:r>
      <w:proofErr w:type="spellEnd"/>
      <w:r w:rsidR="4C426BFE" w:rsidRPr="170A91A1">
        <w:rPr>
          <w:sz w:val="22"/>
          <w:szCs w:val="22"/>
          <w:lang w:val="en-US"/>
        </w:rPr>
        <w:t xml:space="preserve"> must innovate to remain sustainable. </w:t>
      </w:r>
      <w:r w:rsidR="768773F0" w:rsidRPr="170A91A1">
        <w:rPr>
          <w:sz w:val="22"/>
          <w:szCs w:val="22"/>
          <w:lang w:val="en-US"/>
        </w:rPr>
        <w:t xml:space="preserve">However, these advancements have simultaneously introduced complex human resource challenges </w:t>
      </w:r>
      <w:r w:rsidR="483D8EE7" w:rsidRPr="170A91A1">
        <w:rPr>
          <w:sz w:val="22"/>
          <w:szCs w:val="22"/>
          <w:lang w:val="en-US"/>
        </w:rPr>
        <w:t xml:space="preserve">that affect </w:t>
      </w:r>
      <w:proofErr w:type="spellStart"/>
      <w:r w:rsidR="483D8EE7" w:rsidRPr="170A91A1">
        <w:rPr>
          <w:sz w:val="22"/>
          <w:szCs w:val="22"/>
          <w:lang w:val="en-US"/>
        </w:rPr>
        <w:t>organisational</w:t>
      </w:r>
      <w:proofErr w:type="spellEnd"/>
      <w:r w:rsidR="483D8EE7" w:rsidRPr="170A91A1">
        <w:rPr>
          <w:sz w:val="22"/>
          <w:szCs w:val="22"/>
          <w:lang w:val="en-US"/>
        </w:rPr>
        <w:t xml:space="preserve"> performance and employee engagement. A primary issue concerns workforce adaptability. </w:t>
      </w:r>
      <w:r w:rsidR="08D31FDC" w:rsidRPr="170A91A1">
        <w:rPr>
          <w:sz w:val="22"/>
          <w:szCs w:val="22"/>
          <w:lang w:val="en-US"/>
        </w:rPr>
        <w:t>M</w:t>
      </w:r>
      <w:r w:rsidR="483D8EE7" w:rsidRPr="170A91A1">
        <w:rPr>
          <w:sz w:val="22"/>
          <w:szCs w:val="22"/>
          <w:lang w:val="en-US"/>
        </w:rPr>
        <w:t>any</w:t>
      </w:r>
      <w:r w:rsidR="08D31FDC" w:rsidRPr="170A91A1">
        <w:rPr>
          <w:sz w:val="22"/>
          <w:szCs w:val="22"/>
          <w:lang w:val="en-US"/>
        </w:rPr>
        <w:t xml:space="preserve"> employees, particularly those with extensive tenure, demonstrate resistance to technological change due to limited digital literacy or apprehension about automation replacing traditional</w:t>
      </w:r>
      <w:r w:rsidR="35F8E44E" w:rsidRPr="170A91A1">
        <w:rPr>
          <w:sz w:val="22"/>
          <w:szCs w:val="22"/>
          <w:lang w:val="en-US"/>
        </w:rPr>
        <w:t xml:space="preserve"> roles. This </w:t>
      </w:r>
      <w:r w:rsidR="35F8E44E" w:rsidRPr="170A91A1">
        <w:rPr>
          <w:sz w:val="22"/>
          <w:szCs w:val="22"/>
          <w:lang w:val="en-US"/>
        </w:rPr>
        <w:lastRenderedPageBreak/>
        <w:t xml:space="preserve">resistance </w:t>
      </w:r>
      <w:r w:rsidR="40A82411" w:rsidRPr="170A91A1">
        <w:rPr>
          <w:sz w:val="22"/>
          <w:szCs w:val="22"/>
          <w:lang w:val="en-US"/>
        </w:rPr>
        <w:t>aligns with research showing that employee engagement declines when change is poorly supported (Macey and Schneider, 2008)</w:t>
      </w:r>
      <w:r w:rsidR="0DAE8C58" w:rsidRPr="170A91A1">
        <w:rPr>
          <w:rStyle w:val="EndnoteReference"/>
          <w:sz w:val="22"/>
          <w:szCs w:val="22"/>
          <w:lang w:val="en-US"/>
        </w:rPr>
        <w:endnoteReference w:id="1"/>
      </w:r>
      <w:r w:rsidR="0DAE8C58" w:rsidRPr="170A91A1">
        <w:rPr>
          <w:rStyle w:val="FootnoteReference"/>
          <w:sz w:val="22"/>
          <w:szCs w:val="22"/>
          <w:lang w:val="en-US"/>
        </w:rPr>
        <w:footnoteReference w:id="3"/>
      </w:r>
      <w:r w:rsidR="40A82411" w:rsidRPr="170A91A1">
        <w:rPr>
          <w:sz w:val="22"/>
          <w:szCs w:val="22"/>
          <w:lang w:val="en-US"/>
        </w:rPr>
        <w:t xml:space="preserve">. </w:t>
      </w:r>
      <w:r w:rsidR="2FCD3597" w:rsidRPr="170A91A1">
        <w:rPr>
          <w:sz w:val="22"/>
          <w:szCs w:val="22"/>
          <w:lang w:val="en-US"/>
        </w:rPr>
        <w:t>Furthermore, the coexistence of legacy systems with new digital platforms creates interoperability difficulties, leading to inefficiencies and data inaccuracies that can compromise patient safety and operational reliability.</w:t>
      </w:r>
    </w:p>
    <w:p w14:paraId="333572C4" w14:textId="55B5F690" w:rsidR="0DAE8C58" w:rsidRDefault="562E281C" w:rsidP="170A91A1">
      <w:pPr>
        <w:spacing w:line="360" w:lineRule="auto"/>
        <w:ind w:left="720"/>
        <w:jc w:val="both"/>
        <w:rPr>
          <w:sz w:val="22"/>
          <w:szCs w:val="22"/>
          <w:lang w:val="en-US"/>
        </w:rPr>
      </w:pPr>
      <w:r w:rsidRPr="170A91A1">
        <w:rPr>
          <w:sz w:val="22"/>
          <w:szCs w:val="22"/>
          <w:lang w:val="en-US"/>
        </w:rPr>
        <w:t>Digital fatigue is another significant challenge, arising from the constant need to learn and adapt to evolving technologies. The pressure to maintain high performance while mastering new systems can contribute to stress and burnout among healthcare profess</w:t>
      </w:r>
      <w:r w:rsidR="78BEB296" w:rsidRPr="170A91A1">
        <w:rPr>
          <w:sz w:val="22"/>
          <w:szCs w:val="22"/>
          <w:lang w:val="en-US"/>
        </w:rPr>
        <w:t xml:space="preserve">ionals. Inadequate training and communication exacerbate these issues, as employees may feel unsupported or excluded from decision-making processes related </w:t>
      </w:r>
      <w:r w:rsidR="6D01F955" w:rsidRPr="170A91A1">
        <w:rPr>
          <w:sz w:val="22"/>
          <w:szCs w:val="22"/>
          <w:lang w:val="en-US"/>
        </w:rPr>
        <w:t>to technological implementation (Porter and Kramer, 2011)</w:t>
      </w:r>
      <w:r w:rsidR="0DAE8C58" w:rsidRPr="170A91A1">
        <w:rPr>
          <w:rStyle w:val="FootnoteReference"/>
          <w:sz w:val="22"/>
          <w:szCs w:val="22"/>
          <w:lang w:val="en-US"/>
        </w:rPr>
        <w:footnoteReference w:id="4"/>
      </w:r>
    </w:p>
    <w:p w14:paraId="18BD6BAB" w14:textId="7253CA0A" w:rsidR="0DAE8C58" w:rsidRDefault="76A8E620" w:rsidP="170A91A1">
      <w:pPr>
        <w:spacing w:line="360" w:lineRule="auto"/>
        <w:ind w:left="720"/>
        <w:jc w:val="both"/>
        <w:rPr>
          <w:sz w:val="22"/>
          <w:szCs w:val="22"/>
          <w:lang w:val="en-US"/>
        </w:rPr>
      </w:pPr>
      <w:r w:rsidRPr="170A91A1">
        <w:rPr>
          <w:sz w:val="22"/>
          <w:szCs w:val="22"/>
          <w:lang w:val="en-US"/>
        </w:rPr>
        <w:t xml:space="preserve">To mitigate these challenges, UHS must adopt a proactive approach that integrates continuous digital upskilling, inclusive change management, and transparent communication. Embedding technology adaptation within the </w:t>
      </w:r>
      <w:r w:rsidR="59E3C631" w:rsidRPr="170A91A1">
        <w:rPr>
          <w:sz w:val="22"/>
          <w:szCs w:val="22"/>
          <w:lang w:val="en-US"/>
        </w:rPr>
        <w:t>organizational</w:t>
      </w:r>
      <w:r w:rsidRPr="170A91A1">
        <w:rPr>
          <w:sz w:val="22"/>
          <w:szCs w:val="22"/>
          <w:lang w:val="en-US"/>
        </w:rPr>
        <w:t xml:space="preserve"> </w:t>
      </w:r>
      <w:r w:rsidR="5396622A" w:rsidRPr="170A91A1">
        <w:rPr>
          <w:sz w:val="22"/>
          <w:szCs w:val="22"/>
          <w:lang w:val="en-US"/>
        </w:rPr>
        <w:t>culture</w:t>
      </w:r>
      <w:r w:rsidRPr="170A91A1">
        <w:rPr>
          <w:sz w:val="22"/>
          <w:szCs w:val="22"/>
          <w:lang w:val="en-US"/>
        </w:rPr>
        <w:t xml:space="preserve"> – supported by leadership commitm</w:t>
      </w:r>
      <w:r w:rsidR="0E00E37D" w:rsidRPr="170A91A1">
        <w:rPr>
          <w:sz w:val="22"/>
          <w:szCs w:val="22"/>
          <w:lang w:val="en-US"/>
        </w:rPr>
        <w:t>ent and HR collaboration – will enhance employee confidence and engagement</w:t>
      </w:r>
      <w:r w:rsidR="511D2973" w:rsidRPr="170A91A1">
        <w:rPr>
          <w:sz w:val="22"/>
          <w:szCs w:val="22"/>
          <w:lang w:val="en-US"/>
        </w:rPr>
        <w:t xml:space="preserve"> (Eccles, </w:t>
      </w:r>
      <w:proofErr w:type="spellStart"/>
      <w:r w:rsidR="511D2973" w:rsidRPr="170A91A1">
        <w:rPr>
          <w:sz w:val="22"/>
          <w:szCs w:val="22"/>
          <w:lang w:val="en-US"/>
        </w:rPr>
        <w:t>loannou</w:t>
      </w:r>
      <w:proofErr w:type="spellEnd"/>
      <w:r w:rsidR="511D2973" w:rsidRPr="170A91A1">
        <w:rPr>
          <w:sz w:val="22"/>
          <w:szCs w:val="22"/>
          <w:lang w:val="en-US"/>
        </w:rPr>
        <w:t xml:space="preserve"> and Serafeim, 2014)</w:t>
      </w:r>
      <w:r w:rsidR="0DAE8C58" w:rsidRPr="170A91A1">
        <w:rPr>
          <w:rStyle w:val="FootnoteReference"/>
          <w:sz w:val="22"/>
          <w:szCs w:val="22"/>
          <w:lang w:val="en-US"/>
        </w:rPr>
        <w:footnoteReference w:id="5"/>
      </w:r>
    </w:p>
    <w:p w14:paraId="7D2E40D2" w14:textId="2C489772" w:rsidR="0DAE8C58" w:rsidRDefault="0DAE8C58" w:rsidP="170A91A1">
      <w:pPr>
        <w:spacing w:line="360" w:lineRule="auto"/>
        <w:ind w:left="720"/>
        <w:jc w:val="both"/>
        <w:rPr>
          <w:sz w:val="22"/>
          <w:szCs w:val="22"/>
          <w:lang w:val="en-US"/>
        </w:rPr>
      </w:pPr>
    </w:p>
    <w:p w14:paraId="2B886E59" w14:textId="24A333FA" w:rsidR="0DAE8C58" w:rsidRDefault="72457B68" w:rsidP="170A91A1">
      <w:pPr>
        <w:spacing w:line="360" w:lineRule="auto"/>
        <w:ind w:firstLine="720"/>
        <w:jc w:val="both"/>
      </w:pPr>
      <w:r w:rsidRPr="170A91A1">
        <w:rPr>
          <w:b/>
          <w:bCs/>
          <w:sz w:val="22"/>
          <w:szCs w:val="22"/>
          <w:lang w:val="en-US"/>
        </w:rPr>
        <w:t>Talent acquisition and retention</w:t>
      </w:r>
    </w:p>
    <w:p w14:paraId="10102C92" w14:textId="6EF5E43B" w:rsidR="0DAE8C58" w:rsidRDefault="26AA88DB" w:rsidP="170A91A1">
      <w:pPr>
        <w:spacing w:line="360" w:lineRule="auto"/>
        <w:ind w:left="720"/>
        <w:jc w:val="both"/>
        <w:rPr>
          <w:sz w:val="22"/>
          <w:szCs w:val="22"/>
          <w:lang w:val="en-US"/>
        </w:rPr>
      </w:pPr>
      <w:r w:rsidRPr="170A91A1">
        <w:rPr>
          <w:sz w:val="22"/>
          <w:szCs w:val="22"/>
          <w:lang w:val="en-US"/>
        </w:rPr>
        <w:t xml:space="preserve">University Hospital Southampton NHS Foundation Trust (UHS) faces significant challenges in attracting and retaining skilled professionals within an increasingly competitive healthcare </w:t>
      </w:r>
      <w:proofErr w:type="spellStart"/>
      <w:r w:rsidRPr="170A91A1">
        <w:rPr>
          <w:sz w:val="22"/>
          <w:szCs w:val="22"/>
          <w:lang w:val="en-US"/>
        </w:rPr>
        <w:t>labour</w:t>
      </w:r>
      <w:proofErr w:type="spellEnd"/>
      <w:r w:rsidRPr="170A91A1">
        <w:rPr>
          <w:sz w:val="22"/>
          <w:szCs w:val="22"/>
          <w:lang w:val="en-US"/>
        </w:rPr>
        <w:t xml:space="preserve"> market. </w:t>
      </w:r>
      <w:r w:rsidR="426C06D4" w:rsidRPr="170A91A1">
        <w:rPr>
          <w:sz w:val="22"/>
          <w:szCs w:val="22"/>
          <w:lang w:val="en-US"/>
        </w:rPr>
        <w:t xml:space="preserve">The post-pandemic environment has intensified workforce shortages across the National Health Service (NHS), particularly among nurses, healthcare </w:t>
      </w:r>
      <w:r w:rsidR="1A59E070" w:rsidRPr="170A91A1">
        <w:rPr>
          <w:sz w:val="22"/>
          <w:szCs w:val="22"/>
          <w:lang w:val="en-US"/>
        </w:rPr>
        <w:t>assistants</w:t>
      </w:r>
      <w:r w:rsidR="426C06D4" w:rsidRPr="170A91A1">
        <w:rPr>
          <w:sz w:val="22"/>
          <w:szCs w:val="22"/>
          <w:lang w:val="en-US"/>
        </w:rPr>
        <w:t>, and t</w:t>
      </w:r>
      <w:r w:rsidR="0A4C6FD2" w:rsidRPr="170A91A1">
        <w:rPr>
          <w:sz w:val="22"/>
          <w:szCs w:val="22"/>
          <w:lang w:val="en-US"/>
        </w:rPr>
        <w:t xml:space="preserve">echnical </w:t>
      </w:r>
      <w:r w:rsidR="369A9621" w:rsidRPr="170A91A1">
        <w:rPr>
          <w:sz w:val="22"/>
          <w:szCs w:val="22"/>
          <w:lang w:val="en-US"/>
        </w:rPr>
        <w:t>specialists</w:t>
      </w:r>
      <w:r w:rsidR="0A4C6FD2" w:rsidRPr="170A91A1">
        <w:rPr>
          <w:sz w:val="22"/>
          <w:szCs w:val="22"/>
          <w:lang w:val="en-US"/>
        </w:rPr>
        <w:t>. High levels of occupational stress, workload pressure, and limited opportunities for career progression contribute to elevated turnover rates and difficulties in sustaining workforce stability</w:t>
      </w:r>
      <w:r w:rsidR="217BB41B" w:rsidRPr="170A91A1">
        <w:rPr>
          <w:sz w:val="22"/>
          <w:szCs w:val="22"/>
          <w:lang w:val="en-US"/>
        </w:rPr>
        <w:t xml:space="preserve">, reflecting wider patterns identified by </w:t>
      </w:r>
      <w:proofErr w:type="spellStart"/>
      <w:r w:rsidR="217BB41B" w:rsidRPr="170A91A1">
        <w:rPr>
          <w:sz w:val="22"/>
          <w:szCs w:val="22"/>
          <w:lang w:val="en-US"/>
        </w:rPr>
        <w:t>Fombrun</w:t>
      </w:r>
      <w:proofErr w:type="spellEnd"/>
      <w:r w:rsidR="217BB41B" w:rsidRPr="170A91A1">
        <w:rPr>
          <w:sz w:val="22"/>
          <w:szCs w:val="22"/>
          <w:lang w:val="en-US"/>
        </w:rPr>
        <w:t xml:space="preserve"> and Shanley (1990)</w:t>
      </w:r>
      <w:r w:rsidR="0DAE8C58" w:rsidRPr="170A91A1">
        <w:rPr>
          <w:rStyle w:val="FootnoteReference"/>
          <w:sz w:val="22"/>
          <w:szCs w:val="22"/>
          <w:lang w:val="en-US"/>
        </w:rPr>
        <w:footnoteReference w:id="6"/>
      </w:r>
      <w:r w:rsidR="217BB41B" w:rsidRPr="170A91A1">
        <w:rPr>
          <w:sz w:val="22"/>
          <w:szCs w:val="22"/>
          <w:lang w:val="en-US"/>
        </w:rPr>
        <w:t xml:space="preserve"> regarding </w:t>
      </w:r>
      <w:proofErr w:type="spellStart"/>
      <w:r w:rsidR="217BB41B" w:rsidRPr="170A91A1">
        <w:rPr>
          <w:sz w:val="22"/>
          <w:szCs w:val="22"/>
          <w:lang w:val="en-US"/>
        </w:rPr>
        <w:t>organisational</w:t>
      </w:r>
      <w:proofErr w:type="spellEnd"/>
      <w:r w:rsidR="217BB41B" w:rsidRPr="170A91A1">
        <w:rPr>
          <w:sz w:val="22"/>
          <w:szCs w:val="22"/>
          <w:lang w:val="en-US"/>
        </w:rPr>
        <w:t xml:space="preserve"> reputation and employee commitment.</w:t>
      </w:r>
    </w:p>
    <w:p w14:paraId="516003E4" w14:textId="4D90C05A" w:rsidR="0DAE8C58" w:rsidRDefault="6E501DB4" w:rsidP="170A91A1">
      <w:pPr>
        <w:spacing w:line="360" w:lineRule="auto"/>
        <w:ind w:left="720"/>
        <w:jc w:val="both"/>
        <w:rPr>
          <w:sz w:val="22"/>
          <w:szCs w:val="22"/>
          <w:lang w:val="en-US"/>
        </w:rPr>
      </w:pPr>
      <w:r w:rsidRPr="170A91A1">
        <w:rPr>
          <w:sz w:val="22"/>
          <w:szCs w:val="22"/>
          <w:lang w:val="en-US"/>
        </w:rPr>
        <w:lastRenderedPageBreak/>
        <w:t xml:space="preserve">Effective talent acquisition and retention are critical determinants of </w:t>
      </w:r>
      <w:proofErr w:type="spellStart"/>
      <w:r w:rsidR="1BAAA80A" w:rsidRPr="170A91A1">
        <w:rPr>
          <w:sz w:val="22"/>
          <w:szCs w:val="22"/>
          <w:lang w:val="en-US"/>
        </w:rPr>
        <w:t>organi</w:t>
      </w:r>
      <w:r w:rsidR="21521E0F" w:rsidRPr="170A91A1">
        <w:rPr>
          <w:sz w:val="22"/>
          <w:szCs w:val="22"/>
          <w:lang w:val="en-US"/>
        </w:rPr>
        <w:t>s</w:t>
      </w:r>
      <w:r w:rsidR="1BAAA80A" w:rsidRPr="170A91A1">
        <w:rPr>
          <w:sz w:val="22"/>
          <w:szCs w:val="22"/>
          <w:lang w:val="en-US"/>
        </w:rPr>
        <w:t>ational</w:t>
      </w:r>
      <w:proofErr w:type="spellEnd"/>
      <w:r w:rsidRPr="170A91A1">
        <w:rPr>
          <w:sz w:val="22"/>
          <w:szCs w:val="22"/>
          <w:lang w:val="en-US"/>
        </w:rPr>
        <w:t xml:space="preserve"> performance and service quality. Persistent staffing gaps undermine patient care standards, increase recruitment costs, and disrupt team cohesion. Employee engagement is adversely </w:t>
      </w:r>
      <w:r w:rsidR="11937623" w:rsidRPr="170A91A1">
        <w:rPr>
          <w:sz w:val="22"/>
          <w:szCs w:val="22"/>
          <w:lang w:val="en-US"/>
        </w:rPr>
        <w:t>affected when staff perceive inequitable workloads or insufficient recognition for their contributions</w:t>
      </w:r>
      <w:r w:rsidR="434FA0FF" w:rsidRPr="170A91A1">
        <w:rPr>
          <w:sz w:val="22"/>
          <w:szCs w:val="22"/>
          <w:lang w:val="en-US"/>
        </w:rPr>
        <w:t xml:space="preserve"> (Macey and Scheneider, 2008)</w:t>
      </w:r>
      <w:r w:rsidR="0DAE8C58" w:rsidRPr="170A91A1">
        <w:rPr>
          <w:rStyle w:val="FootnoteReference"/>
          <w:sz w:val="22"/>
          <w:szCs w:val="22"/>
          <w:lang w:val="en-US"/>
        </w:rPr>
        <w:footnoteReference w:id="7"/>
      </w:r>
      <w:r w:rsidR="11937623" w:rsidRPr="170A91A1">
        <w:rPr>
          <w:sz w:val="22"/>
          <w:szCs w:val="22"/>
          <w:lang w:val="en-US"/>
        </w:rPr>
        <w:t>. To address these issues, UHS must adopt a strategic and holistic approach to workforce planning that integrates compet</w:t>
      </w:r>
      <w:r w:rsidR="18F5C8D2" w:rsidRPr="170A91A1">
        <w:rPr>
          <w:sz w:val="22"/>
          <w:szCs w:val="22"/>
          <w:lang w:val="en-US"/>
        </w:rPr>
        <w:t xml:space="preserve">itive reward systems, professional development pathways, and wellbeing initiatives. Enhancing employer branding and promoting a supportive </w:t>
      </w:r>
      <w:proofErr w:type="spellStart"/>
      <w:r w:rsidR="18F5C8D2" w:rsidRPr="170A91A1">
        <w:rPr>
          <w:sz w:val="22"/>
          <w:szCs w:val="22"/>
          <w:lang w:val="en-US"/>
        </w:rPr>
        <w:t>organisational</w:t>
      </w:r>
      <w:proofErr w:type="spellEnd"/>
      <w:r w:rsidR="18F5C8D2" w:rsidRPr="170A91A1">
        <w:rPr>
          <w:sz w:val="22"/>
          <w:szCs w:val="22"/>
          <w:lang w:val="en-US"/>
        </w:rPr>
        <w:t xml:space="preserve"> culture can strengthen employee commitment and reduce attrition</w:t>
      </w:r>
      <w:r w:rsidR="6804EBA2" w:rsidRPr="170A91A1">
        <w:rPr>
          <w:sz w:val="22"/>
          <w:szCs w:val="22"/>
          <w:lang w:val="en-US"/>
        </w:rPr>
        <w:t xml:space="preserve"> (Carroll and Buchholtz, 2015)</w:t>
      </w:r>
      <w:r w:rsidR="0DAE8C58" w:rsidRPr="170A91A1">
        <w:rPr>
          <w:rStyle w:val="FootnoteReference"/>
          <w:sz w:val="22"/>
          <w:szCs w:val="22"/>
          <w:lang w:val="en-US"/>
        </w:rPr>
        <w:footnoteReference w:id="8"/>
      </w:r>
    </w:p>
    <w:p w14:paraId="1FACAB91" w14:textId="6640ACE5" w:rsidR="0DAE8C58" w:rsidRDefault="0DAE8C58" w:rsidP="170A91A1">
      <w:pPr>
        <w:spacing w:line="360" w:lineRule="auto"/>
        <w:ind w:left="720"/>
        <w:jc w:val="both"/>
        <w:rPr>
          <w:sz w:val="22"/>
          <w:szCs w:val="22"/>
          <w:lang w:val="en-US"/>
        </w:rPr>
      </w:pPr>
    </w:p>
    <w:p w14:paraId="47AB4FB5" w14:textId="3C013B48" w:rsidR="0DAE8C58" w:rsidRDefault="72457B68" w:rsidP="170A91A1">
      <w:pPr>
        <w:spacing w:line="360" w:lineRule="auto"/>
        <w:ind w:firstLine="720"/>
        <w:jc w:val="both"/>
      </w:pPr>
      <w:r w:rsidRPr="170A91A1">
        <w:rPr>
          <w:b/>
          <w:bCs/>
          <w:sz w:val="22"/>
          <w:szCs w:val="22"/>
          <w:lang w:val="en-US"/>
        </w:rPr>
        <w:t>Diversity, Equity, and Inclusion (DEI)</w:t>
      </w:r>
    </w:p>
    <w:p w14:paraId="48A24324" w14:textId="2C612B08" w:rsidR="0DAE8C58" w:rsidRDefault="52FA11A2" w:rsidP="170A91A1">
      <w:pPr>
        <w:spacing w:line="360" w:lineRule="auto"/>
        <w:ind w:left="720"/>
        <w:jc w:val="both"/>
      </w:pPr>
      <w:r w:rsidRPr="170A91A1">
        <w:rPr>
          <w:sz w:val="22"/>
          <w:szCs w:val="22"/>
          <w:lang w:val="en-US"/>
        </w:rPr>
        <w:t>University Hospital Southampton NHS Foundation Trust (UHS) operates within a highly diverse healthcare environment, serving patients and employing staff from a wide range of cultural, ethnic, and socio-economic backgrounds. As part of the Nationa</w:t>
      </w:r>
      <w:r w:rsidR="3DC16A27" w:rsidRPr="170A91A1">
        <w:rPr>
          <w:sz w:val="22"/>
          <w:szCs w:val="22"/>
          <w:lang w:val="en-US"/>
        </w:rPr>
        <w:t xml:space="preserve">l Health Service (NHS), UHS is committed to promoting equality and fostering and inclusive </w:t>
      </w:r>
      <w:r w:rsidR="10EAF319" w:rsidRPr="170A91A1">
        <w:rPr>
          <w:sz w:val="22"/>
          <w:szCs w:val="22"/>
          <w:lang w:val="en-US"/>
        </w:rPr>
        <w:t>organizational</w:t>
      </w:r>
      <w:r w:rsidR="3DC16A27" w:rsidRPr="170A91A1">
        <w:rPr>
          <w:sz w:val="22"/>
          <w:szCs w:val="22"/>
          <w:lang w:val="en-US"/>
        </w:rPr>
        <w:t xml:space="preserve"> culture. However, despite national and local initiatives, several challenges persist in achieving genuine equity</w:t>
      </w:r>
      <w:r w:rsidR="1C7BEECC" w:rsidRPr="170A91A1">
        <w:rPr>
          <w:sz w:val="22"/>
          <w:szCs w:val="22"/>
          <w:lang w:val="en-US"/>
        </w:rPr>
        <w:t xml:space="preserve"> and representation across all levels of the organization.</w:t>
      </w:r>
    </w:p>
    <w:p w14:paraId="0DC04F85" w14:textId="3A878352" w:rsidR="0DAE8C58" w:rsidRDefault="53130253" w:rsidP="170A91A1">
      <w:pPr>
        <w:spacing w:line="360" w:lineRule="auto"/>
        <w:ind w:left="720"/>
        <w:jc w:val="both"/>
        <w:rPr>
          <w:sz w:val="22"/>
          <w:szCs w:val="22"/>
          <w:lang w:val="en-US"/>
        </w:rPr>
      </w:pPr>
      <w:r w:rsidRPr="170A91A1">
        <w:rPr>
          <w:sz w:val="22"/>
          <w:szCs w:val="22"/>
          <w:lang w:val="en-US"/>
        </w:rPr>
        <w:t>A key issue relates to underrepresentation in leadership and decision-making roles, particularly among women and ethnic minority employees. Data from the NHS Workforce Race Equality Standard (WRES) and Workforce Di</w:t>
      </w:r>
      <w:r w:rsidR="1906FF9E" w:rsidRPr="170A91A1">
        <w:rPr>
          <w:sz w:val="22"/>
          <w:szCs w:val="22"/>
          <w:lang w:val="en-US"/>
        </w:rPr>
        <w:t>sability Equality Standard (WDES) indicate ongoing disparities in promotion rates, disciplinary actions, and access to professional development opportunities</w:t>
      </w:r>
      <w:r w:rsidR="46A54B3C" w:rsidRPr="170A91A1">
        <w:rPr>
          <w:sz w:val="22"/>
          <w:szCs w:val="22"/>
          <w:lang w:val="en-US"/>
        </w:rPr>
        <w:t>, reflecting stakeholder salience concerns identified by Mitchell, Agle and Wood (1997)</w:t>
      </w:r>
      <w:r w:rsidR="0DAE8C58" w:rsidRPr="170A91A1">
        <w:rPr>
          <w:rStyle w:val="FootnoteReference"/>
          <w:sz w:val="22"/>
          <w:szCs w:val="22"/>
          <w:lang w:val="en-US"/>
        </w:rPr>
        <w:footnoteReference w:id="9"/>
      </w:r>
    </w:p>
    <w:p w14:paraId="7A559A54" w14:textId="32728456" w:rsidR="0DAE8C58" w:rsidRDefault="701E2DD9" w:rsidP="170A91A1">
      <w:pPr>
        <w:spacing w:line="360" w:lineRule="auto"/>
        <w:ind w:left="720"/>
        <w:jc w:val="both"/>
      </w:pPr>
      <w:r w:rsidRPr="170A91A1">
        <w:rPr>
          <w:sz w:val="22"/>
          <w:szCs w:val="22"/>
          <w:lang w:val="en-US"/>
        </w:rPr>
        <w:t>Another challenge concerns unconscious bias and cultural competence within recruitment and performance management processes. While UHS has implemented equality training</w:t>
      </w:r>
      <w:r w:rsidR="58389812" w:rsidRPr="170A91A1">
        <w:rPr>
          <w:sz w:val="22"/>
          <w:szCs w:val="22"/>
          <w:lang w:val="en-US"/>
        </w:rPr>
        <w:t xml:space="preserve"> and inclusive recruitment practices, these measures may not fully </w:t>
      </w:r>
      <w:r w:rsidR="58389812" w:rsidRPr="170A91A1">
        <w:rPr>
          <w:sz w:val="22"/>
          <w:szCs w:val="22"/>
          <w:lang w:val="en-US"/>
        </w:rPr>
        <w:lastRenderedPageBreak/>
        <w:t>address systemic barriers or deeply ingrained attitudes</w:t>
      </w:r>
      <w:r w:rsidR="1A0C6638" w:rsidRPr="170A91A1">
        <w:rPr>
          <w:sz w:val="22"/>
          <w:szCs w:val="22"/>
          <w:lang w:val="en-US"/>
        </w:rPr>
        <w:t xml:space="preserve"> (Porter and Kramer, 2011)</w:t>
      </w:r>
      <w:r w:rsidR="0DAE8C58" w:rsidRPr="170A91A1">
        <w:rPr>
          <w:rStyle w:val="FootnoteReference"/>
          <w:sz w:val="22"/>
          <w:szCs w:val="22"/>
          <w:lang w:val="en-US"/>
        </w:rPr>
        <w:footnoteReference w:id="10"/>
      </w:r>
      <w:r w:rsidR="1A0C6638" w:rsidRPr="170A91A1">
        <w:rPr>
          <w:sz w:val="22"/>
          <w:szCs w:val="22"/>
          <w:lang w:val="en-US"/>
        </w:rPr>
        <w:t>. The absence of consistent monitoring</w:t>
      </w:r>
      <w:r w:rsidR="58389812" w:rsidRPr="170A91A1">
        <w:rPr>
          <w:sz w:val="22"/>
          <w:szCs w:val="22"/>
          <w:lang w:val="en-US"/>
        </w:rPr>
        <w:t xml:space="preserve"> and accountability mechanisms can limit the effectiven</w:t>
      </w:r>
      <w:r w:rsidR="7E9D7EAE" w:rsidRPr="170A91A1">
        <w:rPr>
          <w:sz w:val="22"/>
          <w:szCs w:val="22"/>
          <w:lang w:val="en-US"/>
        </w:rPr>
        <w:t>ess of DEI policies, resulting in uneven progress across departments.</w:t>
      </w:r>
    </w:p>
    <w:p w14:paraId="1141E3D5" w14:textId="3466F903" w:rsidR="0DAE8C58" w:rsidRDefault="0F4B28FA" w:rsidP="170A91A1">
      <w:pPr>
        <w:spacing w:line="360" w:lineRule="auto"/>
        <w:ind w:left="720"/>
        <w:jc w:val="both"/>
        <w:rPr>
          <w:sz w:val="22"/>
          <w:szCs w:val="22"/>
          <w:lang w:val="en-US"/>
        </w:rPr>
      </w:pPr>
      <w:r w:rsidRPr="170A91A1">
        <w:rPr>
          <w:sz w:val="22"/>
          <w:szCs w:val="22"/>
          <w:lang w:val="en-US"/>
        </w:rPr>
        <w:t xml:space="preserve">Furthermore, psychological safety and belonging remain critical concerns. Employees who feel </w:t>
      </w:r>
      <w:r w:rsidR="7FC54B6A" w:rsidRPr="170A91A1">
        <w:rPr>
          <w:sz w:val="22"/>
          <w:szCs w:val="22"/>
          <w:lang w:val="en-US"/>
        </w:rPr>
        <w:t>marginalized</w:t>
      </w:r>
      <w:r w:rsidRPr="170A91A1">
        <w:rPr>
          <w:sz w:val="22"/>
          <w:szCs w:val="22"/>
          <w:lang w:val="en-US"/>
        </w:rPr>
        <w:t xml:space="preserve"> or undervalued may be less likely to </w:t>
      </w:r>
      <w:r w:rsidR="6D05B3F2" w:rsidRPr="170A91A1">
        <w:rPr>
          <w:sz w:val="22"/>
          <w:szCs w:val="22"/>
          <w:lang w:val="en-US"/>
        </w:rPr>
        <w:t>contribute</w:t>
      </w:r>
      <w:r w:rsidRPr="170A91A1">
        <w:rPr>
          <w:sz w:val="22"/>
          <w:szCs w:val="22"/>
          <w:lang w:val="en-US"/>
        </w:rPr>
        <w:t xml:space="preserve"> ideas or participate in collaborative decision-making, which can negatively affect </w:t>
      </w:r>
      <w:r w:rsidR="763E0E40" w:rsidRPr="170A91A1">
        <w:rPr>
          <w:sz w:val="22"/>
          <w:szCs w:val="22"/>
          <w:lang w:val="en-US"/>
        </w:rPr>
        <w:t>innovation and patient care outcomes</w:t>
      </w:r>
      <w:r w:rsidR="118316E8" w:rsidRPr="170A91A1">
        <w:rPr>
          <w:sz w:val="22"/>
          <w:szCs w:val="22"/>
          <w:lang w:val="en-US"/>
        </w:rPr>
        <w:t xml:space="preserve"> (Macey and Schneider, 2008)</w:t>
      </w:r>
      <w:r w:rsidR="0DAE8C58" w:rsidRPr="170A91A1">
        <w:rPr>
          <w:rStyle w:val="FootnoteReference"/>
          <w:sz w:val="22"/>
          <w:szCs w:val="22"/>
          <w:lang w:val="en-US"/>
        </w:rPr>
        <w:footnoteReference w:id="11"/>
      </w:r>
      <w:r w:rsidR="763E0E40" w:rsidRPr="170A91A1">
        <w:rPr>
          <w:sz w:val="22"/>
          <w:szCs w:val="22"/>
          <w:lang w:val="en-US"/>
        </w:rPr>
        <w:t xml:space="preserve">. </w:t>
      </w:r>
    </w:p>
    <w:p w14:paraId="18E7B19A" w14:textId="24585E2B" w:rsidR="0DAE8C58" w:rsidRDefault="6B170287" w:rsidP="170A91A1">
      <w:pPr>
        <w:spacing w:line="360" w:lineRule="auto"/>
        <w:ind w:left="720"/>
        <w:jc w:val="both"/>
        <w:rPr>
          <w:sz w:val="22"/>
          <w:szCs w:val="22"/>
          <w:lang w:val="en-US"/>
        </w:rPr>
      </w:pPr>
      <w:r w:rsidRPr="170A91A1">
        <w:rPr>
          <w:sz w:val="22"/>
          <w:szCs w:val="22"/>
          <w:lang w:val="en-US"/>
        </w:rPr>
        <w:t>To address these challenges, UHS must strengthen its DEI strategy by embedding inclusivity into leadership development, succession planning, and organizational culture</w:t>
      </w:r>
      <w:r w:rsidR="5F7A128B" w:rsidRPr="170A91A1">
        <w:rPr>
          <w:sz w:val="22"/>
          <w:szCs w:val="22"/>
          <w:lang w:val="en-US"/>
        </w:rPr>
        <w:t xml:space="preserve"> (Eccles, </w:t>
      </w:r>
      <w:proofErr w:type="spellStart"/>
      <w:r w:rsidR="5F7A128B" w:rsidRPr="170A91A1">
        <w:rPr>
          <w:sz w:val="22"/>
          <w:szCs w:val="22"/>
          <w:lang w:val="en-US"/>
        </w:rPr>
        <w:t>loannou</w:t>
      </w:r>
      <w:proofErr w:type="spellEnd"/>
      <w:r w:rsidR="5F7A128B" w:rsidRPr="170A91A1">
        <w:rPr>
          <w:sz w:val="22"/>
          <w:szCs w:val="22"/>
          <w:lang w:val="en-US"/>
        </w:rPr>
        <w:t xml:space="preserve"> and Serafeim, 2014).</w:t>
      </w:r>
    </w:p>
    <w:p w14:paraId="47AA9329" w14:textId="67460772" w:rsidR="0DAE8C58" w:rsidRDefault="0DAE8C58" w:rsidP="00D117DE">
      <w:pPr>
        <w:spacing w:line="360" w:lineRule="auto"/>
        <w:jc w:val="both"/>
        <w:rPr>
          <w:sz w:val="22"/>
          <w:szCs w:val="22"/>
          <w:lang w:val="en-US"/>
        </w:rPr>
      </w:pPr>
    </w:p>
    <w:p w14:paraId="1B07ED46" w14:textId="4796078B" w:rsidR="0DAE8C58" w:rsidRDefault="72457B68" w:rsidP="170A91A1">
      <w:pPr>
        <w:spacing w:line="360" w:lineRule="auto"/>
        <w:jc w:val="both"/>
      </w:pPr>
      <w:r w:rsidRPr="170A91A1">
        <w:rPr>
          <w:b/>
          <w:bCs/>
          <w:color w:val="000000" w:themeColor="text1"/>
          <w:sz w:val="22"/>
          <w:szCs w:val="22"/>
          <w:lang w:val="en-US"/>
        </w:rPr>
        <w:t>3.0</w:t>
      </w:r>
      <w:r w:rsidR="0DAE8C58">
        <w:tab/>
      </w:r>
      <w:r w:rsidRPr="170A91A1">
        <w:rPr>
          <w:b/>
          <w:bCs/>
          <w:sz w:val="22"/>
          <w:szCs w:val="22"/>
        </w:rPr>
        <w:t>Evaluation of Contemporary HR Practices</w:t>
      </w:r>
    </w:p>
    <w:p w14:paraId="27ADCC68" w14:textId="7E89433B" w:rsidR="0DAE8C58" w:rsidRDefault="621391F8" w:rsidP="170A91A1">
      <w:pPr>
        <w:spacing w:line="360" w:lineRule="auto"/>
        <w:ind w:left="720"/>
        <w:jc w:val="both"/>
        <w:rPr>
          <w:sz w:val="22"/>
          <w:szCs w:val="22"/>
        </w:rPr>
      </w:pPr>
      <w:r w:rsidRPr="170A91A1">
        <w:rPr>
          <w:sz w:val="22"/>
          <w:szCs w:val="22"/>
        </w:rPr>
        <w:t>University Hospital Southampton NHS Foundation Trust (UHS) has adopted several contemporary HR practices to respond to technological change, talent pressures, and DEI challenges</w:t>
      </w:r>
      <w:r w:rsidR="13BCA53F" w:rsidRPr="170A91A1">
        <w:rPr>
          <w:sz w:val="22"/>
          <w:szCs w:val="22"/>
        </w:rPr>
        <w:t>.</w:t>
      </w:r>
    </w:p>
    <w:p w14:paraId="64EA46F8" w14:textId="1E57DB43" w:rsidR="0DAE8C58" w:rsidRDefault="0DAE8C58" w:rsidP="170A91A1">
      <w:pPr>
        <w:spacing w:line="360" w:lineRule="auto"/>
        <w:ind w:left="720"/>
        <w:jc w:val="both"/>
        <w:rPr>
          <w:sz w:val="22"/>
          <w:szCs w:val="22"/>
        </w:rPr>
      </w:pPr>
    </w:p>
    <w:p w14:paraId="19387708" w14:textId="3C85E104" w:rsidR="0DAE8C58" w:rsidRDefault="72457B68" w:rsidP="170A91A1">
      <w:pPr>
        <w:spacing w:line="360" w:lineRule="auto"/>
        <w:ind w:left="720"/>
        <w:jc w:val="both"/>
      </w:pPr>
      <w:r w:rsidRPr="170A91A1">
        <w:rPr>
          <w:b/>
          <w:bCs/>
          <w:sz w:val="22"/>
          <w:szCs w:val="22"/>
        </w:rPr>
        <w:t xml:space="preserve">Digital HR systems and workforce analytics </w:t>
      </w:r>
    </w:p>
    <w:p w14:paraId="374AC081" w14:textId="291B7C64" w:rsidR="0DAE8C58" w:rsidRDefault="115265D7" w:rsidP="170A91A1">
      <w:pPr>
        <w:spacing w:line="360" w:lineRule="auto"/>
        <w:ind w:left="720"/>
        <w:jc w:val="both"/>
        <w:rPr>
          <w:i/>
          <w:iCs/>
          <w:sz w:val="22"/>
          <w:szCs w:val="22"/>
        </w:rPr>
      </w:pPr>
      <w:r w:rsidRPr="170A91A1">
        <w:rPr>
          <w:i/>
          <w:iCs/>
          <w:sz w:val="22"/>
          <w:szCs w:val="22"/>
        </w:rPr>
        <w:t>Strengths:</w:t>
      </w:r>
    </w:p>
    <w:p w14:paraId="39A752AC" w14:textId="76CE34D3" w:rsidR="0DAE8C58" w:rsidRDefault="2426B9F4" w:rsidP="170A91A1">
      <w:pPr>
        <w:spacing w:line="360" w:lineRule="auto"/>
        <w:ind w:left="720"/>
        <w:jc w:val="both"/>
        <w:rPr>
          <w:sz w:val="22"/>
          <w:szCs w:val="22"/>
        </w:rPr>
      </w:pPr>
      <w:r w:rsidRPr="170A91A1">
        <w:rPr>
          <w:sz w:val="22"/>
          <w:szCs w:val="22"/>
        </w:rPr>
        <w:t xml:space="preserve">UHS’s use of the NHS Electronic Staff Record (ESR) provides a robust digital </w:t>
      </w:r>
      <w:r w:rsidR="09A1E900" w:rsidRPr="170A91A1">
        <w:rPr>
          <w:sz w:val="22"/>
          <w:szCs w:val="22"/>
        </w:rPr>
        <w:t>infrastructure</w:t>
      </w:r>
      <w:r w:rsidRPr="170A91A1">
        <w:rPr>
          <w:sz w:val="22"/>
          <w:szCs w:val="22"/>
        </w:rPr>
        <w:t xml:space="preserve"> for payroll, training records, and workforce analytics. This </w:t>
      </w:r>
      <w:r w:rsidR="646A1881" w:rsidRPr="170A91A1">
        <w:rPr>
          <w:sz w:val="22"/>
          <w:szCs w:val="22"/>
        </w:rPr>
        <w:t>supports evidence-based decision-making, consistent with modern HRM approaches emphasised by Carroll and Buchholtz (2015)</w:t>
      </w:r>
      <w:r w:rsidR="0DAE8C58" w:rsidRPr="170A91A1">
        <w:rPr>
          <w:rStyle w:val="FootnoteReference"/>
          <w:sz w:val="22"/>
          <w:szCs w:val="22"/>
        </w:rPr>
        <w:footnoteReference w:id="12"/>
      </w:r>
    </w:p>
    <w:p w14:paraId="6BC84A3A" w14:textId="46476A1C" w:rsidR="0DAE8C58" w:rsidRDefault="19968BA6" w:rsidP="170A91A1">
      <w:pPr>
        <w:spacing w:line="360" w:lineRule="auto"/>
        <w:ind w:left="720"/>
        <w:jc w:val="both"/>
        <w:rPr>
          <w:i/>
          <w:iCs/>
          <w:sz w:val="22"/>
          <w:szCs w:val="22"/>
        </w:rPr>
      </w:pPr>
      <w:r w:rsidRPr="170A91A1">
        <w:rPr>
          <w:i/>
          <w:iCs/>
          <w:sz w:val="22"/>
          <w:szCs w:val="22"/>
        </w:rPr>
        <w:t>Effectiveness:</w:t>
      </w:r>
    </w:p>
    <w:p w14:paraId="5C2B8F78" w14:textId="772B190A" w:rsidR="0DAE8C58" w:rsidRDefault="19968BA6" w:rsidP="170A91A1">
      <w:pPr>
        <w:spacing w:line="360" w:lineRule="auto"/>
        <w:ind w:left="720"/>
        <w:jc w:val="both"/>
      </w:pPr>
      <w:r w:rsidRPr="170A91A1">
        <w:rPr>
          <w:sz w:val="22"/>
          <w:szCs w:val="22"/>
        </w:rPr>
        <w:t xml:space="preserve">Managers engage actively with ESR data, it can inform targeted interventions for example, </w:t>
      </w:r>
      <w:r w:rsidR="053E30A7" w:rsidRPr="170A91A1">
        <w:rPr>
          <w:sz w:val="22"/>
          <w:szCs w:val="22"/>
        </w:rPr>
        <w:t>identifying</w:t>
      </w:r>
      <w:r w:rsidRPr="170A91A1">
        <w:rPr>
          <w:sz w:val="22"/>
          <w:szCs w:val="22"/>
        </w:rPr>
        <w:t xml:space="preserve"> departments with high sickness levels or retention risks. This supports mor</w:t>
      </w:r>
      <w:r w:rsidR="671D6B9D" w:rsidRPr="170A91A1">
        <w:rPr>
          <w:sz w:val="22"/>
          <w:szCs w:val="22"/>
        </w:rPr>
        <w:t>e strategic workforce planning and aligns HS activity with service demands.</w:t>
      </w:r>
    </w:p>
    <w:p w14:paraId="7ADDE9D1" w14:textId="75B42822" w:rsidR="0DAE8C58" w:rsidRDefault="615C91C3" w:rsidP="170A91A1">
      <w:pPr>
        <w:spacing w:line="360" w:lineRule="auto"/>
        <w:ind w:left="720"/>
        <w:jc w:val="both"/>
      </w:pPr>
      <w:r w:rsidRPr="170A91A1">
        <w:rPr>
          <w:i/>
          <w:iCs/>
          <w:sz w:val="22"/>
          <w:szCs w:val="22"/>
        </w:rPr>
        <w:lastRenderedPageBreak/>
        <w:t>Limitations:</w:t>
      </w:r>
    </w:p>
    <w:p w14:paraId="5FCFBF43" w14:textId="69C996E6" w:rsidR="0DAE8C58" w:rsidRDefault="615C91C3" w:rsidP="170A91A1">
      <w:pPr>
        <w:spacing w:line="360" w:lineRule="auto"/>
        <w:ind w:left="720"/>
        <w:jc w:val="both"/>
      </w:pPr>
      <w:r w:rsidRPr="170A91A1">
        <w:rPr>
          <w:sz w:val="22"/>
          <w:szCs w:val="22"/>
        </w:rPr>
        <w:t>Data quality is inconsistent, and many managers lack the analytical capability or time to interpret workforce reports meaningfully. ESR is also poorly integrated with performance management and talent development processes, l</w:t>
      </w:r>
      <w:r w:rsidR="4BFD0F42" w:rsidRPr="170A91A1">
        <w:rPr>
          <w:sz w:val="22"/>
          <w:szCs w:val="22"/>
        </w:rPr>
        <w:t>imiting its strategic value. As a result, digital HR remains largely transactional rather than transformational, constraining its impact on long-term workforce sustainability.</w:t>
      </w:r>
    </w:p>
    <w:p w14:paraId="4F021BE2" w14:textId="64C167ED" w:rsidR="0DAE8C58" w:rsidRDefault="0DAE8C58" w:rsidP="170A91A1">
      <w:pPr>
        <w:spacing w:line="360" w:lineRule="auto"/>
        <w:ind w:left="720"/>
        <w:jc w:val="both"/>
        <w:rPr>
          <w:sz w:val="22"/>
          <w:szCs w:val="22"/>
        </w:rPr>
      </w:pPr>
    </w:p>
    <w:p w14:paraId="4F7A9467" w14:textId="00D5128B" w:rsidR="0DAE8C58" w:rsidRDefault="72457B68" w:rsidP="170A91A1">
      <w:pPr>
        <w:spacing w:line="360" w:lineRule="auto"/>
        <w:ind w:left="720"/>
        <w:jc w:val="both"/>
      </w:pPr>
      <w:r w:rsidRPr="170A91A1">
        <w:rPr>
          <w:b/>
          <w:bCs/>
          <w:sz w:val="22"/>
          <w:szCs w:val="22"/>
        </w:rPr>
        <w:t>Employer branding and strategic workforce planning</w:t>
      </w:r>
    </w:p>
    <w:p w14:paraId="617812BA" w14:textId="291B7C64" w:rsidR="0DAE8C58" w:rsidRDefault="57428434" w:rsidP="170A91A1">
      <w:pPr>
        <w:spacing w:line="360" w:lineRule="auto"/>
        <w:ind w:left="720"/>
        <w:jc w:val="both"/>
        <w:rPr>
          <w:i/>
          <w:iCs/>
          <w:sz w:val="22"/>
          <w:szCs w:val="22"/>
        </w:rPr>
      </w:pPr>
      <w:r w:rsidRPr="170A91A1">
        <w:rPr>
          <w:i/>
          <w:iCs/>
          <w:sz w:val="22"/>
          <w:szCs w:val="22"/>
        </w:rPr>
        <w:t>Strengths:</w:t>
      </w:r>
    </w:p>
    <w:p w14:paraId="74126B3F" w14:textId="13E26905" w:rsidR="0DAE8C58" w:rsidRDefault="57428434" w:rsidP="170A91A1">
      <w:pPr>
        <w:spacing w:line="360" w:lineRule="auto"/>
        <w:ind w:left="720"/>
        <w:jc w:val="both"/>
      </w:pPr>
      <w:r w:rsidRPr="170A91A1">
        <w:rPr>
          <w:sz w:val="22"/>
          <w:szCs w:val="22"/>
        </w:rPr>
        <w:t xml:space="preserve">UHS benefits from the wider NHS employer brand, which emphasises public service, job security, and meaningful work. National campaigns such as "We are the NHS” </w:t>
      </w:r>
      <w:r w:rsidR="5B6A3779" w:rsidRPr="170A91A1">
        <w:rPr>
          <w:sz w:val="22"/>
          <w:szCs w:val="22"/>
        </w:rPr>
        <w:t>help attract values-driven candidates and reinforce the organisation’s social purpose.</w:t>
      </w:r>
      <w:r w:rsidR="79037287" w:rsidRPr="170A91A1">
        <w:rPr>
          <w:sz w:val="22"/>
          <w:szCs w:val="22"/>
        </w:rPr>
        <w:t xml:space="preserve"> </w:t>
      </w:r>
    </w:p>
    <w:p w14:paraId="1BCA0D54" w14:textId="1AF69D6C" w:rsidR="0DAE8C58" w:rsidRDefault="0DAE8C58" w:rsidP="170A91A1">
      <w:pPr>
        <w:spacing w:line="360" w:lineRule="auto"/>
        <w:ind w:left="720"/>
        <w:jc w:val="both"/>
        <w:rPr>
          <w:sz w:val="22"/>
          <w:szCs w:val="22"/>
        </w:rPr>
      </w:pPr>
    </w:p>
    <w:p w14:paraId="76ACC99F" w14:textId="2D581A5A" w:rsidR="0DAE8C58" w:rsidRDefault="78F5C6F9" w:rsidP="170A91A1">
      <w:pPr>
        <w:spacing w:line="360" w:lineRule="auto"/>
        <w:ind w:left="720"/>
        <w:jc w:val="both"/>
        <w:rPr>
          <w:i/>
          <w:iCs/>
          <w:sz w:val="22"/>
          <w:szCs w:val="22"/>
        </w:rPr>
      </w:pPr>
      <w:r w:rsidRPr="170A91A1">
        <w:rPr>
          <w:i/>
          <w:iCs/>
          <w:sz w:val="22"/>
          <w:szCs w:val="22"/>
        </w:rPr>
        <w:t>Effectiveness:</w:t>
      </w:r>
    </w:p>
    <w:p w14:paraId="278446DA" w14:textId="29453ED6" w:rsidR="0DAE8C58" w:rsidRDefault="78F5C6F9" w:rsidP="170A91A1">
      <w:pPr>
        <w:spacing w:line="360" w:lineRule="auto"/>
        <w:ind w:left="720"/>
        <w:jc w:val="both"/>
      </w:pPr>
      <w:r w:rsidRPr="170A91A1">
        <w:rPr>
          <w:sz w:val="22"/>
          <w:szCs w:val="22"/>
        </w:rPr>
        <w:t xml:space="preserve">This strong public-sector brand supports recruitment in some professional groups and helps maintain a steady pipeline of early-career entrants, particularly in nursing and allied health professions. It also underpins staff pride and identity, which </w:t>
      </w:r>
      <w:r w:rsidR="49FEA108" w:rsidRPr="170A91A1">
        <w:rPr>
          <w:sz w:val="22"/>
          <w:szCs w:val="22"/>
        </w:rPr>
        <w:t>can enhance engagement.</w:t>
      </w:r>
    </w:p>
    <w:p w14:paraId="1B6EB341" w14:textId="113639B3" w:rsidR="0DAE8C58" w:rsidRDefault="49FEA108" w:rsidP="170A91A1">
      <w:pPr>
        <w:spacing w:line="360" w:lineRule="auto"/>
        <w:ind w:left="720"/>
        <w:jc w:val="both"/>
        <w:rPr>
          <w:i/>
          <w:iCs/>
          <w:sz w:val="22"/>
          <w:szCs w:val="22"/>
        </w:rPr>
      </w:pPr>
      <w:r w:rsidRPr="170A91A1">
        <w:rPr>
          <w:i/>
          <w:iCs/>
          <w:sz w:val="22"/>
          <w:szCs w:val="22"/>
        </w:rPr>
        <w:t>Limitations:</w:t>
      </w:r>
    </w:p>
    <w:p w14:paraId="52A9CFDF" w14:textId="028F851D" w:rsidR="0DAE8C58" w:rsidRDefault="49FEA108" w:rsidP="170A91A1">
      <w:pPr>
        <w:spacing w:line="360" w:lineRule="auto"/>
        <w:ind w:left="720"/>
        <w:jc w:val="both"/>
      </w:pPr>
      <w:r w:rsidRPr="170A91A1">
        <w:rPr>
          <w:sz w:val="22"/>
          <w:szCs w:val="22"/>
        </w:rPr>
        <w:t>However, employer branding at UHS is not sufficiently differentiated from other NHS trusts, limiting its competitive edge in a crowded</w:t>
      </w:r>
      <w:r w:rsidR="7BD4F7C6" w:rsidRPr="170A91A1">
        <w:rPr>
          <w:sz w:val="22"/>
          <w:szCs w:val="22"/>
        </w:rPr>
        <w:t xml:space="preserve"> labour market. Strategic workforce planning is often reactive rather than genuinely strategic, constrained by budgetary pressures, national policies, and slow recruitment processes. The gap between planning and implementation especial</w:t>
      </w:r>
      <w:r w:rsidR="77C92F89" w:rsidRPr="170A91A1">
        <w:rPr>
          <w:sz w:val="22"/>
          <w:szCs w:val="22"/>
        </w:rPr>
        <w:t>ly in hard to recruit roles, reduces the effectiveness of these practices in addressing chronic shortages and retention problems.</w:t>
      </w:r>
    </w:p>
    <w:p w14:paraId="3D5E313F" w14:textId="3952F5B8" w:rsidR="0DAE8C58" w:rsidRDefault="0DAE8C58" w:rsidP="170A91A1">
      <w:pPr>
        <w:spacing w:line="360" w:lineRule="auto"/>
        <w:ind w:left="720"/>
        <w:jc w:val="both"/>
        <w:rPr>
          <w:sz w:val="22"/>
          <w:szCs w:val="22"/>
        </w:rPr>
      </w:pPr>
    </w:p>
    <w:p w14:paraId="320FF987" w14:textId="4121EC18" w:rsidR="0DAE8C58" w:rsidRDefault="72457B68" w:rsidP="170A91A1">
      <w:pPr>
        <w:spacing w:line="360" w:lineRule="auto"/>
        <w:ind w:left="720"/>
        <w:jc w:val="both"/>
      </w:pPr>
      <w:r w:rsidRPr="170A91A1">
        <w:rPr>
          <w:b/>
          <w:bCs/>
          <w:sz w:val="22"/>
          <w:szCs w:val="22"/>
        </w:rPr>
        <w:t>Employee engagement and retention strategies</w:t>
      </w:r>
    </w:p>
    <w:p w14:paraId="0B25BD4D" w14:textId="1569D575" w:rsidR="0DAE8C58" w:rsidRDefault="3F038691" w:rsidP="170A91A1">
      <w:pPr>
        <w:spacing w:line="360" w:lineRule="auto"/>
        <w:ind w:left="720"/>
        <w:jc w:val="both"/>
        <w:rPr>
          <w:i/>
          <w:iCs/>
          <w:sz w:val="22"/>
          <w:szCs w:val="22"/>
        </w:rPr>
      </w:pPr>
      <w:r w:rsidRPr="170A91A1">
        <w:rPr>
          <w:i/>
          <w:iCs/>
          <w:sz w:val="22"/>
          <w:szCs w:val="22"/>
        </w:rPr>
        <w:t>Strengths:</w:t>
      </w:r>
    </w:p>
    <w:p w14:paraId="0A559F36" w14:textId="3676AA2F" w:rsidR="0DAE8C58" w:rsidRDefault="5FC52D26" w:rsidP="170A91A1">
      <w:pPr>
        <w:spacing w:line="360" w:lineRule="auto"/>
        <w:ind w:left="720"/>
        <w:jc w:val="both"/>
      </w:pPr>
      <w:r w:rsidRPr="170A91A1">
        <w:rPr>
          <w:sz w:val="22"/>
          <w:szCs w:val="22"/>
        </w:rPr>
        <w:t xml:space="preserve">UHS has introduced wellbeing initiatives, flexible working arrangements, and recognition schemes that align with contemporary HR practice. Staff surveys provide </w:t>
      </w:r>
      <w:r w:rsidRPr="170A91A1">
        <w:rPr>
          <w:sz w:val="22"/>
          <w:szCs w:val="22"/>
        </w:rPr>
        <w:lastRenderedPageBreak/>
        <w:t>a mechanism for capturing employee voice, a</w:t>
      </w:r>
      <w:r w:rsidR="3DFF22E9" w:rsidRPr="170A91A1">
        <w:rPr>
          <w:sz w:val="22"/>
          <w:szCs w:val="22"/>
        </w:rPr>
        <w:t>nd some departments use this feedback to shape local action plans.</w:t>
      </w:r>
    </w:p>
    <w:p w14:paraId="643E7ADC" w14:textId="6D6BEAFC" w:rsidR="0DAE8C58" w:rsidRDefault="40D5C17A" w:rsidP="170A91A1">
      <w:pPr>
        <w:spacing w:line="360" w:lineRule="auto"/>
        <w:ind w:left="720"/>
        <w:jc w:val="both"/>
        <w:rPr>
          <w:i/>
          <w:iCs/>
          <w:sz w:val="22"/>
          <w:szCs w:val="22"/>
        </w:rPr>
      </w:pPr>
      <w:r w:rsidRPr="170A91A1">
        <w:rPr>
          <w:i/>
          <w:iCs/>
          <w:sz w:val="22"/>
          <w:szCs w:val="22"/>
        </w:rPr>
        <w:t>Effectiveness</w:t>
      </w:r>
      <w:r w:rsidR="3DFF22E9" w:rsidRPr="170A91A1">
        <w:rPr>
          <w:i/>
          <w:iCs/>
          <w:sz w:val="22"/>
          <w:szCs w:val="22"/>
        </w:rPr>
        <w:t>:</w:t>
      </w:r>
    </w:p>
    <w:p w14:paraId="2DF40811" w14:textId="46B53892" w:rsidR="0DAE8C58" w:rsidRDefault="4839F22A" w:rsidP="170A91A1">
      <w:pPr>
        <w:spacing w:line="360" w:lineRule="auto"/>
        <w:ind w:left="720"/>
        <w:jc w:val="both"/>
      </w:pPr>
      <w:r w:rsidRPr="170A91A1">
        <w:rPr>
          <w:sz w:val="22"/>
          <w:szCs w:val="22"/>
        </w:rPr>
        <w:t>In areas where managers prioritise engagement, these practices can improve morale, reduce burnout, and strengthen team cohesion. Flexible working and wellbeing support are particularly valuable in a hig</w:t>
      </w:r>
      <w:r w:rsidR="76CEB909" w:rsidRPr="170A91A1">
        <w:rPr>
          <w:sz w:val="22"/>
          <w:szCs w:val="22"/>
        </w:rPr>
        <w:t>h</w:t>
      </w:r>
      <w:r w:rsidRPr="170A91A1">
        <w:rPr>
          <w:sz w:val="22"/>
          <w:szCs w:val="22"/>
        </w:rPr>
        <w:t xml:space="preserve">-pressure clinical environment, contributing </w:t>
      </w:r>
      <w:r w:rsidR="26DDC758" w:rsidRPr="170A91A1">
        <w:rPr>
          <w:sz w:val="22"/>
          <w:szCs w:val="22"/>
        </w:rPr>
        <w:t>to retention for staff who might otherwise leave.</w:t>
      </w:r>
    </w:p>
    <w:p w14:paraId="28E4DBF0" w14:textId="1C1CCE4A" w:rsidR="0DAE8C58" w:rsidRDefault="36E0BD4B" w:rsidP="170A91A1">
      <w:pPr>
        <w:spacing w:line="360" w:lineRule="auto"/>
        <w:ind w:left="720"/>
        <w:jc w:val="both"/>
        <w:rPr>
          <w:i/>
          <w:iCs/>
          <w:sz w:val="22"/>
          <w:szCs w:val="22"/>
        </w:rPr>
      </w:pPr>
      <w:r w:rsidRPr="170A91A1">
        <w:rPr>
          <w:i/>
          <w:iCs/>
          <w:sz w:val="22"/>
          <w:szCs w:val="22"/>
        </w:rPr>
        <w:t>Limitations:</w:t>
      </w:r>
    </w:p>
    <w:p w14:paraId="103C9FEF" w14:textId="6624C4B5" w:rsidR="0DAE8C58" w:rsidRDefault="36E0BD4B" w:rsidP="170A91A1">
      <w:pPr>
        <w:spacing w:line="360" w:lineRule="auto"/>
        <w:ind w:left="720"/>
        <w:jc w:val="both"/>
      </w:pPr>
      <w:r w:rsidRPr="170A91A1">
        <w:rPr>
          <w:sz w:val="22"/>
          <w:szCs w:val="22"/>
        </w:rPr>
        <w:t xml:space="preserve">The implementation of engagement and retention strategies is inconsistent across the organization. Some initiatives are perceived as symbolic rather than substantive, especially when workload and staffing levels remain unchanged. </w:t>
      </w:r>
      <w:r w:rsidR="14367554" w:rsidRPr="170A91A1">
        <w:rPr>
          <w:sz w:val="22"/>
          <w:szCs w:val="22"/>
        </w:rPr>
        <w:t xml:space="preserve">The absence of clear links </w:t>
      </w:r>
      <w:r w:rsidR="19DA34EF" w:rsidRPr="170A91A1">
        <w:rPr>
          <w:sz w:val="22"/>
          <w:szCs w:val="22"/>
        </w:rPr>
        <w:t>between engagement data, managerial accountability, and resource allocation weakens their impact. Without addressing structural issues such as staffing ratios, career progres</w:t>
      </w:r>
      <w:r w:rsidR="0356A0B7" w:rsidRPr="170A91A1">
        <w:rPr>
          <w:sz w:val="22"/>
          <w:szCs w:val="22"/>
        </w:rPr>
        <w:t>sion, and pay engagement strategies risk being seen as “sticking plasters” rather than genuine solutions.</w:t>
      </w:r>
    </w:p>
    <w:p w14:paraId="0DB9D7A5" w14:textId="10E69390" w:rsidR="0DAE8C58" w:rsidRDefault="0DAE8C58" w:rsidP="170A91A1">
      <w:pPr>
        <w:spacing w:line="360" w:lineRule="auto"/>
        <w:ind w:left="720"/>
        <w:jc w:val="both"/>
        <w:rPr>
          <w:sz w:val="22"/>
          <w:szCs w:val="22"/>
        </w:rPr>
      </w:pPr>
    </w:p>
    <w:p w14:paraId="7332BA68" w14:textId="16866D67" w:rsidR="0DAE8C58" w:rsidRDefault="72457B68" w:rsidP="170A91A1">
      <w:pPr>
        <w:spacing w:line="360" w:lineRule="auto"/>
        <w:ind w:left="720"/>
        <w:jc w:val="both"/>
      </w:pPr>
      <w:r w:rsidRPr="170A91A1">
        <w:rPr>
          <w:b/>
          <w:bCs/>
          <w:sz w:val="22"/>
          <w:szCs w:val="22"/>
        </w:rPr>
        <w:t>Inclusive recruitment practices</w:t>
      </w:r>
    </w:p>
    <w:p w14:paraId="0D41844A" w14:textId="5E4410C5" w:rsidR="0DAE8C58" w:rsidRDefault="0AC377D6" w:rsidP="170A91A1">
      <w:pPr>
        <w:spacing w:line="360" w:lineRule="auto"/>
        <w:ind w:left="720"/>
        <w:jc w:val="both"/>
        <w:rPr>
          <w:i/>
          <w:iCs/>
          <w:sz w:val="22"/>
          <w:szCs w:val="22"/>
        </w:rPr>
      </w:pPr>
      <w:r w:rsidRPr="170A91A1">
        <w:rPr>
          <w:i/>
          <w:iCs/>
          <w:sz w:val="22"/>
          <w:szCs w:val="22"/>
        </w:rPr>
        <w:t>Strengths:</w:t>
      </w:r>
    </w:p>
    <w:p w14:paraId="575A4A4B" w14:textId="51E7E932" w:rsidR="0DAE8C58" w:rsidRDefault="0AC377D6" w:rsidP="170A91A1">
      <w:pPr>
        <w:spacing w:line="360" w:lineRule="auto"/>
        <w:ind w:left="720"/>
        <w:jc w:val="both"/>
        <w:rPr>
          <w:sz w:val="22"/>
          <w:szCs w:val="22"/>
        </w:rPr>
      </w:pPr>
      <w:r w:rsidRPr="170A91A1">
        <w:rPr>
          <w:sz w:val="22"/>
          <w:szCs w:val="22"/>
        </w:rPr>
        <w:t xml:space="preserve">UHS has adopted inclusive recruitment practices, including anonymised shortlisting and </w:t>
      </w:r>
      <w:proofErr w:type="spellStart"/>
      <w:r w:rsidRPr="170A91A1">
        <w:rPr>
          <w:sz w:val="22"/>
          <w:szCs w:val="22"/>
        </w:rPr>
        <w:t>equiality</w:t>
      </w:r>
      <w:proofErr w:type="spellEnd"/>
      <w:r w:rsidRPr="170A91A1">
        <w:rPr>
          <w:sz w:val="22"/>
          <w:szCs w:val="22"/>
        </w:rPr>
        <w:t xml:space="preserve"> monitoring, which align with best practice and </w:t>
      </w:r>
      <w:r w:rsidR="7F60368C" w:rsidRPr="170A91A1">
        <w:rPr>
          <w:sz w:val="22"/>
          <w:szCs w:val="22"/>
        </w:rPr>
        <w:t>NHS equality standards. Leadership programmes aimed at underrepresented groups signal organisational commitment to improving</w:t>
      </w:r>
      <w:r w:rsidR="5D24517D" w:rsidRPr="170A91A1">
        <w:rPr>
          <w:sz w:val="22"/>
          <w:szCs w:val="22"/>
        </w:rPr>
        <w:t>.</w:t>
      </w:r>
    </w:p>
    <w:p w14:paraId="014B0884" w14:textId="2674050B" w:rsidR="0DAE8C58" w:rsidRDefault="7F60368C" w:rsidP="170A91A1">
      <w:pPr>
        <w:spacing w:line="360" w:lineRule="auto"/>
        <w:ind w:left="720"/>
        <w:jc w:val="both"/>
        <w:rPr>
          <w:i/>
          <w:iCs/>
          <w:sz w:val="22"/>
          <w:szCs w:val="22"/>
        </w:rPr>
      </w:pPr>
      <w:r w:rsidRPr="170A91A1">
        <w:rPr>
          <w:i/>
          <w:iCs/>
          <w:sz w:val="22"/>
          <w:szCs w:val="22"/>
        </w:rPr>
        <w:t>Effectiveness:</w:t>
      </w:r>
    </w:p>
    <w:p w14:paraId="4206869A" w14:textId="4E419A46" w:rsidR="0DAE8C58" w:rsidRDefault="7F60368C" w:rsidP="170A91A1">
      <w:pPr>
        <w:spacing w:line="360" w:lineRule="auto"/>
        <w:ind w:left="720"/>
        <w:jc w:val="both"/>
      </w:pPr>
      <w:r w:rsidRPr="170A91A1">
        <w:rPr>
          <w:sz w:val="22"/>
          <w:szCs w:val="22"/>
        </w:rPr>
        <w:t>These initiatives can increase fairness in recruitment and raise awareness of DEI issues among managers. Where participants in leadership programmes are supported post-training, there is ev</w:t>
      </w:r>
      <w:r w:rsidR="6CE211A1" w:rsidRPr="170A91A1">
        <w:rPr>
          <w:sz w:val="22"/>
          <w:szCs w:val="22"/>
        </w:rPr>
        <w:t>idence of improved confidence, visibility, and progression opportunities.</w:t>
      </w:r>
    </w:p>
    <w:p w14:paraId="35ECAC51" w14:textId="45EBF887" w:rsidR="0DAE8C58" w:rsidRDefault="6CE211A1" w:rsidP="170A91A1">
      <w:pPr>
        <w:spacing w:line="360" w:lineRule="auto"/>
        <w:ind w:left="720"/>
        <w:jc w:val="both"/>
        <w:rPr>
          <w:i/>
          <w:iCs/>
          <w:sz w:val="22"/>
          <w:szCs w:val="22"/>
        </w:rPr>
      </w:pPr>
      <w:r w:rsidRPr="170A91A1">
        <w:rPr>
          <w:i/>
          <w:iCs/>
          <w:sz w:val="22"/>
          <w:szCs w:val="22"/>
        </w:rPr>
        <w:t>Limitations:</w:t>
      </w:r>
    </w:p>
    <w:p w14:paraId="43505991" w14:textId="15CD5F9A" w:rsidR="0DAE8C58" w:rsidRDefault="6CE211A1" w:rsidP="170A91A1">
      <w:pPr>
        <w:spacing w:line="360" w:lineRule="auto"/>
        <w:ind w:left="720"/>
        <w:jc w:val="both"/>
      </w:pPr>
      <w:r w:rsidRPr="170A91A1">
        <w:rPr>
          <w:sz w:val="22"/>
          <w:szCs w:val="22"/>
        </w:rPr>
        <w:t>However, the overall impact on organizational diversity particularly at senior levels remains limited. Inclusive recruitment processes do not fully address deeper systemic barriers, such as informal networks, biase</w:t>
      </w:r>
      <w:r w:rsidR="3088C987" w:rsidRPr="170A91A1">
        <w:rPr>
          <w:sz w:val="22"/>
          <w:szCs w:val="22"/>
        </w:rPr>
        <w:t xml:space="preserve">d performance assessments, or unequal access to development opportunities. DEI initiatives are sometimes treated as </w:t>
      </w:r>
      <w:r w:rsidR="3088C987" w:rsidRPr="170A91A1">
        <w:rPr>
          <w:sz w:val="22"/>
          <w:szCs w:val="22"/>
        </w:rPr>
        <w:lastRenderedPageBreak/>
        <w:t>complianc</w:t>
      </w:r>
      <w:r w:rsidR="4285F72C" w:rsidRPr="170A91A1">
        <w:rPr>
          <w:sz w:val="22"/>
          <w:szCs w:val="22"/>
        </w:rPr>
        <w:t>e exercises rather than embedded strategic priorities. Without stronger accountability, clear metrics, and sustained cultural change, these practices risk delivering incremental rather than transformative progress.</w:t>
      </w:r>
    </w:p>
    <w:p w14:paraId="2C2B0107" w14:textId="6859F6C7" w:rsidR="0DAE8C58" w:rsidRDefault="0DAE8C58" w:rsidP="170A91A1">
      <w:pPr>
        <w:spacing w:line="360" w:lineRule="auto"/>
        <w:ind w:left="720"/>
        <w:jc w:val="both"/>
        <w:rPr>
          <w:sz w:val="22"/>
          <w:szCs w:val="22"/>
        </w:rPr>
      </w:pPr>
    </w:p>
    <w:p w14:paraId="34077610" w14:textId="27A1C945" w:rsidR="0DAE8C58" w:rsidRDefault="72457B68" w:rsidP="170A91A1">
      <w:pPr>
        <w:spacing w:line="360" w:lineRule="auto"/>
        <w:ind w:left="720"/>
        <w:jc w:val="both"/>
      </w:pPr>
      <w:r w:rsidRPr="170A91A1">
        <w:rPr>
          <w:b/>
          <w:bCs/>
          <w:sz w:val="22"/>
          <w:szCs w:val="22"/>
        </w:rPr>
        <w:t>DEI policies and leadership development initiatives</w:t>
      </w:r>
    </w:p>
    <w:p w14:paraId="2C8B21E2" w14:textId="0BDC9244" w:rsidR="0DAE8C58" w:rsidRDefault="70CF94D2" w:rsidP="170A91A1">
      <w:pPr>
        <w:spacing w:line="360" w:lineRule="auto"/>
        <w:ind w:left="720"/>
        <w:jc w:val="both"/>
      </w:pPr>
      <w:r w:rsidRPr="170A91A1">
        <w:rPr>
          <w:sz w:val="22"/>
          <w:szCs w:val="22"/>
        </w:rPr>
        <w:t>University Hospital Southampton NHS Foundation Trust (UHS) has implemented a range of Diversity, Equity, and Inclusion (DEI) policies and leadership development initiatives designed to promote fairness, representation, and cultural compete</w:t>
      </w:r>
      <w:r w:rsidR="5BCB2247" w:rsidRPr="170A91A1">
        <w:rPr>
          <w:sz w:val="22"/>
          <w:szCs w:val="22"/>
        </w:rPr>
        <w:t>nce across the organization. These practices align with national NHS equality frameworks, including the Workforce Disability Equality Standard (WDES), and reflect a strategic commitment to fostering a</w:t>
      </w:r>
      <w:r w:rsidR="2DFADBDA" w:rsidRPr="170A91A1">
        <w:rPr>
          <w:sz w:val="22"/>
          <w:szCs w:val="22"/>
        </w:rPr>
        <w:t>n inclusive working environment. However, their effectiveness is shaped by organizational culture, managerial capability, and the extent to which DEI principles are embedded into everyday practice.</w:t>
      </w:r>
    </w:p>
    <w:p w14:paraId="03E434EA" w14:textId="64BEBB5E" w:rsidR="0DAE8C58" w:rsidRDefault="331FCEEB" w:rsidP="170A91A1">
      <w:pPr>
        <w:spacing w:line="360" w:lineRule="auto"/>
        <w:ind w:left="720"/>
        <w:jc w:val="both"/>
      </w:pPr>
      <w:r w:rsidRPr="170A91A1">
        <w:rPr>
          <w:i/>
          <w:iCs/>
          <w:sz w:val="22"/>
          <w:szCs w:val="22"/>
        </w:rPr>
        <w:t>Strengths of DEI Policies</w:t>
      </w:r>
    </w:p>
    <w:p w14:paraId="0CBB1313" w14:textId="657AA51B" w:rsidR="0DAE8C58" w:rsidRDefault="331FCEEB" w:rsidP="170A91A1">
      <w:pPr>
        <w:spacing w:line="360" w:lineRule="auto"/>
        <w:ind w:left="720"/>
        <w:jc w:val="both"/>
      </w:pPr>
      <w:r w:rsidRPr="170A91A1">
        <w:rPr>
          <w:sz w:val="22"/>
          <w:szCs w:val="22"/>
        </w:rPr>
        <w:t xml:space="preserve">UHS has adopted inclusive recruitment procedures such as anonymised shortlisting, structured interviews, and </w:t>
      </w:r>
      <w:r w:rsidR="220D89D4" w:rsidRPr="170A91A1">
        <w:rPr>
          <w:sz w:val="22"/>
          <w:szCs w:val="22"/>
        </w:rPr>
        <w:t>equality monitoring. These measures reduce the influence of unconscious bias and support more transparent decision-making. The Trust also provides mandatory equality and diversity training, which raises awareness of discrimina</w:t>
      </w:r>
      <w:r w:rsidR="22DE7470" w:rsidRPr="170A91A1">
        <w:rPr>
          <w:sz w:val="22"/>
          <w:szCs w:val="22"/>
        </w:rPr>
        <w:t>tory behaviours and promotes respectful workplace interactions. Additionally, DEI policies are supported by clear reporting mechanisms, enabling staff to raise concerns about discrimination or inequity.</w:t>
      </w:r>
    </w:p>
    <w:p w14:paraId="3F6F6454" w14:textId="2674050B" w:rsidR="0DAE8C58" w:rsidRDefault="22DE7470" w:rsidP="170A91A1">
      <w:pPr>
        <w:spacing w:line="360" w:lineRule="auto"/>
        <w:ind w:left="720"/>
        <w:jc w:val="both"/>
        <w:rPr>
          <w:i/>
          <w:iCs/>
          <w:sz w:val="22"/>
          <w:szCs w:val="22"/>
        </w:rPr>
      </w:pPr>
      <w:r w:rsidRPr="170A91A1">
        <w:rPr>
          <w:i/>
          <w:iCs/>
          <w:sz w:val="22"/>
          <w:szCs w:val="22"/>
        </w:rPr>
        <w:t>Effectiveness:</w:t>
      </w:r>
    </w:p>
    <w:p w14:paraId="0B5A33D7" w14:textId="72922A16" w:rsidR="0DAE8C58" w:rsidRDefault="22DE7470" w:rsidP="170A91A1">
      <w:pPr>
        <w:spacing w:line="360" w:lineRule="auto"/>
        <w:ind w:left="720"/>
        <w:jc w:val="both"/>
      </w:pPr>
      <w:r w:rsidRPr="170A91A1">
        <w:rPr>
          <w:sz w:val="22"/>
          <w:szCs w:val="22"/>
        </w:rPr>
        <w:t>Where implemented consistently, these policies contribute to fairer recruitment outcomes and improved staff confidence in organizational processes. They also enhance UHS’s reputation as an inclusive employer, supporting talent attraction and retention. Leadership development progr</w:t>
      </w:r>
      <w:r w:rsidR="04BE111B" w:rsidRPr="170A91A1">
        <w:rPr>
          <w:sz w:val="22"/>
          <w:szCs w:val="22"/>
        </w:rPr>
        <w:t>ammes such as “Stepping Up” and “Ready Now” offer targeted support for staff from underrepresented groups, helping to build leadership capability and increase visibility of diverse ta</w:t>
      </w:r>
      <w:r w:rsidR="27053D98" w:rsidRPr="170A91A1">
        <w:rPr>
          <w:sz w:val="22"/>
          <w:szCs w:val="22"/>
        </w:rPr>
        <w:t>lent within the organization. Participants often report improved confidence, stronger professional networks, and enhanced readiness for progression.</w:t>
      </w:r>
    </w:p>
    <w:p w14:paraId="54C7F5F1" w14:textId="0AAD6458" w:rsidR="0DAE8C58" w:rsidRDefault="27053D98" w:rsidP="170A91A1">
      <w:pPr>
        <w:spacing w:line="360" w:lineRule="auto"/>
        <w:ind w:left="720"/>
        <w:jc w:val="both"/>
        <w:rPr>
          <w:i/>
          <w:iCs/>
          <w:sz w:val="22"/>
          <w:szCs w:val="22"/>
        </w:rPr>
      </w:pPr>
      <w:r w:rsidRPr="170A91A1">
        <w:rPr>
          <w:i/>
          <w:iCs/>
          <w:sz w:val="22"/>
          <w:szCs w:val="22"/>
        </w:rPr>
        <w:t>Limitations:</w:t>
      </w:r>
    </w:p>
    <w:p w14:paraId="19E9917D" w14:textId="7DF00301" w:rsidR="0DAE8C58" w:rsidRPr="00D117DE" w:rsidRDefault="27053D98" w:rsidP="00D117DE">
      <w:pPr>
        <w:spacing w:line="360" w:lineRule="auto"/>
        <w:ind w:left="720"/>
        <w:jc w:val="both"/>
      </w:pPr>
      <w:r w:rsidRPr="170A91A1">
        <w:rPr>
          <w:sz w:val="22"/>
          <w:szCs w:val="22"/>
        </w:rPr>
        <w:t>Despite these initiatives, progress remains uneve</w:t>
      </w:r>
      <w:r w:rsidR="511B30D6" w:rsidRPr="170A91A1">
        <w:rPr>
          <w:sz w:val="22"/>
          <w:szCs w:val="22"/>
        </w:rPr>
        <w:t>n.</w:t>
      </w:r>
      <w:r w:rsidRPr="170A91A1">
        <w:rPr>
          <w:sz w:val="22"/>
          <w:szCs w:val="22"/>
        </w:rPr>
        <w:t xml:space="preserve"> DEI policies are sometimes perceived as compliance – driven rather than strategically embedded, limiting their </w:t>
      </w:r>
      <w:r w:rsidRPr="170A91A1">
        <w:rPr>
          <w:sz w:val="22"/>
          <w:szCs w:val="22"/>
        </w:rPr>
        <w:lastRenderedPageBreak/>
        <w:t>transformative potential. Representation at senior levels remains disproportionately l</w:t>
      </w:r>
      <w:r w:rsidR="52E9BCE9" w:rsidRPr="170A91A1">
        <w:rPr>
          <w:sz w:val="22"/>
          <w:szCs w:val="22"/>
        </w:rPr>
        <w:t xml:space="preserve">ow for ethnic minority and disabled staff, indicating persistent structural barriers. </w:t>
      </w:r>
      <w:r w:rsidR="463DC964" w:rsidRPr="170A91A1">
        <w:rPr>
          <w:sz w:val="22"/>
          <w:szCs w:val="22"/>
        </w:rPr>
        <w:t>Leadership development programmes, while beneficial, often lack sustained follow-up support, reducing long-term impact. Furthermore, unconscious bias training alone is insufficient to change deeply ingrained behaviours witho</w:t>
      </w:r>
      <w:r w:rsidR="0BB3EAEF" w:rsidRPr="170A91A1">
        <w:rPr>
          <w:sz w:val="22"/>
          <w:szCs w:val="22"/>
        </w:rPr>
        <w:t>ut complementary accountability mechanisms. In some departments, DEI priorities are overshadowed by operational pressures, resulting in inconsistent implementation and limited cultural change.</w:t>
      </w:r>
    </w:p>
    <w:p w14:paraId="47F91878" w14:textId="25658A6A" w:rsidR="0DAE8C58" w:rsidRDefault="0BB3EAEF" w:rsidP="170A91A1">
      <w:pPr>
        <w:spacing w:line="360" w:lineRule="auto"/>
        <w:ind w:left="720"/>
        <w:jc w:val="both"/>
        <w:rPr>
          <w:i/>
          <w:iCs/>
          <w:sz w:val="22"/>
          <w:szCs w:val="22"/>
        </w:rPr>
      </w:pPr>
      <w:r w:rsidRPr="170A91A1">
        <w:rPr>
          <w:i/>
          <w:iCs/>
          <w:sz w:val="22"/>
          <w:szCs w:val="22"/>
        </w:rPr>
        <w:t>Critical Assessment:</w:t>
      </w:r>
    </w:p>
    <w:p w14:paraId="6CD7F9E4" w14:textId="1BA9BAF4" w:rsidR="0DAE8C58" w:rsidRDefault="0BB3EAEF" w:rsidP="170A91A1">
      <w:pPr>
        <w:spacing w:line="360" w:lineRule="auto"/>
        <w:ind w:left="720"/>
        <w:jc w:val="both"/>
      </w:pPr>
      <w:r w:rsidRPr="170A91A1">
        <w:rPr>
          <w:sz w:val="22"/>
          <w:szCs w:val="22"/>
        </w:rPr>
        <w:t>The effectiveness of DEI initiatives at UHS is constrained by the absence of robust performance metrics and limited managerial accountability. Without clear expectations and consequences, DEI outcomes depend heavily on indivi</w:t>
      </w:r>
      <w:r w:rsidR="5D613404" w:rsidRPr="170A91A1">
        <w:rPr>
          <w:sz w:val="22"/>
          <w:szCs w:val="22"/>
        </w:rPr>
        <w:t xml:space="preserve">dual managerial commitment rather than organisational mandate. Additionally, DEI data is not always used strategically to inform </w:t>
      </w:r>
      <w:proofErr w:type="spellStart"/>
      <w:r w:rsidR="5D613404" w:rsidRPr="170A91A1">
        <w:rPr>
          <w:sz w:val="22"/>
          <w:szCs w:val="22"/>
        </w:rPr>
        <w:t>workforece</w:t>
      </w:r>
      <w:proofErr w:type="spellEnd"/>
      <w:r w:rsidR="5D613404" w:rsidRPr="170A91A1">
        <w:rPr>
          <w:sz w:val="22"/>
          <w:szCs w:val="22"/>
        </w:rPr>
        <w:t xml:space="preserve"> planning or succession decisions, reducing opportunities for system</w:t>
      </w:r>
      <w:r w:rsidR="680105F2" w:rsidRPr="170A91A1">
        <w:rPr>
          <w:sz w:val="22"/>
          <w:szCs w:val="22"/>
        </w:rPr>
        <w:t xml:space="preserve">ic improvement. To achieve meaningful progress, UHS must integrate DEI objectives into leadership KPIs, strengthen monitoring processes, and ensure </w:t>
      </w:r>
      <w:r w:rsidR="7238BEF6" w:rsidRPr="170A91A1">
        <w:rPr>
          <w:sz w:val="22"/>
          <w:szCs w:val="22"/>
        </w:rPr>
        <w:t xml:space="preserve">that development programmes are supported by long-term mentoring and career pathways. Overall, while UHS demonstrates </w:t>
      </w:r>
      <w:r w:rsidR="777BE2B3" w:rsidRPr="170A91A1">
        <w:rPr>
          <w:sz w:val="22"/>
          <w:szCs w:val="22"/>
        </w:rPr>
        <w:t>a clear commitment to DEI through its policies and leadership initiatives, their impact is limited by structural constraints, inconsistent implementation, and insufficient accountabili</w:t>
      </w:r>
      <w:r w:rsidR="3C9077EE" w:rsidRPr="170A91A1">
        <w:rPr>
          <w:sz w:val="22"/>
          <w:szCs w:val="22"/>
        </w:rPr>
        <w:t xml:space="preserve">ty. A more strategic, data driven, and leadership led approach is </w:t>
      </w:r>
      <w:proofErr w:type="spellStart"/>
      <w:r w:rsidR="3C9077EE" w:rsidRPr="170A91A1">
        <w:rPr>
          <w:sz w:val="22"/>
          <w:szCs w:val="22"/>
        </w:rPr>
        <w:t>requred</w:t>
      </w:r>
      <w:proofErr w:type="spellEnd"/>
      <w:r w:rsidR="3C9077EE" w:rsidRPr="170A91A1">
        <w:rPr>
          <w:sz w:val="22"/>
          <w:szCs w:val="22"/>
        </w:rPr>
        <w:t xml:space="preserve"> to translate DEI principles into sustained organizational change.</w:t>
      </w:r>
    </w:p>
    <w:p w14:paraId="3E6E1CE6" w14:textId="1AEB706C" w:rsidR="0DAE8C58" w:rsidRDefault="0DAE8C58" w:rsidP="170A91A1">
      <w:pPr>
        <w:spacing w:line="360" w:lineRule="auto"/>
        <w:ind w:left="720"/>
        <w:jc w:val="both"/>
        <w:rPr>
          <w:sz w:val="22"/>
          <w:szCs w:val="22"/>
        </w:rPr>
      </w:pPr>
    </w:p>
    <w:p w14:paraId="2438715D" w14:textId="6772D871" w:rsidR="0DAE8C58" w:rsidRDefault="72457B68" w:rsidP="170A91A1">
      <w:pPr>
        <w:spacing w:line="360" w:lineRule="auto"/>
        <w:jc w:val="both"/>
      </w:pPr>
      <w:r w:rsidRPr="170A91A1">
        <w:rPr>
          <w:b/>
          <w:bCs/>
          <w:color w:val="000000" w:themeColor="text1"/>
          <w:sz w:val="22"/>
          <w:szCs w:val="22"/>
          <w:lang w:val="en-US"/>
        </w:rPr>
        <w:t>4.0</w:t>
      </w:r>
      <w:r w:rsidR="0DAE8C58">
        <w:tab/>
      </w:r>
      <w:r w:rsidRPr="170A91A1">
        <w:rPr>
          <w:b/>
          <w:bCs/>
          <w:sz w:val="22"/>
          <w:szCs w:val="22"/>
        </w:rPr>
        <w:t xml:space="preserve">Critical Evaluation of Managerial Implementation </w:t>
      </w:r>
    </w:p>
    <w:p w14:paraId="1E5D576F" w14:textId="7BB03AB7" w:rsidR="00D117DE" w:rsidRDefault="693CED86" w:rsidP="00D117DE">
      <w:pPr>
        <w:spacing w:line="360" w:lineRule="auto"/>
        <w:ind w:left="720"/>
        <w:jc w:val="both"/>
        <w:rPr>
          <w:sz w:val="22"/>
          <w:szCs w:val="22"/>
        </w:rPr>
      </w:pPr>
      <w:r w:rsidRPr="170A91A1">
        <w:rPr>
          <w:sz w:val="22"/>
          <w:szCs w:val="22"/>
        </w:rPr>
        <w:t>The effective implementation of contemporary HR practices at University Hospital Southampton NHS Found</w:t>
      </w:r>
      <w:r w:rsidR="59F759AB" w:rsidRPr="170A91A1">
        <w:rPr>
          <w:sz w:val="22"/>
          <w:szCs w:val="22"/>
        </w:rPr>
        <w:t xml:space="preserve">ation Trust (UHS) depends fundamentally on the capability, commitment, </w:t>
      </w:r>
      <w:r w:rsidR="26FAECF5" w:rsidRPr="170A91A1">
        <w:rPr>
          <w:sz w:val="22"/>
          <w:szCs w:val="22"/>
        </w:rPr>
        <w:t>and accountability of departmental managers. While HR policies and systems provide the framework, it is managerial behaviour at local level that determines whether these practices translate into meaningful change in workforce experience and organizat</w:t>
      </w:r>
      <w:r w:rsidR="126EB6BF" w:rsidRPr="170A91A1">
        <w:rPr>
          <w:sz w:val="22"/>
          <w:szCs w:val="22"/>
        </w:rPr>
        <w:t>ional performance.</w:t>
      </w:r>
    </w:p>
    <w:p w14:paraId="7AC6EF13" w14:textId="2123E118" w:rsidR="0DAE8C58" w:rsidRDefault="72457B68" w:rsidP="170A91A1">
      <w:pPr>
        <w:spacing w:line="360" w:lineRule="auto"/>
        <w:ind w:left="720"/>
        <w:jc w:val="both"/>
      </w:pPr>
      <w:r w:rsidRPr="170A91A1">
        <w:rPr>
          <w:b/>
          <w:bCs/>
          <w:sz w:val="22"/>
          <w:szCs w:val="22"/>
        </w:rPr>
        <w:t>Leadership accountability</w:t>
      </w:r>
    </w:p>
    <w:p w14:paraId="7CC2321E" w14:textId="197FAEBF" w:rsidR="0DAE8C58" w:rsidRDefault="6F6898FA" w:rsidP="170A91A1">
      <w:pPr>
        <w:spacing w:line="360" w:lineRule="auto"/>
        <w:ind w:left="720"/>
        <w:jc w:val="both"/>
      </w:pPr>
      <w:r w:rsidRPr="170A91A1">
        <w:rPr>
          <w:sz w:val="22"/>
          <w:szCs w:val="22"/>
        </w:rPr>
        <w:t xml:space="preserve">Managers must be held responsible not only for people related </w:t>
      </w:r>
      <w:r w:rsidR="3E6A8917" w:rsidRPr="170A91A1">
        <w:rPr>
          <w:sz w:val="22"/>
          <w:szCs w:val="22"/>
        </w:rPr>
        <w:t>outcomes</w:t>
      </w:r>
      <w:r w:rsidRPr="170A91A1">
        <w:rPr>
          <w:sz w:val="22"/>
          <w:szCs w:val="22"/>
        </w:rPr>
        <w:t xml:space="preserve"> such as staff engagement, turnover, sickness absence, and DEI indicators. </w:t>
      </w:r>
      <w:r w:rsidR="68A9A24D" w:rsidRPr="170A91A1">
        <w:rPr>
          <w:sz w:val="22"/>
          <w:szCs w:val="22"/>
        </w:rPr>
        <w:t>Incorporating</w:t>
      </w:r>
      <w:r w:rsidRPr="170A91A1">
        <w:rPr>
          <w:sz w:val="22"/>
          <w:szCs w:val="22"/>
        </w:rPr>
        <w:t xml:space="preserve"> these measures </w:t>
      </w:r>
      <w:r w:rsidR="0942A120" w:rsidRPr="170A91A1">
        <w:rPr>
          <w:sz w:val="22"/>
          <w:szCs w:val="22"/>
        </w:rPr>
        <w:t xml:space="preserve">within managerial </w:t>
      </w:r>
      <w:r w:rsidRPr="170A91A1">
        <w:rPr>
          <w:sz w:val="22"/>
          <w:szCs w:val="22"/>
        </w:rPr>
        <w:t>performance objective</w:t>
      </w:r>
      <w:r w:rsidR="21608C4B" w:rsidRPr="170A91A1">
        <w:rPr>
          <w:sz w:val="22"/>
          <w:szCs w:val="22"/>
        </w:rPr>
        <w:t xml:space="preserve">s would strengthen alignment </w:t>
      </w:r>
      <w:r w:rsidRPr="170A91A1">
        <w:rPr>
          <w:sz w:val="22"/>
          <w:szCs w:val="22"/>
        </w:rPr>
        <w:lastRenderedPageBreak/>
        <w:t>betwe</w:t>
      </w:r>
      <w:r w:rsidR="0312F8F7" w:rsidRPr="170A91A1">
        <w:rPr>
          <w:sz w:val="22"/>
          <w:szCs w:val="22"/>
        </w:rPr>
        <w:t xml:space="preserve">en HR priorities and managerial behaviour. However, accountability is effective only when managers </w:t>
      </w:r>
      <w:r w:rsidR="789687E4" w:rsidRPr="170A91A1">
        <w:rPr>
          <w:sz w:val="22"/>
          <w:szCs w:val="22"/>
        </w:rPr>
        <w:t>are given the necessary authority, resources, and support to act</w:t>
      </w:r>
      <w:r w:rsidR="03B6DDA5" w:rsidRPr="170A91A1">
        <w:rPr>
          <w:sz w:val="22"/>
          <w:szCs w:val="22"/>
        </w:rPr>
        <w:t xml:space="preserve"> decisively. Without these supports, accountability risks becoming symbolic rather than transformative, leading to super</w:t>
      </w:r>
      <w:r w:rsidR="7841AE4F" w:rsidRPr="170A91A1">
        <w:rPr>
          <w:sz w:val="22"/>
          <w:szCs w:val="22"/>
        </w:rPr>
        <w:t>fi</w:t>
      </w:r>
      <w:r w:rsidR="03B6DDA5" w:rsidRPr="170A91A1">
        <w:rPr>
          <w:sz w:val="22"/>
          <w:szCs w:val="22"/>
        </w:rPr>
        <w:t xml:space="preserve">cial compliance rather than genuine improvement. </w:t>
      </w:r>
    </w:p>
    <w:p w14:paraId="2D0F5C3E" w14:textId="04FA0AF1" w:rsidR="0DAE8C58" w:rsidRDefault="0DAE8C58" w:rsidP="170A91A1">
      <w:pPr>
        <w:spacing w:line="360" w:lineRule="auto"/>
        <w:ind w:left="720"/>
        <w:jc w:val="both"/>
        <w:rPr>
          <w:sz w:val="22"/>
          <w:szCs w:val="22"/>
        </w:rPr>
      </w:pPr>
    </w:p>
    <w:p w14:paraId="1C5C5F0C" w14:textId="4957EA8A" w:rsidR="0DAE8C58" w:rsidRDefault="72457B68" w:rsidP="170A91A1">
      <w:pPr>
        <w:spacing w:line="360" w:lineRule="auto"/>
        <w:ind w:left="720"/>
        <w:jc w:val="both"/>
      </w:pPr>
      <w:r w:rsidRPr="170A91A1">
        <w:rPr>
          <w:b/>
          <w:bCs/>
          <w:sz w:val="22"/>
          <w:szCs w:val="22"/>
        </w:rPr>
        <w:t xml:space="preserve">Communication strategies </w:t>
      </w:r>
    </w:p>
    <w:p w14:paraId="1019E777" w14:textId="51E11029" w:rsidR="0DAE8C58" w:rsidRDefault="10691246" w:rsidP="170A91A1">
      <w:pPr>
        <w:spacing w:line="360" w:lineRule="auto"/>
        <w:ind w:left="720"/>
        <w:jc w:val="both"/>
      </w:pPr>
      <w:r w:rsidRPr="170A91A1">
        <w:rPr>
          <w:sz w:val="22"/>
          <w:szCs w:val="22"/>
        </w:rPr>
        <w:t>Play a critical role in shaping staff perceptions of change. Managers act as the primary conduit between organi</w:t>
      </w:r>
      <w:r w:rsidR="423CF80D" w:rsidRPr="170A91A1">
        <w:rPr>
          <w:sz w:val="22"/>
          <w:szCs w:val="22"/>
        </w:rPr>
        <w:t>s</w:t>
      </w:r>
      <w:r w:rsidRPr="170A91A1">
        <w:rPr>
          <w:sz w:val="22"/>
          <w:szCs w:val="22"/>
        </w:rPr>
        <w:t xml:space="preserve">ational </w:t>
      </w:r>
      <w:r w:rsidR="05B12476" w:rsidRPr="170A91A1">
        <w:rPr>
          <w:sz w:val="22"/>
          <w:szCs w:val="22"/>
        </w:rPr>
        <w:t xml:space="preserve">leadership and </w:t>
      </w:r>
      <w:r w:rsidRPr="170A91A1">
        <w:rPr>
          <w:sz w:val="22"/>
          <w:szCs w:val="22"/>
        </w:rPr>
        <w:t xml:space="preserve">frontline </w:t>
      </w:r>
      <w:r w:rsidR="2CB76961" w:rsidRPr="170A91A1">
        <w:rPr>
          <w:sz w:val="22"/>
          <w:szCs w:val="22"/>
        </w:rPr>
        <w:t xml:space="preserve">staff, and their ability to communicate purpose, expectations, and progress determines the success of implementation. </w:t>
      </w:r>
      <w:r w:rsidRPr="170A91A1">
        <w:rPr>
          <w:sz w:val="22"/>
          <w:szCs w:val="22"/>
        </w:rPr>
        <w:t xml:space="preserve">Clear, consistent, and transparent communication about the rationale for HR initiatives </w:t>
      </w:r>
      <w:r w:rsidR="5FFBCA99" w:rsidRPr="170A91A1">
        <w:rPr>
          <w:sz w:val="22"/>
          <w:szCs w:val="22"/>
        </w:rPr>
        <w:t xml:space="preserve">such as digital transformation, engagement programmes, or DEI policies helps to build trust and reduce resistance. </w:t>
      </w:r>
      <w:r w:rsidR="23368D30" w:rsidRPr="170A91A1">
        <w:rPr>
          <w:sz w:val="22"/>
          <w:szCs w:val="22"/>
        </w:rPr>
        <w:t xml:space="preserve">Staff must have opportunities to voice concerns and influence implementation. </w:t>
      </w:r>
      <w:r w:rsidR="2C5BF53C" w:rsidRPr="170A91A1">
        <w:rPr>
          <w:sz w:val="22"/>
          <w:szCs w:val="22"/>
        </w:rPr>
        <w:t>However, i</w:t>
      </w:r>
      <w:r w:rsidR="739290A9" w:rsidRPr="170A91A1">
        <w:rPr>
          <w:sz w:val="22"/>
          <w:szCs w:val="22"/>
        </w:rPr>
        <w:t xml:space="preserve">n high-pressure </w:t>
      </w:r>
      <w:r w:rsidR="593BC023" w:rsidRPr="170A91A1">
        <w:rPr>
          <w:sz w:val="22"/>
          <w:szCs w:val="22"/>
        </w:rPr>
        <w:t xml:space="preserve">healthcare </w:t>
      </w:r>
      <w:r w:rsidR="739290A9" w:rsidRPr="170A91A1">
        <w:rPr>
          <w:sz w:val="22"/>
          <w:szCs w:val="22"/>
        </w:rPr>
        <w:t xml:space="preserve">environments, communication can become directive and transactional, undermining psychological safety and limiting </w:t>
      </w:r>
      <w:r w:rsidR="4CE04FCB" w:rsidRPr="170A91A1">
        <w:rPr>
          <w:sz w:val="22"/>
          <w:szCs w:val="22"/>
        </w:rPr>
        <w:t>engagement. Managers must therefore adopt participatory communication approaches that encourage dialogue and shared ownership of change.</w:t>
      </w:r>
    </w:p>
    <w:p w14:paraId="41C71F2A" w14:textId="4E6C8421" w:rsidR="0DAE8C58" w:rsidRDefault="72457B68" w:rsidP="170A91A1">
      <w:pPr>
        <w:spacing w:line="360" w:lineRule="auto"/>
        <w:ind w:left="720"/>
        <w:jc w:val="both"/>
      </w:pPr>
      <w:r w:rsidRPr="170A91A1">
        <w:rPr>
          <w:b/>
          <w:bCs/>
          <w:sz w:val="22"/>
          <w:szCs w:val="22"/>
        </w:rPr>
        <w:t xml:space="preserve">Monitoring and performance measurement </w:t>
      </w:r>
    </w:p>
    <w:p w14:paraId="1A7E3B5C" w14:textId="1E2B7BE5" w:rsidR="0DAE8C58" w:rsidRDefault="796AC4B6" w:rsidP="170A91A1">
      <w:pPr>
        <w:spacing w:line="360" w:lineRule="auto"/>
        <w:ind w:left="720"/>
        <w:jc w:val="both"/>
        <w:rPr>
          <w:sz w:val="22"/>
          <w:szCs w:val="22"/>
        </w:rPr>
      </w:pPr>
      <w:r w:rsidRPr="170A91A1">
        <w:rPr>
          <w:sz w:val="22"/>
          <w:szCs w:val="22"/>
        </w:rPr>
        <w:t>Managers should use workforce data drawn from system such as ESR and staff surveys to identify trends, diagnose problems, and target interventions. However, data literacy varies, and some managers may lack confidence in interpreti</w:t>
      </w:r>
      <w:r w:rsidR="23DD4FCC" w:rsidRPr="170A91A1">
        <w:rPr>
          <w:sz w:val="22"/>
          <w:szCs w:val="22"/>
        </w:rPr>
        <w:t>ng complex metrics. There is a risk that monitoring becomes a bureaucratic exercise rather than a tool for strategic decision-making. To overcome this, UHS should invest in developing managerial analytical skills and provide accessible da</w:t>
      </w:r>
      <w:r w:rsidR="0DC93846" w:rsidRPr="170A91A1">
        <w:rPr>
          <w:sz w:val="22"/>
          <w:szCs w:val="22"/>
        </w:rPr>
        <w:t>shboards that link HR indicators to patient outcomes and service performance.</w:t>
      </w:r>
    </w:p>
    <w:p w14:paraId="0D4A2F8D" w14:textId="7A686DC3" w:rsidR="0DAE8C58" w:rsidRDefault="72457B68" w:rsidP="170A91A1">
      <w:pPr>
        <w:spacing w:line="360" w:lineRule="auto"/>
        <w:ind w:left="720"/>
        <w:jc w:val="both"/>
      </w:pPr>
      <w:r w:rsidRPr="170A91A1">
        <w:rPr>
          <w:b/>
          <w:bCs/>
          <w:sz w:val="22"/>
          <w:szCs w:val="22"/>
        </w:rPr>
        <w:t xml:space="preserve">Organisational culture </w:t>
      </w:r>
    </w:p>
    <w:p w14:paraId="72DA82B3" w14:textId="658BB3C0" w:rsidR="0DAE8C58" w:rsidRDefault="31CFA6B9" w:rsidP="170A91A1">
      <w:pPr>
        <w:spacing w:line="360" w:lineRule="auto"/>
        <w:ind w:left="720"/>
        <w:jc w:val="both"/>
      </w:pPr>
      <w:r w:rsidRPr="170A91A1">
        <w:rPr>
          <w:sz w:val="22"/>
          <w:szCs w:val="22"/>
        </w:rPr>
        <w:t>A culture that value learning, inclusivity, and collaboration will support innovation in technology adoption, engagement strategies, and DEI initiatives. Conversely, hierarchical norms, blame-oriented behaviours, and resis</w:t>
      </w:r>
      <w:r w:rsidR="54AB385A" w:rsidRPr="170A91A1">
        <w:rPr>
          <w:sz w:val="22"/>
          <w:szCs w:val="22"/>
        </w:rPr>
        <w:t xml:space="preserve">tance to change can undermine even </w:t>
      </w:r>
      <w:proofErr w:type="gramStart"/>
      <w:r w:rsidR="54AB385A" w:rsidRPr="170A91A1">
        <w:rPr>
          <w:sz w:val="22"/>
          <w:szCs w:val="22"/>
        </w:rPr>
        <w:t>well designed</w:t>
      </w:r>
      <w:proofErr w:type="gramEnd"/>
      <w:r w:rsidR="54AB385A" w:rsidRPr="170A91A1">
        <w:rPr>
          <w:sz w:val="22"/>
          <w:szCs w:val="22"/>
        </w:rPr>
        <w:t xml:space="preserve"> policies. Departmental managers are p</w:t>
      </w:r>
      <w:r w:rsidR="517BD660" w:rsidRPr="170A91A1">
        <w:rPr>
          <w:sz w:val="22"/>
          <w:szCs w:val="22"/>
        </w:rPr>
        <w:t>ivotal in modelling desired behaviours such as openness, fairness, and respect and in challenging practices that perpetuate inequity or disengagement. However, cultural change is slow and requires consistent reinforcement</w:t>
      </w:r>
      <w:r w:rsidR="26178300" w:rsidRPr="170A91A1">
        <w:rPr>
          <w:sz w:val="22"/>
          <w:szCs w:val="22"/>
        </w:rPr>
        <w:t xml:space="preserve"> from senior leadership, isolated efforts at departmental level may struggle without visible organizational </w:t>
      </w:r>
      <w:r w:rsidR="2F8A18BB" w:rsidRPr="170A91A1">
        <w:rPr>
          <w:sz w:val="22"/>
          <w:szCs w:val="22"/>
        </w:rPr>
        <w:t>backing.</w:t>
      </w:r>
    </w:p>
    <w:p w14:paraId="5D46F974" w14:textId="3A707B59" w:rsidR="0DAE8C58" w:rsidRDefault="72457B68" w:rsidP="170A91A1">
      <w:pPr>
        <w:spacing w:line="360" w:lineRule="auto"/>
        <w:ind w:left="720"/>
        <w:jc w:val="both"/>
      </w:pPr>
      <w:r w:rsidRPr="170A91A1">
        <w:rPr>
          <w:b/>
          <w:bCs/>
          <w:sz w:val="22"/>
          <w:szCs w:val="22"/>
        </w:rPr>
        <w:lastRenderedPageBreak/>
        <w:t xml:space="preserve">Barriers to implementation </w:t>
      </w:r>
    </w:p>
    <w:p w14:paraId="2B364D77" w14:textId="56A78C54" w:rsidR="0DAE8C58" w:rsidRDefault="5D413CB2" w:rsidP="170A91A1">
      <w:pPr>
        <w:spacing w:line="360" w:lineRule="auto"/>
        <w:ind w:left="720"/>
        <w:jc w:val="both"/>
      </w:pPr>
      <w:r w:rsidRPr="170A91A1">
        <w:rPr>
          <w:sz w:val="22"/>
          <w:szCs w:val="22"/>
        </w:rPr>
        <w:t xml:space="preserve">They can </w:t>
      </w:r>
      <w:proofErr w:type="gramStart"/>
      <w:r w:rsidRPr="170A91A1">
        <w:rPr>
          <w:sz w:val="22"/>
          <w:szCs w:val="22"/>
        </w:rPr>
        <w:t>identified</w:t>
      </w:r>
      <w:proofErr w:type="gramEnd"/>
      <w:r w:rsidRPr="170A91A1">
        <w:rPr>
          <w:sz w:val="22"/>
          <w:szCs w:val="22"/>
        </w:rPr>
        <w:t>, including workload pressures, limited resources, competing priorities, and scepticism about the tangible benefits of HR initiatives. Managers may perceive HR practices as additional burdens rather than integral to service quality. To overcome these barrier</w:t>
      </w:r>
      <w:r w:rsidR="6D3391F5" w:rsidRPr="170A91A1">
        <w:rPr>
          <w:sz w:val="22"/>
          <w:szCs w:val="22"/>
        </w:rPr>
        <w:t xml:space="preserve">s, UHS must align HR strategies with operational realities, ensuring that initiatives are practical, adequately resourced, and clearly linked to outcomes that matter to managers and staff. </w:t>
      </w:r>
      <w:r w:rsidR="7C62BE66" w:rsidRPr="170A91A1">
        <w:rPr>
          <w:sz w:val="22"/>
          <w:szCs w:val="22"/>
        </w:rPr>
        <w:t>Providing</w:t>
      </w:r>
      <w:r w:rsidR="6D3391F5" w:rsidRPr="170A91A1">
        <w:rPr>
          <w:sz w:val="22"/>
          <w:szCs w:val="22"/>
        </w:rPr>
        <w:t xml:space="preserve"> targeted training, peer</w:t>
      </w:r>
      <w:r w:rsidR="512DD432" w:rsidRPr="170A91A1">
        <w:rPr>
          <w:sz w:val="22"/>
          <w:szCs w:val="22"/>
        </w:rPr>
        <w:t xml:space="preserve"> support networks, and opportunities for shared learning can enhance managerial confidence and capability. Moreover, involving managers and staff in the co-design of HR interventions can increase ownership and reduce resistance.</w:t>
      </w:r>
    </w:p>
    <w:p w14:paraId="11F9DB7E" w14:textId="10D34884" w:rsidR="0DAE8C58" w:rsidRDefault="0DAE8C58" w:rsidP="170A91A1">
      <w:pPr>
        <w:spacing w:line="360" w:lineRule="auto"/>
        <w:ind w:left="720"/>
        <w:jc w:val="both"/>
        <w:rPr>
          <w:sz w:val="22"/>
          <w:szCs w:val="22"/>
        </w:rPr>
      </w:pPr>
    </w:p>
    <w:p w14:paraId="0A4B2C12" w14:textId="1417A1CC" w:rsidR="0DAE8C58" w:rsidRDefault="4EE88A5E" w:rsidP="170A91A1">
      <w:pPr>
        <w:spacing w:line="360" w:lineRule="auto"/>
        <w:jc w:val="both"/>
      </w:pPr>
      <w:r w:rsidRPr="170A91A1">
        <w:rPr>
          <w:rFonts w:ascii="Arial" w:eastAsia="Arial" w:hAnsi="Arial" w:cs="Arial"/>
          <w:b/>
          <w:bCs/>
          <w:color w:val="000000" w:themeColor="text1"/>
          <w:sz w:val="22"/>
          <w:szCs w:val="22"/>
          <w:lang w:val="en-US"/>
        </w:rPr>
        <w:t>5.0</w:t>
      </w:r>
      <w:r w:rsidR="0DAE8C58">
        <w:tab/>
      </w:r>
      <w:r w:rsidRPr="170A91A1">
        <w:rPr>
          <w:rFonts w:ascii="Arial" w:eastAsia="Arial" w:hAnsi="Arial" w:cs="Arial"/>
          <w:b/>
          <w:bCs/>
          <w:color w:val="000000" w:themeColor="text1"/>
          <w:sz w:val="22"/>
          <w:szCs w:val="22"/>
          <w:lang w:val="en-US"/>
        </w:rPr>
        <w:t>Recommendation</w:t>
      </w:r>
    </w:p>
    <w:p w14:paraId="624E2CAA" w14:textId="2FB13DE1" w:rsidR="0DAE8C58" w:rsidRDefault="4EE88A5E" w:rsidP="170A91A1">
      <w:pPr>
        <w:spacing w:line="360" w:lineRule="auto"/>
        <w:ind w:left="720"/>
        <w:jc w:val="both"/>
      </w:pPr>
      <w:r w:rsidRPr="170A91A1">
        <w:rPr>
          <w:rFonts w:ascii="Arial" w:eastAsia="Arial" w:hAnsi="Arial" w:cs="Arial"/>
          <w:color w:val="000000" w:themeColor="text1"/>
          <w:sz w:val="22"/>
          <w:szCs w:val="22"/>
          <w:lang w:val="en-US"/>
        </w:rPr>
        <w:t>University Hospital Southampton NHS Foundation Trust (UHS) should adopt a strategic, integrated approach that aligns HR initiatives with organizational objectives and operational realities. The following recommendations are proposed to enhance workforce engagement, managerial accountability, and long-term sustainability.</w:t>
      </w:r>
    </w:p>
    <w:p w14:paraId="58D0BAD2" w14:textId="4C731187" w:rsidR="0DAE8C58" w:rsidRDefault="4EE88A5E" w:rsidP="170A91A1">
      <w:pPr>
        <w:pStyle w:val="ListParagraph"/>
        <w:numPr>
          <w:ilvl w:val="0"/>
          <w:numId w:val="1"/>
        </w:numPr>
        <w:spacing w:line="360" w:lineRule="auto"/>
        <w:jc w:val="both"/>
        <w:rPr>
          <w:rFonts w:ascii="Arial" w:eastAsia="Arial" w:hAnsi="Arial" w:cs="Arial"/>
          <w:color w:val="000000" w:themeColor="text1"/>
          <w:sz w:val="22"/>
          <w:szCs w:val="22"/>
          <w:lang w:val="en-US"/>
        </w:rPr>
      </w:pPr>
      <w:r w:rsidRPr="170A91A1">
        <w:rPr>
          <w:rFonts w:ascii="Arial" w:eastAsia="Arial" w:hAnsi="Arial" w:cs="Arial"/>
          <w:color w:val="000000" w:themeColor="text1"/>
          <w:sz w:val="22"/>
          <w:szCs w:val="22"/>
          <w:lang w:val="en-US"/>
        </w:rPr>
        <w:t xml:space="preserve">UHS should </w:t>
      </w:r>
      <w:proofErr w:type="spellStart"/>
      <w:r w:rsidRPr="170A91A1">
        <w:rPr>
          <w:rFonts w:ascii="Arial" w:eastAsia="Arial" w:hAnsi="Arial" w:cs="Arial"/>
          <w:color w:val="000000" w:themeColor="text1"/>
          <w:sz w:val="22"/>
          <w:szCs w:val="22"/>
          <w:lang w:val="en-US"/>
        </w:rPr>
        <w:t>prioritise</w:t>
      </w:r>
      <w:proofErr w:type="spellEnd"/>
      <w:r w:rsidRPr="170A91A1">
        <w:rPr>
          <w:rFonts w:ascii="Arial" w:eastAsia="Arial" w:hAnsi="Arial" w:cs="Arial"/>
          <w:color w:val="000000" w:themeColor="text1"/>
          <w:sz w:val="22"/>
          <w:szCs w:val="22"/>
          <w:lang w:val="en-US"/>
        </w:rPr>
        <w:t xml:space="preserve"> comprehensive digital literacy </w:t>
      </w:r>
      <w:proofErr w:type="spellStart"/>
      <w:r w:rsidRPr="170A91A1">
        <w:rPr>
          <w:rFonts w:ascii="Arial" w:eastAsia="Arial" w:hAnsi="Arial" w:cs="Arial"/>
          <w:color w:val="000000" w:themeColor="text1"/>
          <w:sz w:val="22"/>
          <w:szCs w:val="22"/>
          <w:lang w:val="en-US"/>
        </w:rPr>
        <w:t>programmes</w:t>
      </w:r>
      <w:proofErr w:type="spellEnd"/>
      <w:r w:rsidRPr="170A91A1">
        <w:rPr>
          <w:rFonts w:ascii="Arial" w:eastAsia="Arial" w:hAnsi="Arial" w:cs="Arial"/>
          <w:color w:val="000000" w:themeColor="text1"/>
          <w:sz w:val="22"/>
          <w:szCs w:val="22"/>
          <w:lang w:val="en-US"/>
        </w:rPr>
        <w:t xml:space="preserve"> to ensure all employees possess the skills required to operate emerging technologies confidently. Regular training, mentoring, and peer learning should be </w:t>
      </w:r>
      <w:proofErr w:type="spellStart"/>
      <w:r w:rsidRPr="170A91A1">
        <w:rPr>
          <w:rFonts w:ascii="Arial" w:eastAsia="Arial" w:hAnsi="Arial" w:cs="Arial"/>
          <w:color w:val="000000" w:themeColor="text1"/>
          <w:sz w:val="22"/>
          <w:szCs w:val="22"/>
          <w:lang w:val="en-US"/>
        </w:rPr>
        <w:t>institutionalised</w:t>
      </w:r>
      <w:proofErr w:type="spellEnd"/>
      <w:r w:rsidRPr="170A91A1">
        <w:rPr>
          <w:rFonts w:ascii="Arial" w:eastAsia="Arial" w:hAnsi="Arial" w:cs="Arial"/>
          <w:color w:val="000000" w:themeColor="text1"/>
          <w:sz w:val="22"/>
          <w:szCs w:val="22"/>
          <w:lang w:val="en-US"/>
        </w:rPr>
        <w:t xml:space="preserve"> to reduce digital fatigue and resistance to change. </w:t>
      </w:r>
    </w:p>
    <w:p w14:paraId="49A1BF72" w14:textId="372C27F8" w:rsidR="0DAE8C58" w:rsidRDefault="4EE88A5E" w:rsidP="170A91A1">
      <w:pPr>
        <w:pStyle w:val="ListParagraph"/>
        <w:numPr>
          <w:ilvl w:val="0"/>
          <w:numId w:val="1"/>
        </w:numPr>
        <w:spacing w:line="360" w:lineRule="auto"/>
        <w:jc w:val="both"/>
        <w:rPr>
          <w:rFonts w:ascii="Arial" w:eastAsia="Arial" w:hAnsi="Arial" w:cs="Arial"/>
          <w:color w:val="000000" w:themeColor="text1"/>
          <w:sz w:val="22"/>
          <w:szCs w:val="22"/>
          <w:lang w:val="en-US"/>
        </w:rPr>
      </w:pPr>
      <w:r w:rsidRPr="170A91A1">
        <w:rPr>
          <w:rFonts w:ascii="Arial" w:eastAsia="Arial" w:hAnsi="Arial" w:cs="Arial"/>
          <w:color w:val="000000" w:themeColor="text1"/>
          <w:sz w:val="22"/>
          <w:szCs w:val="22"/>
          <w:lang w:val="en-US"/>
        </w:rPr>
        <w:t>Leadership accountability should be reinforced through measurable performance indicators linked to staff engagement, retention, and DEI outcomes (Mitchell, Agle and Wood, 1997)</w:t>
      </w:r>
      <w:r w:rsidR="0DAE8C58" w:rsidRPr="170A91A1">
        <w:rPr>
          <w:rStyle w:val="FootnoteReference"/>
          <w:rFonts w:ascii="Arial" w:eastAsia="Arial" w:hAnsi="Arial" w:cs="Arial"/>
          <w:color w:val="000000" w:themeColor="text1"/>
          <w:sz w:val="22"/>
          <w:szCs w:val="22"/>
          <w:lang w:val="en-US"/>
        </w:rPr>
        <w:footnoteReference w:id="13"/>
      </w:r>
      <w:r w:rsidRPr="170A91A1">
        <w:rPr>
          <w:rFonts w:ascii="Arial" w:eastAsia="Arial" w:hAnsi="Arial" w:cs="Arial"/>
          <w:color w:val="000000" w:themeColor="text1"/>
          <w:sz w:val="22"/>
          <w:szCs w:val="22"/>
          <w:lang w:val="en-US"/>
        </w:rPr>
        <w:t xml:space="preserve">. UHS should invest in leadership development </w:t>
      </w:r>
      <w:proofErr w:type="spellStart"/>
      <w:r w:rsidRPr="170A91A1">
        <w:rPr>
          <w:rFonts w:ascii="Arial" w:eastAsia="Arial" w:hAnsi="Arial" w:cs="Arial"/>
          <w:color w:val="000000" w:themeColor="text1"/>
          <w:sz w:val="22"/>
          <w:szCs w:val="22"/>
          <w:lang w:val="en-US"/>
        </w:rPr>
        <w:t>programmes</w:t>
      </w:r>
      <w:proofErr w:type="spellEnd"/>
      <w:r w:rsidRPr="170A91A1">
        <w:rPr>
          <w:rFonts w:ascii="Arial" w:eastAsia="Arial" w:hAnsi="Arial" w:cs="Arial"/>
          <w:color w:val="000000" w:themeColor="text1"/>
          <w:sz w:val="22"/>
          <w:szCs w:val="22"/>
          <w:lang w:val="en-US"/>
        </w:rPr>
        <w:t xml:space="preserve"> that cultivate inclusive, data-driven, and empathetic management styles. </w:t>
      </w:r>
    </w:p>
    <w:p w14:paraId="42FE66CE" w14:textId="3E526B94" w:rsidR="0DAE8C58" w:rsidRDefault="4EE88A5E" w:rsidP="170A91A1">
      <w:pPr>
        <w:pStyle w:val="ListParagraph"/>
        <w:numPr>
          <w:ilvl w:val="0"/>
          <w:numId w:val="1"/>
        </w:numPr>
        <w:spacing w:line="360" w:lineRule="auto"/>
        <w:jc w:val="both"/>
        <w:rPr>
          <w:rFonts w:ascii="Arial" w:eastAsia="Arial" w:hAnsi="Arial" w:cs="Arial"/>
          <w:color w:val="000000" w:themeColor="text1"/>
          <w:sz w:val="22"/>
          <w:szCs w:val="22"/>
          <w:lang w:val="en-US"/>
        </w:rPr>
      </w:pPr>
      <w:r w:rsidRPr="170A91A1">
        <w:rPr>
          <w:rFonts w:ascii="Arial" w:eastAsia="Arial" w:hAnsi="Arial" w:cs="Arial"/>
          <w:color w:val="000000" w:themeColor="text1"/>
          <w:sz w:val="22"/>
          <w:szCs w:val="22"/>
          <w:lang w:val="en-US"/>
        </w:rPr>
        <w:t xml:space="preserve">Managers should employ structured feedback channels, such as regular team briefings and digital forums, to ensure staff </w:t>
      </w:r>
      <w:proofErr w:type="gramStart"/>
      <w:r w:rsidRPr="170A91A1">
        <w:rPr>
          <w:rFonts w:ascii="Arial" w:eastAsia="Arial" w:hAnsi="Arial" w:cs="Arial"/>
          <w:color w:val="000000" w:themeColor="text1"/>
          <w:sz w:val="22"/>
          <w:szCs w:val="22"/>
          <w:lang w:val="en-US"/>
        </w:rPr>
        <w:t>concern</w:t>
      </w:r>
      <w:proofErr w:type="gramEnd"/>
      <w:r w:rsidRPr="170A91A1">
        <w:rPr>
          <w:rFonts w:ascii="Arial" w:eastAsia="Arial" w:hAnsi="Arial" w:cs="Arial"/>
          <w:color w:val="000000" w:themeColor="text1"/>
          <w:sz w:val="22"/>
          <w:szCs w:val="22"/>
          <w:lang w:val="en-US"/>
        </w:rPr>
        <w:t xml:space="preserve"> are heard and addressed promptly. This approach will promote psychological safety and strengthen organizational cohesion.</w:t>
      </w:r>
    </w:p>
    <w:p w14:paraId="5250130D" w14:textId="39D989CE" w:rsidR="0DAE8C58" w:rsidRDefault="4EE88A5E" w:rsidP="170A91A1">
      <w:pPr>
        <w:pStyle w:val="ListParagraph"/>
        <w:numPr>
          <w:ilvl w:val="0"/>
          <w:numId w:val="1"/>
        </w:numPr>
        <w:spacing w:line="360" w:lineRule="auto"/>
        <w:jc w:val="both"/>
        <w:rPr>
          <w:rFonts w:ascii="Arial" w:eastAsia="Arial" w:hAnsi="Arial" w:cs="Arial"/>
          <w:color w:val="000000" w:themeColor="text1"/>
          <w:sz w:val="22"/>
          <w:szCs w:val="22"/>
          <w:lang w:val="en-US"/>
        </w:rPr>
      </w:pPr>
      <w:r w:rsidRPr="170A91A1">
        <w:rPr>
          <w:rFonts w:ascii="Arial" w:eastAsia="Arial" w:hAnsi="Arial" w:cs="Arial"/>
          <w:color w:val="000000" w:themeColor="text1"/>
          <w:sz w:val="22"/>
          <w:szCs w:val="22"/>
          <w:lang w:val="en-US"/>
        </w:rPr>
        <w:t xml:space="preserve">UHS must integrate DEI principles into all aspects of workforce management, including recruitment, promotion, and succession planning. Establishing measurable DEI objectives within leadership performance reviews and providing sustained mentoring for underrepresented groups will advance equity and representation. </w:t>
      </w:r>
    </w:p>
    <w:p w14:paraId="74492761" w14:textId="5FF67935" w:rsidR="0DAE8C58" w:rsidRDefault="4EE88A5E" w:rsidP="170A91A1">
      <w:pPr>
        <w:pStyle w:val="ListParagraph"/>
        <w:numPr>
          <w:ilvl w:val="0"/>
          <w:numId w:val="1"/>
        </w:numPr>
        <w:spacing w:line="360" w:lineRule="auto"/>
        <w:jc w:val="both"/>
        <w:rPr>
          <w:rFonts w:ascii="Arial" w:eastAsia="Arial" w:hAnsi="Arial" w:cs="Arial"/>
          <w:color w:val="000000" w:themeColor="text1"/>
          <w:sz w:val="22"/>
          <w:szCs w:val="22"/>
          <w:lang w:val="en-US"/>
        </w:rPr>
      </w:pPr>
      <w:r w:rsidRPr="170A91A1">
        <w:rPr>
          <w:rFonts w:ascii="Arial" w:eastAsia="Arial" w:hAnsi="Arial" w:cs="Arial"/>
          <w:color w:val="000000" w:themeColor="text1"/>
          <w:sz w:val="22"/>
          <w:szCs w:val="22"/>
          <w:lang w:val="en-US"/>
        </w:rPr>
        <w:lastRenderedPageBreak/>
        <w:t>Managers must receive training in data interpretation to enable evidence-based decision-making. Regular audits and benchmarking against national NHS standards will support transparency and organizational learning.</w:t>
      </w:r>
    </w:p>
    <w:p w14:paraId="5F0BE717" w14:textId="4B008BC7" w:rsidR="0DAE8C58" w:rsidRDefault="4EE88A5E" w:rsidP="170A91A1">
      <w:pPr>
        <w:pStyle w:val="ListParagraph"/>
        <w:numPr>
          <w:ilvl w:val="0"/>
          <w:numId w:val="1"/>
        </w:numPr>
        <w:spacing w:line="360" w:lineRule="auto"/>
        <w:jc w:val="both"/>
        <w:rPr>
          <w:rFonts w:ascii="Arial" w:eastAsia="Arial" w:hAnsi="Arial" w:cs="Arial"/>
          <w:color w:val="000000" w:themeColor="text1"/>
          <w:sz w:val="22"/>
          <w:szCs w:val="22"/>
          <w:lang w:val="en-US"/>
        </w:rPr>
      </w:pPr>
      <w:r w:rsidRPr="170A91A1">
        <w:rPr>
          <w:rFonts w:ascii="Arial" w:eastAsia="Arial" w:hAnsi="Arial" w:cs="Arial"/>
          <w:color w:val="000000" w:themeColor="text1"/>
          <w:sz w:val="22"/>
          <w:szCs w:val="22"/>
          <w:lang w:val="en-US"/>
        </w:rPr>
        <w:t xml:space="preserve">Workload pressures and resource </w:t>
      </w:r>
      <w:proofErr w:type="spellStart"/>
      <w:r w:rsidRPr="170A91A1">
        <w:rPr>
          <w:rFonts w:ascii="Arial" w:eastAsia="Arial" w:hAnsi="Arial" w:cs="Arial"/>
          <w:color w:val="000000" w:themeColor="text1"/>
          <w:sz w:val="22"/>
          <w:szCs w:val="22"/>
          <w:lang w:val="en-US"/>
        </w:rPr>
        <w:t>contraints</w:t>
      </w:r>
      <w:proofErr w:type="spellEnd"/>
      <w:r w:rsidRPr="170A91A1">
        <w:rPr>
          <w:rFonts w:ascii="Arial" w:eastAsia="Arial" w:hAnsi="Arial" w:cs="Arial"/>
          <w:color w:val="000000" w:themeColor="text1"/>
          <w:sz w:val="22"/>
          <w:szCs w:val="22"/>
          <w:lang w:val="en-US"/>
        </w:rPr>
        <w:t xml:space="preserve"> often hinder effective HR practice. UHS should align HR initiatives with operational priorities, ensuring adequate </w:t>
      </w:r>
      <w:proofErr w:type="gramStart"/>
      <w:r w:rsidRPr="170A91A1">
        <w:rPr>
          <w:rFonts w:ascii="Arial" w:eastAsia="Arial" w:hAnsi="Arial" w:cs="Arial"/>
          <w:color w:val="000000" w:themeColor="text1"/>
          <w:sz w:val="22"/>
          <w:szCs w:val="22"/>
          <w:lang w:val="en-US"/>
        </w:rPr>
        <w:t>resourcing</w:t>
      </w:r>
      <w:proofErr w:type="gramEnd"/>
      <w:r w:rsidRPr="170A91A1">
        <w:rPr>
          <w:rFonts w:ascii="Arial" w:eastAsia="Arial" w:hAnsi="Arial" w:cs="Arial"/>
          <w:color w:val="000000" w:themeColor="text1"/>
          <w:sz w:val="22"/>
          <w:szCs w:val="22"/>
          <w:lang w:val="en-US"/>
        </w:rPr>
        <w:t xml:space="preserve"> and managerial support.</w:t>
      </w:r>
    </w:p>
    <w:p w14:paraId="2F534BA3" w14:textId="54E2C101" w:rsidR="0DAE8C58" w:rsidRDefault="0DAE8C58" w:rsidP="170A91A1">
      <w:pPr>
        <w:spacing w:line="360" w:lineRule="auto"/>
        <w:ind w:left="720"/>
        <w:jc w:val="both"/>
        <w:rPr>
          <w:sz w:val="22"/>
          <w:szCs w:val="22"/>
        </w:rPr>
      </w:pPr>
    </w:p>
    <w:p w14:paraId="4DB74A03" w14:textId="4850FF08" w:rsidR="0DAE8C58" w:rsidRDefault="4EE88A5E" w:rsidP="170A91A1">
      <w:pPr>
        <w:spacing w:line="360" w:lineRule="auto"/>
        <w:jc w:val="both"/>
      </w:pPr>
      <w:r w:rsidRPr="170A91A1">
        <w:rPr>
          <w:rFonts w:ascii="Arial" w:eastAsia="Arial" w:hAnsi="Arial" w:cs="Arial"/>
          <w:b/>
          <w:bCs/>
          <w:color w:val="000000" w:themeColor="text1"/>
          <w:sz w:val="22"/>
          <w:szCs w:val="22"/>
          <w:lang w:val="en-US"/>
        </w:rPr>
        <w:t>6</w:t>
      </w:r>
      <w:r w:rsidR="7446D016" w:rsidRPr="170A91A1">
        <w:rPr>
          <w:rFonts w:ascii="Arial" w:eastAsia="Arial" w:hAnsi="Arial" w:cs="Arial"/>
          <w:b/>
          <w:bCs/>
          <w:color w:val="000000" w:themeColor="text1"/>
          <w:sz w:val="22"/>
          <w:szCs w:val="22"/>
          <w:lang w:val="en-US"/>
        </w:rPr>
        <w:t>.0</w:t>
      </w:r>
      <w:r w:rsidR="0DAE8C58">
        <w:tab/>
      </w:r>
      <w:r w:rsidR="7446D016" w:rsidRPr="170A91A1">
        <w:rPr>
          <w:rFonts w:ascii="Arial" w:eastAsia="Arial" w:hAnsi="Arial" w:cs="Arial"/>
          <w:b/>
          <w:bCs/>
          <w:color w:val="000000" w:themeColor="text1"/>
          <w:sz w:val="22"/>
          <w:szCs w:val="22"/>
          <w:lang w:val="en-US"/>
        </w:rPr>
        <w:t>Conclusion</w:t>
      </w:r>
    </w:p>
    <w:p w14:paraId="3D47BD8E" w14:textId="666D314C" w:rsidR="0DAE8C58" w:rsidRDefault="7446D016" w:rsidP="170A91A1">
      <w:pPr>
        <w:spacing w:line="360" w:lineRule="auto"/>
        <w:ind w:left="720"/>
        <w:jc w:val="both"/>
        <w:rPr>
          <w:rFonts w:ascii="Arial" w:eastAsia="Arial" w:hAnsi="Arial" w:cs="Arial"/>
          <w:color w:val="000000" w:themeColor="text1"/>
          <w:sz w:val="22"/>
          <w:szCs w:val="22"/>
          <w:lang w:val="en-US"/>
        </w:rPr>
      </w:pPr>
      <w:r w:rsidRPr="170A91A1">
        <w:rPr>
          <w:rFonts w:ascii="Arial" w:eastAsia="Arial" w:hAnsi="Arial" w:cs="Arial"/>
          <w:color w:val="000000" w:themeColor="text1"/>
          <w:sz w:val="22"/>
          <w:szCs w:val="22"/>
          <w:lang w:val="en-US"/>
        </w:rPr>
        <w:t xml:space="preserve">This report has critically examined the contemporary human resource (HR) challenges facing University Hospital Southampton NHS Foundation Trust (UHS), focusing on technological adaptation, talent acquisition and retention, and diversity, equity, and inclusion (DEI). The analysis demonstrates that while UHS has made commendable progress in </w:t>
      </w:r>
      <w:proofErr w:type="spellStart"/>
      <w:r w:rsidRPr="170A91A1">
        <w:rPr>
          <w:rFonts w:ascii="Arial" w:eastAsia="Arial" w:hAnsi="Arial" w:cs="Arial"/>
          <w:color w:val="000000" w:themeColor="text1"/>
          <w:sz w:val="22"/>
          <w:szCs w:val="22"/>
          <w:lang w:val="en-US"/>
        </w:rPr>
        <w:t>modernising</w:t>
      </w:r>
      <w:proofErr w:type="spellEnd"/>
      <w:r w:rsidRPr="170A91A1">
        <w:rPr>
          <w:rFonts w:ascii="Arial" w:eastAsia="Arial" w:hAnsi="Arial" w:cs="Arial"/>
          <w:color w:val="000000" w:themeColor="text1"/>
          <w:sz w:val="22"/>
          <w:szCs w:val="22"/>
          <w:lang w:val="en-US"/>
        </w:rPr>
        <w:t xml:space="preserve"> HR practices, the effectiveness of these initiatives depends largely on managerial capability, </w:t>
      </w:r>
      <w:proofErr w:type="spellStart"/>
      <w:r w:rsidRPr="170A91A1">
        <w:rPr>
          <w:rFonts w:ascii="Arial" w:eastAsia="Arial" w:hAnsi="Arial" w:cs="Arial"/>
          <w:color w:val="000000" w:themeColor="text1"/>
          <w:sz w:val="22"/>
          <w:szCs w:val="22"/>
          <w:lang w:val="en-US"/>
        </w:rPr>
        <w:t>organi</w:t>
      </w:r>
      <w:r w:rsidR="6196B167" w:rsidRPr="170A91A1">
        <w:rPr>
          <w:rFonts w:ascii="Arial" w:eastAsia="Arial" w:hAnsi="Arial" w:cs="Arial"/>
          <w:color w:val="000000" w:themeColor="text1"/>
          <w:sz w:val="22"/>
          <w:szCs w:val="22"/>
          <w:lang w:val="en-US"/>
        </w:rPr>
        <w:t>s</w:t>
      </w:r>
      <w:r w:rsidRPr="170A91A1">
        <w:rPr>
          <w:rFonts w:ascii="Arial" w:eastAsia="Arial" w:hAnsi="Arial" w:cs="Arial"/>
          <w:color w:val="000000" w:themeColor="text1"/>
          <w:sz w:val="22"/>
          <w:szCs w:val="22"/>
          <w:lang w:val="en-US"/>
        </w:rPr>
        <w:t>ational</w:t>
      </w:r>
      <w:proofErr w:type="spellEnd"/>
      <w:r w:rsidRPr="170A91A1">
        <w:rPr>
          <w:rFonts w:ascii="Arial" w:eastAsia="Arial" w:hAnsi="Arial" w:cs="Arial"/>
          <w:color w:val="000000" w:themeColor="text1"/>
          <w:sz w:val="22"/>
          <w:szCs w:val="22"/>
          <w:lang w:val="en-US"/>
        </w:rPr>
        <w:t xml:space="preserve"> culture, and strategic alignment</w:t>
      </w:r>
      <w:r w:rsidR="3033241B" w:rsidRPr="170A91A1">
        <w:rPr>
          <w:rFonts w:ascii="Arial" w:eastAsia="Arial" w:hAnsi="Arial" w:cs="Arial"/>
          <w:color w:val="000000" w:themeColor="text1"/>
          <w:sz w:val="22"/>
          <w:szCs w:val="22"/>
          <w:lang w:val="en-US"/>
        </w:rPr>
        <w:t>.</w:t>
      </w:r>
    </w:p>
    <w:p w14:paraId="23B6AF19" w14:textId="71541DF9" w:rsidR="0DAE8C58" w:rsidRDefault="7446D016" w:rsidP="170A91A1">
      <w:pPr>
        <w:spacing w:line="360" w:lineRule="auto"/>
        <w:ind w:left="720"/>
        <w:jc w:val="both"/>
      </w:pPr>
      <w:r w:rsidRPr="170A91A1">
        <w:rPr>
          <w:rFonts w:ascii="Arial" w:eastAsia="Arial" w:hAnsi="Arial" w:cs="Arial"/>
          <w:color w:val="000000" w:themeColor="text1"/>
          <w:sz w:val="22"/>
          <w:szCs w:val="22"/>
          <w:lang w:val="en-US"/>
        </w:rPr>
        <w:t xml:space="preserve">Technological advancements have enhanced efficiency and data-driven decision making but have also exposed gaps in digital literacy and workforce adaptability. Talent acquisition and retention remain pressing concerns due to national workforce shortages, high stress levels, and limited career progression opportunities. </w:t>
      </w:r>
    </w:p>
    <w:p w14:paraId="09B613B9" w14:textId="6D392389" w:rsidR="0DAE8C58" w:rsidRDefault="7446D016" w:rsidP="170A91A1">
      <w:pPr>
        <w:spacing w:line="360" w:lineRule="auto"/>
        <w:ind w:left="720"/>
        <w:jc w:val="both"/>
      </w:pPr>
      <w:r w:rsidRPr="170A91A1">
        <w:rPr>
          <w:rFonts w:ascii="Arial" w:eastAsia="Arial" w:hAnsi="Arial" w:cs="Arial"/>
          <w:color w:val="000000" w:themeColor="text1"/>
          <w:sz w:val="22"/>
          <w:szCs w:val="22"/>
          <w:lang w:val="en-US"/>
        </w:rPr>
        <w:t>Similarly, DEI policies and leadership development initiatives have improved awareness and fairness but require stronger accountability and sustained cultural transformation to achieve equitable representation. However, barriers such as resource constraints, workload pressures, and resistance to change must be addressed through targeted training, empowerment, and inclusive decision-making.</w:t>
      </w:r>
    </w:p>
    <w:p w14:paraId="6FFD8D1F" w14:textId="4049AD0C" w:rsidR="0DAE8C58" w:rsidRDefault="7446D016" w:rsidP="170A91A1">
      <w:pPr>
        <w:spacing w:line="360" w:lineRule="auto"/>
        <w:ind w:left="720"/>
        <w:jc w:val="both"/>
        <w:rPr>
          <w:rFonts w:ascii="Arial" w:eastAsia="Arial" w:hAnsi="Arial" w:cs="Arial"/>
          <w:color w:val="000000" w:themeColor="text1"/>
          <w:sz w:val="22"/>
          <w:szCs w:val="22"/>
          <w:lang w:val="en-US"/>
        </w:rPr>
      </w:pPr>
      <w:r w:rsidRPr="170A91A1">
        <w:rPr>
          <w:rFonts w:ascii="Arial" w:eastAsia="Arial" w:hAnsi="Arial" w:cs="Arial"/>
          <w:color w:val="000000" w:themeColor="text1"/>
          <w:sz w:val="22"/>
          <w:szCs w:val="22"/>
          <w:lang w:val="en-US"/>
        </w:rPr>
        <w:t xml:space="preserve">In conclusion, UHS must adopt a holist and integrated approach to HR management that combines strategic vision with operational practicality. Embedding accountability, fostering innovation, and institutionalizing inclusivity will enable the organization to build a resilient, motivated, and high performing workforce. By strengthening managerial leadership and aligning HR practices with its mission of delivering high quality, patient </w:t>
      </w:r>
      <w:proofErr w:type="spellStart"/>
      <w:r w:rsidRPr="170A91A1">
        <w:rPr>
          <w:rFonts w:ascii="Arial" w:eastAsia="Arial" w:hAnsi="Arial" w:cs="Arial"/>
          <w:color w:val="000000" w:themeColor="text1"/>
          <w:sz w:val="22"/>
          <w:szCs w:val="22"/>
          <w:lang w:val="en-US"/>
        </w:rPr>
        <w:t>centred</w:t>
      </w:r>
      <w:proofErr w:type="spellEnd"/>
      <w:r w:rsidRPr="170A91A1">
        <w:rPr>
          <w:rFonts w:ascii="Arial" w:eastAsia="Arial" w:hAnsi="Arial" w:cs="Arial"/>
          <w:color w:val="000000" w:themeColor="text1"/>
          <w:sz w:val="22"/>
          <w:szCs w:val="22"/>
          <w:lang w:val="en-US"/>
        </w:rPr>
        <w:t xml:space="preserve"> care, UHS can enhance both employee wellbeing and organizational sustainability.</w:t>
      </w:r>
    </w:p>
    <w:p w14:paraId="0AE9344B" w14:textId="1ED5D469" w:rsidR="0DAE8C58" w:rsidRDefault="0DAE8C58" w:rsidP="170A91A1">
      <w:pPr>
        <w:spacing w:line="360" w:lineRule="auto"/>
        <w:ind w:left="1440"/>
        <w:jc w:val="both"/>
        <w:rPr>
          <w:sz w:val="22"/>
          <w:szCs w:val="22"/>
        </w:rPr>
      </w:pPr>
    </w:p>
    <w:p w14:paraId="1780165B" w14:textId="341E92B5" w:rsidR="0DAE8C58" w:rsidRDefault="0DAE8C58" w:rsidP="170A91A1">
      <w:pPr>
        <w:spacing w:line="360" w:lineRule="auto"/>
        <w:jc w:val="both"/>
        <w:rPr>
          <w:rFonts w:ascii="Arial" w:eastAsia="Arial" w:hAnsi="Arial" w:cs="Arial"/>
          <w:color w:val="000000" w:themeColor="text1"/>
          <w:sz w:val="22"/>
          <w:szCs w:val="22"/>
          <w:lang w:val="en-US"/>
        </w:rPr>
      </w:pPr>
    </w:p>
    <w:p w14:paraId="70D47F4D" w14:textId="6B43D9C3" w:rsidR="0DAE8C58" w:rsidRDefault="0DAE8C58" w:rsidP="170A91A1">
      <w:pPr>
        <w:spacing w:line="360" w:lineRule="auto"/>
        <w:jc w:val="both"/>
        <w:rPr>
          <w:rFonts w:ascii="Arial" w:eastAsia="Arial" w:hAnsi="Arial" w:cs="Arial"/>
          <w:color w:val="000000" w:themeColor="text1"/>
          <w:sz w:val="22"/>
          <w:szCs w:val="22"/>
          <w:lang w:val="en-US"/>
        </w:rPr>
      </w:pPr>
    </w:p>
    <w:p w14:paraId="1CE319F7" w14:textId="3C8CD282" w:rsidR="0DAE8C58" w:rsidRDefault="0DAE8C58" w:rsidP="170A91A1">
      <w:pPr>
        <w:spacing w:line="360" w:lineRule="auto"/>
        <w:jc w:val="both"/>
        <w:rPr>
          <w:rFonts w:ascii="Arial" w:eastAsia="Arial" w:hAnsi="Arial" w:cs="Arial"/>
          <w:color w:val="000000" w:themeColor="text1"/>
          <w:sz w:val="22"/>
          <w:szCs w:val="22"/>
          <w:lang w:val="en-US"/>
        </w:rPr>
      </w:pPr>
    </w:p>
    <w:p w14:paraId="7586A411" w14:textId="1F237DE8" w:rsidR="0DAE8C58" w:rsidRDefault="7BAAB44F" w:rsidP="170A91A1">
      <w:r w:rsidRPr="170A91A1">
        <w:rPr>
          <w:b/>
          <w:bCs/>
        </w:rPr>
        <w:t>7</w:t>
      </w:r>
      <w:r w:rsidR="63986266" w:rsidRPr="170A91A1">
        <w:rPr>
          <w:b/>
          <w:bCs/>
        </w:rPr>
        <w:t>.0 References</w:t>
      </w:r>
      <w:r w:rsidR="63986266">
        <w:t xml:space="preserve"> </w:t>
      </w:r>
    </w:p>
    <w:p w14:paraId="720DA5D3" w14:textId="50568388" w:rsidR="4AA58C67" w:rsidRDefault="4AA58C67" w:rsidP="170A91A1">
      <w:pPr>
        <w:spacing w:line="360" w:lineRule="auto"/>
        <w:jc w:val="both"/>
      </w:pPr>
      <w:r>
        <w:t>-</w:t>
      </w:r>
      <w:r>
        <w:tab/>
      </w:r>
      <w:r w:rsidR="63986266">
        <w:t xml:space="preserve">Carroll, A.B. and Buchholtz, A.K. (2015) Business and Society: Ethics, Sustainability, and Stakeholder Management. Boston: Cengage Learning. </w:t>
      </w:r>
    </w:p>
    <w:p w14:paraId="35F5C5B0" w14:textId="7831097B" w:rsidR="497D1325" w:rsidRDefault="497D1325" w:rsidP="170A91A1">
      <w:pPr>
        <w:spacing w:line="360" w:lineRule="auto"/>
        <w:jc w:val="both"/>
      </w:pPr>
      <w:r>
        <w:t>-</w:t>
      </w:r>
      <w:r>
        <w:tab/>
      </w:r>
      <w:r w:rsidR="63986266">
        <w:t>Eccles, R.G., Ioannou, I. and Serafeim, G. (2014) The impact of corporate sustainability on organisational processes and performance, Management Science, 60(11). Pp. 2835</w:t>
      </w:r>
      <w:r w:rsidR="4F075E88">
        <w:t xml:space="preserve"> – 2857.</w:t>
      </w:r>
    </w:p>
    <w:p w14:paraId="0315DB11" w14:textId="4BBB3997" w:rsidR="3143397F" w:rsidRDefault="3143397F" w:rsidP="170A91A1">
      <w:pPr>
        <w:spacing w:line="360" w:lineRule="auto"/>
        <w:jc w:val="both"/>
      </w:pPr>
      <w:r>
        <w:t>-</w:t>
      </w:r>
      <w:r>
        <w:tab/>
      </w:r>
      <w:r w:rsidR="4F075E88">
        <w:t xml:space="preserve">Elkington, J. (1997) Cannibals with </w:t>
      </w:r>
      <w:proofErr w:type="gramStart"/>
      <w:r w:rsidR="4F075E88">
        <w:t>Forks :</w:t>
      </w:r>
      <w:proofErr w:type="gramEnd"/>
      <w:r w:rsidR="4F075E88">
        <w:t xml:space="preserve"> The Triple Bottom Line of 21</w:t>
      </w:r>
      <w:r w:rsidR="4F075E88" w:rsidRPr="170A91A1">
        <w:rPr>
          <w:vertAlign w:val="superscript"/>
        </w:rPr>
        <w:t>st</w:t>
      </w:r>
      <w:r w:rsidR="4F075E88">
        <w:t xml:space="preserve"> Century</w:t>
      </w:r>
      <w:r w:rsidR="398D2232">
        <w:t xml:space="preserve"> </w:t>
      </w:r>
      <w:r w:rsidR="4F075E88">
        <w:t>Business. Oxford: Capstone Publishing.</w:t>
      </w:r>
    </w:p>
    <w:p w14:paraId="2B441FBF" w14:textId="4E987B5B" w:rsidR="5E4907CD" w:rsidRDefault="5E4907CD" w:rsidP="170A91A1">
      <w:pPr>
        <w:spacing w:line="360" w:lineRule="auto"/>
        <w:jc w:val="both"/>
      </w:pPr>
      <w:r>
        <w:t>-</w:t>
      </w:r>
      <w:r>
        <w:tab/>
      </w:r>
      <w:r w:rsidR="4F075E88">
        <w:t>Freeman, R.E. (1984) Strategic Management: A Stakeholder Approach. Boston: Pitman.</w:t>
      </w:r>
    </w:p>
    <w:p w14:paraId="4C4F0A10" w14:textId="2D13AF06" w:rsidR="532BD9E4" w:rsidRDefault="532BD9E4" w:rsidP="170A91A1">
      <w:pPr>
        <w:spacing w:line="360" w:lineRule="auto"/>
        <w:jc w:val="both"/>
      </w:pPr>
      <w:r>
        <w:t>-</w:t>
      </w:r>
      <w:r>
        <w:tab/>
      </w:r>
      <w:r w:rsidR="4F075E88">
        <w:t>Macey, W.H., and Schneider, B. (2008) The meaning of employee engagement, Industrial and Organisational Psychology, 1(1), pp. 3-30.</w:t>
      </w:r>
    </w:p>
    <w:p w14:paraId="34E20738" w14:textId="39CBA492" w:rsidR="3C5CF1B0" w:rsidRDefault="3C5CF1B0" w:rsidP="170A91A1">
      <w:pPr>
        <w:spacing w:line="360" w:lineRule="auto"/>
        <w:jc w:val="both"/>
      </w:pPr>
      <w:r>
        <w:t>-</w:t>
      </w:r>
      <w:r>
        <w:tab/>
      </w:r>
      <w:r w:rsidR="4F075E88">
        <w:t xml:space="preserve">Mitchell, R.K., Agle, B.R. and Wood, D.J. (1997) Toward a Theory of Stakeholder identification and salience: defining the principle of who and what really counts., Academy of </w:t>
      </w:r>
      <w:r w:rsidR="00232715">
        <w:t>Management Review, 22(4), pp. 853-886.</w:t>
      </w:r>
    </w:p>
    <w:p w14:paraId="6BBC118E" w14:textId="2B75A10F" w:rsidR="2EC2903E" w:rsidRDefault="2EC2903E" w:rsidP="170A91A1">
      <w:pPr>
        <w:spacing w:line="360" w:lineRule="auto"/>
        <w:jc w:val="both"/>
      </w:pPr>
      <w:r>
        <w:t>-</w:t>
      </w:r>
      <w:r>
        <w:tab/>
      </w:r>
      <w:r w:rsidR="00232715">
        <w:t xml:space="preserve">Porter, M.E. and Kramer, M.R. (2011) </w:t>
      </w:r>
      <w:proofErr w:type="spellStart"/>
      <w:r w:rsidR="00232715">
        <w:t>Crearting</w:t>
      </w:r>
      <w:proofErr w:type="spellEnd"/>
      <w:r w:rsidR="00232715">
        <w:t xml:space="preserve"> shared value, Harvard Business Review, 89(½), pp. 62-77</w:t>
      </w:r>
      <w:r w:rsidR="366C3A40">
        <w:t>.</w:t>
      </w:r>
    </w:p>
    <w:sectPr w:rsidR="2EC2903E">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48FD9" w14:textId="77777777" w:rsidR="004773C2" w:rsidRDefault="004773C2">
      <w:pPr>
        <w:spacing w:after="0" w:line="240" w:lineRule="auto"/>
      </w:pPr>
      <w:r>
        <w:separator/>
      </w:r>
    </w:p>
  </w:endnote>
  <w:endnote w:type="continuationSeparator" w:id="0">
    <w:p w14:paraId="0D02A3CB" w14:textId="77777777" w:rsidR="004773C2" w:rsidRDefault="004773C2">
      <w:pPr>
        <w:spacing w:after="0" w:line="240" w:lineRule="auto"/>
      </w:pPr>
      <w:r>
        <w:continuationSeparator/>
      </w:r>
    </w:p>
  </w:endnote>
  <w:endnote w:id="1">
    <w:p w14:paraId="54BE09CE" w14:textId="469CF3A1" w:rsidR="170A91A1" w:rsidRDefault="170A91A1" w:rsidP="170A91A1">
      <w:pPr>
        <w:pStyle w:val="EndnoteText"/>
      </w:pPr>
      <w:r w:rsidRPr="170A91A1">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DAE8C58" w14:paraId="7FB59FF9" w14:textId="77777777" w:rsidTr="170A91A1">
      <w:trPr>
        <w:trHeight w:val="300"/>
      </w:trPr>
      <w:tc>
        <w:tcPr>
          <w:tcW w:w="3005" w:type="dxa"/>
        </w:tcPr>
        <w:p w14:paraId="72A7624C" w14:textId="0B2DCD47" w:rsidR="0DAE8C58" w:rsidRDefault="0DAE8C58" w:rsidP="0DAE8C58">
          <w:pPr>
            <w:pStyle w:val="Header"/>
            <w:ind w:left="-115"/>
          </w:pPr>
        </w:p>
      </w:tc>
      <w:tc>
        <w:tcPr>
          <w:tcW w:w="3005" w:type="dxa"/>
        </w:tcPr>
        <w:p w14:paraId="2776DD88" w14:textId="2DFFFFA6" w:rsidR="0DAE8C58" w:rsidRDefault="0DAE8C58" w:rsidP="0DAE8C58">
          <w:pPr>
            <w:pStyle w:val="Header"/>
            <w:jc w:val="center"/>
          </w:pPr>
        </w:p>
      </w:tc>
      <w:tc>
        <w:tcPr>
          <w:tcW w:w="3005" w:type="dxa"/>
        </w:tcPr>
        <w:p w14:paraId="696EA289" w14:textId="2A13ECC1" w:rsidR="0DAE8C58" w:rsidRDefault="0DAE8C58" w:rsidP="0DAE8C58">
          <w:pPr>
            <w:pStyle w:val="Header"/>
            <w:ind w:right="-115"/>
            <w:jc w:val="right"/>
          </w:pPr>
        </w:p>
      </w:tc>
    </w:tr>
  </w:tbl>
  <w:p w14:paraId="7BDE3DE1" w14:textId="2CE7F9AE" w:rsidR="0DAE8C58" w:rsidRDefault="0DAE8C58" w:rsidP="0DAE8C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BDD06" w14:textId="77777777" w:rsidR="004773C2" w:rsidRDefault="004773C2">
      <w:pPr>
        <w:spacing w:after="0" w:line="240" w:lineRule="auto"/>
      </w:pPr>
      <w:r>
        <w:separator/>
      </w:r>
    </w:p>
  </w:footnote>
  <w:footnote w:type="continuationSeparator" w:id="0">
    <w:p w14:paraId="4BB42B70" w14:textId="77777777" w:rsidR="004773C2" w:rsidRDefault="004773C2">
      <w:pPr>
        <w:spacing w:after="0" w:line="240" w:lineRule="auto"/>
      </w:pPr>
      <w:r>
        <w:continuationSeparator/>
      </w:r>
    </w:p>
  </w:footnote>
  <w:footnote w:id="1">
    <w:p w14:paraId="43778D72" w14:textId="1AED72EB" w:rsidR="170A91A1" w:rsidRDefault="170A91A1" w:rsidP="170A91A1">
      <w:pPr>
        <w:pStyle w:val="FootnoteText"/>
      </w:pPr>
      <w:r w:rsidRPr="170A91A1">
        <w:rPr>
          <w:rStyle w:val="FootnoteReference"/>
        </w:rPr>
        <w:footnoteRef/>
      </w:r>
      <w:r>
        <w:t xml:space="preserve"> Freeman, R.E (1984) Strategic Management: A Stakeholder Approach. Boston: Pitman.</w:t>
      </w:r>
    </w:p>
  </w:footnote>
  <w:footnote w:id="2">
    <w:p w14:paraId="3D3CDC37" w14:textId="7A73DA19" w:rsidR="170A91A1" w:rsidRDefault="170A91A1" w:rsidP="170A91A1">
      <w:pPr>
        <w:pStyle w:val="FootnoteText"/>
      </w:pPr>
      <w:r w:rsidRPr="170A91A1">
        <w:rPr>
          <w:rStyle w:val="FootnoteReference"/>
        </w:rPr>
        <w:footnoteRef/>
      </w:r>
      <w:r>
        <w:t xml:space="preserve"> Elkington, J. (1997) Cannibals with Foks: The Triple Bottom Line of 21</w:t>
      </w:r>
      <w:r w:rsidRPr="170A91A1">
        <w:rPr>
          <w:vertAlign w:val="superscript"/>
        </w:rPr>
        <w:t>st</w:t>
      </w:r>
      <w:r>
        <w:t xml:space="preserve"> Century Business. Oxford: Capstone Publishing.</w:t>
      </w:r>
    </w:p>
  </w:footnote>
  <w:footnote w:id="3">
    <w:p w14:paraId="25F0715A" w14:textId="7EE78148" w:rsidR="170A91A1" w:rsidRDefault="170A91A1" w:rsidP="170A91A1">
      <w:pPr>
        <w:pStyle w:val="FootnoteText"/>
      </w:pPr>
      <w:r w:rsidRPr="170A91A1">
        <w:rPr>
          <w:rStyle w:val="FootnoteReference"/>
        </w:rPr>
        <w:footnoteRef/>
      </w:r>
      <w:r>
        <w:t xml:space="preserve"> Macey, W.H. and Schneider, B. (2008) The meaning of employee engagement, Industrial and Organizational Psychology, 1 (1), pp. 3-30.</w:t>
      </w:r>
    </w:p>
  </w:footnote>
  <w:footnote w:id="4">
    <w:p w14:paraId="105E958A" w14:textId="67D6EB9C" w:rsidR="170A91A1" w:rsidRDefault="170A91A1" w:rsidP="170A91A1">
      <w:pPr>
        <w:pStyle w:val="FootnoteText"/>
      </w:pPr>
      <w:r w:rsidRPr="170A91A1">
        <w:rPr>
          <w:rStyle w:val="FootnoteReference"/>
        </w:rPr>
        <w:footnoteRef/>
      </w:r>
      <w:r>
        <w:t xml:space="preserve"> Porter, M. E. and Kramer, M.R. (2011) Creating shared value, Harvard Business Review, 89 (½), pp. 62-77.</w:t>
      </w:r>
    </w:p>
  </w:footnote>
  <w:footnote w:id="5">
    <w:p w14:paraId="53371525" w14:textId="08C365C0" w:rsidR="170A91A1" w:rsidRDefault="170A91A1" w:rsidP="170A91A1">
      <w:pPr>
        <w:pStyle w:val="FootnoteText"/>
      </w:pPr>
      <w:r w:rsidRPr="170A91A1">
        <w:rPr>
          <w:rStyle w:val="FootnoteReference"/>
        </w:rPr>
        <w:footnoteRef/>
      </w:r>
      <w:r>
        <w:t xml:space="preserve"> Eccles, R.G., Ioannou, I. and Serafeim, G. (2014) The impact of corporate sustainability on organizational processes and performance. Management Science, 60 (11), pp. 2835 - 2857</w:t>
      </w:r>
    </w:p>
  </w:footnote>
  <w:footnote w:id="6">
    <w:p w14:paraId="6133C4EA" w14:textId="2DAB6B35" w:rsidR="170A91A1" w:rsidRDefault="170A91A1" w:rsidP="170A91A1">
      <w:pPr>
        <w:pStyle w:val="FootnoteText"/>
      </w:pPr>
      <w:r w:rsidRPr="170A91A1">
        <w:rPr>
          <w:rStyle w:val="FootnoteReference"/>
        </w:rPr>
        <w:footnoteRef/>
      </w:r>
      <w:r>
        <w:t xml:space="preserve"> </w:t>
      </w:r>
      <w:proofErr w:type="spellStart"/>
      <w:r>
        <w:t>Fombrun</w:t>
      </w:r>
      <w:proofErr w:type="spellEnd"/>
      <w:r>
        <w:t>, C. and Shanley, M (1990) What’s in a name? Reputation building and corporate strategy, Academy of Management Journal, 33(2), pp. 233-258</w:t>
      </w:r>
    </w:p>
  </w:footnote>
  <w:footnote w:id="7">
    <w:p w14:paraId="69870317" w14:textId="52FDDDCD" w:rsidR="170A91A1" w:rsidRDefault="170A91A1" w:rsidP="170A91A1">
      <w:pPr>
        <w:pStyle w:val="FootnoteText"/>
      </w:pPr>
      <w:r w:rsidRPr="170A91A1">
        <w:rPr>
          <w:rStyle w:val="FootnoteReference"/>
        </w:rPr>
        <w:footnoteRef/>
      </w:r>
      <w:r>
        <w:t xml:space="preserve"> Macey, W.H. and Schneider, B. (2008) The </w:t>
      </w:r>
      <w:proofErr w:type="spellStart"/>
      <w:r>
        <w:t>menaning</w:t>
      </w:r>
      <w:proofErr w:type="spellEnd"/>
      <w:r>
        <w:t xml:space="preserve"> of employee engagement, Industrial and Organisational Psychology, 1(1), pp.3-30</w:t>
      </w:r>
    </w:p>
  </w:footnote>
  <w:footnote w:id="8">
    <w:p w14:paraId="7B7FC7B0" w14:textId="4E510C51" w:rsidR="170A91A1" w:rsidRDefault="170A91A1" w:rsidP="170A91A1">
      <w:pPr>
        <w:pStyle w:val="FootnoteText"/>
      </w:pPr>
      <w:r w:rsidRPr="170A91A1">
        <w:rPr>
          <w:rStyle w:val="FootnoteReference"/>
        </w:rPr>
        <w:footnoteRef/>
      </w:r>
      <w:r>
        <w:t xml:space="preserve"> Carroll, A.B. and Buchholtz, A.K. (2015) Business and Society: Ethics, Sustainability, and Stakeholder Management. Boston: Cengage Learning.</w:t>
      </w:r>
    </w:p>
  </w:footnote>
  <w:footnote w:id="9">
    <w:p w14:paraId="19DE3D4F" w14:textId="71644CB1" w:rsidR="170A91A1" w:rsidRDefault="170A91A1" w:rsidP="170A91A1">
      <w:pPr>
        <w:pStyle w:val="FootnoteText"/>
      </w:pPr>
      <w:r w:rsidRPr="170A91A1">
        <w:rPr>
          <w:rStyle w:val="FootnoteReference"/>
        </w:rPr>
        <w:footnoteRef/>
      </w:r>
      <w:r>
        <w:t xml:space="preserve"> Mitchell, R.K., Agle, B.R. and Wood, D.J. (1997) Toward a theory of stakeholder identification and salience: defining the principle of who and what really counts. Academy of Management Review, 22(4), pp. 853-886y.</w:t>
      </w:r>
    </w:p>
  </w:footnote>
  <w:footnote w:id="10">
    <w:p w14:paraId="4A008D02" w14:textId="6ABEEA47" w:rsidR="170A91A1" w:rsidRDefault="170A91A1" w:rsidP="170A91A1">
      <w:pPr>
        <w:pStyle w:val="FootnoteText"/>
      </w:pPr>
      <w:r w:rsidRPr="170A91A1">
        <w:rPr>
          <w:rStyle w:val="FootnoteReference"/>
        </w:rPr>
        <w:footnoteRef/>
      </w:r>
      <w:r>
        <w:t xml:space="preserve"> Porter, M.E. and Kramer, M.R (2011) Creating shared value, Harvard Business Review, 89(½2), pp. 62-77</w:t>
      </w:r>
    </w:p>
  </w:footnote>
  <w:footnote w:id="11">
    <w:p w14:paraId="22CEBFD4" w14:textId="05511768" w:rsidR="170A91A1" w:rsidRDefault="170A91A1" w:rsidP="170A91A1">
      <w:pPr>
        <w:pStyle w:val="FootnoteText"/>
      </w:pPr>
      <w:r w:rsidRPr="170A91A1">
        <w:rPr>
          <w:rStyle w:val="FootnoteReference"/>
        </w:rPr>
        <w:footnoteRef/>
      </w:r>
      <w:r>
        <w:t xml:space="preserve"> Macey, W.H. and </w:t>
      </w:r>
      <w:proofErr w:type="spellStart"/>
      <w:r>
        <w:t>Scheneider</w:t>
      </w:r>
      <w:proofErr w:type="spellEnd"/>
      <w:r>
        <w:t>, B. (2008) The meaning of employee engagement, Industrial and Organisational Psychology, 1(1), pp. 3-30.</w:t>
      </w:r>
    </w:p>
  </w:footnote>
  <w:footnote w:id="12">
    <w:p w14:paraId="0E4C3736" w14:textId="563E433B" w:rsidR="170A91A1" w:rsidRDefault="170A91A1" w:rsidP="170A91A1">
      <w:pPr>
        <w:pStyle w:val="FootnoteText"/>
      </w:pPr>
      <w:r w:rsidRPr="170A91A1">
        <w:rPr>
          <w:rStyle w:val="FootnoteReference"/>
        </w:rPr>
        <w:footnoteRef/>
      </w:r>
      <w:r>
        <w:t xml:space="preserve"> Carroll, A.B. and Buchholtz, A.K. (2015) Business and Society: Ethics, Sustainability, and Stakeholder Management. Boston: Cengage Learning.</w:t>
      </w:r>
    </w:p>
  </w:footnote>
  <w:footnote w:id="13">
    <w:p w14:paraId="7F21CDBF" w14:textId="2B560BE0" w:rsidR="170A91A1" w:rsidRDefault="170A91A1" w:rsidP="170A91A1">
      <w:pPr>
        <w:pStyle w:val="FootnoteText"/>
      </w:pPr>
      <w:r w:rsidRPr="170A91A1">
        <w:rPr>
          <w:rStyle w:val="FootnoteReference"/>
        </w:rPr>
        <w:footnoteRef/>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DAE8C58" w14:paraId="013F0C48" w14:textId="77777777" w:rsidTr="0DAE8C58">
      <w:trPr>
        <w:trHeight w:val="300"/>
      </w:trPr>
      <w:tc>
        <w:tcPr>
          <w:tcW w:w="3005" w:type="dxa"/>
        </w:tcPr>
        <w:p w14:paraId="777C2185" w14:textId="52524261" w:rsidR="0DAE8C58" w:rsidRDefault="0DAE8C58" w:rsidP="0DAE8C58">
          <w:pPr>
            <w:pStyle w:val="Header"/>
            <w:ind w:left="-115"/>
          </w:pPr>
        </w:p>
      </w:tc>
      <w:tc>
        <w:tcPr>
          <w:tcW w:w="3005" w:type="dxa"/>
        </w:tcPr>
        <w:p w14:paraId="55601A73" w14:textId="7F9409F9" w:rsidR="0DAE8C58" w:rsidRDefault="0DAE8C58" w:rsidP="0DAE8C58">
          <w:pPr>
            <w:pStyle w:val="Header"/>
            <w:jc w:val="center"/>
          </w:pPr>
        </w:p>
      </w:tc>
      <w:tc>
        <w:tcPr>
          <w:tcW w:w="3005" w:type="dxa"/>
        </w:tcPr>
        <w:p w14:paraId="72A59B13" w14:textId="72E8C69F" w:rsidR="0DAE8C58" w:rsidRDefault="0DAE8C58" w:rsidP="0DAE8C58">
          <w:pPr>
            <w:pStyle w:val="Header"/>
            <w:ind w:right="-115"/>
            <w:jc w:val="right"/>
          </w:pPr>
        </w:p>
      </w:tc>
    </w:tr>
  </w:tbl>
  <w:p w14:paraId="377F4B6A" w14:textId="03E5F2FC" w:rsidR="0DAE8C58" w:rsidRDefault="0DAE8C58" w:rsidP="0DAE8C58">
    <w:pPr>
      <w:pStyle w:val="Header"/>
    </w:pPr>
  </w:p>
</w:hdr>
</file>

<file path=word/intelligence2.xml><?xml version="1.0" encoding="utf-8"?>
<int2:intelligence xmlns:int2="http://schemas.microsoft.com/office/intelligence/2020/intelligence" xmlns:oel="http://schemas.microsoft.com/office/2019/extlst">
  <int2:observations>
    <int2:textHash int2:hashCode="r3HqKKh7lBU0Y3" int2:id="1LjB5k3t">
      <int2:state int2:value="Rejected" int2:type="spell"/>
    </int2:textHash>
    <int2:textHash int2:hashCode="C/QsGjW67MivIi" int2:id="uORVAveI">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68DCF"/>
    <w:multiLevelType w:val="hybridMultilevel"/>
    <w:tmpl w:val="8F821924"/>
    <w:lvl w:ilvl="0" w:tplc="E834C73A">
      <w:start w:val="1"/>
      <w:numFmt w:val="bullet"/>
      <w:lvlText w:val="-"/>
      <w:lvlJc w:val="left"/>
      <w:pPr>
        <w:ind w:left="720" w:hanging="360"/>
      </w:pPr>
      <w:rPr>
        <w:rFonts w:ascii="Aptos" w:hAnsi="Aptos" w:hint="default"/>
      </w:rPr>
    </w:lvl>
    <w:lvl w:ilvl="1" w:tplc="8B362158">
      <w:start w:val="1"/>
      <w:numFmt w:val="bullet"/>
      <w:lvlText w:val="o"/>
      <w:lvlJc w:val="left"/>
      <w:pPr>
        <w:ind w:left="1440" w:hanging="360"/>
      </w:pPr>
      <w:rPr>
        <w:rFonts w:ascii="Courier New" w:hAnsi="Courier New" w:hint="default"/>
      </w:rPr>
    </w:lvl>
    <w:lvl w:ilvl="2" w:tplc="8C88D910">
      <w:start w:val="1"/>
      <w:numFmt w:val="bullet"/>
      <w:lvlText w:val=""/>
      <w:lvlJc w:val="left"/>
      <w:pPr>
        <w:ind w:left="2160" w:hanging="360"/>
      </w:pPr>
      <w:rPr>
        <w:rFonts w:ascii="Wingdings" w:hAnsi="Wingdings" w:hint="default"/>
      </w:rPr>
    </w:lvl>
    <w:lvl w:ilvl="3" w:tplc="CE960684">
      <w:start w:val="1"/>
      <w:numFmt w:val="bullet"/>
      <w:lvlText w:val=""/>
      <w:lvlJc w:val="left"/>
      <w:pPr>
        <w:ind w:left="2880" w:hanging="360"/>
      </w:pPr>
      <w:rPr>
        <w:rFonts w:ascii="Symbol" w:hAnsi="Symbol" w:hint="default"/>
      </w:rPr>
    </w:lvl>
    <w:lvl w:ilvl="4" w:tplc="565EE75A">
      <w:start w:val="1"/>
      <w:numFmt w:val="bullet"/>
      <w:lvlText w:val="o"/>
      <w:lvlJc w:val="left"/>
      <w:pPr>
        <w:ind w:left="3600" w:hanging="360"/>
      </w:pPr>
      <w:rPr>
        <w:rFonts w:ascii="Courier New" w:hAnsi="Courier New" w:hint="default"/>
      </w:rPr>
    </w:lvl>
    <w:lvl w:ilvl="5" w:tplc="F63ACD82">
      <w:start w:val="1"/>
      <w:numFmt w:val="bullet"/>
      <w:lvlText w:val=""/>
      <w:lvlJc w:val="left"/>
      <w:pPr>
        <w:ind w:left="4320" w:hanging="360"/>
      </w:pPr>
      <w:rPr>
        <w:rFonts w:ascii="Wingdings" w:hAnsi="Wingdings" w:hint="default"/>
      </w:rPr>
    </w:lvl>
    <w:lvl w:ilvl="6" w:tplc="77708920">
      <w:start w:val="1"/>
      <w:numFmt w:val="bullet"/>
      <w:lvlText w:val=""/>
      <w:lvlJc w:val="left"/>
      <w:pPr>
        <w:ind w:left="5040" w:hanging="360"/>
      </w:pPr>
      <w:rPr>
        <w:rFonts w:ascii="Symbol" w:hAnsi="Symbol" w:hint="default"/>
      </w:rPr>
    </w:lvl>
    <w:lvl w:ilvl="7" w:tplc="26F4C20E">
      <w:start w:val="1"/>
      <w:numFmt w:val="bullet"/>
      <w:lvlText w:val="o"/>
      <w:lvlJc w:val="left"/>
      <w:pPr>
        <w:ind w:left="5760" w:hanging="360"/>
      </w:pPr>
      <w:rPr>
        <w:rFonts w:ascii="Courier New" w:hAnsi="Courier New" w:hint="default"/>
      </w:rPr>
    </w:lvl>
    <w:lvl w:ilvl="8" w:tplc="29C863B2">
      <w:start w:val="1"/>
      <w:numFmt w:val="bullet"/>
      <w:lvlText w:val=""/>
      <w:lvlJc w:val="left"/>
      <w:pPr>
        <w:ind w:left="6480" w:hanging="360"/>
      </w:pPr>
      <w:rPr>
        <w:rFonts w:ascii="Wingdings" w:hAnsi="Wingdings" w:hint="default"/>
      </w:rPr>
    </w:lvl>
  </w:abstractNum>
  <w:abstractNum w:abstractNumId="1" w15:restartNumberingAfterBreak="0">
    <w:nsid w:val="11E91A45"/>
    <w:multiLevelType w:val="hybridMultilevel"/>
    <w:tmpl w:val="6144F8E4"/>
    <w:lvl w:ilvl="0" w:tplc="0E065DEC">
      <w:start w:val="1"/>
      <w:numFmt w:val="bullet"/>
      <w:lvlText w:val="-"/>
      <w:lvlJc w:val="left"/>
      <w:pPr>
        <w:ind w:left="720" w:hanging="360"/>
      </w:pPr>
      <w:rPr>
        <w:rFonts w:ascii="Aptos" w:hAnsi="Aptos" w:hint="default"/>
      </w:rPr>
    </w:lvl>
    <w:lvl w:ilvl="1" w:tplc="A888FF68">
      <w:start w:val="1"/>
      <w:numFmt w:val="bullet"/>
      <w:lvlText w:val="o"/>
      <w:lvlJc w:val="left"/>
      <w:pPr>
        <w:ind w:left="1440" w:hanging="360"/>
      </w:pPr>
      <w:rPr>
        <w:rFonts w:ascii="Courier New" w:hAnsi="Courier New" w:hint="default"/>
      </w:rPr>
    </w:lvl>
    <w:lvl w:ilvl="2" w:tplc="EE5E4104">
      <w:start w:val="1"/>
      <w:numFmt w:val="bullet"/>
      <w:lvlText w:val=""/>
      <w:lvlJc w:val="left"/>
      <w:pPr>
        <w:ind w:left="2160" w:hanging="360"/>
      </w:pPr>
      <w:rPr>
        <w:rFonts w:ascii="Wingdings" w:hAnsi="Wingdings" w:hint="default"/>
      </w:rPr>
    </w:lvl>
    <w:lvl w:ilvl="3" w:tplc="C0900E9E">
      <w:start w:val="1"/>
      <w:numFmt w:val="bullet"/>
      <w:lvlText w:val=""/>
      <w:lvlJc w:val="left"/>
      <w:pPr>
        <w:ind w:left="2880" w:hanging="360"/>
      </w:pPr>
      <w:rPr>
        <w:rFonts w:ascii="Symbol" w:hAnsi="Symbol" w:hint="default"/>
      </w:rPr>
    </w:lvl>
    <w:lvl w:ilvl="4" w:tplc="20B8941E">
      <w:start w:val="1"/>
      <w:numFmt w:val="bullet"/>
      <w:lvlText w:val="o"/>
      <w:lvlJc w:val="left"/>
      <w:pPr>
        <w:ind w:left="3600" w:hanging="360"/>
      </w:pPr>
      <w:rPr>
        <w:rFonts w:ascii="Courier New" w:hAnsi="Courier New" w:hint="default"/>
      </w:rPr>
    </w:lvl>
    <w:lvl w:ilvl="5" w:tplc="E4064EA6">
      <w:start w:val="1"/>
      <w:numFmt w:val="bullet"/>
      <w:lvlText w:val=""/>
      <w:lvlJc w:val="left"/>
      <w:pPr>
        <w:ind w:left="4320" w:hanging="360"/>
      </w:pPr>
      <w:rPr>
        <w:rFonts w:ascii="Wingdings" w:hAnsi="Wingdings" w:hint="default"/>
      </w:rPr>
    </w:lvl>
    <w:lvl w:ilvl="6" w:tplc="BF441C6E">
      <w:start w:val="1"/>
      <w:numFmt w:val="bullet"/>
      <w:lvlText w:val=""/>
      <w:lvlJc w:val="left"/>
      <w:pPr>
        <w:ind w:left="5040" w:hanging="360"/>
      </w:pPr>
      <w:rPr>
        <w:rFonts w:ascii="Symbol" w:hAnsi="Symbol" w:hint="default"/>
      </w:rPr>
    </w:lvl>
    <w:lvl w:ilvl="7" w:tplc="F8BE14B2">
      <w:start w:val="1"/>
      <w:numFmt w:val="bullet"/>
      <w:lvlText w:val="o"/>
      <w:lvlJc w:val="left"/>
      <w:pPr>
        <w:ind w:left="5760" w:hanging="360"/>
      </w:pPr>
      <w:rPr>
        <w:rFonts w:ascii="Courier New" w:hAnsi="Courier New" w:hint="default"/>
      </w:rPr>
    </w:lvl>
    <w:lvl w:ilvl="8" w:tplc="6780FF78">
      <w:start w:val="1"/>
      <w:numFmt w:val="bullet"/>
      <w:lvlText w:val=""/>
      <w:lvlJc w:val="left"/>
      <w:pPr>
        <w:ind w:left="6480" w:hanging="360"/>
      </w:pPr>
      <w:rPr>
        <w:rFonts w:ascii="Wingdings" w:hAnsi="Wingdings" w:hint="default"/>
      </w:rPr>
    </w:lvl>
  </w:abstractNum>
  <w:abstractNum w:abstractNumId="2" w15:restartNumberingAfterBreak="0">
    <w:nsid w:val="2F8F1E33"/>
    <w:multiLevelType w:val="hybridMultilevel"/>
    <w:tmpl w:val="4F7803E0"/>
    <w:lvl w:ilvl="0" w:tplc="052842A6">
      <w:start w:val="1"/>
      <w:numFmt w:val="decimal"/>
      <w:lvlText w:val="%1."/>
      <w:lvlJc w:val="left"/>
      <w:pPr>
        <w:ind w:left="720" w:hanging="360"/>
      </w:pPr>
    </w:lvl>
    <w:lvl w:ilvl="1" w:tplc="5A3C4734">
      <w:start w:val="1"/>
      <w:numFmt w:val="lowerLetter"/>
      <w:lvlText w:val="%2."/>
      <w:lvlJc w:val="left"/>
      <w:pPr>
        <w:ind w:left="1440" w:hanging="360"/>
      </w:pPr>
    </w:lvl>
    <w:lvl w:ilvl="2" w:tplc="1F7E74CA">
      <w:start w:val="1"/>
      <w:numFmt w:val="lowerRoman"/>
      <w:lvlText w:val="%3."/>
      <w:lvlJc w:val="right"/>
      <w:pPr>
        <w:ind w:left="2160" w:hanging="180"/>
      </w:pPr>
    </w:lvl>
    <w:lvl w:ilvl="3" w:tplc="CCE4D08A">
      <w:start w:val="1"/>
      <w:numFmt w:val="decimal"/>
      <w:lvlText w:val="%4."/>
      <w:lvlJc w:val="left"/>
      <w:pPr>
        <w:ind w:left="2880" w:hanging="360"/>
      </w:pPr>
    </w:lvl>
    <w:lvl w:ilvl="4" w:tplc="C0BA556A">
      <w:start w:val="1"/>
      <w:numFmt w:val="lowerLetter"/>
      <w:lvlText w:val="%5."/>
      <w:lvlJc w:val="left"/>
      <w:pPr>
        <w:ind w:left="3600" w:hanging="360"/>
      </w:pPr>
    </w:lvl>
    <w:lvl w:ilvl="5" w:tplc="47C8581C">
      <w:start w:val="1"/>
      <w:numFmt w:val="lowerRoman"/>
      <w:lvlText w:val="%6."/>
      <w:lvlJc w:val="right"/>
      <w:pPr>
        <w:ind w:left="4320" w:hanging="180"/>
      </w:pPr>
    </w:lvl>
    <w:lvl w:ilvl="6" w:tplc="815AD4B4">
      <w:start w:val="1"/>
      <w:numFmt w:val="decimal"/>
      <w:lvlText w:val="%7."/>
      <w:lvlJc w:val="left"/>
      <w:pPr>
        <w:ind w:left="5040" w:hanging="360"/>
      </w:pPr>
    </w:lvl>
    <w:lvl w:ilvl="7" w:tplc="8F703620">
      <w:start w:val="1"/>
      <w:numFmt w:val="lowerLetter"/>
      <w:lvlText w:val="%8."/>
      <w:lvlJc w:val="left"/>
      <w:pPr>
        <w:ind w:left="5760" w:hanging="360"/>
      </w:pPr>
    </w:lvl>
    <w:lvl w:ilvl="8" w:tplc="CCBAB3A8">
      <w:start w:val="1"/>
      <w:numFmt w:val="lowerRoman"/>
      <w:lvlText w:val="%9."/>
      <w:lvlJc w:val="right"/>
      <w:pPr>
        <w:ind w:left="6480" w:hanging="180"/>
      </w:pPr>
    </w:lvl>
  </w:abstractNum>
  <w:abstractNum w:abstractNumId="3" w15:restartNumberingAfterBreak="0">
    <w:nsid w:val="5EBAB756"/>
    <w:multiLevelType w:val="hybridMultilevel"/>
    <w:tmpl w:val="FA228EB2"/>
    <w:lvl w:ilvl="0" w:tplc="B8C88592">
      <w:start w:val="1"/>
      <w:numFmt w:val="bullet"/>
      <w:lvlText w:val=""/>
      <w:lvlJc w:val="left"/>
      <w:pPr>
        <w:ind w:left="720" w:hanging="360"/>
      </w:pPr>
      <w:rPr>
        <w:rFonts w:ascii="Symbol" w:hAnsi="Symbol" w:hint="default"/>
      </w:rPr>
    </w:lvl>
    <w:lvl w:ilvl="1" w:tplc="D7B826D4">
      <w:start w:val="1"/>
      <w:numFmt w:val="bullet"/>
      <w:lvlText w:val="o"/>
      <w:lvlJc w:val="left"/>
      <w:pPr>
        <w:ind w:left="1440" w:hanging="360"/>
      </w:pPr>
      <w:rPr>
        <w:rFonts w:ascii="Courier New" w:hAnsi="Courier New" w:hint="default"/>
      </w:rPr>
    </w:lvl>
    <w:lvl w:ilvl="2" w:tplc="FE4AE334">
      <w:start w:val="1"/>
      <w:numFmt w:val="bullet"/>
      <w:lvlText w:val=""/>
      <w:lvlJc w:val="left"/>
      <w:pPr>
        <w:ind w:left="2160" w:hanging="360"/>
      </w:pPr>
      <w:rPr>
        <w:rFonts w:ascii="Wingdings" w:hAnsi="Wingdings" w:hint="default"/>
      </w:rPr>
    </w:lvl>
    <w:lvl w:ilvl="3" w:tplc="F92E1AD8">
      <w:start w:val="1"/>
      <w:numFmt w:val="bullet"/>
      <w:lvlText w:val=""/>
      <w:lvlJc w:val="left"/>
      <w:pPr>
        <w:ind w:left="2880" w:hanging="360"/>
      </w:pPr>
      <w:rPr>
        <w:rFonts w:ascii="Symbol" w:hAnsi="Symbol" w:hint="default"/>
      </w:rPr>
    </w:lvl>
    <w:lvl w:ilvl="4" w:tplc="4DAE9E6E">
      <w:start w:val="1"/>
      <w:numFmt w:val="bullet"/>
      <w:lvlText w:val="o"/>
      <w:lvlJc w:val="left"/>
      <w:pPr>
        <w:ind w:left="3600" w:hanging="360"/>
      </w:pPr>
      <w:rPr>
        <w:rFonts w:ascii="Courier New" w:hAnsi="Courier New" w:hint="default"/>
      </w:rPr>
    </w:lvl>
    <w:lvl w:ilvl="5" w:tplc="672C726C">
      <w:start w:val="1"/>
      <w:numFmt w:val="bullet"/>
      <w:lvlText w:val=""/>
      <w:lvlJc w:val="left"/>
      <w:pPr>
        <w:ind w:left="4320" w:hanging="360"/>
      </w:pPr>
      <w:rPr>
        <w:rFonts w:ascii="Wingdings" w:hAnsi="Wingdings" w:hint="default"/>
      </w:rPr>
    </w:lvl>
    <w:lvl w:ilvl="6" w:tplc="27229AAE">
      <w:start w:val="1"/>
      <w:numFmt w:val="bullet"/>
      <w:lvlText w:val=""/>
      <w:lvlJc w:val="left"/>
      <w:pPr>
        <w:ind w:left="5040" w:hanging="360"/>
      </w:pPr>
      <w:rPr>
        <w:rFonts w:ascii="Symbol" w:hAnsi="Symbol" w:hint="default"/>
      </w:rPr>
    </w:lvl>
    <w:lvl w:ilvl="7" w:tplc="92007068">
      <w:start w:val="1"/>
      <w:numFmt w:val="bullet"/>
      <w:lvlText w:val="o"/>
      <w:lvlJc w:val="left"/>
      <w:pPr>
        <w:ind w:left="5760" w:hanging="360"/>
      </w:pPr>
      <w:rPr>
        <w:rFonts w:ascii="Courier New" w:hAnsi="Courier New" w:hint="default"/>
      </w:rPr>
    </w:lvl>
    <w:lvl w:ilvl="8" w:tplc="AC6066E6">
      <w:start w:val="1"/>
      <w:numFmt w:val="bullet"/>
      <w:lvlText w:val=""/>
      <w:lvlJc w:val="left"/>
      <w:pPr>
        <w:ind w:left="6480" w:hanging="360"/>
      </w:pPr>
      <w:rPr>
        <w:rFonts w:ascii="Wingdings" w:hAnsi="Wingdings" w:hint="default"/>
      </w:rPr>
    </w:lvl>
  </w:abstractNum>
  <w:abstractNum w:abstractNumId="4" w15:restartNumberingAfterBreak="0">
    <w:nsid w:val="604114A8"/>
    <w:multiLevelType w:val="hybridMultilevel"/>
    <w:tmpl w:val="8E2A8A18"/>
    <w:lvl w:ilvl="0" w:tplc="668ECE96">
      <w:start w:val="1"/>
      <w:numFmt w:val="bullet"/>
      <w:lvlText w:val="-"/>
      <w:lvlJc w:val="left"/>
      <w:pPr>
        <w:ind w:left="1080" w:hanging="360"/>
      </w:pPr>
      <w:rPr>
        <w:rFonts w:ascii="Aptos" w:hAnsi="Aptos" w:hint="default"/>
      </w:rPr>
    </w:lvl>
    <w:lvl w:ilvl="1" w:tplc="EECEE6A8">
      <w:start w:val="1"/>
      <w:numFmt w:val="bullet"/>
      <w:lvlText w:val="o"/>
      <w:lvlJc w:val="left"/>
      <w:pPr>
        <w:ind w:left="1800" w:hanging="360"/>
      </w:pPr>
      <w:rPr>
        <w:rFonts w:ascii="Courier New" w:hAnsi="Courier New" w:hint="default"/>
      </w:rPr>
    </w:lvl>
    <w:lvl w:ilvl="2" w:tplc="50E00944">
      <w:start w:val="1"/>
      <w:numFmt w:val="bullet"/>
      <w:lvlText w:val=""/>
      <w:lvlJc w:val="left"/>
      <w:pPr>
        <w:ind w:left="2520" w:hanging="360"/>
      </w:pPr>
      <w:rPr>
        <w:rFonts w:ascii="Wingdings" w:hAnsi="Wingdings" w:hint="default"/>
      </w:rPr>
    </w:lvl>
    <w:lvl w:ilvl="3" w:tplc="F26A62FC">
      <w:start w:val="1"/>
      <w:numFmt w:val="bullet"/>
      <w:lvlText w:val=""/>
      <w:lvlJc w:val="left"/>
      <w:pPr>
        <w:ind w:left="3240" w:hanging="360"/>
      </w:pPr>
      <w:rPr>
        <w:rFonts w:ascii="Symbol" w:hAnsi="Symbol" w:hint="default"/>
      </w:rPr>
    </w:lvl>
    <w:lvl w:ilvl="4" w:tplc="BBDA498A">
      <w:start w:val="1"/>
      <w:numFmt w:val="bullet"/>
      <w:lvlText w:val="o"/>
      <w:lvlJc w:val="left"/>
      <w:pPr>
        <w:ind w:left="3960" w:hanging="360"/>
      </w:pPr>
      <w:rPr>
        <w:rFonts w:ascii="Courier New" w:hAnsi="Courier New" w:hint="default"/>
      </w:rPr>
    </w:lvl>
    <w:lvl w:ilvl="5" w:tplc="C27CCC12">
      <w:start w:val="1"/>
      <w:numFmt w:val="bullet"/>
      <w:lvlText w:val=""/>
      <w:lvlJc w:val="left"/>
      <w:pPr>
        <w:ind w:left="4680" w:hanging="360"/>
      </w:pPr>
      <w:rPr>
        <w:rFonts w:ascii="Wingdings" w:hAnsi="Wingdings" w:hint="default"/>
      </w:rPr>
    </w:lvl>
    <w:lvl w:ilvl="6" w:tplc="429009E6">
      <w:start w:val="1"/>
      <w:numFmt w:val="bullet"/>
      <w:lvlText w:val=""/>
      <w:lvlJc w:val="left"/>
      <w:pPr>
        <w:ind w:left="5400" w:hanging="360"/>
      </w:pPr>
      <w:rPr>
        <w:rFonts w:ascii="Symbol" w:hAnsi="Symbol" w:hint="default"/>
      </w:rPr>
    </w:lvl>
    <w:lvl w:ilvl="7" w:tplc="1DAE2062">
      <w:start w:val="1"/>
      <w:numFmt w:val="bullet"/>
      <w:lvlText w:val="o"/>
      <w:lvlJc w:val="left"/>
      <w:pPr>
        <w:ind w:left="6120" w:hanging="360"/>
      </w:pPr>
      <w:rPr>
        <w:rFonts w:ascii="Courier New" w:hAnsi="Courier New" w:hint="default"/>
      </w:rPr>
    </w:lvl>
    <w:lvl w:ilvl="8" w:tplc="9CBEC28E">
      <w:start w:val="1"/>
      <w:numFmt w:val="bullet"/>
      <w:lvlText w:val=""/>
      <w:lvlJc w:val="left"/>
      <w:pPr>
        <w:ind w:left="6840" w:hanging="360"/>
      </w:pPr>
      <w:rPr>
        <w:rFonts w:ascii="Wingdings" w:hAnsi="Wingdings" w:hint="default"/>
      </w:rPr>
    </w:lvl>
  </w:abstractNum>
  <w:abstractNum w:abstractNumId="5" w15:restartNumberingAfterBreak="0">
    <w:nsid w:val="6527D3CF"/>
    <w:multiLevelType w:val="hybridMultilevel"/>
    <w:tmpl w:val="E9306DFC"/>
    <w:lvl w:ilvl="0" w:tplc="CCFED274">
      <w:start w:val="1"/>
      <w:numFmt w:val="bullet"/>
      <w:lvlText w:val="-"/>
      <w:lvlJc w:val="left"/>
      <w:pPr>
        <w:ind w:left="720" w:hanging="360"/>
      </w:pPr>
      <w:rPr>
        <w:rFonts w:ascii="Aptos" w:hAnsi="Aptos" w:hint="default"/>
      </w:rPr>
    </w:lvl>
    <w:lvl w:ilvl="1" w:tplc="4A7601A0">
      <w:start w:val="1"/>
      <w:numFmt w:val="bullet"/>
      <w:lvlText w:val="o"/>
      <w:lvlJc w:val="left"/>
      <w:pPr>
        <w:ind w:left="1440" w:hanging="360"/>
      </w:pPr>
      <w:rPr>
        <w:rFonts w:ascii="Courier New" w:hAnsi="Courier New" w:hint="default"/>
      </w:rPr>
    </w:lvl>
    <w:lvl w:ilvl="2" w:tplc="A19E9A84">
      <w:start w:val="1"/>
      <w:numFmt w:val="bullet"/>
      <w:lvlText w:val=""/>
      <w:lvlJc w:val="left"/>
      <w:pPr>
        <w:ind w:left="2160" w:hanging="360"/>
      </w:pPr>
      <w:rPr>
        <w:rFonts w:ascii="Wingdings" w:hAnsi="Wingdings" w:hint="default"/>
      </w:rPr>
    </w:lvl>
    <w:lvl w:ilvl="3" w:tplc="39B2DBA4">
      <w:start w:val="1"/>
      <w:numFmt w:val="bullet"/>
      <w:lvlText w:val=""/>
      <w:lvlJc w:val="left"/>
      <w:pPr>
        <w:ind w:left="2880" w:hanging="360"/>
      </w:pPr>
      <w:rPr>
        <w:rFonts w:ascii="Symbol" w:hAnsi="Symbol" w:hint="default"/>
      </w:rPr>
    </w:lvl>
    <w:lvl w:ilvl="4" w:tplc="A3CAEA2A">
      <w:start w:val="1"/>
      <w:numFmt w:val="bullet"/>
      <w:lvlText w:val="o"/>
      <w:lvlJc w:val="left"/>
      <w:pPr>
        <w:ind w:left="3600" w:hanging="360"/>
      </w:pPr>
      <w:rPr>
        <w:rFonts w:ascii="Courier New" w:hAnsi="Courier New" w:hint="default"/>
      </w:rPr>
    </w:lvl>
    <w:lvl w:ilvl="5" w:tplc="F7AC43CC">
      <w:start w:val="1"/>
      <w:numFmt w:val="bullet"/>
      <w:lvlText w:val=""/>
      <w:lvlJc w:val="left"/>
      <w:pPr>
        <w:ind w:left="4320" w:hanging="360"/>
      </w:pPr>
      <w:rPr>
        <w:rFonts w:ascii="Wingdings" w:hAnsi="Wingdings" w:hint="default"/>
      </w:rPr>
    </w:lvl>
    <w:lvl w:ilvl="6" w:tplc="42F65048">
      <w:start w:val="1"/>
      <w:numFmt w:val="bullet"/>
      <w:lvlText w:val=""/>
      <w:lvlJc w:val="left"/>
      <w:pPr>
        <w:ind w:left="5040" w:hanging="360"/>
      </w:pPr>
      <w:rPr>
        <w:rFonts w:ascii="Symbol" w:hAnsi="Symbol" w:hint="default"/>
      </w:rPr>
    </w:lvl>
    <w:lvl w:ilvl="7" w:tplc="598A7C8A">
      <w:start w:val="1"/>
      <w:numFmt w:val="bullet"/>
      <w:lvlText w:val="o"/>
      <w:lvlJc w:val="left"/>
      <w:pPr>
        <w:ind w:left="5760" w:hanging="360"/>
      </w:pPr>
      <w:rPr>
        <w:rFonts w:ascii="Courier New" w:hAnsi="Courier New" w:hint="default"/>
      </w:rPr>
    </w:lvl>
    <w:lvl w:ilvl="8" w:tplc="3DECF97A">
      <w:start w:val="1"/>
      <w:numFmt w:val="bullet"/>
      <w:lvlText w:val=""/>
      <w:lvlJc w:val="left"/>
      <w:pPr>
        <w:ind w:left="6480" w:hanging="360"/>
      </w:pPr>
      <w:rPr>
        <w:rFonts w:ascii="Wingdings" w:hAnsi="Wingdings" w:hint="default"/>
      </w:rPr>
    </w:lvl>
  </w:abstractNum>
  <w:abstractNum w:abstractNumId="6" w15:restartNumberingAfterBreak="0">
    <w:nsid w:val="663BA069"/>
    <w:multiLevelType w:val="hybridMultilevel"/>
    <w:tmpl w:val="23165668"/>
    <w:lvl w:ilvl="0" w:tplc="555C0EFA">
      <w:start w:val="1"/>
      <w:numFmt w:val="bullet"/>
      <w:lvlText w:val=""/>
      <w:lvlJc w:val="left"/>
      <w:pPr>
        <w:ind w:left="720" w:hanging="360"/>
      </w:pPr>
      <w:rPr>
        <w:rFonts w:ascii="Symbol" w:hAnsi="Symbol" w:hint="default"/>
      </w:rPr>
    </w:lvl>
    <w:lvl w:ilvl="1" w:tplc="E784542E">
      <w:start w:val="1"/>
      <w:numFmt w:val="bullet"/>
      <w:lvlText w:val="o"/>
      <w:lvlJc w:val="left"/>
      <w:pPr>
        <w:ind w:left="1440" w:hanging="360"/>
      </w:pPr>
      <w:rPr>
        <w:rFonts w:ascii="Courier New" w:hAnsi="Courier New" w:hint="default"/>
      </w:rPr>
    </w:lvl>
    <w:lvl w:ilvl="2" w:tplc="F654BE0C">
      <w:start w:val="1"/>
      <w:numFmt w:val="bullet"/>
      <w:lvlText w:val=""/>
      <w:lvlJc w:val="left"/>
      <w:pPr>
        <w:ind w:left="2160" w:hanging="360"/>
      </w:pPr>
      <w:rPr>
        <w:rFonts w:ascii="Wingdings" w:hAnsi="Wingdings" w:hint="default"/>
      </w:rPr>
    </w:lvl>
    <w:lvl w:ilvl="3" w:tplc="8AA0A2FA">
      <w:start w:val="1"/>
      <w:numFmt w:val="bullet"/>
      <w:lvlText w:val=""/>
      <w:lvlJc w:val="left"/>
      <w:pPr>
        <w:ind w:left="2880" w:hanging="360"/>
      </w:pPr>
      <w:rPr>
        <w:rFonts w:ascii="Symbol" w:hAnsi="Symbol" w:hint="default"/>
      </w:rPr>
    </w:lvl>
    <w:lvl w:ilvl="4" w:tplc="F918A628">
      <w:start w:val="1"/>
      <w:numFmt w:val="bullet"/>
      <w:lvlText w:val="o"/>
      <w:lvlJc w:val="left"/>
      <w:pPr>
        <w:ind w:left="3600" w:hanging="360"/>
      </w:pPr>
      <w:rPr>
        <w:rFonts w:ascii="Courier New" w:hAnsi="Courier New" w:hint="default"/>
      </w:rPr>
    </w:lvl>
    <w:lvl w:ilvl="5" w:tplc="CBE6F1E0">
      <w:start w:val="1"/>
      <w:numFmt w:val="bullet"/>
      <w:lvlText w:val=""/>
      <w:lvlJc w:val="left"/>
      <w:pPr>
        <w:ind w:left="4320" w:hanging="360"/>
      </w:pPr>
      <w:rPr>
        <w:rFonts w:ascii="Wingdings" w:hAnsi="Wingdings" w:hint="default"/>
      </w:rPr>
    </w:lvl>
    <w:lvl w:ilvl="6" w:tplc="B2FAC560">
      <w:start w:val="1"/>
      <w:numFmt w:val="bullet"/>
      <w:lvlText w:val=""/>
      <w:lvlJc w:val="left"/>
      <w:pPr>
        <w:ind w:left="5040" w:hanging="360"/>
      </w:pPr>
      <w:rPr>
        <w:rFonts w:ascii="Symbol" w:hAnsi="Symbol" w:hint="default"/>
      </w:rPr>
    </w:lvl>
    <w:lvl w:ilvl="7" w:tplc="89085C3E">
      <w:start w:val="1"/>
      <w:numFmt w:val="bullet"/>
      <w:lvlText w:val="o"/>
      <w:lvlJc w:val="left"/>
      <w:pPr>
        <w:ind w:left="5760" w:hanging="360"/>
      </w:pPr>
      <w:rPr>
        <w:rFonts w:ascii="Courier New" w:hAnsi="Courier New" w:hint="default"/>
      </w:rPr>
    </w:lvl>
    <w:lvl w:ilvl="8" w:tplc="4D7E5D16">
      <w:start w:val="1"/>
      <w:numFmt w:val="bullet"/>
      <w:lvlText w:val=""/>
      <w:lvlJc w:val="left"/>
      <w:pPr>
        <w:ind w:left="6480" w:hanging="360"/>
      </w:pPr>
      <w:rPr>
        <w:rFonts w:ascii="Wingdings" w:hAnsi="Wingdings" w:hint="default"/>
      </w:rPr>
    </w:lvl>
  </w:abstractNum>
  <w:abstractNum w:abstractNumId="7" w15:restartNumberingAfterBreak="0">
    <w:nsid w:val="69E086E4"/>
    <w:multiLevelType w:val="hybridMultilevel"/>
    <w:tmpl w:val="A13C1754"/>
    <w:lvl w:ilvl="0" w:tplc="3BC44BA2">
      <w:start w:val="1"/>
      <w:numFmt w:val="bullet"/>
      <w:lvlText w:val=""/>
      <w:lvlJc w:val="left"/>
      <w:pPr>
        <w:ind w:left="720" w:hanging="360"/>
      </w:pPr>
      <w:rPr>
        <w:rFonts w:ascii="Symbol" w:hAnsi="Symbol" w:hint="default"/>
      </w:rPr>
    </w:lvl>
    <w:lvl w:ilvl="1" w:tplc="DBE43770">
      <w:start w:val="1"/>
      <w:numFmt w:val="bullet"/>
      <w:lvlText w:val="o"/>
      <w:lvlJc w:val="left"/>
      <w:pPr>
        <w:ind w:left="1440" w:hanging="360"/>
      </w:pPr>
      <w:rPr>
        <w:rFonts w:ascii="Courier New" w:hAnsi="Courier New" w:hint="default"/>
      </w:rPr>
    </w:lvl>
    <w:lvl w:ilvl="2" w:tplc="2A880810">
      <w:start w:val="1"/>
      <w:numFmt w:val="bullet"/>
      <w:lvlText w:val=""/>
      <w:lvlJc w:val="left"/>
      <w:pPr>
        <w:ind w:left="2160" w:hanging="360"/>
      </w:pPr>
      <w:rPr>
        <w:rFonts w:ascii="Wingdings" w:hAnsi="Wingdings" w:hint="default"/>
      </w:rPr>
    </w:lvl>
    <w:lvl w:ilvl="3" w:tplc="8A1CCEBA">
      <w:start w:val="1"/>
      <w:numFmt w:val="bullet"/>
      <w:lvlText w:val=""/>
      <w:lvlJc w:val="left"/>
      <w:pPr>
        <w:ind w:left="2880" w:hanging="360"/>
      </w:pPr>
      <w:rPr>
        <w:rFonts w:ascii="Symbol" w:hAnsi="Symbol" w:hint="default"/>
      </w:rPr>
    </w:lvl>
    <w:lvl w:ilvl="4" w:tplc="40B84E46">
      <w:start w:val="1"/>
      <w:numFmt w:val="bullet"/>
      <w:lvlText w:val="o"/>
      <w:lvlJc w:val="left"/>
      <w:pPr>
        <w:ind w:left="3600" w:hanging="360"/>
      </w:pPr>
      <w:rPr>
        <w:rFonts w:ascii="Courier New" w:hAnsi="Courier New" w:hint="default"/>
      </w:rPr>
    </w:lvl>
    <w:lvl w:ilvl="5" w:tplc="25C8CF4E">
      <w:start w:val="1"/>
      <w:numFmt w:val="bullet"/>
      <w:lvlText w:val=""/>
      <w:lvlJc w:val="left"/>
      <w:pPr>
        <w:ind w:left="4320" w:hanging="360"/>
      </w:pPr>
      <w:rPr>
        <w:rFonts w:ascii="Wingdings" w:hAnsi="Wingdings" w:hint="default"/>
      </w:rPr>
    </w:lvl>
    <w:lvl w:ilvl="6" w:tplc="93BAE2A6">
      <w:start w:val="1"/>
      <w:numFmt w:val="bullet"/>
      <w:lvlText w:val=""/>
      <w:lvlJc w:val="left"/>
      <w:pPr>
        <w:ind w:left="5040" w:hanging="360"/>
      </w:pPr>
      <w:rPr>
        <w:rFonts w:ascii="Symbol" w:hAnsi="Symbol" w:hint="default"/>
      </w:rPr>
    </w:lvl>
    <w:lvl w:ilvl="7" w:tplc="9536E5E0">
      <w:start w:val="1"/>
      <w:numFmt w:val="bullet"/>
      <w:lvlText w:val="o"/>
      <w:lvlJc w:val="left"/>
      <w:pPr>
        <w:ind w:left="5760" w:hanging="360"/>
      </w:pPr>
      <w:rPr>
        <w:rFonts w:ascii="Courier New" w:hAnsi="Courier New" w:hint="default"/>
      </w:rPr>
    </w:lvl>
    <w:lvl w:ilvl="8" w:tplc="51DA98D6">
      <w:start w:val="1"/>
      <w:numFmt w:val="bullet"/>
      <w:lvlText w:val=""/>
      <w:lvlJc w:val="left"/>
      <w:pPr>
        <w:ind w:left="6480" w:hanging="360"/>
      </w:pPr>
      <w:rPr>
        <w:rFonts w:ascii="Wingdings" w:hAnsi="Wingdings" w:hint="default"/>
      </w:rPr>
    </w:lvl>
  </w:abstractNum>
  <w:abstractNum w:abstractNumId="8" w15:restartNumberingAfterBreak="0">
    <w:nsid w:val="6C9F8B86"/>
    <w:multiLevelType w:val="hybridMultilevel"/>
    <w:tmpl w:val="5B703D16"/>
    <w:lvl w:ilvl="0" w:tplc="08EEEFF8">
      <w:start w:val="1"/>
      <w:numFmt w:val="decimal"/>
      <w:lvlText w:val="%1."/>
      <w:lvlJc w:val="left"/>
      <w:pPr>
        <w:ind w:left="720" w:hanging="360"/>
      </w:pPr>
    </w:lvl>
    <w:lvl w:ilvl="1" w:tplc="C1D0C55E">
      <w:start w:val="1"/>
      <w:numFmt w:val="lowerLetter"/>
      <w:lvlText w:val="%2."/>
      <w:lvlJc w:val="left"/>
      <w:pPr>
        <w:ind w:left="1440" w:hanging="360"/>
      </w:pPr>
    </w:lvl>
    <w:lvl w:ilvl="2" w:tplc="4044FD52">
      <w:start w:val="1"/>
      <w:numFmt w:val="lowerRoman"/>
      <w:lvlText w:val="%3."/>
      <w:lvlJc w:val="right"/>
      <w:pPr>
        <w:ind w:left="2160" w:hanging="180"/>
      </w:pPr>
    </w:lvl>
    <w:lvl w:ilvl="3" w:tplc="B7ACBE0A">
      <w:start w:val="1"/>
      <w:numFmt w:val="decimal"/>
      <w:lvlText w:val="%4."/>
      <w:lvlJc w:val="left"/>
      <w:pPr>
        <w:ind w:left="2880" w:hanging="360"/>
      </w:pPr>
    </w:lvl>
    <w:lvl w:ilvl="4" w:tplc="2C367470">
      <w:start w:val="1"/>
      <w:numFmt w:val="lowerLetter"/>
      <w:lvlText w:val="%5."/>
      <w:lvlJc w:val="left"/>
      <w:pPr>
        <w:ind w:left="3600" w:hanging="360"/>
      </w:pPr>
    </w:lvl>
    <w:lvl w:ilvl="5" w:tplc="52866512">
      <w:start w:val="1"/>
      <w:numFmt w:val="lowerRoman"/>
      <w:lvlText w:val="%6."/>
      <w:lvlJc w:val="right"/>
      <w:pPr>
        <w:ind w:left="4320" w:hanging="180"/>
      </w:pPr>
    </w:lvl>
    <w:lvl w:ilvl="6" w:tplc="DADE0080">
      <w:start w:val="1"/>
      <w:numFmt w:val="decimal"/>
      <w:lvlText w:val="%7."/>
      <w:lvlJc w:val="left"/>
      <w:pPr>
        <w:ind w:left="5040" w:hanging="360"/>
      </w:pPr>
    </w:lvl>
    <w:lvl w:ilvl="7" w:tplc="660E8FDE">
      <w:start w:val="1"/>
      <w:numFmt w:val="lowerLetter"/>
      <w:lvlText w:val="%8."/>
      <w:lvlJc w:val="left"/>
      <w:pPr>
        <w:ind w:left="5760" w:hanging="360"/>
      </w:pPr>
    </w:lvl>
    <w:lvl w:ilvl="8" w:tplc="A2807DF2">
      <w:start w:val="1"/>
      <w:numFmt w:val="lowerRoman"/>
      <w:lvlText w:val="%9."/>
      <w:lvlJc w:val="right"/>
      <w:pPr>
        <w:ind w:left="6480" w:hanging="180"/>
      </w:pPr>
    </w:lvl>
  </w:abstractNum>
  <w:abstractNum w:abstractNumId="9" w15:restartNumberingAfterBreak="0">
    <w:nsid w:val="72635C97"/>
    <w:multiLevelType w:val="hybridMultilevel"/>
    <w:tmpl w:val="4BA67958"/>
    <w:lvl w:ilvl="0" w:tplc="86B2F4B8">
      <w:start w:val="1"/>
      <w:numFmt w:val="bullet"/>
      <w:lvlText w:val="-"/>
      <w:lvlJc w:val="left"/>
      <w:pPr>
        <w:ind w:left="720" w:hanging="360"/>
      </w:pPr>
      <w:rPr>
        <w:rFonts w:ascii="Aptos" w:hAnsi="Aptos" w:hint="default"/>
      </w:rPr>
    </w:lvl>
    <w:lvl w:ilvl="1" w:tplc="CF404E64">
      <w:start w:val="1"/>
      <w:numFmt w:val="bullet"/>
      <w:lvlText w:val="o"/>
      <w:lvlJc w:val="left"/>
      <w:pPr>
        <w:ind w:left="1440" w:hanging="360"/>
      </w:pPr>
      <w:rPr>
        <w:rFonts w:ascii="Courier New" w:hAnsi="Courier New" w:hint="default"/>
      </w:rPr>
    </w:lvl>
    <w:lvl w:ilvl="2" w:tplc="EAEA9076">
      <w:start w:val="1"/>
      <w:numFmt w:val="bullet"/>
      <w:lvlText w:val=""/>
      <w:lvlJc w:val="left"/>
      <w:pPr>
        <w:ind w:left="2160" w:hanging="360"/>
      </w:pPr>
      <w:rPr>
        <w:rFonts w:ascii="Wingdings" w:hAnsi="Wingdings" w:hint="default"/>
      </w:rPr>
    </w:lvl>
    <w:lvl w:ilvl="3" w:tplc="93C4598A">
      <w:start w:val="1"/>
      <w:numFmt w:val="bullet"/>
      <w:lvlText w:val=""/>
      <w:lvlJc w:val="left"/>
      <w:pPr>
        <w:ind w:left="2880" w:hanging="360"/>
      </w:pPr>
      <w:rPr>
        <w:rFonts w:ascii="Symbol" w:hAnsi="Symbol" w:hint="default"/>
      </w:rPr>
    </w:lvl>
    <w:lvl w:ilvl="4" w:tplc="88E2D5CC">
      <w:start w:val="1"/>
      <w:numFmt w:val="bullet"/>
      <w:lvlText w:val="o"/>
      <w:lvlJc w:val="left"/>
      <w:pPr>
        <w:ind w:left="3600" w:hanging="360"/>
      </w:pPr>
      <w:rPr>
        <w:rFonts w:ascii="Courier New" w:hAnsi="Courier New" w:hint="default"/>
      </w:rPr>
    </w:lvl>
    <w:lvl w:ilvl="5" w:tplc="A20AF3E0">
      <w:start w:val="1"/>
      <w:numFmt w:val="bullet"/>
      <w:lvlText w:val=""/>
      <w:lvlJc w:val="left"/>
      <w:pPr>
        <w:ind w:left="4320" w:hanging="360"/>
      </w:pPr>
      <w:rPr>
        <w:rFonts w:ascii="Wingdings" w:hAnsi="Wingdings" w:hint="default"/>
      </w:rPr>
    </w:lvl>
    <w:lvl w:ilvl="6" w:tplc="77546360">
      <w:start w:val="1"/>
      <w:numFmt w:val="bullet"/>
      <w:lvlText w:val=""/>
      <w:lvlJc w:val="left"/>
      <w:pPr>
        <w:ind w:left="5040" w:hanging="360"/>
      </w:pPr>
      <w:rPr>
        <w:rFonts w:ascii="Symbol" w:hAnsi="Symbol" w:hint="default"/>
      </w:rPr>
    </w:lvl>
    <w:lvl w:ilvl="7" w:tplc="F6D00B30">
      <w:start w:val="1"/>
      <w:numFmt w:val="bullet"/>
      <w:lvlText w:val="o"/>
      <w:lvlJc w:val="left"/>
      <w:pPr>
        <w:ind w:left="5760" w:hanging="360"/>
      </w:pPr>
      <w:rPr>
        <w:rFonts w:ascii="Courier New" w:hAnsi="Courier New" w:hint="default"/>
      </w:rPr>
    </w:lvl>
    <w:lvl w:ilvl="8" w:tplc="A1084D9E">
      <w:start w:val="1"/>
      <w:numFmt w:val="bullet"/>
      <w:lvlText w:val=""/>
      <w:lvlJc w:val="left"/>
      <w:pPr>
        <w:ind w:left="6480" w:hanging="360"/>
      </w:pPr>
      <w:rPr>
        <w:rFonts w:ascii="Wingdings" w:hAnsi="Wingdings" w:hint="default"/>
      </w:rPr>
    </w:lvl>
  </w:abstractNum>
  <w:num w:numId="1" w16cid:durableId="744692904">
    <w:abstractNumId w:val="9"/>
  </w:num>
  <w:num w:numId="2" w16cid:durableId="1240865209">
    <w:abstractNumId w:val="8"/>
  </w:num>
  <w:num w:numId="3" w16cid:durableId="1539005379">
    <w:abstractNumId w:val="1"/>
  </w:num>
  <w:num w:numId="4" w16cid:durableId="1132209915">
    <w:abstractNumId w:val="3"/>
  </w:num>
  <w:num w:numId="5" w16cid:durableId="1067335390">
    <w:abstractNumId w:val="6"/>
  </w:num>
  <w:num w:numId="6" w16cid:durableId="1570925772">
    <w:abstractNumId w:val="7"/>
  </w:num>
  <w:num w:numId="7" w16cid:durableId="274990565">
    <w:abstractNumId w:val="4"/>
  </w:num>
  <w:num w:numId="8" w16cid:durableId="1562904618">
    <w:abstractNumId w:val="0"/>
  </w:num>
  <w:num w:numId="9" w16cid:durableId="1879197053">
    <w:abstractNumId w:val="5"/>
  </w:num>
  <w:num w:numId="10" w16cid:durableId="943258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055FEC"/>
    <w:rsid w:val="0001339D"/>
    <w:rsid w:val="00043FD1"/>
    <w:rsid w:val="0007E5D3"/>
    <w:rsid w:val="00207200"/>
    <w:rsid w:val="00232715"/>
    <w:rsid w:val="0043536F"/>
    <w:rsid w:val="00456125"/>
    <w:rsid w:val="004773C2"/>
    <w:rsid w:val="005369FF"/>
    <w:rsid w:val="00561BD0"/>
    <w:rsid w:val="0060C1FC"/>
    <w:rsid w:val="0063CDF1"/>
    <w:rsid w:val="00695F1C"/>
    <w:rsid w:val="007143AC"/>
    <w:rsid w:val="007C34C5"/>
    <w:rsid w:val="007E3B28"/>
    <w:rsid w:val="008A1341"/>
    <w:rsid w:val="00A02874"/>
    <w:rsid w:val="00B146AD"/>
    <w:rsid w:val="00B1C45F"/>
    <w:rsid w:val="00B87130"/>
    <w:rsid w:val="00C6ADA1"/>
    <w:rsid w:val="00CAE085"/>
    <w:rsid w:val="00CD36C2"/>
    <w:rsid w:val="00CF6CDE"/>
    <w:rsid w:val="00D053A0"/>
    <w:rsid w:val="00D117DE"/>
    <w:rsid w:val="00E40230"/>
    <w:rsid w:val="00F6C0A1"/>
    <w:rsid w:val="00F78E1A"/>
    <w:rsid w:val="00F8E745"/>
    <w:rsid w:val="0113F635"/>
    <w:rsid w:val="01299578"/>
    <w:rsid w:val="0132871D"/>
    <w:rsid w:val="01413FD3"/>
    <w:rsid w:val="014B8BCE"/>
    <w:rsid w:val="014B9802"/>
    <w:rsid w:val="014C7D55"/>
    <w:rsid w:val="0170A974"/>
    <w:rsid w:val="018CD7AA"/>
    <w:rsid w:val="018ED25B"/>
    <w:rsid w:val="019727EE"/>
    <w:rsid w:val="0199BA8A"/>
    <w:rsid w:val="019EED5C"/>
    <w:rsid w:val="01B9B4FB"/>
    <w:rsid w:val="01D08A31"/>
    <w:rsid w:val="01D6A4B6"/>
    <w:rsid w:val="01DBEF1F"/>
    <w:rsid w:val="01DEACD3"/>
    <w:rsid w:val="01E67A28"/>
    <w:rsid w:val="01EA16BC"/>
    <w:rsid w:val="01EC39D4"/>
    <w:rsid w:val="02064DDE"/>
    <w:rsid w:val="0207F3AC"/>
    <w:rsid w:val="0213C255"/>
    <w:rsid w:val="021E06A4"/>
    <w:rsid w:val="024C085B"/>
    <w:rsid w:val="02527B5D"/>
    <w:rsid w:val="025796D8"/>
    <w:rsid w:val="027BCAF7"/>
    <w:rsid w:val="02852E21"/>
    <w:rsid w:val="0292F78F"/>
    <w:rsid w:val="02B0A3A4"/>
    <w:rsid w:val="02B0CAA9"/>
    <w:rsid w:val="02C464DE"/>
    <w:rsid w:val="02C46862"/>
    <w:rsid w:val="02D11C04"/>
    <w:rsid w:val="02E50276"/>
    <w:rsid w:val="0312F8F7"/>
    <w:rsid w:val="031479D2"/>
    <w:rsid w:val="03158BE8"/>
    <w:rsid w:val="03229AAE"/>
    <w:rsid w:val="032A85BF"/>
    <w:rsid w:val="0332FB79"/>
    <w:rsid w:val="0341363E"/>
    <w:rsid w:val="0356A0B7"/>
    <w:rsid w:val="03731A57"/>
    <w:rsid w:val="037CE93A"/>
    <w:rsid w:val="037F74B6"/>
    <w:rsid w:val="03806C7B"/>
    <w:rsid w:val="0385B6DC"/>
    <w:rsid w:val="0390F96A"/>
    <w:rsid w:val="03A172A5"/>
    <w:rsid w:val="03A2814D"/>
    <w:rsid w:val="03B0DF43"/>
    <w:rsid w:val="03B182F8"/>
    <w:rsid w:val="03B6DDA5"/>
    <w:rsid w:val="03C48236"/>
    <w:rsid w:val="03CBBA7A"/>
    <w:rsid w:val="03F2263C"/>
    <w:rsid w:val="03F4222F"/>
    <w:rsid w:val="0404D680"/>
    <w:rsid w:val="04078255"/>
    <w:rsid w:val="041A0DB1"/>
    <w:rsid w:val="04413E79"/>
    <w:rsid w:val="044A70E5"/>
    <w:rsid w:val="045F2CB4"/>
    <w:rsid w:val="045F7A8B"/>
    <w:rsid w:val="047164F6"/>
    <w:rsid w:val="0479680F"/>
    <w:rsid w:val="048C2029"/>
    <w:rsid w:val="04B3B7D7"/>
    <w:rsid w:val="04BE111B"/>
    <w:rsid w:val="04C4CAEF"/>
    <w:rsid w:val="04CDB125"/>
    <w:rsid w:val="04DC4795"/>
    <w:rsid w:val="04FD815D"/>
    <w:rsid w:val="050382EF"/>
    <w:rsid w:val="051A7941"/>
    <w:rsid w:val="05248E9B"/>
    <w:rsid w:val="052835AA"/>
    <w:rsid w:val="052D4AB8"/>
    <w:rsid w:val="053E2580"/>
    <w:rsid w:val="053E30A7"/>
    <w:rsid w:val="054B34E2"/>
    <w:rsid w:val="0555B353"/>
    <w:rsid w:val="0569BEA9"/>
    <w:rsid w:val="05A7E7D8"/>
    <w:rsid w:val="05B12476"/>
    <w:rsid w:val="05EB9DD1"/>
    <w:rsid w:val="05F4ED64"/>
    <w:rsid w:val="062722D3"/>
    <w:rsid w:val="063EC055"/>
    <w:rsid w:val="0658C86B"/>
    <w:rsid w:val="06641303"/>
    <w:rsid w:val="067BF637"/>
    <w:rsid w:val="0685C187"/>
    <w:rsid w:val="06B28C2D"/>
    <w:rsid w:val="06B81651"/>
    <w:rsid w:val="06C4F59E"/>
    <w:rsid w:val="06E090E8"/>
    <w:rsid w:val="06E9064F"/>
    <w:rsid w:val="06E97B46"/>
    <w:rsid w:val="0709369F"/>
    <w:rsid w:val="072A53F6"/>
    <w:rsid w:val="07371A14"/>
    <w:rsid w:val="0740692F"/>
    <w:rsid w:val="076B4898"/>
    <w:rsid w:val="078923A0"/>
    <w:rsid w:val="07A19D16"/>
    <w:rsid w:val="07A3ED82"/>
    <w:rsid w:val="07BF599C"/>
    <w:rsid w:val="07CDE69A"/>
    <w:rsid w:val="0810ED30"/>
    <w:rsid w:val="0818A266"/>
    <w:rsid w:val="0837DCF7"/>
    <w:rsid w:val="08383C8C"/>
    <w:rsid w:val="083E6AEB"/>
    <w:rsid w:val="08441D56"/>
    <w:rsid w:val="08506446"/>
    <w:rsid w:val="086794EE"/>
    <w:rsid w:val="0876CB82"/>
    <w:rsid w:val="08AED251"/>
    <w:rsid w:val="08BAC9F4"/>
    <w:rsid w:val="08C51CDA"/>
    <w:rsid w:val="08D075F7"/>
    <w:rsid w:val="08D31FDC"/>
    <w:rsid w:val="08D37B30"/>
    <w:rsid w:val="08D39065"/>
    <w:rsid w:val="08D7F0D1"/>
    <w:rsid w:val="090DACE0"/>
    <w:rsid w:val="09343642"/>
    <w:rsid w:val="09410EB8"/>
    <w:rsid w:val="0942A120"/>
    <w:rsid w:val="09613427"/>
    <w:rsid w:val="097B0C59"/>
    <w:rsid w:val="097D9804"/>
    <w:rsid w:val="099201D9"/>
    <w:rsid w:val="09A1E900"/>
    <w:rsid w:val="09A4CA93"/>
    <w:rsid w:val="09B7E2C7"/>
    <w:rsid w:val="09B8594D"/>
    <w:rsid w:val="09BD6351"/>
    <w:rsid w:val="09CE349B"/>
    <w:rsid w:val="09F99DC5"/>
    <w:rsid w:val="0A008AB0"/>
    <w:rsid w:val="0A1B77E4"/>
    <w:rsid w:val="0A1BBE3B"/>
    <w:rsid w:val="0A1C1883"/>
    <w:rsid w:val="0A4C6FD2"/>
    <w:rsid w:val="0A5D5DE8"/>
    <w:rsid w:val="0A908C3A"/>
    <w:rsid w:val="0ABC6ACA"/>
    <w:rsid w:val="0AC377D6"/>
    <w:rsid w:val="0AC4BB4F"/>
    <w:rsid w:val="0AD9E2C7"/>
    <w:rsid w:val="0AE602DF"/>
    <w:rsid w:val="0B036E29"/>
    <w:rsid w:val="0B125423"/>
    <w:rsid w:val="0B371122"/>
    <w:rsid w:val="0B4F55CA"/>
    <w:rsid w:val="0B581C47"/>
    <w:rsid w:val="0B6D4058"/>
    <w:rsid w:val="0B71CED5"/>
    <w:rsid w:val="0B7C30C3"/>
    <w:rsid w:val="0B823950"/>
    <w:rsid w:val="0B8DEEDD"/>
    <w:rsid w:val="0BB3EAEF"/>
    <w:rsid w:val="0BE2A952"/>
    <w:rsid w:val="0BEEB2BB"/>
    <w:rsid w:val="0BF6C7E1"/>
    <w:rsid w:val="0BF7D1ED"/>
    <w:rsid w:val="0C00778D"/>
    <w:rsid w:val="0C036E1F"/>
    <w:rsid w:val="0C0D9B14"/>
    <w:rsid w:val="0C0E40C9"/>
    <w:rsid w:val="0C2B168D"/>
    <w:rsid w:val="0C2E9C21"/>
    <w:rsid w:val="0C62373A"/>
    <w:rsid w:val="0C699B34"/>
    <w:rsid w:val="0C77D21A"/>
    <w:rsid w:val="0C7B11D7"/>
    <w:rsid w:val="0C7CB78B"/>
    <w:rsid w:val="0C94FB81"/>
    <w:rsid w:val="0C96E423"/>
    <w:rsid w:val="0CC3C16D"/>
    <w:rsid w:val="0CD4512C"/>
    <w:rsid w:val="0CF02C21"/>
    <w:rsid w:val="0CF5AB13"/>
    <w:rsid w:val="0D20460C"/>
    <w:rsid w:val="0D27A92E"/>
    <w:rsid w:val="0D2EFDCD"/>
    <w:rsid w:val="0D34AFF3"/>
    <w:rsid w:val="0D4326CF"/>
    <w:rsid w:val="0D4736D5"/>
    <w:rsid w:val="0D59E46E"/>
    <w:rsid w:val="0D5B40C2"/>
    <w:rsid w:val="0D7AC1FF"/>
    <w:rsid w:val="0D7F9592"/>
    <w:rsid w:val="0D88BD5D"/>
    <w:rsid w:val="0DAE8C58"/>
    <w:rsid w:val="0DBA1B15"/>
    <w:rsid w:val="0DBEC70B"/>
    <w:rsid w:val="0DC93846"/>
    <w:rsid w:val="0DCA220F"/>
    <w:rsid w:val="0E00E37D"/>
    <w:rsid w:val="0E069D4A"/>
    <w:rsid w:val="0E06DE65"/>
    <w:rsid w:val="0E14774A"/>
    <w:rsid w:val="0E2E10F5"/>
    <w:rsid w:val="0E3732FF"/>
    <w:rsid w:val="0E3EB67B"/>
    <w:rsid w:val="0E4A93BD"/>
    <w:rsid w:val="0E6623D7"/>
    <w:rsid w:val="0E66C46E"/>
    <w:rsid w:val="0E765301"/>
    <w:rsid w:val="0E7A0BE6"/>
    <w:rsid w:val="0E7FB4E3"/>
    <w:rsid w:val="0E8A3D8B"/>
    <w:rsid w:val="0E8AA659"/>
    <w:rsid w:val="0E8FA003"/>
    <w:rsid w:val="0EA394B7"/>
    <w:rsid w:val="0EB241BC"/>
    <w:rsid w:val="0EB6468C"/>
    <w:rsid w:val="0EBEED9B"/>
    <w:rsid w:val="0EC8365F"/>
    <w:rsid w:val="0ECFBEFC"/>
    <w:rsid w:val="0EE4909D"/>
    <w:rsid w:val="0EE608A4"/>
    <w:rsid w:val="0F0099FE"/>
    <w:rsid w:val="0F03096E"/>
    <w:rsid w:val="0F2962E0"/>
    <w:rsid w:val="0F445B21"/>
    <w:rsid w:val="0F4B28FA"/>
    <w:rsid w:val="0F4C044D"/>
    <w:rsid w:val="0F5753C1"/>
    <w:rsid w:val="0F6484BB"/>
    <w:rsid w:val="0F9802EF"/>
    <w:rsid w:val="0F9A1F4D"/>
    <w:rsid w:val="0FA5ED67"/>
    <w:rsid w:val="0FA8D208"/>
    <w:rsid w:val="0FD0265C"/>
    <w:rsid w:val="0FD7D44D"/>
    <w:rsid w:val="0FD8911C"/>
    <w:rsid w:val="0FD8AD6E"/>
    <w:rsid w:val="0FDB4CC6"/>
    <w:rsid w:val="0FE92C6C"/>
    <w:rsid w:val="0FFE1054"/>
    <w:rsid w:val="10245F74"/>
    <w:rsid w:val="10360F0C"/>
    <w:rsid w:val="103A9FE0"/>
    <w:rsid w:val="10414D99"/>
    <w:rsid w:val="1052DFD3"/>
    <w:rsid w:val="1068BA9E"/>
    <w:rsid w:val="10691246"/>
    <w:rsid w:val="1075E2D6"/>
    <w:rsid w:val="10785366"/>
    <w:rsid w:val="10995E5A"/>
    <w:rsid w:val="109CE107"/>
    <w:rsid w:val="10A9EFF7"/>
    <w:rsid w:val="10AA5DE9"/>
    <w:rsid w:val="10C7A6BB"/>
    <w:rsid w:val="10CCCFEB"/>
    <w:rsid w:val="10E8B3A3"/>
    <w:rsid w:val="10EAF319"/>
    <w:rsid w:val="10EBB2EC"/>
    <w:rsid w:val="10F6EFF7"/>
    <w:rsid w:val="110F490A"/>
    <w:rsid w:val="111D5767"/>
    <w:rsid w:val="1138CFA2"/>
    <w:rsid w:val="1139C8AD"/>
    <w:rsid w:val="113C0ACA"/>
    <w:rsid w:val="115265D7"/>
    <w:rsid w:val="115500B6"/>
    <w:rsid w:val="117DCC2E"/>
    <w:rsid w:val="118316E8"/>
    <w:rsid w:val="118F6701"/>
    <w:rsid w:val="11937623"/>
    <w:rsid w:val="1198DACC"/>
    <w:rsid w:val="11ADED01"/>
    <w:rsid w:val="11DF9543"/>
    <w:rsid w:val="121E1FE2"/>
    <w:rsid w:val="123287BD"/>
    <w:rsid w:val="125FA6EE"/>
    <w:rsid w:val="125FD673"/>
    <w:rsid w:val="126EB6BF"/>
    <w:rsid w:val="12713056"/>
    <w:rsid w:val="129C01AF"/>
    <w:rsid w:val="12A59B55"/>
    <w:rsid w:val="12AEC482"/>
    <w:rsid w:val="12E468D4"/>
    <w:rsid w:val="1303A255"/>
    <w:rsid w:val="13123D9C"/>
    <w:rsid w:val="1318DB8C"/>
    <w:rsid w:val="134F4552"/>
    <w:rsid w:val="1352CF37"/>
    <w:rsid w:val="1357BC45"/>
    <w:rsid w:val="136EBC96"/>
    <w:rsid w:val="13820637"/>
    <w:rsid w:val="13A4239B"/>
    <w:rsid w:val="13B523EA"/>
    <w:rsid w:val="13BCA53F"/>
    <w:rsid w:val="13C2F80F"/>
    <w:rsid w:val="13CB02EB"/>
    <w:rsid w:val="13DD324C"/>
    <w:rsid w:val="13E7DFEE"/>
    <w:rsid w:val="13EB567E"/>
    <w:rsid w:val="13F15D9D"/>
    <w:rsid w:val="13FCAEE0"/>
    <w:rsid w:val="1415E51F"/>
    <w:rsid w:val="1421A7AB"/>
    <w:rsid w:val="14367554"/>
    <w:rsid w:val="143B0246"/>
    <w:rsid w:val="143EC0A6"/>
    <w:rsid w:val="143F2EE1"/>
    <w:rsid w:val="146C025A"/>
    <w:rsid w:val="146E19E6"/>
    <w:rsid w:val="14759F41"/>
    <w:rsid w:val="1479EED4"/>
    <w:rsid w:val="148E82D7"/>
    <w:rsid w:val="14A4B49F"/>
    <w:rsid w:val="14B0875B"/>
    <w:rsid w:val="14B1ED50"/>
    <w:rsid w:val="14C2C9CA"/>
    <w:rsid w:val="14CCE3A5"/>
    <w:rsid w:val="14D9E16E"/>
    <w:rsid w:val="14DA4850"/>
    <w:rsid w:val="14DD1E3D"/>
    <w:rsid w:val="14E20A57"/>
    <w:rsid w:val="14E2FBA9"/>
    <w:rsid w:val="14F9FCB8"/>
    <w:rsid w:val="150BA55A"/>
    <w:rsid w:val="15257C30"/>
    <w:rsid w:val="1528A008"/>
    <w:rsid w:val="155A4457"/>
    <w:rsid w:val="155EF2AD"/>
    <w:rsid w:val="157385C7"/>
    <w:rsid w:val="15B65122"/>
    <w:rsid w:val="15B96DA2"/>
    <w:rsid w:val="15CE4EFA"/>
    <w:rsid w:val="15CF6920"/>
    <w:rsid w:val="15E7D000"/>
    <w:rsid w:val="15F02B36"/>
    <w:rsid w:val="15F1DB5B"/>
    <w:rsid w:val="15F39786"/>
    <w:rsid w:val="15F4A8F9"/>
    <w:rsid w:val="160AAC49"/>
    <w:rsid w:val="1612EC6A"/>
    <w:rsid w:val="16238D0C"/>
    <w:rsid w:val="163A27C6"/>
    <w:rsid w:val="1642EBCF"/>
    <w:rsid w:val="1647225D"/>
    <w:rsid w:val="164D0B10"/>
    <w:rsid w:val="165395B7"/>
    <w:rsid w:val="167F7886"/>
    <w:rsid w:val="168AA6E4"/>
    <w:rsid w:val="16B3E5C5"/>
    <w:rsid w:val="16B4D280"/>
    <w:rsid w:val="16BCF3B3"/>
    <w:rsid w:val="16C62B92"/>
    <w:rsid w:val="16CEC7A2"/>
    <w:rsid w:val="16E4334B"/>
    <w:rsid w:val="170A91A1"/>
    <w:rsid w:val="171FC6AC"/>
    <w:rsid w:val="172CF342"/>
    <w:rsid w:val="173C15C7"/>
    <w:rsid w:val="173E2AC5"/>
    <w:rsid w:val="173F4540"/>
    <w:rsid w:val="174CFDD7"/>
    <w:rsid w:val="175A5E3F"/>
    <w:rsid w:val="1760FB49"/>
    <w:rsid w:val="176B6F64"/>
    <w:rsid w:val="177CEB3B"/>
    <w:rsid w:val="177FA57D"/>
    <w:rsid w:val="178F5222"/>
    <w:rsid w:val="178F78A4"/>
    <w:rsid w:val="17950DFD"/>
    <w:rsid w:val="17A47E5B"/>
    <w:rsid w:val="17BF5A6F"/>
    <w:rsid w:val="17C4DF21"/>
    <w:rsid w:val="17D45825"/>
    <w:rsid w:val="17F66BE3"/>
    <w:rsid w:val="18020317"/>
    <w:rsid w:val="1802252D"/>
    <w:rsid w:val="180DA90F"/>
    <w:rsid w:val="18152595"/>
    <w:rsid w:val="18292185"/>
    <w:rsid w:val="1835CA5B"/>
    <w:rsid w:val="1843F856"/>
    <w:rsid w:val="18465613"/>
    <w:rsid w:val="184A27AB"/>
    <w:rsid w:val="185E70E5"/>
    <w:rsid w:val="185E8A3A"/>
    <w:rsid w:val="1877DC74"/>
    <w:rsid w:val="188BBF3D"/>
    <w:rsid w:val="188CC658"/>
    <w:rsid w:val="18AB2285"/>
    <w:rsid w:val="18B00978"/>
    <w:rsid w:val="18B12531"/>
    <w:rsid w:val="18E233FC"/>
    <w:rsid w:val="18E7FDB8"/>
    <w:rsid w:val="18F5C8D2"/>
    <w:rsid w:val="1906FF9E"/>
    <w:rsid w:val="1907916D"/>
    <w:rsid w:val="193CA52B"/>
    <w:rsid w:val="1947FFCC"/>
    <w:rsid w:val="1948D25C"/>
    <w:rsid w:val="194DB0FC"/>
    <w:rsid w:val="194FACBA"/>
    <w:rsid w:val="19593FB9"/>
    <w:rsid w:val="197285FC"/>
    <w:rsid w:val="197EFA39"/>
    <w:rsid w:val="19968BA6"/>
    <w:rsid w:val="19A2AAE9"/>
    <w:rsid w:val="19A2F868"/>
    <w:rsid w:val="19A9449E"/>
    <w:rsid w:val="19AA5D84"/>
    <w:rsid w:val="19B7E580"/>
    <w:rsid w:val="19CF18CE"/>
    <w:rsid w:val="19DA34EF"/>
    <w:rsid w:val="19F51457"/>
    <w:rsid w:val="19FB1D89"/>
    <w:rsid w:val="1A05C1E4"/>
    <w:rsid w:val="1A0C6638"/>
    <w:rsid w:val="1A1C1FF1"/>
    <w:rsid w:val="1A21434D"/>
    <w:rsid w:val="1A4DAA86"/>
    <w:rsid w:val="1A540AEF"/>
    <w:rsid w:val="1A59E070"/>
    <w:rsid w:val="1A6A7A78"/>
    <w:rsid w:val="1A6E1819"/>
    <w:rsid w:val="1A8D9676"/>
    <w:rsid w:val="1A915EE0"/>
    <w:rsid w:val="1AA2FFBC"/>
    <w:rsid w:val="1AB693B7"/>
    <w:rsid w:val="1ABB385D"/>
    <w:rsid w:val="1ABE3209"/>
    <w:rsid w:val="1AC97793"/>
    <w:rsid w:val="1AD3CBD1"/>
    <w:rsid w:val="1B11CC7B"/>
    <w:rsid w:val="1B2083EA"/>
    <w:rsid w:val="1B306316"/>
    <w:rsid w:val="1B32AF7F"/>
    <w:rsid w:val="1B47FF46"/>
    <w:rsid w:val="1B4A51FA"/>
    <w:rsid w:val="1B5BBDDC"/>
    <w:rsid w:val="1B5D267A"/>
    <w:rsid w:val="1B9148E3"/>
    <w:rsid w:val="1B9DEDA2"/>
    <w:rsid w:val="1BA9FA33"/>
    <w:rsid w:val="1BAAA80A"/>
    <w:rsid w:val="1BACF6EA"/>
    <w:rsid w:val="1BE737B5"/>
    <w:rsid w:val="1BE933BA"/>
    <w:rsid w:val="1BF9D4DA"/>
    <w:rsid w:val="1C0532F3"/>
    <w:rsid w:val="1C0EF543"/>
    <w:rsid w:val="1C19E3E9"/>
    <w:rsid w:val="1C2AA9D9"/>
    <w:rsid w:val="1C2DCDEE"/>
    <w:rsid w:val="1C542A9D"/>
    <w:rsid w:val="1C7291F2"/>
    <w:rsid w:val="1C735E03"/>
    <w:rsid w:val="1C798BB2"/>
    <w:rsid w:val="1C7BEECC"/>
    <w:rsid w:val="1C8B9B83"/>
    <w:rsid w:val="1C91E474"/>
    <w:rsid w:val="1C94DC72"/>
    <w:rsid w:val="1C95162C"/>
    <w:rsid w:val="1CA82A84"/>
    <w:rsid w:val="1CCAC29C"/>
    <w:rsid w:val="1CCFE5EC"/>
    <w:rsid w:val="1CE7D151"/>
    <w:rsid w:val="1CF08D28"/>
    <w:rsid w:val="1CF7C47A"/>
    <w:rsid w:val="1D033736"/>
    <w:rsid w:val="1D07AC7F"/>
    <w:rsid w:val="1D0ECF70"/>
    <w:rsid w:val="1D210CC6"/>
    <w:rsid w:val="1D2C54D6"/>
    <w:rsid w:val="1D38E1E5"/>
    <w:rsid w:val="1D430156"/>
    <w:rsid w:val="1D7B89D0"/>
    <w:rsid w:val="1D7C0138"/>
    <w:rsid w:val="1D9B6B1C"/>
    <w:rsid w:val="1D9EC8DD"/>
    <w:rsid w:val="1DBD3D4D"/>
    <w:rsid w:val="1DC890C9"/>
    <w:rsid w:val="1DC9A639"/>
    <w:rsid w:val="1DD50A60"/>
    <w:rsid w:val="1DFBFB25"/>
    <w:rsid w:val="1E02E8A4"/>
    <w:rsid w:val="1E0C5DA5"/>
    <w:rsid w:val="1E24B20F"/>
    <w:rsid w:val="1E272859"/>
    <w:rsid w:val="1E2F29ED"/>
    <w:rsid w:val="1E4E9238"/>
    <w:rsid w:val="1E55258E"/>
    <w:rsid w:val="1E5824CD"/>
    <w:rsid w:val="1E6DE7E6"/>
    <w:rsid w:val="1E7BC15C"/>
    <w:rsid w:val="1E8564EE"/>
    <w:rsid w:val="1E8950F1"/>
    <w:rsid w:val="1E972337"/>
    <w:rsid w:val="1EC05113"/>
    <w:rsid w:val="1EECD0F3"/>
    <w:rsid w:val="1F0062C8"/>
    <w:rsid w:val="1F1123FA"/>
    <w:rsid w:val="1F206BB4"/>
    <w:rsid w:val="1F4D2227"/>
    <w:rsid w:val="1F65DF5E"/>
    <w:rsid w:val="1F6C52B6"/>
    <w:rsid w:val="1F6D34EA"/>
    <w:rsid w:val="1FAA2A09"/>
    <w:rsid w:val="1FF4A48E"/>
    <w:rsid w:val="200BB4FA"/>
    <w:rsid w:val="200EAF16"/>
    <w:rsid w:val="2023949B"/>
    <w:rsid w:val="2026ADE4"/>
    <w:rsid w:val="203C5B02"/>
    <w:rsid w:val="2046C228"/>
    <w:rsid w:val="204CF1A9"/>
    <w:rsid w:val="20507655"/>
    <w:rsid w:val="20639E98"/>
    <w:rsid w:val="20642E9C"/>
    <w:rsid w:val="20809760"/>
    <w:rsid w:val="2080C156"/>
    <w:rsid w:val="209A6033"/>
    <w:rsid w:val="20A26328"/>
    <w:rsid w:val="20A55148"/>
    <w:rsid w:val="20A69628"/>
    <w:rsid w:val="20D1FAB1"/>
    <w:rsid w:val="20D4740D"/>
    <w:rsid w:val="20DF9A26"/>
    <w:rsid w:val="20ECBFB6"/>
    <w:rsid w:val="210D523C"/>
    <w:rsid w:val="2113310A"/>
    <w:rsid w:val="2116E4DA"/>
    <w:rsid w:val="213C3D70"/>
    <w:rsid w:val="21494828"/>
    <w:rsid w:val="21521E0F"/>
    <w:rsid w:val="21608C4B"/>
    <w:rsid w:val="2162BFAF"/>
    <w:rsid w:val="2177459C"/>
    <w:rsid w:val="217BB41B"/>
    <w:rsid w:val="21825256"/>
    <w:rsid w:val="21A3A01B"/>
    <w:rsid w:val="21C4C293"/>
    <w:rsid w:val="21C8D85C"/>
    <w:rsid w:val="21DDA9C2"/>
    <w:rsid w:val="21DF9AEA"/>
    <w:rsid w:val="21E48527"/>
    <w:rsid w:val="21FE3228"/>
    <w:rsid w:val="220D89D4"/>
    <w:rsid w:val="221704B5"/>
    <w:rsid w:val="221827CF"/>
    <w:rsid w:val="221E4E91"/>
    <w:rsid w:val="22265D24"/>
    <w:rsid w:val="222DE9A6"/>
    <w:rsid w:val="222FAD76"/>
    <w:rsid w:val="22446C9A"/>
    <w:rsid w:val="2245E1CD"/>
    <w:rsid w:val="2246002D"/>
    <w:rsid w:val="224D69D0"/>
    <w:rsid w:val="2250BF4E"/>
    <w:rsid w:val="22679CC6"/>
    <w:rsid w:val="22692879"/>
    <w:rsid w:val="2271362B"/>
    <w:rsid w:val="2284B54F"/>
    <w:rsid w:val="22A681AD"/>
    <w:rsid w:val="22AA0084"/>
    <w:rsid w:val="22AD434D"/>
    <w:rsid w:val="22B02F2B"/>
    <w:rsid w:val="22B71142"/>
    <w:rsid w:val="22DADF59"/>
    <w:rsid w:val="22DE7470"/>
    <w:rsid w:val="22E5AC99"/>
    <w:rsid w:val="22EA3DCF"/>
    <w:rsid w:val="22FC49A7"/>
    <w:rsid w:val="23000AA6"/>
    <w:rsid w:val="23060650"/>
    <w:rsid w:val="23219FB6"/>
    <w:rsid w:val="2335D1A8"/>
    <w:rsid w:val="23368D30"/>
    <w:rsid w:val="233AB2FE"/>
    <w:rsid w:val="233E0F45"/>
    <w:rsid w:val="2344A76F"/>
    <w:rsid w:val="234D6059"/>
    <w:rsid w:val="234EA18D"/>
    <w:rsid w:val="23639B89"/>
    <w:rsid w:val="236C01D0"/>
    <w:rsid w:val="237B6659"/>
    <w:rsid w:val="238A7640"/>
    <w:rsid w:val="23A758C7"/>
    <w:rsid w:val="23A7FDF0"/>
    <w:rsid w:val="23AD062D"/>
    <w:rsid w:val="23B5FC9A"/>
    <w:rsid w:val="23C83CCF"/>
    <w:rsid w:val="23DC268C"/>
    <w:rsid w:val="23DD4FCC"/>
    <w:rsid w:val="23E2CF7E"/>
    <w:rsid w:val="23E6DA01"/>
    <w:rsid w:val="23ED0AF4"/>
    <w:rsid w:val="23EF9E91"/>
    <w:rsid w:val="23F7BF9F"/>
    <w:rsid w:val="23FA7BC8"/>
    <w:rsid w:val="23FF9D22"/>
    <w:rsid w:val="241063E9"/>
    <w:rsid w:val="24139DC3"/>
    <w:rsid w:val="2426B9F4"/>
    <w:rsid w:val="245E123C"/>
    <w:rsid w:val="2480AA80"/>
    <w:rsid w:val="249E39FA"/>
    <w:rsid w:val="24A48C27"/>
    <w:rsid w:val="24B65223"/>
    <w:rsid w:val="24C0A5B8"/>
    <w:rsid w:val="24D384AE"/>
    <w:rsid w:val="24D61CA8"/>
    <w:rsid w:val="24D84823"/>
    <w:rsid w:val="24DAC6EC"/>
    <w:rsid w:val="24DBF5C1"/>
    <w:rsid w:val="24FA39A3"/>
    <w:rsid w:val="2508083A"/>
    <w:rsid w:val="251C5C39"/>
    <w:rsid w:val="251D05A2"/>
    <w:rsid w:val="2533E794"/>
    <w:rsid w:val="254A5953"/>
    <w:rsid w:val="25606395"/>
    <w:rsid w:val="258E3B80"/>
    <w:rsid w:val="25DCB765"/>
    <w:rsid w:val="25E3E5C7"/>
    <w:rsid w:val="25F9D714"/>
    <w:rsid w:val="26178300"/>
    <w:rsid w:val="262A6097"/>
    <w:rsid w:val="263B4C2E"/>
    <w:rsid w:val="263E1F64"/>
    <w:rsid w:val="26717126"/>
    <w:rsid w:val="2672AAA4"/>
    <w:rsid w:val="2676BACD"/>
    <w:rsid w:val="2678DEA7"/>
    <w:rsid w:val="268604A0"/>
    <w:rsid w:val="26882910"/>
    <w:rsid w:val="26978BD7"/>
    <w:rsid w:val="26A4FFAD"/>
    <w:rsid w:val="26AA88DB"/>
    <w:rsid w:val="26C63EB6"/>
    <w:rsid w:val="26DB9E3E"/>
    <w:rsid w:val="26DDC758"/>
    <w:rsid w:val="26E90202"/>
    <w:rsid w:val="26EC8BD6"/>
    <w:rsid w:val="26FAECF5"/>
    <w:rsid w:val="26FC9B17"/>
    <w:rsid w:val="27027847"/>
    <w:rsid w:val="27053D98"/>
    <w:rsid w:val="2715CECE"/>
    <w:rsid w:val="2735B854"/>
    <w:rsid w:val="2777C291"/>
    <w:rsid w:val="27785408"/>
    <w:rsid w:val="27886582"/>
    <w:rsid w:val="27A288DC"/>
    <w:rsid w:val="27B3B2A8"/>
    <w:rsid w:val="27BEF175"/>
    <w:rsid w:val="27D849F4"/>
    <w:rsid w:val="27E04876"/>
    <w:rsid w:val="27F178F8"/>
    <w:rsid w:val="27F28F0B"/>
    <w:rsid w:val="280FAB53"/>
    <w:rsid w:val="2811EF96"/>
    <w:rsid w:val="281AE1E1"/>
    <w:rsid w:val="281B4644"/>
    <w:rsid w:val="28269A0D"/>
    <w:rsid w:val="28274DBF"/>
    <w:rsid w:val="282AAA09"/>
    <w:rsid w:val="283B819D"/>
    <w:rsid w:val="2867A1C4"/>
    <w:rsid w:val="28696941"/>
    <w:rsid w:val="287C2379"/>
    <w:rsid w:val="288D0EE0"/>
    <w:rsid w:val="28902647"/>
    <w:rsid w:val="2890F2E1"/>
    <w:rsid w:val="2899C647"/>
    <w:rsid w:val="289CA771"/>
    <w:rsid w:val="28AA16A0"/>
    <w:rsid w:val="28CC9F5C"/>
    <w:rsid w:val="28DA0675"/>
    <w:rsid w:val="28E3BD88"/>
    <w:rsid w:val="28E8C5AB"/>
    <w:rsid w:val="28F86555"/>
    <w:rsid w:val="2902C38E"/>
    <w:rsid w:val="290590D5"/>
    <w:rsid w:val="291D6B4A"/>
    <w:rsid w:val="2935EB07"/>
    <w:rsid w:val="2939EB7A"/>
    <w:rsid w:val="293EF4C8"/>
    <w:rsid w:val="29488D75"/>
    <w:rsid w:val="295298B1"/>
    <w:rsid w:val="29714CDF"/>
    <w:rsid w:val="29901C79"/>
    <w:rsid w:val="299813B3"/>
    <w:rsid w:val="29AAA2A3"/>
    <w:rsid w:val="29AE9746"/>
    <w:rsid w:val="29C2D2FC"/>
    <w:rsid w:val="29D2E9B7"/>
    <w:rsid w:val="29D3EA48"/>
    <w:rsid w:val="29D7F44D"/>
    <w:rsid w:val="2A0EBFC5"/>
    <w:rsid w:val="2A38B6CF"/>
    <w:rsid w:val="2A6F1C1C"/>
    <w:rsid w:val="2A7B4F40"/>
    <w:rsid w:val="2A92085D"/>
    <w:rsid w:val="2AA35FEC"/>
    <w:rsid w:val="2AA8352D"/>
    <w:rsid w:val="2AF1C4B1"/>
    <w:rsid w:val="2AFAC877"/>
    <w:rsid w:val="2B1F02EF"/>
    <w:rsid w:val="2B323D0E"/>
    <w:rsid w:val="2B367270"/>
    <w:rsid w:val="2B459647"/>
    <w:rsid w:val="2B57824D"/>
    <w:rsid w:val="2B5A6E9A"/>
    <w:rsid w:val="2B7ABC21"/>
    <w:rsid w:val="2B93C671"/>
    <w:rsid w:val="2BAAB73F"/>
    <w:rsid w:val="2BB2D40A"/>
    <w:rsid w:val="2BBDB8DC"/>
    <w:rsid w:val="2BD578F6"/>
    <w:rsid w:val="2BE7CA19"/>
    <w:rsid w:val="2C02CFC5"/>
    <w:rsid w:val="2C2551BA"/>
    <w:rsid w:val="2C2C99DB"/>
    <w:rsid w:val="2C35FDA8"/>
    <w:rsid w:val="2C38D6F0"/>
    <w:rsid w:val="2C3F3F4E"/>
    <w:rsid w:val="2C5BF53C"/>
    <w:rsid w:val="2C7DF3F5"/>
    <w:rsid w:val="2C90FFF7"/>
    <w:rsid w:val="2C9C64B8"/>
    <w:rsid w:val="2C9D2E48"/>
    <w:rsid w:val="2CB76961"/>
    <w:rsid w:val="2CCED703"/>
    <w:rsid w:val="2D2CFEDC"/>
    <w:rsid w:val="2D483E97"/>
    <w:rsid w:val="2D5892BF"/>
    <w:rsid w:val="2D5E1EAF"/>
    <w:rsid w:val="2D72B680"/>
    <w:rsid w:val="2D8C4094"/>
    <w:rsid w:val="2D9E8647"/>
    <w:rsid w:val="2DD6753E"/>
    <w:rsid w:val="2DFADBDA"/>
    <w:rsid w:val="2DFDA35E"/>
    <w:rsid w:val="2E00D61C"/>
    <w:rsid w:val="2E094820"/>
    <w:rsid w:val="2E0AB205"/>
    <w:rsid w:val="2E22E78F"/>
    <w:rsid w:val="2E3A0DC8"/>
    <w:rsid w:val="2E43B15B"/>
    <w:rsid w:val="2E4DC65A"/>
    <w:rsid w:val="2E51B11D"/>
    <w:rsid w:val="2E63550E"/>
    <w:rsid w:val="2E712597"/>
    <w:rsid w:val="2E8F9DE7"/>
    <w:rsid w:val="2EAD2AC6"/>
    <w:rsid w:val="2EB62B81"/>
    <w:rsid w:val="2EBADA40"/>
    <w:rsid w:val="2EC2903E"/>
    <w:rsid w:val="2EC39DE6"/>
    <w:rsid w:val="2ECA07B3"/>
    <w:rsid w:val="2ED0DDDB"/>
    <w:rsid w:val="2ED3FD65"/>
    <w:rsid w:val="2EE6200C"/>
    <w:rsid w:val="2EEA7F69"/>
    <w:rsid w:val="2EF371FC"/>
    <w:rsid w:val="2EF3ACFB"/>
    <w:rsid w:val="2F01EB32"/>
    <w:rsid w:val="2F17E9FA"/>
    <w:rsid w:val="2F22FE46"/>
    <w:rsid w:val="2F45B34B"/>
    <w:rsid w:val="2F8A18BB"/>
    <w:rsid w:val="2F966865"/>
    <w:rsid w:val="2FA307B7"/>
    <w:rsid w:val="2FCD3597"/>
    <w:rsid w:val="2FE0369E"/>
    <w:rsid w:val="2FECE5A3"/>
    <w:rsid w:val="3020A13A"/>
    <w:rsid w:val="30211224"/>
    <w:rsid w:val="30322C3A"/>
    <w:rsid w:val="3033241B"/>
    <w:rsid w:val="303D0151"/>
    <w:rsid w:val="30428072"/>
    <w:rsid w:val="30489B20"/>
    <w:rsid w:val="3053A3B9"/>
    <w:rsid w:val="306E2230"/>
    <w:rsid w:val="3079A746"/>
    <w:rsid w:val="3082C14B"/>
    <w:rsid w:val="3088C987"/>
    <w:rsid w:val="3091B582"/>
    <w:rsid w:val="30A385E4"/>
    <w:rsid w:val="30A7781F"/>
    <w:rsid w:val="30ECF8E8"/>
    <w:rsid w:val="30FD1D09"/>
    <w:rsid w:val="30FE666C"/>
    <w:rsid w:val="31008853"/>
    <w:rsid w:val="310A26FC"/>
    <w:rsid w:val="310B37BC"/>
    <w:rsid w:val="312E14BA"/>
    <w:rsid w:val="31417DE2"/>
    <w:rsid w:val="3143397F"/>
    <w:rsid w:val="31513431"/>
    <w:rsid w:val="316DF27F"/>
    <w:rsid w:val="316EDA82"/>
    <w:rsid w:val="3178596B"/>
    <w:rsid w:val="317ADBD9"/>
    <w:rsid w:val="317EC170"/>
    <w:rsid w:val="31860C18"/>
    <w:rsid w:val="319FFEC2"/>
    <w:rsid w:val="31A5D4AB"/>
    <w:rsid w:val="31C486B9"/>
    <w:rsid w:val="31C51D9F"/>
    <w:rsid w:val="31CFA6B9"/>
    <w:rsid w:val="31D79041"/>
    <w:rsid w:val="31E2CB68"/>
    <w:rsid w:val="3205C12C"/>
    <w:rsid w:val="3211A6C1"/>
    <w:rsid w:val="321552AD"/>
    <w:rsid w:val="3233B553"/>
    <w:rsid w:val="32623DB6"/>
    <w:rsid w:val="326EADFF"/>
    <w:rsid w:val="3271FE45"/>
    <w:rsid w:val="32731C83"/>
    <w:rsid w:val="3275A477"/>
    <w:rsid w:val="32763BAA"/>
    <w:rsid w:val="327878CD"/>
    <w:rsid w:val="328C52B3"/>
    <w:rsid w:val="328CD184"/>
    <w:rsid w:val="3298F747"/>
    <w:rsid w:val="329C9E13"/>
    <w:rsid w:val="329E20CC"/>
    <w:rsid w:val="32A2A5B5"/>
    <w:rsid w:val="32BF4F89"/>
    <w:rsid w:val="32DA9D4C"/>
    <w:rsid w:val="32E7F485"/>
    <w:rsid w:val="32FB56CC"/>
    <w:rsid w:val="331858C5"/>
    <w:rsid w:val="331FCEEB"/>
    <w:rsid w:val="332BB8D2"/>
    <w:rsid w:val="332EF0A7"/>
    <w:rsid w:val="33449F55"/>
    <w:rsid w:val="334D3CF0"/>
    <w:rsid w:val="3357E360"/>
    <w:rsid w:val="3394C820"/>
    <w:rsid w:val="33A23E4B"/>
    <w:rsid w:val="33A266C5"/>
    <w:rsid w:val="33B4BF64"/>
    <w:rsid w:val="33F4CF35"/>
    <w:rsid w:val="33F52EB6"/>
    <w:rsid w:val="33F85D6F"/>
    <w:rsid w:val="3403F4CF"/>
    <w:rsid w:val="341281C4"/>
    <w:rsid w:val="34134E03"/>
    <w:rsid w:val="3416C196"/>
    <w:rsid w:val="34177E6D"/>
    <w:rsid w:val="341DD4FB"/>
    <w:rsid w:val="342B81DF"/>
    <w:rsid w:val="34509E5B"/>
    <w:rsid w:val="346A4DA7"/>
    <w:rsid w:val="346F02C2"/>
    <w:rsid w:val="347B3CA4"/>
    <w:rsid w:val="3486243F"/>
    <w:rsid w:val="348AB9BD"/>
    <w:rsid w:val="3495590C"/>
    <w:rsid w:val="34997580"/>
    <w:rsid w:val="34C7FE7F"/>
    <w:rsid w:val="34D6EF62"/>
    <w:rsid w:val="34E68A53"/>
    <w:rsid w:val="34E8B37C"/>
    <w:rsid w:val="34EC88FA"/>
    <w:rsid w:val="35060371"/>
    <w:rsid w:val="350B35BB"/>
    <w:rsid w:val="35103392"/>
    <w:rsid w:val="3517CCA7"/>
    <w:rsid w:val="351BD7E8"/>
    <w:rsid w:val="3524F351"/>
    <w:rsid w:val="352E5234"/>
    <w:rsid w:val="3532B24D"/>
    <w:rsid w:val="35445392"/>
    <w:rsid w:val="35470B32"/>
    <w:rsid w:val="355CAE87"/>
    <w:rsid w:val="35638864"/>
    <w:rsid w:val="357E7AF3"/>
    <w:rsid w:val="359C5BB6"/>
    <w:rsid w:val="35B40C84"/>
    <w:rsid w:val="35C6714F"/>
    <w:rsid w:val="35CDA8EE"/>
    <w:rsid w:val="35D9F198"/>
    <w:rsid w:val="35DA11D8"/>
    <w:rsid w:val="35F8E44E"/>
    <w:rsid w:val="360619D4"/>
    <w:rsid w:val="360D355F"/>
    <w:rsid w:val="3624874A"/>
    <w:rsid w:val="362F2E23"/>
    <w:rsid w:val="3636BB84"/>
    <w:rsid w:val="363AD2D6"/>
    <w:rsid w:val="36473B24"/>
    <w:rsid w:val="36676131"/>
    <w:rsid w:val="366C3A40"/>
    <w:rsid w:val="366E366B"/>
    <w:rsid w:val="366F5CAA"/>
    <w:rsid w:val="3677DCCC"/>
    <w:rsid w:val="367FD4FE"/>
    <w:rsid w:val="369A9621"/>
    <w:rsid w:val="36D1E240"/>
    <w:rsid w:val="36D49BA8"/>
    <w:rsid w:val="36E0BD4B"/>
    <w:rsid w:val="36E41279"/>
    <w:rsid w:val="36EAA4A6"/>
    <w:rsid w:val="36FC955A"/>
    <w:rsid w:val="37514835"/>
    <w:rsid w:val="37574874"/>
    <w:rsid w:val="37796411"/>
    <w:rsid w:val="3781418D"/>
    <w:rsid w:val="37896DDE"/>
    <w:rsid w:val="378BD2D8"/>
    <w:rsid w:val="378E5840"/>
    <w:rsid w:val="37A45669"/>
    <w:rsid w:val="37BB1A37"/>
    <w:rsid w:val="37D17955"/>
    <w:rsid w:val="37D24FEC"/>
    <w:rsid w:val="37D73639"/>
    <w:rsid w:val="37E400D0"/>
    <w:rsid w:val="37E9083B"/>
    <w:rsid w:val="37EC6AD0"/>
    <w:rsid w:val="37F70B99"/>
    <w:rsid w:val="380900C2"/>
    <w:rsid w:val="380A86FF"/>
    <w:rsid w:val="381FCFF6"/>
    <w:rsid w:val="387489B2"/>
    <w:rsid w:val="3885BFCB"/>
    <w:rsid w:val="38896119"/>
    <w:rsid w:val="38B0D74E"/>
    <w:rsid w:val="38D018E1"/>
    <w:rsid w:val="38F06791"/>
    <w:rsid w:val="38F476D5"/>
    <w:rsid w:val="38FE4D82"/>
    <w:rsid w:val="390B977F"/>
    <w:rsid w:val="3919EFFD"/>
    <w:rsid w:val="391F58C3"/>
    <w:rsid w:val="392EB9FE"/>
    <w:rsid w:val="39353CB5"/>
    <w:rsid w:val="393D121D"/>
    <w:rsid w:val="394165E9"/>
    <w:rsid w:val="394E669E"/>
    <w:rsid w:val="3976B73B"/>
    <w:rsid w:val="398D2232"/>
    <w:rsid w:val="39954AAB"/>
    <w:rsid w:val="39B3586D"/>
    <w:rsid w:val="39B405FB"/>
    <w:rsid w:val="39C4C730"/>
    <w:rsid w:val="39CAE468"/>
    <w:rsid w:val="39D7839A"/>
    <w:rsid w:val="39FAF7F4"/>
    <w:rsid w:val="3A02466B"/>
    <w:rsid w:val="3A0259C9"/>
    <w:rsid w:val="3A06FD4D"/>
    <w:rsid w:val="3A18F2EA"/>
    <w:rsid w:val="3A2CCB6D"/>
    <w:rsid w:val="3A36B41D"/>
    <w:rsid w:val="3A5F7BB3"/>
    <w:rsid w:val="3A7ED2C9"/>
    <w:rsid w:val="3A98A491"/>
    <w:rsid w:val="3AAD3410"/>
    <w:rsid w:val="3AEF7137"/>
    <w:rsid w:val="3B4AE7A4"/>
    <w:rsid w:val="3B806397"/>
    <w:rsid w:val="3B8A394E"/>
    <w:rsid w:val="3B96C0A6"/>
    <w:rsid w:val="3BAD7D94"/>
    <w:rsid w:val="3BB5F439"/>
    <w:rsid w:val="3BE4110B"/>
    <w:rsid w:val="3BFF2885"/>
    <w:rsid w:val="3C014999"/>
    <w:rsid w:val="3C4C7847"/>
    <w:rsid w:val="3C5CF1B0"/>
    <w:rsid w:val="3C689E82"/>
    <w:rsid w:val="3C713E92"/>
    <w:rsid w:val="3C7BF632"/>
    <w:rsid w:val="3C9077EE"/>
    <w:rsid w:val="3C9774DB"/>
    <w:rsid w:val="3CAC784A"/>
    <w:rsid w:val="3CBDEF3B"/>
    <w:rsid w:val="3CDC4FE9"/>
    <w:rsid w:val="3CE9CFD3"/>
    <w:rsid w:val="3CEA3A9D"/>
    <w:rsid w:val="3CEDE227"/>
    <w:rsid w:val="3D06D22A"/>
    <w:rsid w:val="3D27ACDF"/>
    <w:rsid w:val="3D2DDDF9"/>
    <w:rsid w:val="3D2E8B8E"/>
    <w:rsid w:val="3D3F2DFB"/>
    <w:rsid w:val="3D5D0654"/>
    <w:rsid w:val="3DAEFBA8"/>
    <w:rsid w:val="3DC16A27"/>
    <w:rsid w:val="3DCB8B91"/>
    <w:rsid w:val="3DDA8F63"/>
    <w:rsid w:val="3DE88910"/>
    <w:rsid w:val="3DF37A2B"/>
    <w:rsid w:val="3DF88D6C"/>
    <w:rsid w:val="3DFE3264"/>
    <w:rsid w:val="3DFF22E9"/>
    <w:rsid w:val="3E026944"/>
    <w:rsid w:val="3E0943CA"/>
    <w:rsid w:val="3E2D84D4"/>
    <w:rsid w:val="3E4712E9"/>
    <w:rsid w:val="3E47DFE6"/>
    <w:rsid w:val="3E4AF41B"/>
    <w:rsid w:val="3E6A8917"/>
    <w:rsid w:val="3E72D606"/>
    <w:rsid w:val="3E73F169"/>
    <w:rsid w:val="3E7FA4D3"/>
    <w:rsid w:val="3E87622E"/>
    <w:rsid w:val="3E8B8049"/>
    <w:rsid w:val="3E986148"/>
    <w:rsid w:val="3EAFE89A"/>
    <w:rsid w:val="3EB465D7"/>
    <w:rsid w:val="3F038691"/>
    <w:rsid w:val="3F03A32A"/>
    <w:rsid w:val="3F1E045F"/>
    <w:rsid w:val="3F2AD541"/>
    <w:rsid w:val="3F2DB307"/>
    <w:rsid w:val="3F355F2B"/>
    <w:rsid w:val="3F3976D0"/>
    <w:rsid w:val="3F6AFC0D"/>
    <w:rsid w:val="3F70473F"/>
    <w:rsid w:val="3F74EADC"/>
    <w:rsid w:val="3F7FF2B8"/>
    <w:rsid w:val="3F882F97"/>
    <w:rsid w:val="3F980132"/>
    <w:rsid w:val="3FB2C918"/>
    <w:rsid w:val="3FD3A875"/>
    <w:rsid w:val="3FD63B9F"/>
    <w:rsid w:val="3FD7D346"/>
    <w:rsid w:val="3FDA09D5"/>
    <w:rsid w:val="3FDD93ED"/>
    <w:rsid w:val="3FE523EB"/>
    <w:rsid w:val="3FF0BD8E"/>
    <w:rsid w:val="3FF468A8"/>
    <w:rsid w:val="400CD478"/>
    <w:rsid w:val="40295A34"/>
    <w:rsid w:val="402C1DCC"/>
    <w:rsid w:val="40334460"/>
    <w:rsid w:val="403AEBC1"/>
    <w:rsid w:val="403B7B6C"/>
    <w:rsid w:val="40447F4B"/>
    <w:rsid w:val="4057F486"/>
    <w:rsid w:val="407CF305"/>
    <w:rsid w:val="40964F0D"/>
    <w:rsid w:val="409AB165"/>
    <w:rsid w:val="40A82411"/>
    <w:rsid w:val="40D5C17A"/>
    <w:rsid w:val="40FD7C0F"/>
    <w:rsid w:val="4100BA8C"/>
    <w:rsid w:val="410DD42F"/>
    <w:rsid w:val="41424B6A"/>
    <w:rsid w:val="4155685C"/>
    <w:rsid w:val="41594632"/>
    <w:rsid w:val="415CF1A7"/>
    <w:rsid w:val="41692C85"/>
    <w:rsid w:val="416BD4A0"/>
    <w:rsid w:val="417DC127"/>
    <w:rsid w:val="418D31B8"/>
    <w:rsid w:val="41909147"/>
    <w:rsid w:val="41AF0AF1"/>
    <w:rsid w:val="41BA4D45"/>
    <w:rsid w:val="41BD9366"/>
    <w:rsid w:val="41E53103"/>
    <w:rsid w:val="422F1162"/>
    <w:rsid w:val="423703E6"/>
    <w:rsid w:val="423CF80D"/>
    <w:rsid w:val="4259CBD0"/>
    <w:rsid w:val="426C06D4"/>
    <w:rsid w:val="426D839E"/>
    <w:rsid w:val="4273B52E"/>
    <w:rsid w:val="4284D349"/>
    <w:rsid w:val="4285F72C"/>
    <w:rsid w:val="428A4CDF"/>
    <w:rsid w:val="4299A4E3"/>
    <w:rsid w:val="42A91269"/>
    <w:rsid w:val="42A941AC"/>
    <w:rsid w:val="42B378EC"/>
    <w:rsid w:val="42CC57D3"/>
    <w:rsid w:val="42D9FD6F"/>
    <w:rsid w:val="42E23042"/>
    <w:rsid w:val="42F0C23A"/>
    <w:rsid w:val="43161AB2"/>
    <w:rsid w:val="43224B7A"/>
    <w:rsid w:val="43234A29"/>
    <w:rsid w:val="43238053"/>
    <w:rsid w:val="432F0811"/>
    <w:rsid w:val="433E56E5"/>
    <w:rsid w:val="433F215E"/>
    <w:rsid w:val="434FA0FF"/>
    <w:rsid w:val="435BEB3A"/>
    <w:rsid w:val="4368C737"/>
    <w:rsid w:val="437CF33A"/>
    <w:rsid w:val="4383919A"/>
    <w:rsid w:val="439F9066"/>
    <w:rsid w:val="43B3D39B"/>
    <w:rsid w:val="43B5C848"/>
    <w:rsid w:val="43DD3073"/>
    <w:rsid w:val="44037525"/>
    <w:rsid w:val="441A4259"/>
    <w:rsid w:val="441D93C4"/>
    <w:rsid w:val="44201BD0"/>
    <w:rsid w:val="4420F658"/>
    <w:rsid w:val="44405BD6"/>
    <w:rsid w:val="4460C756"/>
    <w:rsid w:val="446ED0C5"/>
    <w:rsid w:val="4479DDA6"/>
    <w:rsid w:val="447E69FB"/>
    <w:rsid w:val="447F3646"/>
    <w:rsid w:val="447F4C9F"/>
    <w:rsid w:val="448985AC"/>
    <w:rsid w:val="44A1DBB5"/>
    <w:rsid w:val="44D2BC66"/>
    <w:rsid w:val="44D73DB6"/>
    <w:rsid w:val="44F0FF3B"/>
    <w:rsid w:val="44F459D0"/>
    <w:rsid w:val="44FE7330"/>
    <w:rsid w:val="4506EFF1"/>
    <w:rsid w:val="45276EB8"/>
    <w:rsid w:val="456937EE"/>
    <w:rsid w:val="45793767"/>
    <w:rsid w:val="4599F37B"/>
    <w:rsid w:val="45C7798E"/>
    <w:rsid w:val="45CC68EA"/>
    <w:rsid w:val="45D85A07"/>
    <w:rsid w:val="45DFA05F"/>
    <w:rsid w:val="45E25314"/>
    <w:rsid w:val="45E6AE8E"/>
    <w:rsid w:val="45F35F59"/>
    <w:rsid w:val="45F87414"/>
    <w:rsid w:val="460B8508"/>
    <w:rsid w:val="460C410B"/>
    <w:rsid w:val="46211596"/>
    <w:rsid w:val="463DC964"/>
    <w:rsid w:val="46405B4C"/>
    <w:rsid w:val="4649F6B6"/>
    <w:rsid w:val="464E54FE"/>
    <w:rsid w:val="46637DBC"/>
    <w:rsid w:val="4664123F"/>
    <w:rsid w:val="4682A059"/>
    <w:rsid w:val="4683A5D6"/>
    <w:rsid w:val="4693546F"/>
    <w:rsid w:val="469703E9"/>
    <w:rsid w:val="469FAB7B"/>
    <w:rsid w:val="46A54B3C"/>
    <w:rsid w:val="46B2D518"/>
    <w:rsid w:val="46C94D33"/>
    <w:rsid w:val="46CE1E1F"/>
    <w:rsid w:val="46D50BBC"/>
    <w:rsid w:val="46D8087B"/>
    <w:rsid w:val="4701EEF4"/>
    <w:rsid w:val="473CF473"/>
    <w:rsid w:val="473EE573"/>
    <w:rsid w:val="476C5C50"/>
    <w:rsid w:val="47737B78"/>
    <w:rsid w:val="477AF3FA"/>
    <w:rsid w:val="477DD3D8"/>
    <w:rsid w:val="47856A77"/>
    <w:rsid w:val="479A17E2"/>
    <w:rsid w:val="47A49E50"/>
    <w:rsid w:val="47B0CC88"/>
    <w:rsid w:val="47CEF061"/>
    <w:rsid w:val="47D4AAD7"/>
    <w:rsid w:val="47D9E32C"/>
    <w:rsid w:val="47E5704E"/>
    <w:rsid w:val="47F357AB"/>
    <w:rsid w:val="4839F22A"/>
    <w:rsid w:val="483A5E42"/>
    <w:rsid w:val="483AE49D"/>
    <w:rsid w:val="483D8EE7"/>
    <w:rsid w:val="4842501C"/>
    <w:rsid w:val="4849C0D9"/>
    <w:rsid w:val="4864C8DA"/>
    <w:rsid w:val="486912AB"/>
    <w:rsid w:val="4882E062"/>
    <w:rsid w:val="4889F58A"/>
    <w:rsid w:val="48976075"/>
    <w:rsid w:val="48BF7B10"/>
    <w:rsid w:val="4907A05D"/>
    <w:rsid w:val="490CF6DB"/>
    <w:rsid w:val="49274042"/>
    <w:rsid w:val="4946C6A6"/>
    <w:rsid w:val="4948D825"/>
    <w:rsid w:val="496D798E"/>
    <w:rsid w:val="49750FE6"/>
    <w:rsid w:val="497D1325"/>
    <w:rsid w:val="49855195"/>
    <w:rsid w:val="4991A33F"/>
    <w:rsid w:val="49A85949"/>
    <w:rsid w:val="49AEEA7F"/>
    <w:rsid w:val="49C37C6A"/>
    <w:rsid w:val="49DC3B71"/>
    <w:rsid w:val="49E04267"/>
    <w:rsid w:val="49FC2899"/>
    <w:rsid w:val="49FEA108"/>
    <w:rsid w:val="4A01BA83"/>
    <w:rsid w:val="4A141076"/>
    <w:rsid w:val="4A1E8A9B"/>
    <w:rsid w:val="4A2ACEB8"/>
    <w:rsid w:val="4A3B3C82"/>
    <w:rsid w:val="4A43C0E7"/>
    <w:rsid w:val="4A65013D"/>
    <w:rsid w:val="4A73996D"/>
    <w:rsid w:val="4A894814"/>
    <w:rsid w:val="4A907292"/>
    <w:rsid w:val="4AA25B9A"/>
    <w:rsid w:val="4AA381A9"/>
    <w:rsid w:val="4AA58C67"/>
    <w:rsid w:val="4AE2C8BF"/>
    <w:rsid w:val="4AF32F6D"/>
    <w:rsid w:val="4AF4834B"/>
    <w:rsid w:val="4B0273EF"/>
    <w:rsid w:val="4B08E5E3"/>
    <w:rsid w:val="4B0D6C03"/>
    <w:rsid w:val="4B18E09D"/>
    <w:rsid w:val="4B22BE56"/>
    <w:rsid w:val="4B3603D8"/>
    <w:rsid w:val="4B36F8D6"/>
    <w:rsid w:val="4B3ABC96"/>
    <w:rsid w:val="4B55E31E"/>
    <w:rsid w:val="4B587F7C"/>
    <w:rsid w:val="4B5F5F14"/>
    <w:rsid w:val="4B61D614"/>
    <w:rsid w:val="4B6D101E"/>
    <w:rsid w:val="4B6F5F6B"/>
    <w:rsid w:val="4B73E198"/>
    <w:rsid w:val="4B7C5FBB"/>
    <w:rsid w:val="4B87DC2B"/>
    <w:rsid w:val="4B8CD39E"/>
    <w:rsid w:val="4BA5AB57"/>
    <w:rsid w:val="4BBA3546"/>
    <w:rsid w:val="4BFD0F42"/>
    <w:rsid w:val="4C128BB7"/>
    <w:rsid w:val="4C17EC31"/>
    <w:rsid w:val="4C33C125"/>
    <w:rsid w:val="4C3C65F8"/>
    <w:rsid w:val="4C421199"/>
    <w:rsid w:val="4C426BFE"/>
    <w:rsid w:val="4C4ED63D"/>
    <w:rsid w:val="4C5E0B71"/>
    <w:rsid w:val="4C8FC57A"/>
    <w:rsid w:val="4C990B00"/>
    <w:rsid w:val="4CAB4624"/>
    <w:rsid w:val="4CAED93E"/>
    <w:rsid w:val="4CBC257A"/>
    <w:rsid w:val="4CBC6390"/>
    <w:rsid w:val="4CC81B1C"/>
    <w:rsid w:val="4CD79EFE"/>
    <w:rsid w:val="4CE04FCB"/>
    <w:rsid w:val="4CF1D613"/>
    <w:rsid w:val="4D0A683D"/>
    <w:rsid w:val="4D0D04BC"/>
    <w:rsid w:val="4D1C876F"/>
    <w:rsid w:val="4D1FBE59"/>
    <w:rsid w:val="4D3046E2"/>
    <w:rsid w:val="4D3136BA"/>
    <w:rsid w:val="4D45E6B3"/>
    <w:rsid w:val="4D59A78D"/>
    <w:rsid w:val="4D5CE488"/>
    <w:rsid w:val="4D5E7286"/>
    <w:rsid w:val="4D6550C5"/>
    <w:rsid w:val="4D75A75A"/>
    <w:rsid w:val="4D7DC77B"/>
    <w:rsid w:val="4D7F3118"/>
    <w:rsid w:val="4D8831D8"/>
    <w:rsid w:val="4D91AFEC"/>
    <w:rsid w:val="4D996D13"/>
    <w:rsid w:val="4DACB6A7"/>
    <w:rsid w:val="4DC34306"/>
    <w:rsid w:val="4DC9294C"/>
    <w:rsid w:val="4DD7BE57"/>
    <w:rsid w:val="4DDA48D7"/>
    <w:rsid w:val="4DE23314"/>
    <w:rsid w:val="4DF8CE27"/>
    <w:rsid w:val="4E1E6609"/>
    <w:rsid w:val="4E363BD1"/>
    <w:rsid w:val="4E9FF916"/>
    <w:rsid w:val="4EA78C7C"/>
    <w:rsid w:val="4EAB0C0D"/>
    <w:rsid w:val="4EAE334C"/>
    <w:rsid w:val="4EC423A1"/>
    <w:rsid w:val="4EC844DB"/>
    <w:rsid w:val="4EE88A5E"/>
    <w:rsid w:val="4EF760A3"/>
    <w:rsid w:val="4EF7CA0A"/>
    <w:rsid w:val="4F038666"/>
    <w:rsid w:val="4F075E88"/>
    <w:rsid w:val="4F19D383"/>
    <w:rsid w:val="4F1C46CF"/>
    <w:rsid w:val="4F223ED6"/>
    <w:rsid w:val="4F4A29D9"/>
    <w:rsid w:val="4F506A27"/>
    <w:rsid w:val="4F63032F"/>
    <w:rsid w:val="4F8EF29B"/>
    <w:rsid w:val="4FB099E9"/>
    <w:rsid w:val="4FDC69FA"/>
    <w:rsid w:val="4FF254CD"/>
    <w:rsid w:val="4FF6CD17"/>
    <w:rsid w:val="5003E189"/>
    <w:rsid w:val="5009A784"/>
    <w:rsid w:val="5030D197"/>
    <w:rsid w:val="503BE2C6"/>
    <w:rsid w:val="50574366"/>
    <w:rsid w:val="507343E1"/>
    <w:rsid w:val="5073558E"/>
    <w:rsid w:val="5075D297"/>
    <w:rsid w:val="507DDB35"/>
    <w:rsid w:val="50A49E37"/>
    <w:rsid w:val="50A53392"/>
    <w:rsid w:val="50B51481"/>
    <w:rsid w:val="50EBB1F6"/>
    <w:rsid w:val="50ECCB34"/>
    <w:rsid w:val="5111B432"/>
    <w:rsid w:val="511B30D6"/>
    <w:rsid w:val="511D2973"/>
    <w:rsid w:val="511D3838"/>
    <w:rsid w:val="512DD432"/>
    <w:rsid w:val="51375595"/>
    <w:rsid w:val="514B3364"/>
    <w:rsid w:val="515C2567"/>
    <w:rsid w:val="517BD660"/>
    <w:rsid w:val="5187E0BA"/>
    <w:rsid w:val="51C01D8C"/>
    <w:rsid w:val="51D58CE1"/>
    <w:rsid w:val="51E34D22"/>
    <w:rsid w:val="51F6B88F"/>
    <w:rsid w:val="5220C681"/>
    <w:rsid w:val="52427380"/>
    <w:rsid w:val="52913490"/>
    <w:rsid w:val="529383EA"/>
    <w:rsid w:val="52A93740"/>
    <w:rsid w:val="52A94FCC"/>
    <w:rsid w:val="52C9E45C"/>
    <w:rsid w:val="52E9BCE9"/>
    <w:rsid w:val="52F1EB7B"/>
    <w:rsid w:val="52F4948A"/>
    <w:rsid w:val="52FA11A2"/>
    <w:rsid w:val="5301B5C7"/>
    <w:rsid w:val="53130253"/>
    <w:rsid w:val="531FEF00"/>
    <w:rsid w:val="532BD9E4"/>
    <w:rsid w:val="5332AA4E"/>
    <w:rsid w:val="53411B14"/>
    <w:rsid w:val="5341B96E"/>
    <w:rsid w:val="5344F4DB"/>
    <w:rsid w:val="5347CBE1"/>
    <w:rsid w:val="534FA30E"/>
    <w:rsid w:val="535336E4"/>
    <w:rsid w:val="535990FD"/>
    <w:rsid w:val="535A0D2E"/>
    <w:rsid w:val="535EB760"/>
    <w:rsid w:val="53730175"/>
    <w:rsid w:val="537C01D0"/>
    <w:rsid w:val="538D4D50"/>
    <w:rsid w:val="5396622A"/>
    <w:rsid w:val="539D3990"/>
    <w:rsid w:val="53AED677"/>
    <w:rsid w:val="53C76B35"/>
    <w:rsid w:val="53D102C1"/>
    <w:rsid w:val="53D59A48"/>
    <w:rsid w:val="53DB38AA"/>
    <w:rsid w:val="53DC5C37"/>
    <w:rsid w:val="53FFE48D"/>
    <w:rsid w:val="54024C9A"/>
    <w:rsid w:val="540F7F2D"/>
    <w:rsid w:val="54353DEC"/>
    <w:rsid w:val="5460EC6E"/>
    <w:rsid w:val="5469B0F3"/>
    <w:rsid w:val="5471956D"/>
    <w:rsid w:val="548F203C"/>
    <w:rsid w:val="549B2A12"/>
    <w:rsid w:val="54AB385A"/>
    <w:rsid w:val="54C6AC59"/>
    <w:rsid w:val="54C96281"/>
    <w:rsid w:val="54DF4366"/>
    <w:rsid w:val="54ED58A1"/>
    <w:rsid w:val="54EF2A62"/>
    <w:rsid w:val="556C646B"/>
    <w:rsid w:val="5577F172"/>
    <w:rsid w:val="5584E819"/>
    <w:rsid w:val="5597EC8B"/>
    <w:rsid w:val="559D0586"/>
    <w:rsid w:val="55B460B5"/>
    <w:rsid w:val="55B92401"/>
    <w:rsid w:val="55D246E0"/>
    <w:rsid w:val="55DFF50C"/>
    <w:rsid w:val="55E87A41"/>
    <w:rsid w:val="55F3993A"/>
    <w:rsid w:val="55F42F00"/>
    <w:rsid w:val="560AB5F0"/>
    <w:rsid w:val="560D89B3"/>
    <w:rsid w:val="5616A172"/>
    <w:rsid w:val="561FC3D5"/>
    <w:rsid w:val="562A7FF7"/>
    <w:rsid w:val="562E281C"/>
    <w:rsid w:val="56445FDF"/>
    <w:rsid w:val="56473F98"/>
    <w:rsid w:val="564966ED"/>
    <w:rsid w:val="5657D475"/>
    <w:rsid w:val="56756B03"/>
    <w:rsid w:val="567F3D64"/>
    <w:rsid w:val="56D6665A"/>
    <w:rsid w:val="56FC01CC"/>
    <w:rsid w:val="571D9527"/>
    <w:rsid w:val="57382B66"/>
    <w:rsid w:val="5739080A"/>
    <w:rsid w:val="57428434"/>
    <w:rsid w:val="575DF6CE"/>
    <w:rsid w:val="5761AD8A"/>
    <w:rsid w:val="5775509C"/>
    <w:rsid w:val="577DA935"/>
    <w:rsid w:val="5797051E"/>
    <w:rsid w:val="57979A46"/>
    <w:rsid w:val="57989BEC"/>
    <w:rsid w:val="57A1541B"/>
    <w:rsid w:val="57A171BD"/>
    <w:rsid w:val="57A8DB77"/>
    <w:rsid w:val="57FCFE88"/>
    <w:rsid w:val="57FDD4BA"/>
    <w:rsid w:val="58005D28"/>
    <w:rsid w:val="5801E5ED"/>
    <w:rsid w:val="5814C722"/>
    <w:rsid w:val="5829DA8D"/>
    <w:rsid w:val="58389812"/>
    <w:rsid w:val="583FE89D"/>
    <w:rsid w:val="5856FABF"/>
    <w:rsid w:val="5868F53B"/>
    <w:rsid w:val="58813508"/>
    <w:rsid w:val="58AC4D40"/>
    <w:rsid w:val="58B34474"/>
    <w:rsid w:val="58BB7F92"/>
    <w:rsid w:val="58C2652F"/>
    <w:rsid w:val="58CB3A4B"/>
    <w:rsid w:val="58E02680"/>
    <w:rsid w:val="58E2787D"/>
    <w:rsid w:val="58E42C71"/>
    <w:rsid w:val="58F8F666"/>
    <w:rsid w:val="58FF8767"/>
    <w:rsid w:val="5906A9BA"/>
    <w:rsid w:val="5916F064"/>
    <w:rsid w:val="591DE793"/>
    <w:rsid w:val="59274541"/>
    <w:rsid w:val="59324EDF"/>
    <w:rsid w:val="593BC023"/>
    <w:rsid w:val="59437444"/>
    <w:rsid w:val="595CFCDF"/>
    <w:rsid w:val="59808E44"/>
    <w:rsid w:val="59A3D051"/>
    <w:rsid w:val="59B1EDB1"/>
    <w:rsid w:val="59B97392"/>
    <w:rsid w:val="59E3C631"/>
    <w:rsid w:val="59F64AA1"/>
    <w:rsid w:val="59F759AB"/>
    <w:rsid w:val="5A0FA10E"/>
    <w:rsid w:val="5A271601"/>
    <w:rsid w:val="5A29C560"/>
    <w:rsid w:val="5A408227"/>
    <w:rsid w:val="5A43FF57"/>
    <w:rsid w:val="5A49967C"/>
    <w:rsid w:val="5A5B1470"/>
    <w:rsid w:val="5A90E9F3"/>
    <w:rsid w:val="5AA5363A"/>
    <w:rsid w:val="5AB85907"/>
    <w:rsid w:val="5AB85D21"/>
    <w:rsid w:val="5AC2A7BA"/>
    <w:rsid w:val="5AE44FFF"/>
    <w:rsid w:val="5AFC682C"/>
    <w:rsid w:val="5B0B094A"/>
    <w:rsid w:val="5B211416"/>
    <w:rsid w:val="5B226F31"/>
    <w:rsid w:val="5B36A94F"/>
    <w:rsid w:val="5B48B0D2"/>
    <w:rsid w:val="5B4C10D4"/>
    <w:rsid w:val="5B5AA7BA"/>
    <w:rsid w:val="5B5B3762"/>
    <w:rsid w:val="5B6A3779"/>
    <w:rsid w:val="5B6DEA63"/>
    <w:rsid w:val="5B8A8FCE"/>
    <w:rsid w:val="5BB3D249"/>
    <w:rsid w:val="5BB4A00D"/>
    <w:rsid w:val="5BC0C0FC"/>
    <w:rsid w:val="5BC70AEE"/>
    <w:rsid w:val="5BC9862B"/>
    <w:rsid w:val="5BCB2247"/>
    <w:rsid w:val="5BD74E43"/>
    <w:rsid w:val="5BE202D6"/>
    <w:rsid w:val="5C066D97"/>
    <w:rsid w:val="5C15CC32"/>
    <w:rsid w:val="5C2CE288"/>
    <w:rsid w:val="5C2EF96B"/>
    <w:rsid w:val="5C38AF94"/>
    <w:rsid w:val="5C3C734A"/>
    <w:rsid w:val="5C54A898"/>
    <w:rsid w:val="5C6E2038"/>
    <w:rsid w:val="5C71F094"/>
    <w:rsid w:val="5C79FD48"/>
    <w:rsid w:val="5C83F4EA"/>
    <w:rsid w:val="5CA49FAF"/>
    <w:rsid w:val="5CBC25BC"/>
    <w:rsid w:val="5CD3C60C"/>
    <w:rsid w:val="5CD83D58"/>
    <w:rsid w:val="5CFAF8A2"/>
    <w:rsid w:val="5D13C7CD"/>
    <w:rsid w:val="5D1DC4C6"/>
    <w:rsid w:val="5D1DCB92"/>
    <w:rsid w:val="5D22AD26"/>
    <w:rsid w:val="5D24517D"/>
    <w:rsid w:val="5D321D94"/>
    <w:rsid w:val="5D413CB2"/>
    <w:rsid w:val="5D456DE9"/>
    <w:rsid w:val="5D48170E"/>
    <w:rsid w:val="5D613404"/>
    <w:rsid w:val="5D7A3027"/>
    <w:rsid w:val="5D802FEC"/>
    <w:rsid w:val="5D8F5C8C"/>
    <w:rsid w:val="5D9AEE4B"/>
    <w:rsid w:val="5DA3FD06"/>
    <w:rsid w:val="5DB1BD99"/>
    <w:rsid w:val="5DCCD249"/>
    <w:rsid w:val="5DD51C01"/>
    <w:rsid w:val="5DF92EC6"/>
    <w:rsid w:val="5DF96E47"/>
    <w:rsid w:val="5E29177C"/>
    <w:rsid w:val="5E2AC955"/>
    <w:rsid w:val="5E4907CD"/>
    <w:rsid w:val="5E5180B3"/>
    <w:rsid w:val="5E53E151"/>
    <w:rsid w:val="5E576D4D"/>
    <w:rsid w:val="5E5AE7A6"/>
    <w:rsid w:val="5E722A69"/>
    <w:rsid w:val="5EA3DF5E"/>
    <w:rsid w:val="5EA58D56"/>
    <w:rsid w:val="5EBC0D2C"/>
    <w:rsid w:val="5ECDEEF4"/>
    <w:rsid w:val="5ECEA3D9"/>
    <w:rsid w:val="5ED02D3A"/>
    <w:rsid w:val="5EE783C1"/>
    <w:rsid w:val="5EED15EE"/>
    <w:rsid w:val="5F1B3E9B"/>
    <w:rsid w:val="5F47EDC1"/>
    <w:rsid w:val="5F4AE621"/>
    <w:rsid w:val="5F7A128B"/>
    <w:rsid w:val="5F80E4AD"/>
    <w:rsid w:val="5F84572D"/>
    <w:rsid w:val="5F9A020B"/>
    <w:rsid w:val="5FC52D26"/>
    <w:rsid w:val="5FE79A01"/>
    <w:rsid w:val="5FEA74D3"/>
    <w:rsid w:val="5FEAB1D3"/>
    <w:rsid w:val="5FFBCA99"/>
    <w:rsid w:val="600B2DCD"/>
    <w:rsid w:val="60145C1B"/>
    <w:rsid w:val="602C60E2"/>
    <w:rsid w:val="602DACF5"/>
    <w:rsid w:val="603245CD"/>
    <w:rsid w:val="60325296"/>
    <w:rsid w:val="60360DE2"/>
    <w:rsid w:val="6049930C"/>
    <w:rsid w:val="6051D97F"/>
    <w:rsid w:val="605FB9ED"/>
    <w:rsid w:val="60667CB8"/>
    <w:rsid w:val="60705DDC"/>
    <w:rsid w:val="607C7E36"/>
    <w:rsid w:val="608E8E7D"/>
    <w:rsid w:val="60B27B45"/>
    <w:rsid w:val="60BB7626"/>
    <w:rsid w:val="60CD3027"/>
    <w:rsid w:val="60EB727D"/>
    <w:rsid w:val="60F0CF4E"/>
    <w:rsid w:val="60FA7D0D"/>
    <w:rsid w:val="6116DD77"/>
    <w:rsid w:val="612A132B"/>
    <w:rsid w:val="6148D791"/>
    <w:rsid w:val="615075EF"/>
    <w:rsid w:val="615C91C3"/>
    <w:rsid w:val="61770971"/>
    <w:rsid w:val="617AA996"/>
    <w:rsid w:val="618FB003"/>
    <w:rsid w:val="6196B167"/>
    <w:rsid w:val="61BA1F5F"/>
    <w:rsid w:val="61C55E96"/>
    <w:rsid w:val="61D577F5"/>
    <w:rsid w:val="61E6F1C1"/>
    <w:rsid w:val="61FCFB81"/>
    <w:rsid w:val="6202DB40"/>
    <w:rsid w:val="621391F8"/>
    <w:rsid w:val="62200417"/>
    <w:rsid w:val="62302B02"/>
    <w:rsid w:val="6230D2EC"/>
    <w:rsid w:val="623ADD1B"/>
    <w:rsid w:val="625CC5C7"/>
    <w:rsid w:val="62613004"/>
    <w:rsid w:val="626D1522"/>
    <w:rsid w:val="62891B16"/>
    <w:rsid w:val="62980489"/>
    <w:rsid w:val="629ACA68"/>
    <w:rsid w:val="629E577A"/>
    <w:rsid w:val="62BD9CB1"/>
    <w:rsid w:val="62CE2289"/>
    <w:rsid w:val="62E22D96"/>
    <w:rsid w:val="62E3FBB6"/>
    <w:rsid w:val="62F1A94F"/>
    <w:rsid w:val="62F3EB78"/>
    <w:rsid w:val="630DD7AE"/>
    <w:rsid w:val="631230F6"/>
    <w:rsid w:val="631CF046"/>
    <w:rsid w:val="633AF14D"/>
    <w:rsid w:val="6365541A"/>
    <w:rsid w:val="6372529B"/>
    <w:rsid w:val="637B4470"/>
    <w:rsid w:val="637D4EA0"/>
    <w:rsid w:val="639786D4"/>
    <w:rsid w:val="63986266"/>
    <w:rsid w:val="63A99F32"/>
    <w:rsid w:val="63AAE058"/>
    <w:rsid w:val="63DFBB88"/>
    <w:rsid w:val="640872B2"/>
    <w:rsid w:val="64146F54"/>
    <w:rsid w:val="6421C7CE"/>
    <w:rsid w:val="6445D92A"/>
    <w:rsid w:val="6450357B"/>
    <w:rsid w:val="64601468"/>
    <w:rsid w:val="646A1881"/>
    <w:rsid w:val="649BABBD"/>
    <w:rsid w:val="64C3B8E7"/>
    <w:rsid w:val="64C9767D"/>
    <w:rsid w:val="64D06CAF"/>
    <w:rsid w:val="64D9EAB4"/>
    <w:rsid w:val="6500E88D"/>
    <w:rsid w:val="6506C383"/>
    <w:rsid w:val="650888D7"/>
    <w:rsid w:val="6513827C"/>
    <w:rsid w:val="652BBB62"/>
    <w:rsid w:val="65372CFA"/>
    <w:rsid w:val="6541CCC2"/>
    <w:rsid w:val="65424C4E"/>
    <w:rsid w:val="6545A215"/>
    <w:rsid w:val="656E1264"/>
    <w:rsid w:val="657DF19A"/>
    <w:rsid w:val="658E136E"/>
    <w:rsid w:val="65906B9D"/>
    <w:rsid w:val="6591B45C"/>
    <w:rsid w:val="659EDB40"/>
    <w:rsid w:val="65B28033"/>
    <w:rsid w:val="65B7D849"/>
    <w:rsid w:val="65BAFBFA"/>
    <w:rsid w:val="65BECB81"/>
    <w:rsid w:val="65D055B2"/>
    <w:rsid w:val="65D36F23"/>
    <w:rsid w:val="65DA1F3F"/>
    <w:rsid w:val="65DDD9F9"/>
    <w:rsid w:val="65E01AD0"/>
    <w:rsid w:val="65E86DAD"/>
    <w:rsid w:val="661EB2C5"/>
    <w:rsid w:val="662851CC"/>
    <w:rsid w:val="662D964B"/>
    <w:rsid w:val="6644AE08"/>
    <w:rsid w:val="665EBF36"/>
    <w:rsid w:val="666556AB"/>
    <w:rsid w:val="66838B89"/>
    <w:rsid w:val="668FCA6C"/>
    <w:rsid w:val="66960C83"/>
    <w:rsid w:val="669D7333"/>
    <w:rsid w:val="66B32637"/>
    <w:rsid w:val="66BDFCA4"/>
    <w:rsid w:val="66C57EB8"/>
    <w:rsid w:val="66D5CAC8"/>
    <w:rsid w:val="66DE5505"/>
    <w:rsid w:val="66E2405C"/>
    <w:rsid w:val="66E2E70D"/>
    <w:rsid w:val="66FC6C38"/>
    <w:rsid w:val="6712D924"/>
    <w:rsid w:val="671D6B9D"/>
    <w:rsid w:val="671E5F97"/>
    <w:rsid w:val="673A3124"/>
    <w:rsid w:val="675A1204"/>
    <w:rsid w:val="6761E32F"/>
    <w:rsid w:val="677CAC7B"/>
    <w:rsid w:val="679D7D2B"/>
    <w:rsid w:val="679FC955"/>
    <w:rsid w:val="67B6B6F3"/>
    <w:rsid w:val="67EAF6FE"/>
    <w:rsid w:val="680105F2"/>
    <w:rsid w:val="68012DCF"/>
    <w:rsid w:val="6804EBA2"/>
    <w:rsid w:val="6814D97F"/>
    <w:rsid w:val="683DF557"/>
    <w:rsid w:val="68457FC0"/>
    <w:rsid w:val="685B9614"/>
    <w:rsid w:val="68623A54"/>
    <w:rsid w:val="6870AD6A"/>
    <w:rsid w:val="6873079D"/>
    <w:rsid w:val="68A381E6"/>
    <w:rsid w:val="68A9A24D"/>
    <w:rsid w:val="68C04AAF"/>
    <w:rsid w:val="68C57F43"/>
    <w:rsid w:val="68C84C5B"/>
    <w:rsid w:val="68D20994"/>
    <w:rsid w:val="68D8CB21"/>
    <w:rsid w:val="68F174EF"/>
    <w:rsid w:val="68FDF9DF"/>
    <w:rsid w:val="68FFBDDF"/>
    <w:rsid w:val="690EA045"/>
    <w:rsid w:val="693CED86"/>
    <w:rsid w:val="694074F6"/>
    <w:rsid w:val="69676493"/>
    <w:rsid w:val="696DD6E2"/>
    <w:rsid w:val="69915E7B"/>
    <w:rsid w:val="69A04EB5"/>
    <w:rsid w:val="69D074A4"/>
    <w:rsid w:val="69F670D7"/>
    <w:rsid w:val="69F740C0"/>
    <w:rsid w:val="6A09C57F"/>
    <w:rsid w:val="6A2556F7"/>
    <w:rsid w:val="6A38CF9B"/>
    <w:rsid w:val="6A3DF143"/>
    <w:rsid w:val="6A466E96"/>
    <w:rsid w:val="6A4BE9C9"/>
    <w:rsid w:val="6A527C42"/>
    <w:rsid w:val="6A54968B"/>
    <w:rsid w:val="6A5CF45A"/>
    <w:rsid w:val="6A720828"/>
    <w:rsid w:val="6A8AFE7B"/>
    <w:rsid w:val="6A8FF6D0"/>
    <w:rsid w:val="6A92C486"/>
    <w:rsid w:val="6A933C97"/>
    <w:rsid w:val="6AA08F38"/>
    <w:rsid w:val="6AA0C4A4"/>
    <w:rsid w:val="6ABB199C"/>
    <w:rsid w:val="6AC78ADF"/>
    <w:rsid w:val="6AE13779"/>
    <w:rsid w:val="6B12F822"/>
    <w:rsid w:val="6B170287"/>
    <w:rsid w:val="6B31D6DF"/>
    <w:rsid w:val="6B331E81"/>
    <w:rsid w:val="6B369AA2"/>
    <w:rsid w:val="6B3AF5D6"/>
    <w:rsid w:val="6B3F753C"/>
    <w:rsid w:val="6B464F87"/>
    <w:rsid w:val="6B56EA11"/>
    <w:rsid w:val="6B67B7B5"/>
    <w:rsid w:val="6B802535"/>
    <w:rsid w:val="6B853109"/>
    <w:rsid w:val="6B934624"/>
    <w:rsid w:val="6BBBD195"/>
    <w:rsid w:val="6BCC8860"/>
    <w:rsid w:val="6BE8086A"/>
    <w:rsid w:val="6BEC2705"/>
    <w:rsid w:val="6BF7B408"/>
    <w:rsid w:val="6BF7BF97"/>
    <w:rsid w:val="6C153945"/>
    <w:rsid w:val="6C299D71"/>
    <w:rsid w:val="6C3A026A"/>
    <w:rsid w:val="6C51240B"/>
    <w:rsid w:val="6C783A0E"/>
    <w:rsid w:val="6C80A74C"/>
    <w:rsid w:val="6C87E433"/>
    <w:rsid w:val="6CA06684"/>
    <w:rsid w:val="6CA8357C"/>
    <w:rsid w:val="6CB47342"/>
    <w:rsid w:val="6CBF41A0"/>
    <w:rsid w:val="6CBFF91C"/>
    <w:rsid w:val="6CD63EC7"/>
    <w:rsid w:val="6CDD1D35"/>
    <w:rsid w:val="6CE211A1"/>
    <w:rsid w:val="6CE540AF"/>
    <w:rsid w:val="6CFAD7C1"/>
    <w:rsid w:val="6D01F955"/>
    <w:rsid w:val="6D05B3F2"/>
    <w:rsid w:val="6D120EB4"/>
    <w:rsid w:val="6D1690DA"/>
    <w:rsid w:val="6D1D4685"/>
    <w:rsid w:val="6D22D5CE"/>
    <w:rsid w:val="6D242690"/>
    <w:rsid w:val="6D3391F5"/>
    <w:rsid w:val="6D3A095A"/>
    <w:rsid w:val="6D3D9733"/>
    <w:rsid w:val="6D9584AE"/>
    <w:rsid w:val="6DA5B530"/>
    <w:rsid w:val="6DC4170A"/>
    <w:rsid w:val="6DD05C4E"/>
    <w:rsid w:val="6DD91891"/>
    <w:rsid w:val="6DE1BCF6"/>
    <w:rsid w:val="6DE8EB62"/>
    <w:rsid w:val="6E055FEC"/>
    <w:rsid w:val="6E07B56C"/>
    <w:rsid w:val="6E0BC9D9"/>
    <w:rsid w:val="6E1D430C"/>
    <w:rsid w:val="6E366670"/>
    <w:rsid w:val="6E47B482"/>
    <w:rsid w:val="6E501DB4"/>
    <w:rsid w:val="6E56884F"/>
    <w:rsid w:val="6E69057B"/>
    <w:rsid w:val="6E7104B0"/>
    <w:rsid w:val="6E76314F"/>
    <w:rsid w:val="6E889AD4"/>
    <w:rsid w:val="6E93C0F5"/>
    <w:rsid w:val="6E97FC8A"/>
    <w:rsid w:val="6ED6479B"/>
    <w:rsid w:val="6EECBABE"/>
    <w:rsid w:val="6EED89DE"/>
    <w:rsid w:val="6EEE3142"/>
    <w:rsid w:val="6EFF32C4"/>
    <w:rsid w:val="6F3483AC"/>
    <w:rsid w:val="6F42D62B"/>
    <w:rsid w:val="6F433B33"/>
    <w:rsid w:val="6F4F848F"/>
    <w:rsid w:val="6F549548"/>
    <w:rsid w:val="6F6898FA"/>
    <w:rsid w:val="6F75FD58"/>
    <w:rsid w:val="6F76100D"/>
    <w:rsid w:val="6F9A653E"/>
    <w:rsid w:val="6F9A666C"/>
    <w:rsid w:val="6FCA0052"/>
    <w:rsid w:val="6FD9D5AB"/>
    <w:rsid w:val="6FE920EA"/>
    <w:rsid w:val="6FECC2D1"/>
    <w:rsid w:val="6FFEA001"/>
    <w:rsid w:val="700230C1"/>
    <w:rsid w:val="701E2DD9"/>
    <w:rsid w:val="70480B46"/>
    <w:rsid w:val="705F1CD1"/>
    <w:rsid w:val="706207E4"/>
    <w:rsid w:val="7062459B"/>
    <w:rsid w:val="70667F52"/>
    <w:rsid w:val="706D0E19"/>
    <w:rsid w:val="707FD32B"/>
    <w:rsid w:val="7085A400"/>
    <w:rsid w:val="7092A85C"/>
    <w:rsid w:val="70A2D446"/>
    <w:rsid w:val="70A4D7AD"/>
    <w:rsid w:val="70BD9C70"/>
    <w:rsid w:val="70CF94D2"/>
    <w:rsid w:val="70DCC9A7"/>
    <w:rsid w:val="70E322D9"/>
    <w:rsid w:val="70EC723F"/>
    <w:rsid w:val="70FB1A83"/>
    <w:rsid w:val="710251EC"/>
    <w:rsid w:val="7113BFE6"/>
    <w:rsid w:val="7127A5E1"/>
    <w:rsid w:val="713619CC"/>
    <w:rsid w:val="71786F5D"/>
    <w:rsid w:val="71848EBF"/>
    <w:rsid w:val="71849D8D"/>
    <w:rsid w:val="719BAC9E"/>
    <w:rsid w:val="71AA5645"/>
    <w:rsid w:val="71AF90C5"/>
    <w:rsid w:val="71C5EB03"/>
    <w:rsid w:val="71CAE32B"/>
    <w:rsid w:val="71D062FB"/>
    <w:rsid w:val="71D7459F"/>
    <w:rsid w:val="71DD1343"/>
    <w:rsid w:val="71DF8437"/>
    <w:rsid w:val="71E99370"/>
    <w:rsid w:val="71F4A254"/>
    <w:rsid w:val="721975B9"/>
    <w:rsid w:val="721CDEE2"/>
    <w:rsid w:val="7229B923"/>
    <w:rsid w:val="7238BEF6"/>
    <w:rsid w:val="72457B68"/>
    <w:rsid w:val="725BAADB"/>
    <w:rsid w:val="728F4FD0"/>
    <w:rsid w:val="728FEFA5"/>
    <w:rsid w:val="729F034C"/>
    <w:rsid w:val="72A79097"/>
    <w:rsid w:val="72AAA149"/>
    <w:rsid w:val="72CE6F45"/>
    <w:rsid w:val="72D1C5E0"/>
    <w:rsid w:val="7311EA53"/>
    <w:rsid w:val="731D040B"/>
    <w:rsid w:val="731DE960"/>
    <w:rsid w:val="73305C3A"/>
    <w:rsid w:val="733C25A7"/>
    <w:rsid w:val="7343CE53"/>
    <w:rsid w:val="734584AD"/>
    <w:rsid w:val="734CA428"/>
    <w:rsid w:val="7369BF95"/>
    <w:rsid w:val="739290A9"/>
    <w:rsid w:val="739CD1CB"/>
    <w:rsid w:val="73B1C76F"/>
    <w:rsid w:val="73EFA27B"/>
    <w:rsid w:val="7423F7E0"/>
    <w:rsid w:val="7446D016"/>
    <w:rsid w:val="744E924E"/>
    <w:rsid w:val="746B34C7"/>
    <w:rsid w:val="747AC5B8"/>
    <w:rsid w:val="7493849E"/>
    <w:rsid w:val="749D8692"/>
    <w:rsid w:val="74A265B0"/>
    <w:rsid w:val="74AC8364"/>
    <w:rsid w:val="74C9A460"/>
    <w:rsid w:val="74F3ED08"/>
    <w:rsid w:val="74FC762C"/>
    <w:rsid w:val="75001955"/>
    <w:rsid w:val="750177D9"/>
    <w:rsid w:val="75177708"/>
    <w:rsid w:val="75199235"/>
    <w:rsid w:val="75204C20"/>
    <w:rsid w:val="75272D2D"/>
    <w:rsid w:val="75352A4C"/>
    <w:rsid w:val="75449C65"/>
    <w:rsid w:val="755540DB"/>
    <w:rsid w:val="755C78D1"/>
    <w:rsid w:val="755F32F9"/>
    <w:rsid w:val="756761AD"/>
    <w:rsid w:val="757E81ED"/>
    <w:rsid w:val="758942F4"/>
    <w:rsid w:val="75925FAA"/>
    <w:rsid w:val="75A50969"/>
    <w:rsid w:val="75C79E74"/>
    <w:rsid w:val="75CD2704"/>
    <w:rsid w:val="75D1E34E"/>
    <w:rsid w:val="75D50591"/>
    <w:rsid w:val="75FFB383"/>
    <w:rsid w:val="760D2037"/>
    <w:rsid w:val="76181CE4"/>
    <w:rsid w:val="761C0DED"/>
    <w:rsid w:val="7620FAD9"/>
    <w:rsid w:val="76232C4A"/>
    <w:rsid w:val="762AFDE3"/>
    <w:rsid w:val="763E0E40"/>
    <w:rsid w:val="763EB525"/>
    <w:rsid w:val="765DF1D4"/>
    <w:rsid w:val="7662C027"/>
    <w:rsid w:val="766C780E"/>
    <w:rsid w:val="766CDC3C"/>
    <w:rsid w:val="76801452"/>
    <w:rsid w:val="768773F0"/>
    <w:rsid w:val="769B7728"/>
    <w:rsid w:val="769F6D18"/>
    <w:rsid w:val="76A28485"/>
    <w:rsid w:val="76A8E620"/>
    <w:rsid w:val="76BB4908"/>
    <w:rsid w:val="76BB8D10"/>
    <w:rsid w:val="76C520C8"/>
    <w:rsid w:val="76CEB909"/>
    <w:rsid w:val="76EE76D6"/>
    <w:rsid w:val="76FB6541"/>
    <w:rsid w:val="77122FA2"/>
    <w:rsid w:val="771BCD74"/>
    <w:rsid w:val="771D4F91"/>
    <w:rsid w:val="7747E22D"/>
    <w:rsid w:val="77615B13"/>
    <w:rsid w:val="7762520C"/>
    <w:rsid w:val="777BE2B3"/>
    <w:rsid w:val="777D2A4F"/>
    <w:rsid w:val="778C8FF2"/>
    <w:rsid w:val="77B915B2"/>
    <w:rsid w:val="77BA23B0"/>
    <w:rsid w:val="77C32623"/>
    <w:rsid w:val="77C748A8"/>
    <w:rsid w:val="77C92F89"/>
    <w:rsid w:val="77C9D221"/>
    <w:rsid w:val="78097F17"/>
    <w:rsid w:val="780E258C"/>
    <w:rsid w:val="781B9707"/>
    <w:rsid w:val="783A5E07"/>
    <w:rsid w:val="7841AE4F"/>
    <w:rsid w:val="7873C72E"/>
    <w:rsid w:val="787F129D"/>
    <w:rsid w:val="788BD291"/>
    <w:rsid w:val="7892DC06"/>
    <w:rsid w:val="78959473"/>
    <w:rsid w:val="789687E4"/>
    <w:rsid w:val="78B0A231"/>
    <w:rsid w:val="78BAAD87"/>
    <w:rsid w:val="78BEB296"/>
    <w:rsid w:val="78CA1CA0"/>
    <w:rsid w:val="78D52A0E"/>
    <w:rsid w:val="78D99D01"/>
    <w:rsid w:val="78DD91CF"/>
    <w:rsid w:val="78F33D9E"/>
    <w:rsid w:val="78F5C6F9"/>
    <w:rsid w:val="78FB18FA"/>
    <w:rsid w:val="7900B9E0"/>
    <w:rsid w:val="79037287"/>
    <w:rsid w:val="7905EE6F"/>
    <w:rsid w:val="7913163D"/>
    <w:rsid w:val="7921FB43"/>
    <w:rsid w:val="792DECF3"/>
    <w:rsid w:val="7930554D"/>
    <w:rsid w:val="7936FAE9"/>
    <w:rsid w:val="793814F6"/>
    <w:rsid w:val="793992AC"/>
    <w:rsid w:val="794BC2AC"/>
    <w:rsid w:val="79584857"/>
    <w:rsid w:val="79659C9F"/>
    <w:rsid w:val="796AC4B6"/>
    <w:rsid w:val="796ACF61"/>
    <w:rsid w:val="7972DFA7"/>
    <w:rsid w:val="797BB6DF"/>
    <w:rsid w:val="798FD101"/>
    <w:rsid w:val="7992DD87"/>
    <w:rsid w:val="799F722F"/>
    <w:rsid w:val="79A08DA8"/>
    <w:rsid w:val="79A33272"/>
    <w:rsid w:val="79AD6053"/>
    <w:rsid w:val="79D53084"/>
    <w:rsid w:val="79F32BFB"/>
    <w:rsid w:val="7A39DAFC"/>
    <w:rsid w:val="7A46A51D"/>
    <w:rsid w:val="7A50AA15"/>
    <w:rsid w:val="7A5509EF"/>
    <w:rsid w:val="7A58779A"/>
    <w:rsid w:val="7A6BCDDC"/>
    <w:rsid w:val="7A82FF9C"/>
    <w:rsid w:val="7A8C15E1"/>
    <w:rsid w:val="7AA4826C"/>
    <w:rsid w:val="7AB14B29"/>
    <w:rsid w:val="7AD0162E"/>
    <w:rsid w:val="7AF6FBC8"/>
    <w:rsid w:val="7B11A236"/>
    <w:rsid w:val="7B12B4A6"/>
    <w:rsid w:val="7B38280A"/>
    <w:rsid w:val="7B3C918A"/>
    <w:rsid w:val="7B47FF5D"/>
    <w:rsid w:val="7B7BD397"/>
    <w:rsid w:val="7B858324"/>
    <w:rsid w:val="7B967BF1"/>
    <w:rsid w:val="7BA2E37E"/>
    <w:rsid w:val="7BA72C3A"/>
    <w:rsid w:val="7BAAB44F"/>
    <w:rsid w:val="7BBABD2D"/>
    <w:rsid w:val="7BD4F7C6"/>
    <w:rsid w:val="7BD95664"/>
    <w:rsid w:val="7BE6F231"/>
    <w:rsid w:val="7BF531BA"/>
    <w:rsid w:val="7BF61F37"/>
    <w:rsid w:val="7C05825B"/>
    <w:rsid w:val="7C16D2AC"/>
    <w:rsid w:val="7C2C67B7"/>
    <w:rsid w:val="7C2EB9BB"/>
    <w:rsid w:val="7C31495F"/>
    <w:rsid w:val="7C3F7320"/>
    <w:rsid w:val="7C429F81"/>
    <w:rsid w:val="7C62BE66"/>
    <w:rsid w:val="7C7DCBDA"/>
    <w:rsid w:val="7C817F60"/>
    <w:rsid w:val="7C852DF5"/>
    <w:rsid w:val="7C8BA1C1"/>
    <w:rsid w:val="7C954553"/>
    <w:rsid w:val="7C95F1AF"/>
    <w:rsid w:val="7C9FEC4C"/>
    <w:rsid w:val="7CA35BB6"/>
    <w:rsid w:val="7CBB8931"/>
    <w:rsid w:val="7CE319C8"/>
    <w:rsid w:val="7CF296B7"/>
    <w:rsid w:val="7CFCB601"/>
    <w:rsid w:val="7D00722E"/>
    <w:rsid w:val="7D0991C1"/>
    <w:rsid w:val="7D3F2F5F"/>
    <w:rsid w:val="7D45C5C0"/>
    <w:rsid w:val="7D4F4AB8"/>
    <w:rsid w:val="7D688E6E"/>
    <w:rsid w:val="7D7D3F09"/>
    <w:rsid w:val="7D805C80"/>
    <w:rsid w:val="7D9C4070"/>
    <w:rsid w:val="7DA13585"/>
    <w:rsid w:val="7DA1DED8"/>
    <w:rsid w:val="7DAF93DB"/>
    <w:rsid w:val="7DD0D751"/>
    <w:rsid w:val="7DF77E5E"/>
    <w:rsid w:val="7E010DFA"/>
    <w:rsid w:val="7E17FBC8"/>
    <w:rsid w:val="7E2C44D4"/>
    <w:rsid w:val="7E879C5D"/>
    <w:rsid w:val="7E933B29"/>
    <w:rsid w:val="7E9A8532"/>
    <w:rsid w:val="7E9D7EAE"/>
    <w:rsid w:val="7EC23792"/>
    <w:rsid w:val="7ED57A9E"/>
    <w:rsid w:val="7EDDB431"/>
    <w:rsid w:val="7F0AA4A2"/>
    <w:rsid w:val="7F0E607D"/>
    <w:rsid w:val="7F1E04FE"/>
    <w:rsid w:val="7F2C68AC"/>
    <w:rsid w:val="7F3765DD"/>
    <w:rsid w:val="7F44810F"/>
    <w:rsid w:val="7F5B88F3"/>
    <w:rsid w:val="7F60368C"/>
    <w:rsid w:val="7F8244C4"/>
    <w:rsid w:val="7F8CA63A"/>
    <w:rsid w:val="7F91818F"/>
    <w:rsid w:val="7F99639F"/>
    <w:rsid w:val="7FC02A67"/>
    <w:rsid w:val="7FC54B6A"/>
    <w:rsid w:val="7FC7B9A8"/>
    <w:rsid w:val="7FCE7161"/>
    <w:rsid w:val="7FE127D0"/>
    <w:rsid w:val="7FF77471"/>
    <w:rsid w:val="7FFB389C"/>
    <w:rsid w:val="7FFCA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7E608"/>
  <w15:chartTrackingRefBased/>
  <w15:docId w15:val="{0B1B25C3-15A3-4B3A-82BF-59F0ED7AA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170A91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DAE8C58"/>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0DAE8C58"/>
    <w:pPr>
      <w:tabs>
        <w:tab w:val="center" w:pos="4680"/>
        <w:tab w:val="right" w:pos="9360"/>
      </w:tabs>
      <w:spacing w:after="0" w:line="240" w:lineRule="auto"/>
    </w:pPr>
  </w:style>
  <w:style w:type="paragraph" w:styleId="Footer">
    <w:name w:val="footer"/>
    <w:basedOn w:val="Normal"/>
    <w:uiPriority w:val="99"/>
    <w:unhideWhenUsed/>
    <w:rsid w:val="0DAE8C58"/>
    <w:pPr>
      <w:tabs>
        <w:tab w:val="center" w:pos="4680"/>
        <w:tab w:val="right" w:pos="9360"/>
      </w:tabs>
      <w:spacing w:after="0" w:line="240" w:lineRule="auto"/>
    </w:pPr>
  </w:style>
  <w:style w:type="paragraph" w:styleId="ListParagraph">
    <w:name w:val="List Paragraph"/>
    <w:basedOn w:val="Normal"/>
    <w:uiPriority w:val="34"/>
    <w:qFormat/>
    <w:rsid w:val="0DAE8C58"/>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170A91A1"/>
    <w:rPr>
      <w:color w:val="467886"/>
      <w:u w:val="single"/>
    </w:rPr>
  </w:style>
  <w:style w:type="paragraph" w:styleId="FootnoteText">
    <w:name w:val="footnote text"/>
    <w:basedOn w:val="Normal"/>
    <w:uiPriority w:val="99"/>
    <w:semiHidden/>
    <w:unhideWhenUsed/>
    <w:rsid w:val="170A91A1"/>
    <w:pPr>
      <w:spacing w:after="0" w:line="240" w:lineRule="auto"/>
    </w:pPr>
    <w:rPr>
      <w:sz w:val="20"/>
      <w:szCs w:val="20"/>
    </w:rPr>
  </w:style>
  <w:style w:type="character" w:styleId="FootnoteReference">
    <w:name w:val="footnote reference"/>
    <w:basedOn w:val="DefaultParagraphFont"/>
    <w:uiPriority w:val="99"/>
    <w:semiHidden/>
    <w:unhideWhenUsed/>
    <w:rsid w:val="170A91A1"/>
    <w:rPr>
      <w:vertAlign w:val="superscript"/>
    </w:rPr>
  </w:style>
  <w:style w:type="paragraph" w:styleId="EndnoteText">
    <w:name w:val="endnote text"/>
    <w:basedOn w:val="Normal"/>
    <w:uiPriority w:val="99"/>
    <w:semiHidden/>
    <w:unhideWhenUsed/>
    <w:rsid w:val="170A91A1"/>
    <w:pPr>
      <w:spacing w:after="0" w:line="240" w:lineRule="auto"/>
    </w:pPr>
    <w:rPr>
      <w:sz w:val="20"/>
      <w:szCs w:val="20"/>
    </w:rPr>
  </w:style>
  <w:style w:type="character" w:styleId="EndnoteReference">
    <w:name w:val="endnote reference"/>
    <w:basedOn w:val="DefaultParagraphFont"/>
    <w:uiPriority w:val="99"/>
    <w:semiHidden/>
    <w:unhideWhenUsed/>
    <w:rsid w:val="170A91A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3716</Words>
  <Characters>21183</Characters>
  <Application>Microsoft Office Word</Application>
  <DocSecurity>0</DocSecurity>
  <Lines>176</Lines>
  <Paragraphs>49</Paragraphs>
  <ScaleCrop>false</ScaleCrop>
  <Company/>
  <LinksUpToDate>false</LinksUpToDate>
  <CharactersWithSpaces>24850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 Elena Piminchumo Chavez De Zarczynski (2436125)</dc:creator>
  <cp:keywords/>
  <dc:description/>
  <cp:lastModifiedBy>Rosa Piminchumo</cp:lastModifiedBy>
  <cp:revision>2</cp:revision>
  <dcterms:created xsi:type="dcterms:W3CDTF">2026-08-21T18:20:00Z</dcterms:created>
  <dcterms:modified xsi:type="dcterms:W3CDTF">2026-08-21T18:20:00Z</dcterms:modified>
</cp:coreProperties>
</file>